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Titre1"/>
      </w:pPr>
      <w:r w:rsidRPr="00994A3D">
        <w:t>Supplementary Data</w:t>
      </w:r>
    </w:p>
    <w:p w14:paraId="112CD12D" w14:textId="0035FB65" w:rsidR="00C866FC" w:rsidRDefault="00C866FC" w:rsidP="00C866FC">
      <w:pPr>
        <w:spacing w:after="0"/>
        <w:contextualSpacing/>
        <w:jc w:val="both"/>
        <w:rPr>
          <w:rFonts w:eastAsiaTheme="majorEastAsia" w:cs="Times New Roman"/>
          <w:b/>
          <w:bCs/>
        </w:rPr>
      </w:pPr>
    </w:p>
    <w:p w14:paraId="7F6701BE" w14:textId="3C20EC85" w:rsidR="00C866FC" w:rsidRPr="00C866FC" w:rsidRDefault="00C866FC" w:rsidP="00C866FC">
      <w:pPr>
        <w:spacing w:after="0"/>
        <w:contextualSpacing/>
        <w:jc w:val="both"/>
        <w:rPr>
          <w:rFonts w:cs="Times New Roman"/>
          <w:b/>
          <w:bCs/>
        </w:rPr>
      </w:pPr>
      <w:r w:rsidRPr="00C866FC">
        <w:rPr>
          <w:rFonts w:eastAsiaTheme="majorEastAsia" w:cs="Times New Roman"/>
          <w:b/>
          <w:bCs/>
        </w:rPr>
        <w:t>Bone marrow collection and manufacturing process</w:t>
      </w:r>
    </w:p>
    <w:p w14:paraId="31FA0C10" w14:textId="77777777" w:rsidR="00C866FC" w:rsidRDefault="00C866FC" w:rsidP="00C866FC">
      <w:pPr>
        <w:spacing w:after="0"/>
        <w:contextualSpacing/>
        <w:jc w:val="both"/>
        <w:rPr>
          <w:rFonts w:eastAsiaTheme="majorEastAsia" w:cs="Times New Roman"/>
          <w:b/>
          <w:bCs/>
        </w:rPr>
      </w:pPr>
    </w:p>
    <w:p w14:paraId="547066DE" w14:textId="62EBF542" w:rsidR="00C866FC" w:rsidRPr="00C866FC" w:rsidRDefault="00C866FC" w:rsidP="00C866FC">
      <w:pPr>
        <w:spacing w:after="0"/>
        <w:contextualSpacing/>
        <w:jc w:val="both"/>
        <w:rPr>
          <w:rFonts w:cs="Times New Roman"/>
          <w:u w:val="single"/>
        </w:rPr>
      </w:pPr>
      <w:r w:rsidRPr="00C866FC">
        <w:rPr>
          <w:rFonts w:eastAsiaTheme="majorEastAsia" w:cs="Times New Roman"/>
          <w:u w:val="single"/>
        </w:rPr>
        <w:t>Bone marrow collection</w:t>
      </w:r>
    </w:p>
    <w:p w14:paraId="39187896" w14:textId="4D3AC6DD" w:rsidR="00C866FC" w:rsidRPr="00EB34AA" w:rsidRDefault="00C866FC" w:rsidP="00C866F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EB34AA">
        <w:rPr>
          <w:rFonts w:cs="Times New Roman"/>
        </w:rPr>
        <w:t xml:space="preserve">Bone marrow (50 </w:t>
      </w:r>
      <w:r w:rsidRPr="00EB34AA">
        <w:rPr>
          <w:rFonts w:cs="Times New Roman"/>
        </w:rPr>
        <w:sym w:font="Symbol" w:char="F0B1"/>
      </w:r>
      <w:r w:rsidRPr="00EB34AA">
        <w:rPr>
          <w:rFonts w:cs="Times New Roman"/>
        </w:rPr>
        <w:t xml:space="preserve"> 10 ml) from eligible donors was harvested from the posterior iliac crest under local anesthesia in sterile conditions, placed in a sterile bag containing heparin, and labeled.</w:t>
      </w:r>
    </w:p>
    <w:p w14:paraId="7AD6E117" w14:textId="77777777" w:rsidR="00C866FC" w:rsidRPr="00C866FC" w:rsidRDefault="00C866FC" w:rsidP="00C866FC">
      <w:pPr>
        <w:spacing w:after="0"/>
        <w:jc w:val="both"/>
        <w:outlineLvl w:val="5"/>
        <w:rPr>
          <w:rFonts w:eastAsiaTheme="majorEastAsia" w:cs="Times New Roman"/>
          <w:u w:val="single"/>
        </w:rPr>
      </w:pPr>
      <w:r w:rsidRPr="00C866FC">
        <w:rPr>
          <w:rFonts w:eastAsiaTheme="majorEastAsia" w:cs="Times New Roman"/>
          <w:u w:val="single"/>
        </w:rPr>
        <w:t>Processing of the bone marrow</w:t>
      </w:r>
    </w:p>
    <w:p w14:paraId="5437D103" w14:textId="33B24BFD" w:rsidR="00C866FC" w:rsidRPr="00EB34AA" w:rsidRDefault="00C866FC" w:rsidP="00C866FC">
      <w:pPr>
        <w:spacing w:after="200"/>
        <w:jc w:val="both"/>
        <w:rPr>
          <w:rFonts w:cs="Times New Roman"/>
        </w:rPr>
      </w:pPr>
      <w:r w:rsidRPr="00EB34AA">
        <w:rPr>
          <w:rFonts w:cs="Times New Roman"/>
        </w:rPr>
        <w:t xml:space="preserve">Mononuclear cells were isolated (using a </w:t>
      </w:r>
      <w:proofErr w:type="spellStart"/>
      <w:r w:rsidRPr="00EB34AA">
        <w:rPr>
          <w:rFonts w:cs="Times New Roman"/>
        </w:rPr>
        <w:t>ficoll</w:t>
      </w:r>
      <w:proofErr w:type="spellEnd"/>
      <w:r w:rsidRPr="00EB34AA">
        <w:rPr>
          <w:rFonts w:cs="Times New Roman"/>
        </w:rPr>
        <w:t xml:space="preserve"> isolation procedure), washed </w:t>
      </w:r>
      <w:r w:rsidR="00FA3E95">
        <w:rPr>
          <w:rFonts w:cs="Times New Roman"/>
        </w:rPr>
        <w:t>twice</w:t>
      </w:r>
      <w:r w:rsidRPr="00EB34AA">
        <w:rPr>
          <w:rFonts w:cs="Times New Roman"/>
        </w:rPr>
        <w:t xml:space="preserve"> with a solution of 97.5 % NaCl 0.9% and 2.5 % human albumin 20%, then suspended in a solution of 90% DMEM-LGGLX medium (Fisher-</w:t>
      </w:r>
      <w:proofErr w:type="spellStart"/>
      <w:r w:rsidRPr="00EB34AA">
        <w:rPr>
          <w:rFonts w:cs="Times New Roman"/>
        </w:rPr>
        <w:t>Bioblock</w:t>
      </w:r>
      <w:proofErr w:type="spellEnd"/>
      <w:r w:rsidRPr="00EB34AA">
        <w:rPr>
          <w:rFonts w:cs="Times New Roman"/>
        </w:rPr>
        <w:t xml:space="preserve">, Invitrogen, </w:t>
      </w:r>
      <w:proofErr w:type="spellStart"/>
      <w:r w:rsidRPr="00EB34AA">
        <w:rPr>
          <w:rFonts w:cs="Times New Roman"/>
        </w:rPr>
        <w:t>Merelbeke</w:t>
      </w:r>
      <w:proofErr w:type="spellEnd"/>
      <w:r w:rsidRPr="00EB34AA">
        <w:rPr>
          <w:rFonts w:cs="Times New Roman"/>
        </w:rPr>
        <w:t xml:space="preserve">, Belgium) and 10% </w:t>
      </w:r>
      <w:r>
        <w:rPr>
          <w:rFonts w:cs="Times New Roman"/>
        </w:rPr>
        <w:t>γ</w:t>
      </w:r>
      <w:r w:rsidRPr="00EB34AA">
        <w:rPr>
          <w:rFonts w:cs="Times New Roman"/>
        </w:rPr>
        <w:t xml:space="preserve">-irradiated fetal bovine serum (FBS, </w:t>
      </w:r>
      <w:proofErr w:type="spellStart"/>
      <w:r w:rsidRPr="00EB34AA">
        <w:rPr>
          <w:rFonts w:cs="Times New Roman"/>
        </w:rPr>
        <w:t>Hyclone</w:t>
      </w:r>
      <w:proofErr w:type="spellEnd"/>
      <w:r w:rsidRPr="00EB34AA">
        <w:rPr>
          <w:rFonts w:cs="Times New Roman"/>
        </w:rPr>
        <w:t xml:space="preserve">, </w:t>
      </w:r>
      <w:proofErr w:type="spellStart"/>
      <w:r w:rsidRPr="00EB34AA">
        <w:rPr>
          <w:rFonts w:cs="Times New Roman"/>
        </w:rPr>
        <w:t>Perbio</w:t>
      </w:r>
      <w:proofErr w:type="spellEnd"/>
      <w:r w:rsidRPr="00EB34AA">
        <w:rPr>
          <w:rFonts w:cs="Times New Roman"/>
        </w:rPr>
        <w:t xml:space="preserve"> Sciences, Smithfield, UT, USA).</w:t>
      </w:r>
      <w:r w:rsidR="00FA3E95">
        <w:rPr>
          <w:rFonts w:cs="Times New Roman"/>
        </w:rPr>
        <w:t xml:space="preserve"> </w:t>
      </w:r>
      <w:r w:rsidRPr="00EB34AA">
        <w:rPr>
          <w:rFonts w:cs="Times New Roman"/>
        </w:rPr>
        <w:t>All these operations were performed with a fully</w:t>
      </w:r>
      <w:r w:rsidR="00FA3E95">
        <w:rPr>
          <w:rFonts w:cs="Times New Roman"/>
        </w:rPr>
        <w:t xml:space="preserve"> </w:t>
      </w:r>
      <w:r w:rsidRPr="00EB34AA">
        <w:rPr>
          <w:rFonts w:cs="Times New Roman"/>
        </w:rPr>
        <w:t>automated and closed capability system. The cell suspension was then transferred to the ATMP production staff to be processed in a class A in B environment.</w:t>
      </w:r>
    </w:p>
    <w:p w14:paraId="7C5A42D8" w14:textId="60241067" w:rsidR="00C866FC" w:rsidRPr="00C866FC" w:rsidRDefault="00C866FC" w:rsidP="00C866FC">
      <w:pPr>
        <w:spacing w:after="0"/>
        <w:jc w:val="both"/>
        <w:outlineLvl w:val="5"/>
        <w:rPr>
          <w:rFonts w:eastAsiaTheme="majorEastAsia" w:cs="Times New Roman"/>
          <w:u w:val="single"/>
        </w:rPr>
      </w:pPr>
      <w:bookmarkStart w:id="0" w:name="OLE_LINK4"/>
      <w:bookmarkStart w:id="1" w:name="OLE_LINK3"/>
      <w:r w:rsidRPr="00C866FC">
        <w:rPr>
          <w:rFonts w:eastAsiaTheme="majorEastAsia" w:cs="Times New Roman"/>
          <w:u w:val="single"/>
        </w:rPr>
        <w:t>Initiation of in vitro cultures (P0)</w:t>
      </w:r>
      <w:r>
        <w:rPr>
          <w:rFonts w:eastAsiaTheme="majorEastAsia" w:cs="Times New Roman"/>
          <w:u w:val="single"/>
        </w:rPr>
        <w:t xml:space="preserve"> and r</w:t>
      </w:r>
      <w:r w:rsidRPr="00C866FC">
        <w:rPr>
          <w:rFonts w:eastAsiaTheme="majorEastAsia" w:cs="Times New Roman"/>
          <w:u w:val="single"/>
        </w:rPr>
        <w:t>eplacement of the culture medium</w:t>
      </w:r>
    </w:p>
    <w:bookmarkEnd w:id="0"/>
    <w:bookmarkEnd w:id="1"/>
    <w:p w14:paraId="3807C869" w14:textId="57AFD14B" w:rsidR="00C866FC" w:rsidRPr="00EB34AA" w:rsidRDefault="00C866FC" w:rsidP="00C866FC">
      <w:pPr>
        <w:spacing w:after="200"/>
        <w:jc w:val="both"/>
        <w:rPr>
          <w:rFonts w:cs="Times New Roman"/>
          <w:u w:val="single"/>
        </w:rPr>
      </w:pPr>
      <w:r w:rsidRPr="00EB34AA">
        <w:rPr>
          <w:rFonts w:cs="Times New Roman"/>
        </w:rPr>
        <w:t xml:space="preserve">The cell suspension </w:t>
      </w:r>
      <w:r w:rsidR="00FA3E95">
        <w:rPr>
          <w:rFonts w:cs="Times New Roman"/>
        </w:rPr>
        <w:t>was</w:t>
      </w:r>
      <w:r w:rsidR="00FA3E95" w:rsidRPr="00EB34AA">
        <w:rPr>
          <w:rFonts w:cs="Times New Roman"/>
        </w:rPr>
        <w:t xml:space="preserve"> </w:t>
      </w:r>
      <w:r w:rsidRPr="00EB34AA">
        <w:rPr>
          <w:rFonts w:cs="Times New Roman"/>
        </w:rPr>
        <w:t xml:space="preserve">seeded in sterile tissue culture flasks (T-175 or </w:t>
      </w:r>
      <w:proofErr w:type="spellStart"/>
      <w:r w:rsidRPr="00EB34AA">
        <w:rPr>
          <w:rFonts w:cs="Times New Roman"/>
        </w:rPr>
        <w:t>CellSTACK</w:t>
      </w:r>
      <w:proofErr w:type="spellEnd"/>
      <w:r w:rsidRPr="00EB34AA">
        <w:rPr>
          <w:rFonts w:cs="Times New Roman"/>
        </w:rPr>
        <w:t xml:space="preserve"> from Corning) at a density of 160,000 cells/cm² under laminar air flow and then incubated at 37°C, 5% CO</w:t>
      </w:r>
      <w:r w:rsidRPr="00EB34AA">
        <w:rPr>
          <w:rFonts w:cs="Times New Roman"/>
          <w:vertAlign w:val="subscript"/>
        </w:rPr>
        <w:t xml:space="preserve">2 </w:t>
      </w:r>
      <w:r w:rsidRPr="00EB34AA">
        <w:rPr>
          <w:rFonts w:cs="Times New Roman"/>
        </w:rPr>
        <w:t>and 90 % relative humidity.</w:t>
      </w:r>
      <w:r w:rsidR="00FA3E95">
        <w:rPr>
          <w:rFonts w:cs="Times New Roman"/>
        </w:rPr>
        <w:t xml:space="preserve"> </w:t>
      </w:r>
      <w:r w:rsidRPr="00EB34AA">
        <w:rPr>
          <w:rFonts w:cs="Times New Roman"/>
        </w:rPr>
        <w:t>Adherent precursors were selected by removing non-adherent cells three days after culture initiation.</w:t>
      </w:r>
      <w:r w:rsidR="00FA3E95">
        <w:rPr>
          <w:rFonts w:cs="Times New Roman"/>
        </w:rPr>
        <w:t xml:space="preserve"> </w:t>
      </w:r>
      <w:r w:rsidRPr="00EB34AA">
        <w:rPr>
          <w:rFonts w:cs="Times New Roman"/>
        </w:rPr>
        <w:t xml:space="preserve">MSC were then expanded by replacement of the </w:t>
      </w:r>
      <w:r w:rsidR="00FA3E95" w:rsidRPr="00EB34AA">
        <w:rPr>
          <w:rFonts w:cs="Times New Roman"/>
        </w:rPr>
        <w:t>medi</w:t>
      </w:r>
      <w:r w:rsidR="00FA3E95">
        <w:rPr>
          <w:rFonts w:cs="Times New Roman"/>
        </w:rPr>
        <w:t>um</w:t>
      </w:r>
      <w:r w:rsidR="00FA3E95" w:rsidRPr="00EB34AA">
        <w:rPr>
          <w:rFonts w:cs="Times New Roman"/>
        </w:rPr>
        <w:t xml:space="preserve"> </w:t>
      </w:r>
      <w:r w:rsidRPr="00EB34AA">
        <w:rPr>
          <w:rFonts w:cs="Times New Roman"/>
        </w:rPr>
        <w:t xml:space="preserve">(90% DMEM-LGGLX medium and 10% </w:t>
      </w:r>
      <w:r>
        <w:rPr>
          <w:rFonts w:cs="Times New Roman"/>
        </w:rPr>
        <w:t>γ</w:t>
      </w:r>
      <w:r w:rsidRPr="00EB34AA">
        <w:rPr>
          <w:rFonts w:cs="Times New Roman"/>
        </w:rPr>
        <w:t>-irradiated FBS) twice a week until passage 1.</w:t>
      </w:r>
      <w:r>
        <w:rPr>
          <w:rFonts w:cs="Times New Roman"/>
        </w:rPr>
        <w:t xml:space="preserve"> </w:t>
      </w:r>
      <w:r w:rsidRPr="00EB34AA">
        <w:rPr>
          <w:rFonts w:cs="Times New Roman"/>
        </w:rPr>
        <w:t xml:space="preserve">The </w:t>
      </w:r>
      <w:r w:rsidR="00FA3E95" w:rsidRPr="00EB34AA">
        <w:rPr>
          <w:rFonts w:cs="Times New Roman"/>
        </w:rPr>
        <w:t>medi</w:t>
      </w:r>
      <w:r w:rsidR="00FA3E95">
        <w:rPr>
          <w:rFonts w:cs="Times New Roman"/>
        </w:rPr>
        <w:t>um</w:t>
      </w:r>
      <w:r w:rsidR="00FA3E95" w:rsidRPr="00EB34AA">
        <w:rPr>
          <w:rFonts w:cs="Times New Roman"/>
        </w:rPr>
        <w:t xml:space="preserve"> </w:t>
      </w:r>
      <w:r w:rsidRPr="00EB34AA">
        <w:rPr>
          <w:rFonts w:cs="Times New Roman"/>
        </w:rPr>
        <w:t xml:space="preserve">was also replaced three days after passage 1, </w:t>
      </w:r>
      <w:r w:rsidR="00FA3E95">
        <w:rPr>
          <w:rFonts w:cs="Times New Roman"/>
        </w:rPr>
        <w:t xml:space="preserve">after </w:t>
      </w:r>
      <w:r w:rsidRPr="00EB34AA">
        <w:rPr>
          <w:rFonts w:cs="Times New Roman"/>
        </w:rPr>
        <w:t xml:space="preserve">passage 2 and </w:t>
      </w:r>
      <w:r w:rsidR="00FA3E95">
        <w:rPr>
          <w:rFonts w:cs="Times New Roman"/>
        </w:rPr>
        <w:t xml:space="preserve">at </w:t>
      </w:r>
      <w:r w:rsidRPr="00EB34AA">
        <w:rPr>
          <w:rFonts w:cs="Times New Roman"/>
        </w:rPr>
        <w:t>thawing.</w:t>
      </w:r>
    </w:p>
    <w:p w14:paraId="1DA03A64" w14:textId="222F0094" w:rsidR="00C866FC" w:rsidRPr="00C866FC" w:rsidRDefault="00C866FC" w:rsidP="00C866FC">
      <w:pPr>
        <w:spacing w:after="0"/>
        <w:jc w:val="both"/>
        <w:outlineLvl w:val="5"/>
        <w:rPr>
          <w:rFonts w:eastAsiaTheme="majorEastAsia" w:cs="Times New Roman"/>
          <w:u w:val="single"/>
        </w:rPr>
      </w:pPr>
      <w:r w:rsidRPr="00C866FC">
        <w:rPr>
          <w:rFonts w:eastAsiaTheme="majorEastAsia" w:cs="Times New Roman"/>
          <w:u w:val="single"/>
        </w:rPr>
        <w:t>Passage</w:t>
      </w:r>
      <w:r>
        <w:rPr>
          <w:rFonts w:eastAsiaTheme="majorEastAsia" w:cs="Times New Roman"/>
          <w:u w:val="single"/>
        </w:rPr>
        <w:t>s</w:t>
      </w:r>
      <w:r w:rsidRPr="00C866FC">
        <w:rPr>
          <w:rFonts w:eastAsiaTheme="majorEastAsia" w:cs="Times New Roman"/>
          <w:u w:val="single"/>
        </w:rPr>
        <w:t xml:space="preserve"> 1 and 2</w:t>
      </w:r>
    </w:p>
    <w:p w14:paraId="632047CA" w14:textId="6BF9140E" w:rsidR="00C866FC" w:rsidRPr="00EB34AA" w:rsidRDefault="00C866FC" w:rsidP="00C866FC">
      <w:pPr>
        <w:spacing w:after="200"/>
        <w:jc w:val="both"/>
        <w:rPr>
          <w:rFonts w:cs="Times New Roman"/>
        </w:rPr>
      </w:pPr>
      <w:r w:rsidRPr="00EB34AA">
        <w:rPr>
          <w:rFonts w:cs="Times New Roman"/>
        </w:rPr>
        <w:t xml:space="preserve">On day 14, MSC were at about 70% confluence and were </w:t>
      </w:r>
      <w:bookmarkStart w:id="2" w:name="_Hlk103856570"/>
      <w:proofErr w:type="spellStart"/>
      <w:r w:rsidRPr="00EB34AA">
        <w:rPr>
          <w:rFonts w:cs="Times New Roman"/>
        </w:rPr>
        <w:t>trypsinized</w:t>
      </w:r>
      <w:proofErr w:type="spellEnd"/>
      <w:r w:rsidRPr="00EB34AA">
        <w:rPr>
          <w:rFonts w:cs="Times New Roman"/>
        </w:rPr>
        <w:t xml:space="preserve"> and replated at a lower density (4,000 cells/cm</w:t>
      </w:r>
      <w:r w:rsidRPr="00EB34AA">
        <w:rPr>
          <w:rFonts w:cs="Times New Roman"/>
          <w:vertAlign w:val="superscript"/>
        </w:rPr>
        <w:t>2</w:t>
      </w:r>
      <w:r w:rsidRPr="00EB34AA">
        <w:rPr>
          <w:rFonts w:cs="Times New Roman"/>
        </w:rPr>
        <w:t>) to allow further cell expansion.</w:t>
      </w:r>
      <w:r w:rsidR="00FA3E95">
        <w:rPr>
          <w:rFonts w:cs="Times New Roman"/>
        </w:rPr>
        <w:t xml:space="preserve"> </w:t>
      </w:r>
      <w:bookmarkEnd w:id="2"/>
      <w:r w:rsidRPr="00EB34AA">
        <w:rPr>
          <w:rFonts w:cs="Times New Roman"/>
        </w:rPr>
        <w:t xml:space="preserve">Cells were first washed with phosphate-buffered saline (PBS), before incubation with </w:t>
      </w:r>
      <w:proofErr w:type="spellStart"/>
      <w:r w:rsidRPr="00EB34AA">
        <w:rPr>
          <w:rFonts w:cs="Times New Roman"/>
        </w:rPr>
        <w:t>TryplE</w:t>
      </w:r>
      <w:proofErr w:type="spellEnd"/>
      <w:r w:rsidRPr="00EB34AA">
        <w:rPr>
          <w:rFonts w:cs="Times New Roman"/>
        </w:rPr>
        <w:t xml:space="preserve"> (Life Technologies, </w:t>
      </w:r>
      <w:proofErr w:type="spellStart"/>
      <w:r w:rsidRPr="00EB34AA">
        <w:rPr>
          <w:rFonts w:cs="Times New Roman"/>
        </w:rPr>
        <w:t>Bleiswijk</w:t>
      </w:r>
      <w:proofErr w:type="spellEnd"/>
      <w:r w:rsidRPr="00EB34AA">
        <w:rPr>
          <w:rFonts w:cs="Times New Roman"/>
        </w:rPr>
        <w:t xml:space="preserve">, The Netherlands) for five minutes at 37°C. Then, they were collected, washed and resuspended in culture medium. After dilution at the appropriate density in the complete culture </w:t>
      </w:r>
      <w:r w:rsidR="00FA3E95" w:rsidRPr="00EB34AA">
        <w:rPr>
          <w:rFonts w:cs="Times New Roman"/>
        </w:rPr>
        <w:t>medi</w:t>
      </w:r>
      <w:r w:rsidR="00FA3E95">
        <w:rPr>
          <w:rFonts w:cs="Times New Roman"/>
        </w:rPr>
        <w:t>um</w:t>
      </w:r>
      <w:r w:rsidR="00FA3E95" w:rsidRPr="00EB34AA">
        <w:rPr>
          <w:rFonts w:cs="Times New Roman"/>
        </w:rPr>
        <w:t xml:space="preserve"> </w:t>
      </w:r>
      <w:r w:rsidRPr="00EB34AA">
        <w:rPr>
          <w:rFonts w:cs="Times New Roman"/>
        </w:rPr>
        <w:t xml:space="preserve">(90% DMEM + 10% </w:t>
      </w:r>
      <w:r>
        <w:rPr>
          <w:rFonts w:cs="Times New Roman"/>
        </w:rPr>
        <w:t>γ</w:t>
      </w:r>
      <w:r w:rsidRPr="00EB34AA">
        <w:rPr>
          <w:rFonts w:cs="Times New Roman"/>
        </w:rPr>
        <w:t xml:space="preserve">-irradiated FBS), cells were replated in </w:t>
      </w:r>
      <w:proofErr w:type="spellStart"/>
      <w:r w:rsidRPr="00EB34AA">
        <w:rPr>
          <w:rFonts w:cs="Times New Roman"/>
        </w:rPr>
        <w:t>Cellstacks</w:t>
      </w:r>
      <w:proofErr w:type="spellEnd"/>
      <w:r w:rsidRPr="00EB34AA">
        <w:rPr>
          <w:rFonts w:cs="Times New Roman"/>
        </w:rPr>
        <w:t xml:space="preserve"> and incubated at 37°C, 5% CO</w:t>
      </w:r>
      <w:r w:rsidRPr="00EB34AA">
        <w:rPr>
          <w:rFonts w:cs="Times New Roman"/>
          <w:vertAlign w:val="subscript"/>
        </w:rPr>
        <w:t xml:space="preserve">2 </w:t>
      </w:r>
      <w:r w:rsidRPr="00EB34AA">
        <w:rPr>
          <w:rFonts w:cs="Times New Roman"/>
        </w:rPr>
        <w:t>and 90 % relative humidity.</w:t>
      </w:r>
      <w:r w:rsidR="00FA3E95">
        <w:rPr>
          <w:rFonts w:cs="Times New Roman"/>
        </w:rPr>
        <w:t xml:space="preserve"> </w:t>
      </w:r>
      <w:r w:rsidRPr="00EB34AA">
        <w:rPr>
          <w:rFonts w:cs="Times New Roman"/>
        </w:rPr>
        <w:t xml:space="preserve">On day 21, cells were again nearly confluent and subjected to a second passage, following the same modalities. At this step, batches could be divided in different </w:t>
      </w:r>
      <w:proofErr w:type="spellStart"/>
      <w:r w:rsidRPr="00EB34AA">
        <w:rPr>
          <w:rFonts w:cs="Times New Roman"/>
        </w:rPr>
        <w:t>sub</w:t>
      </w:r>
      <w:r w:rsidR="00FA3E95">
        <w:rPr>
          <w:rFonts w:cs="Times New Roman"/>
        </w:rPr>
        <w:t>b</w:t>
      </w:r>
      <w:r w:rsidRPr="00EB34AA">
        <w:rPr>
          <w:rFonts w:cs="Times New Roman"/>
        </w:rPr>
        <w:t>atches</w:t>
      </w:r>
      <w:proofErr w:type="spellEnd"/>
      <w:r w:rsidRPr="00EB34AA">
        <w:rPr>
          <w:rFonts w:cs="Times New Roman"/>
        </w:rPr>
        <w:t xml:space="preserve">. </w:t>
      </w:r>
    </w:p>
    <w:p w14:paraId="686EEBB8" w14:textId="77777777" w:rsidR="00C866FC" w:rsidRPr="00C866FC" w:rsidRDefault="00C866FC" w:rsidP="00C866FC">
      <w:pPr>
        <w:spacing w:after="0"/>
        <w:jc w:val="both"/>
        <w:outlineLvl w:val="5"/>
        <w:rPr>
          <w:rFonts w:eastAsiaTheme="majorEastAsia" w:cs="Times New Roman"/>
          <w:u w:val="single"/>
        </w:rPr>
      </w:pPr>
      <w:r w:rsidRPr="00C866FC">
        <w:rPr>
          <w:rFonts w:eastAsiaTheme="majorEastAsia" w:cs="Times New Roman"/>
          <w:u w:val="single"/>
        </w:rPr>
        <w:t>Harvest and freezing</w:t>
      </w:r>
    </w:p>
    <w:p w14:paraId="32DDCE71" w14:textId="0B6057FD" w:rsidR="00C866FC" w:rsidRDefault="00C866FC" w:rsidP="00C866FC">
      <w:pPr>
        <w:spacing w:after="200"/>
        <w:jc w:val="both"/>
        <w:rPr>
          <w:rFonts w:cs="Times New Roman"/>
        </w:rPr>
      </w:pPr>
      <w:r w:rsidRPr="00EB34AA">
        <w:rPr>
          <w:rFonts w:cs="Times New Roman"/>
        </w:rPr>
        <w:t xml:space="preserve">At day 28, cells were </w:t>
      </w:r>
      <w:proofErr w:type="spellStart"/>
      <w:r w:rsidRPr="00EB34AA">
        <w:rPr>
          <w:rFonts w:cs="Times New Roman"/>
        </w:rPr>
        <w:t>trypsinized</w:t>
      </w:r>
      <w:proofErr w:type="spellEnd"/>
      <w:r w:rsidRPr="00EB34AA">
        <w:rPr>
          <w:rFonts w:cs="Times New Roman"/>
        </w:rPr>
        <w:t xml:space="preserve"> (as described above), washed and resuspended (at the double concentration of </w:t>
      </w:r>
      <w:r w:rsidR="00FA3E95">
        <w:rPr>
          <w:rFonts w:cs="Times New Roman"/>
        </w:rPr>
        <w:t xml:space="preserve"> </w:t>
      </w:r>
      <w:r w:rsidRPr="00EB34AA">
        <w:rPr>
          <w:rFonts w:cs="Times New Roman"/>
        </w:rPr>
        <w:t>2x10</w:t>
      </w:r>
      <w:r w:rsidRPr="00EB34AA">
        <w:rPr>
          <w:rFonts w:cs="Times New Roman"/>
          <w:vertAlign w:val="superscript"/>
        </w:rPr>
        <w:t>6</w:t>
      </w:r>
      <w:r w:rsidRPr="00EB34AA">
        <w:rPr>
          <w:rFonts w:cs="Times New Roman"/>
        </w:rPr>
        <w:t xml:space="preserve"> cells/ml compared to the final frozen concentration of 1x10</w:t>
      </w:r>
      <w:r w:rsidRPr="00EB34AA">
        <w:rPr>
          <w:rFonts w:cs="Times New Roman"/>
          <w:vertAlign w:val="superscript"/>
        </w:rPr>
        <w:t>6</w:t>
      </w:r>
      <w:r w:rsidRPr="00EB34AA">
        <w:rPr>
          <w:rFonts w:cs="Times New Roman"/>
        </w:rPr>
        <w:t xml:space="preserve"> cells/ml) in harvest</w:t>
      </w:r>
      <w:r w:rsidR="008F6825">
        <w:rPr>
          <w:rFonts w:cs="Times New Roman"/>
        </w:rPr>
        <w:t>ing</w:t>
      </w:r>
      <w:r w:rsidRPr="00EB34AA">
        <w:rPr>
          <w:rFonts w:cs="Times New Roman"/>
        </w:rPr>
        <w:t xml:space="preserve"> solution (95% NaCl 0.9% and 5% human albumin 20%).</w:t>
      </w:r>
      <w:r w:rsidR="008F6825">
        <w:rPr>
          <w:rFonts w:cs="Times New Roman"/>
        </w:rPr>
        <w:t xml:space="preserve"> </w:t>
      </w:r>
      <w:r w:rsidRPr="00EB34AA">
        <w:rPr>
          <w:rFonts w:cs="Times New Roman"/>
        </w:rPr>
        <w:t xml:space="preserve">Then, the cell suspension was mixed volume to volume with the freezing solution (60% NaCl 0.9%, 20% human albumin 20% and 20% DMSO 99.99%). The cell suspension was finally frozen according to a controlled preprogrammed temperature curve and stored in </w:t>
      </w:r>
      <w:r w:rsidR="008F6825" w:rsidRPr="00EB34AA">
        <w:rPr>
          <w:rFonts w:cs="Times New Roman"/>
        </w:rPr>
        <w:t>gas</w:t>
      </w:r>
      <w:r w:rsidR="008F6825">
        <w:rPr>
          <w:rFonts w:cs="Times New Roman"/>
        </w:rPr>
        <w:t>eous</w:t>
      </w:r>
      <w:r w:rsidRPr="00EB34AA">
        <w:rPr>
          <w:rFonts w:cs="Times New Roman"/>
        </w:rPr>
        <w:t xml:space="preserve"> nitrogen.</w:t>
      </w:r>
    </w:p>
    <w:p w14:paraId="0CBCF033" w14:textId="77777777" w:rsidR="00443079" w:rsidRDefault="00443079" w:rsidP="00E44ABF">
      <w:pPr>
        <w:spacing w:after="200"/>
        <w:jc w:val="both"/>
        <w:rPr>
          <w:rFonts w:cs="Times New Roman"/>
          <w:b/>
          <w:bCs/>
          <w:lang w:val="en-GB"/>
        </w:rPr>
      </w:pPr>
    </w:p>
    <w:p w14:paraId="68A4C811" w14:textId="3C7FC532" w:rsidR="00E44ABF" w:rsidRPr="00E44ABF" w:rsidRDefault="00E44ABF" w:rsidP="00E44ABF">
      <w:pPr>
        <w:spacing w:after="200"/>
        <w:jc w:val="both"/>
        <w:rPr>
          <w:rFonts w:cs="Times New Roman"/>
          <w:b/>
          <w:bCs/>
          <w:lang w:val="en-GB"/>
        </w:rPr>
      </w:pPr>
      <w:r w:rsidRPr="00E44ABF">
        <w:rPr>
          <w:rFonts w:cs="Times New Roman"/>
          <w:b/>
          <w:bCs/>
          <w:lang w:val="en-GB"/>
        </w:rPr>
        <w:t>Phenotypic characterization of MCS</w:t>
      </w:r>
    </w:p>
    <w:p w14:paraId="4EDBA02F" w14:textId="13F5C6B4" w:rsidR="00E44ABF" w:rsidRPr="00E44ABF" w:rsidRDefault="00E44ABF" w:rsidP="00E44ABF">
      <w:pPr>
        <w:spacing w:after="200"/>
        <w:jc w:val="both"/>
        <w:rPr>
          <w:rFonts w:cs="Times New Roman"/>
          <w:lang w:val="en-GB"/>
        </w:rPr>
      </w:pPr>
      <w:r w:rsidRPr="00E44ABF">
        <w:rPr>
          <w:rFonts w:cs="Times New Roman"/>
          <w:lang w:val="en-GB"/>
        </w:rPr>
        <w:t>Analysis of cell-surface molecules was performed on MSC cultures using flow cytometry. Harvested cells were washed with PBS containing 5% HSA. Around 2x10</w:t>
      </w:r>
      <w:r w:rsidRPr="00E44ABF">
        <w:rPr>
          <w:rFonts w:cs="Times New Roman"/>
          <w:vertAlign w:val="superscript"/>
          <w:lang w:val="en-GB"/>
        </w:rPr>
        <w:t>5</w:t>
      </w:r>
      <w:r w:rsidRPr="00E44ABF">
        <w:rPr>
          <w:rFonts w:cs="Times New Roman"/>
          <w:lang w:val="en-GB"/>
        </w:rPr>
        <w:t xml:space="preserve"> cells were resuspended in 90 </w:t>
      </w:r>
      <w:r>
        <w:rPr>
          <w:rFonts w:cs="Times New Roman"/>
          <w:lang w:val="en-GB"/>
        </w:rPr>
        <w:t>µ</w:t>
      </w:r>
      <w:r w:rsidRPr="00E44ABF">
        <w:rPr>
          <w:rFonts w:cs="Times New Roman"/>
          <w:lang w:val="en-GB"/>
        </w:rPr>
        <w:t xml:space="preserve">L PBS containing 5% HSA, and incubated for 10 min on ice in the dark, with the following </w:t>
      </w:r>
      <w:proofErr w:type="spellStart"/>
      <w:r w:rsidRPr="00E44ABF">
        <w:rPr>
          <w:rFonts w:cs="Times New Roman"/>
          <w:lang w:val="en-GB"/>
        </w:rPr>
        <w:t>MAb</w:t>
      </w:r>
      <w:proofErr w:type="spellEnd"/>
      <w:r w:rsidRPr="00E44ABF">
        <w:rPr>
          <w:rFonts w:cs="Times New Roman"/>
          <w:lang w:val="en-GB"/>
        </w:rPr>
        <w:t>:</w:t>
      </w:r>
      <w:r w:rsidR="008F6825">
        <w:rPr>
          <w:rFonts w:cs="Times New Roman"/>
          <w:lang w:val="en-GB"/>
        </w:rPr>
        <w:t xml:space="preserve"> </w:t>
      </w:r>
      <w:r w:rsidRPr="00E44ABF">
        <w:rPr>
          <w:rFonts w:cs="Times New Roman"/>
          <w:lang w:val="en-GB"/>
        </w:rPr>
        <w:t>CD45-FITC, human; clone REA 747 - CD73-APC, human, Clone REA804, - CD90-VioBlue, human, Clone REA897, - CD105-PE-Vio770, human, Clone REA794, - Anti-HLA-DR-APC, human, Clone REA805, - CD14-VioBlue, human, clone REA599 - CD34-PE-Vio770, human, Clone REA1164 - CD3-FITC, human, Clone REA613 - CD29-APC, human, Clone REA1060 - CD44-PE-Vio770, human, Clone REA690 - CD166-VioBright FITC human Clone REA442, - REA Control (S)-FITC, Clone REA293, - REA Control (S)-APC, Clone REA293, - REA Control (S)-</w:t>
      </w:r>
      <w:proofErr w:type="spellStart"/>
      <w:r w:rsidRPr="00E44ABF">
        <w:rPr>
          <w:rFonts w:cs="Times New Roman"/>
          <w:lang w:val="en-GB"/>
        </w:rPr>
        <w:t>VioBlue</w:t>
      </w:r>
      <w:proofErr w:type="spellEnd"/>
      <w:r w:rsidRPr="00E44ABF">
        <w:rPr>
          <w:rFonts w:cs="Times New Roman"/>
          <w:lang w:val="en-GB"/>
        </w:rPr>
        <w:t xml:space="preserve"> Clone REA293 - REA Control (S)-PE-Vio770, Clone REA293 - REA Control (S)-</w:t>
      </w:r>
      <w:proofErr w:type="spellStart"/>
      <w:r w:rsidRPr="00E44ABF">
        <w:rPr>
          <w:rFonts w:cs="Times New Roman"/>
          <w:lang w:val="en-GB"/>
        </w:rPr>
        <w:t>VioBright</w:t>
      </w:r>
      <w:proofErr w:type="spellEnd"/>
      <w:r w:rsidRPr="00E44ABF">
        <w:rPr>
          <w:rFonts w:cs="Times New Roman"/>
          <w:lang w:val="en-GB"/>
        </w:rPr>
        <w:t xml:space="preserve"> FITC, Clone REA293 (</w:t>
      </w:r>
      <w:proofErr w:type="spellStart"/>
      <w:r w:rsidRPr="00E44ABF">
        <w:rPr>
          <w:rFonts w:cs="Times New Roman"/>
          <w:lang w:val="en-GB"/>
        </w:rPr>
        <w:t>Miltenyi</w:t>
      </w:r>
      <w:proofErr w:type="spellEnd"/>
      <w:r w:rsidRPr="00E44ABF">
        <w:rPr>
          <w:rFonts w:cs="Times New Roman"/>
          <w:lang w:val="en-GB"/>
        </w:rPr>
        <w:t xml:space="preserve"> </w:t>
      </w:r>
      <w:proofErr w:type="spellStart"/>
      <w:r w:rsidRPr="00E44ABF">
        <w:rPr>
          <w:rFonts w:cs="Times New Roman"/>
          <w:lang w:val="en-GB"/>
        </w:rPr>
        <w:t>biotec</w:t>
      </w:r>
      <w:proofErr w:type="spellEnd"/>
      <w:r w:rsidRPr="00E44ABF">
        <w:rPr>
          <w:rFonts w:cs="Times New Roman"/>
          <w:lang w:val="en-GB"/>
        </w:rPr>
        <w:t>)</w:t>
      </w:r>
      <w:r w:rsidR="008F6825">
        <w:rPr>
          <w:rFonts w:cs="Times New Roman"/>
          <w:lang w:val="en-GB"/>
        </w:rPr>
        <w:t xml:space="preserve">. </w:t>
      </w:r>
      <w:r w:rsidRPr="00E44ABF">
        <w:rPr>
          <w:rFonts w:cs="Times New Roman"/>
          <w:lang w:val="en-GB"/>
        </w:rPr>
        <w:t xml:space="preserve">Data were acquired on a </w:t>
      </w:r>
      <w:proofErr w:type="spellStart"/>
      <w:r w:rsidRPr="00E44ABF">
        <w:rPr>
          <w:rFonts w:cs="Times New Roman"/>
          <w:lang w:val="en-GB"/>
        </w:rPr>
        <w:t>Macsquant</w:t>
      </w:r>
      <w:proofErr w:type="spellEnd"/>
      <w:r w:rsidRPr="00E44ABF">
        <w:rPr>
          <w:rFonts w:cs="Times New Roman"/>
          <w:lang w:val="en-GB"/>
        </w:rPr>
        <w:t xml:space="preserve"> Flow Cytometer (</w:t>
      </w:r>
      <w:proofErr w:type="spellStart"/>
      <w:r w:rsidRPr="00E44ABF">
        <w:rPr>
          <w:rFonts w:cs="Times New Roman"/>
          <w:lang w:val="en-GB"/>
        </w:rPr>
        <w:t>Miltenyi</w:t>
      </w:r>
      <w:proofErr w:type="spellEnd"/>
      <w:r w:rsidRPr="00E44ABF">
        <w:rPr>
          <w:rFonts w:cs="Times New Roman"/>
          <w:lang w:val="en-GB"/>
        </w:rPr>
        <w:t xml:space="preserve"> </w:t>
      </w:r>
      <w:proofErr w:type="spellStart"/>
      <w:r w:rsidRPr="00E44ABF">
        <w:rPr>
          <w:rFonts w:cs="Times New Roman"/>
          <w:lang w:val="en-GB"/>
        </w:rPr>
        <w:t>Biotec</w:t>
      </w:r>
      <w:proofErr w:type="spellEnd"/>
      <w:r w:rsidRPr="00E44ABF">
        <w:rPr>
          <w:rFonts w:cs="Times New Roman"/>
          <w:lang w:val="en-GB"/>
        </w:rPr>
        <w:t xml:space="preserve">) by collecting a minimum of 10,000 events and </w:t>
      </w:r>
      <w:proofErr w:type="spellStart"/>
      <w:r w:rsidRPr="00E44ABF">
        <w:rPr>
          <w:rFonts w:cs="Times New Roman"/>
          <w:lang w:val="en-GB"/>
        </w:rPr>
        <w:t>analyzed</w:t>
      </w:r>
      <w:proofErr w:type="spellEnd"/>
      <w:r w:rsidRPr="00E44ABF">
        <w:rPr>
          <w:rFonts w:cs="Times New Roman"/>
          <w:lang w:val="en-GB"/>
        </w:rPr>
        <w:t xml:space="preserve"> with </w:t>
      </w:r>
      <w:r w:rsidR="008F6825">
        <w:rPr>
          <w:rFonts w:cs="Times New Roman"/>
          <w:lang w:val="en-GB"/>
        </w:rPr>
        <w:t xml:space="preserve">the </w:t>
      </w:r>
      <w:r w:rsidRPr="00E44ABF">
        <w:rPr>
          <w:rFonts w:cs="Times New Roman"/>
          <w:lang w:val="en-GB"/>
        </w:rPr>
        <w:t>Macsquantify software.</w:t>
      </w:r>
    </w:p>
    <w:p w14:paraId="0553F12B" w14:textId="77777777" w:rsidR="00443079" w:rsidRDefault="00443079" w:rsidP="00E44ABF">
      <w:pPr>
        <w:spacing w:after="200"/>
        <w:jc w:val="both"/>
        <w:rPr>
          <w:rFonts w:cs="Times New Roman"/>
          <w:b/>
          <w:bCs/>
          <w:lang w:val="en-GB"/>
        </w:rPr>
      </w:pPr>
    </w:p>
    <w:p w14:paraId="5A9D07D6" w14:textId="4757909F" w:rsidR="00E44ABF" w:rsidRPr="00E44ABF" w:rsidRDefault="00E44ABF" w:rsidP="00E44ABF">
      <w:pPr>
        <w:spacing w:after="200"/>
        <w:jc w:val="both"/>
        <w:rPr>
          <w:rFonts w:cs="Times New Roman"/>
          <w:b/>
          <w:bCs/>
          <w:lang w:val="en-GB"/>
        </w:rPr>
      </w:pPr>
      <w:r w:rsidRPr="00E44ABF">
        <w:rPr>
          <w:rFonts w:cs="Times New Roman"/>
          <w:b/>
          <w:bCs/>
          <w:lang w:val="en-GB"/>
        </w:rPr>
        <w:t>MSC immunosuppression assays</w:t>
      </w:r>
    </w:p>
    <w:p w14:paraId="554271A3" w14:textId="1FB97F8E" w:rsidR="00E44ABF" w:rsidRPr="00E44ABF" w:rsidRDefault="008F6825" w:rsidP="00E44ABF">
      <w:pPr>
        <w:spacing w:after="200"/>
        <w:jc w:val="both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One </w:t>
      </w:r>
      <w:r w:rsidRPr="00E44ABF">
        <w:rPr>
          <w:rFonts w:cs="Times New Roman"/>
          <w:lang w:val="en-GB"/>
        </w:rPr>
        <w:t>x10</w:t>
      </w:r>
      <w:r w:rsidRPr="00E44ABF">
        <w:rPr>
          <w:rFonts w:cs="Times New Roman"/>
          <w:vertAlign w:val="superscript"/>
          <w:lang w:val="en-GB"/>
        </w:rPr>
        <w:t>4</w:t>
      </w:r>
      <w:r w:rsidRPr="00E44ABF">
        <w:rPr>
          <w:rFonts w:cs="Times New Roman"/>
          <w:lang w:val="en-GB"/>
        </w:rPr>
        <w:t xml:space="preserve"> </w:t>
      </w:r>
      <w:r w:rsidR="00E44ABF" w:rsidRPr="00E44ABF">
        <w:rPr>
          <w:rFonts w:cs="Times New Roman"/>
          <w:lang w:val="en-GB"/>
        </w:rPr>
        <w:t>MSC</w:t>
      </w:r>
      <w:r w:rsidR="00E44ABF">
        <w:rPr>
          <w:rFonts w:cs="Times New Roman"/>
          <w:lang w:val="en-GB"/>
        </w:rPr>
        <w:t>s</w:t>
      </w:r>
      <w:r w:rsidR="00E44ABF" w:rsidRPr="00E44ABF">
        <w:rPr>
          <w:rFonts w:cs="Times New Roman"/>
          <w:lang w:val="en-GB"/>
        </w:rPr>
        <w:t xml:space="preserve"> were plated in triplicates in round-bottom 96-well plates (Becton-Dickinson) in a total volume of 100 </w:t>
      </w:r>
      <w:proofErr w:type="spellStart"/>
      <w:r w:rsidR="00E44ABF" w:rsidRPr="00E44ABF">
        <w:rPr>
          <w:rFonts w:cs="Times New Roman"/>
          <w:lang w:val="en-GB"/>
        </w:rPr>
        <w:t>μl</w:t>
      </w:r>
      <w:proofErr w:type="spellEnd"/>
      <w:r w:rsidR="00E44ABF" w:rsidRPr="00E44ABF">
        <w:rPr>
          <w:rFonts w:cs="Times New Roman"/>
          <w:lang w:val="en-GB"/>
        </w:rPr>
        <w:t xml:space="preserve"> of RPMI 1640 medium supplemented with 10% FBS,100 U/ml penicillin, 100 mg/ml streptomycin, L-glutamine (2 mM) (all from Lonza), sodium pyruvate (100 mM), non-essential amino acid</w:t>
      </w:r>
      <w:r>
        <w:rPr>
          <w:rFonts w:cs="Times New Roman"/>
          <w:lang w:val="en-GB"/>
        </w:rPr>
        <w:t>s</w:t>
      </w:r>
      <w:r w:rsidR="00E44ABF" w:rsidRPr="00E44ABF">
        <w:rPr>
          <w:rFonts w:cs="Times New Roman"/>
          <w:lang w:val="en-GB"/>
        </w:rPr>
        <w:t xml:space="preserve"> (NEAA) (100 mM) and 5×10</w:t>
      </w:r>
      <w:r w:rsidR="00E44ABF" w:rsidRPr="008F6825">
        <w:rPr>
          <w:rFonts w:cs="Times New Roman"/>
          <w:vertAlign w:val="superscript"/>
          <w:lang w:val="en-GB"/>
        </w:rPr>
        <w:t>-5</w:t>
      </w:r>
      <w:r w:rsidR="00E44ABF" w:rsidRPr="00E44ABF">
        <w:rPr>
          <w:rFonts w:cs="Times New Roman"/>
          <w:lang w:val="en-GB"/>
        </w:rPr>
        <w:t xml:space="preserve"> M β-</w:t>
      </w:r>
      <w:proofErr w:type="spellStart"/>
      <w:r w:rsidR="00E44ABF" w:rsidRPr="00E44ABF">
        <w:rPr>
          <w:rFonts w:cs="Times New Roman"/>
          <w:lang w:val="en-GB"/>
        </w:rPr>
        <w:t>mercaptoethanol</w:t>
      </w:r>
      <w:proofErr w:type="spellEnd"/>
      <w:r w:rsidR="00E44ABF" w:rsidRPr="00E44ABF">
        <w:rPr>
          <w:rFonts w:cs="Times New Roman"/>
          <w:lang w:val="en-GB"/>
        </w:rPr>
        <w:t xml:space="preserve"> (β-ME) (all from Gibco, </w:t>
      </w:r>
      <w:proofErr w:type="spellStart"/>
      <w:r w:rsidR="00E44ABF" w:rsidRPr="00E44ABF">
        <w:rPr>
          <w:rFonts w:cs="Times New Roman"/>
          <w:lang w:val="en-GB"/>
        </w:rPr>
        <w:t>Merelbeek</w:t>
      </w:r>
      <w:proofErr w:type="spellEnd"/>
      <w:r w:rsidR="00E44ABF" w:rsidRPr="00E44ABF">
        <w:rPr>
          <w:rFonts w:cs="Times New Roman"/>
          <w:lang w:val="en-GB"/>
        </w:rPr>
        <w:t xml:space="preserve">, Belgium). After 4-hour incubation, MSC were irradiated at 25 Gy using a </w:t>
      </w:r>
      <w:r w:rsidR="00E44ABF" w:rsidRPr="008F6825">
        <w:rPr>
          <w:rFonts w:cs="Times New Roman"/>
          <w:vertAlign w:val="superscript"/>
          <w:lang w:val="en-GB"/>
        </w:rPr>
        <w:t>137</w:t>
      </w:r>
      <w:r w:rsidR="00E44ABF" w:rsidRPr="00E44ABF">
        <w:rPr>
          <w:rFonts w:cs="Times New Roman"/>
          <w:lang w:val="en-GB"/>
        </w:rPr>
        <w:t>Cs source (</w:t>
      </w:r>
      <w:proofErr w:type="spellStart"/>
      <w:r w:rsidR="00E44ABF" w:rsidRPr="00E44ABF">
        <w:rPr>
          <w:rFonts w:cs="Times New Roman"/>
          <w:lang w:val="en-GB"/>
        </w:rPr>
        <w:t>GammaCell</w:t>
      </w:r>
      <w:proofErr w:type="spellEnd"/>
      <w:r w:rsidR="00E44ABF" w:rsidRPr="00E44ABF">
        <w:rPr>
          <w:rFonts w:cs="Times New Roman"/>
          <w:lang w:val="en-GB"/>
        </w:rPr>
        <w:t xml:space="preserve"> 40, </w:t>
      </w:r>
      <w:proofErr w:type="spellStart"/>
      <w:r w:rsidR="00E44ABF" w:rsidRPr="00E44ABF">
        <w:rPr>
          <w:rFonts w:cs="Times New Roman"/>
          <w:lang w:val="en-GB"/>
        </w:rPr>
        <w:t>Nordion</w:t>
      </w:r>
      <w:proofErr w:type="spellEnd"/>
      <w:r w:rsidR="00E44ABF" w:rsidRPr="00E44ABF">
        <w:rPr>
          <w:rFonts w:cs="Times New Roman"/>
          <w:lang w:val="en-GB"/>
        </w:rPr>
        <w:t>, Ontario, Canada).</w:t>
      </w:r>
    </w:p>
    <w:p w14:paraId="710E4C55" w14:textId="51A654DD" w:rsidR="00E44ABF" w:rsidRPr="00E44ABF" w:rsidRDefault="00E44ABF" w:rsidP="00E44ABF">
      <w:pPr>
        <w:spacing w:after="200"/>
        <w:jc w:val="both"/>
        <w:rPr>
          <w:rFonts w:cs="Times New Roman"/>
          <w:lang w:val="en-GB"/>
        </w:rPr>
      </w:pPr>
      <w:r w:rsidRPr="00E44ABF">
        <w:rPr>
          <w:rFonts w:cs="Times New Roman"/>
          <w:lang w:val="en-GB"/>
        </w:rPr>
        <w:t xml:space="preserve">Allogeneic human peripheral </w:t>
      </w:r>
      <w:r w:rsidR="008F6825">
        <w:rPr>
          <w:rFonts w:cs="Times New Roman"/>
          <w:lang w:val="en-GB"/>
        </w:rPr>
        <w:t xml:space="preserve">blood </w:t>
      </w:r>
      <w:r w:rsidRPr="00E44ABF">
        <w:rPr>
          <w:rFonts w:cs="Times New Roman"/>
          <w:lang w:val="en-GB"/>
        </w:rPr>
        <w:t>mononuclear cells (PBMC</w:t>
      </w:r>
      <w:r>
        <w:rPr>
          <w:rFonts w:cs="Times New Roman"/>
          <w:lang w:val="en-GB"/>
        </w:rPr>
        <w:t>s</w:t>
      </w:r>
      <w:r w:rsidRPr="00E44ABF">
        <w:rPr>
          <w:rFonts w:cs="Times New Roman"/>
          <w:lang w:val="en-GB"/>
        </w:rPr>
        <w:t xml:space="preserve">) were isolated from a blood sample (healthy volunteer donor) by </w:t>
      </w:r>
      <w:proofErr w:type="spellStart"/>
      <w:r w:rsidRPr="00E44ABF">
        <w:rPr>
          <w:rFonts w:cs="Times New Roman"/>
          <w:lang w:val="en-GB"/>
        </w:rPr>
        <w:t>Ficoll</w:t>
      </w:r>
      <w:proofErr w:type="spellEnd"/>
      <w:r w:rsidRPr="00E44ABF">
        <w:rPr>
          <w:rFonts w:cs="Times New Roman"/>
          <w:lang w:val="en-GB"/>
        </w:rPr>
        <w:t xml:space="preserve"> </w:t>
      </w:r>
      <w:proofErr w:type="spellStart"/>
      <w:r w:rsidRPr="00E44ABF">
        <w:rPr>
          <w:rFonts w:cs="Times New Roman"/>
          <w:lang w:val="en-GB"/>
        </w:rPr>
        <w:t>Paque</w:t>
      </w:r>
      <w:proofErr w:type="spellEnd"/>
      <w:r w:rsidR="008F6825">
        <w:rPr>
          <w:rFonts w:cs="Times New Roman"/>
          <w:lang w:val="en-GB"/>
        </w:rPr>
        <w:t xml:space="preserve"> </w:t>
      </w:r>
      <w:r w:rsidR="008F6825" w:rsidRPr="00E44ABF">
        <w:rPr>
          <w:rFonts w:cs="Times New Roman"/>
          <w:lang w:val="en-GB"/>
        </w:rPr>
        <w:t>Plus</w:t>
      </w:r>
      <w:r w:rsidR="008F6825">
        <w:rPr>
          <w:rFonts w:cs="Times New Roman"/>
          <w:vertAlign w:val="superscript"/>
          <w:lang w:val="en-GB"/>
        </w:rPr>
        <w:t>®</w:t>
      </w:r>
      <w:r w:rsidRPr="00E44ABF">
        <w:rPr>
          <w:rFonts w:cs="Times New Roman"/>
          <w:lang w:val="en-GB"/>
        </w:rPr>
        <w:t xml:space="preserve"> density gradient. PBMC</w:t>
      </w:r>
      <w:r>
        <w:rPr>
          <w:rFonts w:cs="Times New Roman"/>
          <w:lang w:val="en-GB"/>
        </w:rPr>
        <w:t>s</w:t>
      </w:r>
      <w:r w:rsidRPr="00E44ABF">
        <w:rPr>
          <w:rFonts w:cs="Times New Roman"/>
          <w:lang w:val="en-GB"/>
        </w:rPr>
        <w:t xml:space="preserve"> (5x10</w:t>
      </w:r>
      <w:r w:rsidRPr="00E44ABF">
        <w:rPr>
          <w:rFonts w:cs="Times New Roman"/>
          <w:vertAlign w:val="superscript"/>
          <w:lang w:val="en-GB"/>
        </w:rPr>
        <w:t>4</w:t>
      </w:r>
      <w:r w:rsidRPr="00E44ABF">
        <w:rPr>
          <w:rFonts w:cs="Times New Roman"/>
          <w:lang w:val="en-GB"/>
        </w:rPr>
        <w:t xml:space="preserve"> or 1x10</w:t>
      </w:r>
      <w:r w:rsidRPr="00E44ABF">
        <w:rPr>
          <w:rFonts w:cs="Times New Roman"/>
          <w:vertAlign w:val="superscript"/>
          <w:lang w:val="en-GB"/>
        </w:rPr>
        <w:t>5</w:t>
      </w:r>
      <w:r w:rsidRPr="00E44ABF">
        <w:rPr>
          <w:rFonts w:cs="Times New Roman"/>
          <w:lang w:val="en-GB"/>
        </w:rPr>
        <w:t xml:space="preserve">) were then added to wells in a total volume of 200 </w:t>
      </w:r>
      <w:proofErr w:type="spellStart"/>
      <w:r w:rsidRPr="00E44ABF">
        <w:rPr>
          <w:rFonts w:cs="Times New Roman"/>
          <w:lang w:val="en-GB"/>
        </w:rPr>
        <w:t>μl</w:t>
      </w:r>
      <w:proofErr w:type="spellEnd"/>
      <w:r w:rsidRPr="00E44ABF">
        <w:rPr>
          <w:rFonts w:cs="Times New Roman"/>
          <w:lang w:val="en-GB"/>
        </w:rPr>
        <w:t xml:space="preserve"> containing or not irradiated MSC</w:t>
      </w:r>
      <w:r>
        <w:rPr>
          <w:rFonts w:cs="Times New Roman"/>
          <w:lang w:val="en-GB"/>
        </w:rPr>
        <w:t>s</w:t>
      </w:r>
      <w:r w:rsidRPr="00E44ABF">
        <w:rPr>
          <w:rFonts w:cs="Times New Roman"/>
          <w:lang w:val="en-GB"/>
        </w:rPr>
        <w:t xml:space="preserve">, in the presence of anti-αCD3/CD28 microbeads (Invitrogen, </w:t>
      </w:r>
      <w:proofErr w:type="spellStart"/>
      <w:r w:rsidRPr="00E44ABF">
        <w:rPr>
          <w:rFonts w:cs="Times New Roman"/>
          <w:lang w:val="en-GB"/>
        </w:rPr>
        <w:t>Dynal</w:t>
      </w:r>
      <w:proofErr w:type="spellEnd"/>
      <w:r w:rsidRPr="00E44ABF">
        <w:rPr>
          <w:rFonts w:cs="Times New Roman"/>
          <w:lang w:val="en-GB"/>
        </w:rPr>
        <w:t xml:space="preserve"> A/S, Oslo, Norway). Co-cultures without anti-αCD3/CD28 microbeads were used as controls. Cells were then incubated at 37°C in 5% humidified air for 4 days. Cell cycle analysis of PBMC stimulated or not with anti-αCD3/CD28 microbeads and </w:t>
      </w:r>
      <w:r w:rsidR="008F6825" w:rsidRPr="00E44ABF">
        <w:rPr>
          <w:rFonts w:cs="Times New Roman"/>
          <w:lang w:val="en-GB"/>
        </w:rPr>
        <w:t>cult</w:t>
      </w:r>
      <w:r w:rsidR="008F6825">
        <w:rPr>
          <w:rFonts w:cs="Times New Roman"/>
          <w:lang w:val="en-GB"/>
        </w:rPr>
        <w:t>ur</w:t>
      </w:r>
      <w:r w:rsidR="008F6825" w:rsidRPr="00E44ABF">
        <w:rPr>
          <w:rFonts w:cs="Times New Roman"/>
          <w:lang w:val="en-GB"/>
        </w:rPr>
        <w:t xml:space="preserve">ed </w:t>
      </w:r>
      <w:r w:rsidRPr="00E44ABF">
        <w:rPr>
          <w:rFonts w:cs="Times New Roman"/>
          <w:lang w:val="en-GB"/>
        </w:rPr>
        <w:t>during 4 days with or without MSC</w:t>
      </w:r>
      <w:r w:rsidR="00854ACB">
        <w:rPr>
          <w:rFonts w:cs="Times New Roman"/>
          <w:lang w:val="en-GB"/>
        </w:rPr>
        <w:t>s</w:t>
      </w:r>
      <w:r w:rsidRPr="00E44ABF">
        <w:rPr>
          <w:rFonts w:cs="Times New Roman"/>
          <w:lang w:val="en-GB"/>
        </w:rPr>
        <w:t xml:space="preserve"> were performed using </w:t>
      </w:r>
      <w:r w:rsidR="00854ACB">
        <w:rPr>
          <w:rFonts w:cs="Times New Roman"/>
          <w:lang w:val="en-GB"/>
        </w:rPr>
        <w:t xml:space="preserve">the </w:t>
      </w:r>
      <w:proofErr w:type="spellStart"/>
      <w:r w:rsidRPr="00E44ABF">
        <w:rPr>
          <w:rFonts w:cs="Times New Roman"/>
          <w:lang w:val="en-GB"/>
        </w:rPr>
        <w:t>CycleTEST</w:t>
      </w:r>
      <w:proofErr w:type="spellEnd"/>
      <w:r w:rsidR="00854ACB" w:rsidRPr="00854ACB">
        <w:rPr>
          <w:rFonts w:cs="Times New Roman"/>
          <w:lang w:val="en-GB"/>
        </w:rPr>
        <w:t xml:space="preserve"> </w:t>
      </w:r>
      <w:r w:rsidR="00854ACB" w:rsidRPr="00E44ABF">
        <w:rPr>
          <w:rFonts w:cs="Times New Roman"/>
          <w:lang w:val="en-GB"/>
        </w:rPr>
        <w:t>Plus</w:t>
      </w:r>
      <w:r w:rsidR="00854ACB">
        <w:rPr>
          <w:rFonts w:cs="Times New Roman"/>
          <w:vertAlign w:val="superscript"/>
          <w:lang w:val="en-GB"/>
        </w:rPr>
        <w:t>®</w:t>
      </w:r>
      <w:r w:rsidRPr="00E44ABF">
        <w:rPr>
          <w:rFonts w:cs="Times New Roman"/>
          <w:lang w:val="en-GB"/>
        </w:rPr>
        <w:t xml:space="preserve"> DNA Reagent Kit (Becton Dickinson). The percentage of cells in the different phases of the cell cycle was determined with the </w:t>
      </w:r>
      <w:proofErr w:type="spellStart"/>
      <w:r w:rsidRPr="00E44ABF">
        <w:rPr>
          <w:rFonts w:cs="Times New Roman"/>
          <w:lang w:val="en-GB"/>
        </w:rPr>
        <w:t>Macsquant</w:t>
      </w:r>
      <w:proofErr w:type="spellEnd"/>
      <w:r w:rsidRPr="00E44ABF">
        <w:rPr>
          <w:rFonts w:cs="Times New Roman"/>
          <w:lang w:val="en-GB"/>
        </w:rPr>
        <w:t xml:space="preserve"> Software (</w:t>
      </w:r>
      <w:proofErr w:type="spellStart"/>
      <w:r w:rsidRPr="00E44ABF">
        <w:rPr>
          <w:rFonts w:cs="Times New Roman"/>
          <w:lang w:val="en-GB"/>
        </w:rPr>
        <w:t>Miltenyi</w:t>
      </w:r>
      <w:proofErr w:type="spellEnd"/>
      <w:r w:rsidRPr="00E44ABF">
        <w:rPr>
          <w:rFonts w:cs="Times New Roman"/>
          <w:lang w:val="en-GB"/>
        </w:rPr>
        <w:t xml:space="preserve">) or the </w:t>
      </w:r>
      <w:proofErr w:type="spellStart"/>
      <w:r w:rsidRPr="00E44ABF">
        <w:rPr>
          <w:rFonts w:cs="Times New Roman"/>
          <w:lang w:val="en-GB"/>
        </w:rPr>
        <w:t>Modfit</w:t>
      </w:r>
      <w:proofErr w:type="spellEnd"/>
      <w:r w:rsidRPr="00E44ABF">
        <w:rPr>
          <w:rFonts w:cs="Times New Roman"/>
          <w:lang w:val="en-GB"/>
        </w:rPr>
        <w:t xml:space="preserve"> Software (Becton Dickinson). The effect of MSC</w:t>
      </w:r>
      <w:r>
        <w:rPr>
          <w:rFonts w:cs="Times New Roman"/>
          <w:lang w:val="en-GB"/>
        </w:rPr>
        <w:t>s</w:t>
      </w:r>
      <w:r w:rsidRPr="00E44ABF">
        <w:rPr>
          <w:rFonts w:cs="Times New Roman"/>
          <w:lang w:val="en-GB"/>
        </w:rPr>
        <w:t xml:space="preserve"> on PBMC stimulation responses was calculated as percentage suppression compared with the proliferative response in the positive control without MSC (+- standard deviation of the mean). The positive control was set to 0% suppression.</w:t>
      </w:r>
    </w:p>
    <w:p w14:paraId="3D3EB2F0" w14:textId="77777777" w:rsidR="00443079" w:rsidRDefault="00443079" w:rsidP="00E44ABF">
      <w:pPr>
        <w:spacing w:after="200"/>
        <w:jc w:val="both"/>
        <w:rPr>
          <w:rFonts w:cs="Times New Roman"/>
          <w:b/>
          <w:bCs/>
          <w:lang w:val="en-GB"/>
        </w:rPr>
      </w:pPr>
    </w:p>
    <w:p w14:paraId="4C935C14" w14:textId="0057A417" w:rsidR="00E44ABF" w:rsidRPr="00E44ABF" w:rsidRDefault="00E44ABF" w:rsidP="00E44ABF">
      <w:pPr>
        <w:spacing w:after="200"/>
        <w:jc w:val="both"/>
        <w:rPr>
          <w:rFonts w:cs="Times New Roman"/>
          <w:b/>
          <w:bCs/>
          <w:lang w:val="en-GB"/>
        </w:rPr>
      </w:pPr>
      <w:r w:rsidRPr="00E44ABF">
        <w:rPr>
          <w:rFonts w:cs="Times New Roman"/>
          <w:b/>
          <w:bCs/>
          <w:lang w:val="en-GB"/>
        </w:rPr>
        <w:t>Population doubling level (PDL) calculation</w:t>
      </w:r>
    </w:p>
    <w:p w14:paraId="082250C8" w14:textId="02DF5947" w:rsidR="00E44ABF" w:rsidRDefault="00E44ABF" w:rsidP="00E44ABF">
      <w:pPr>
        <w:spacing w:after="200"/>
        <w:jc w:val="both"/>
        <w:rPr>
          <w:rFonts w:cs="Times New Roman"/>
          <w:lang w:val="en-GB"/>
        </w:rPr>
      </w:pPr>
      <w:r w:rsidRPr="00E44ABF">
        <w:rPr>
          <w:rFonts w:cs="Times New Roman"/>
          <w:lang w:val="en-GB"/>
        </w:rPr>
        <w:t>PDL was calculated according to the formula PDL= 3.322 (log Y – log I) where Y</w:t>
      </w:r>
      <w:r>
        <w:rPr>
          <w:rFonts w:cs="Times New Roman"/>
          <w:lang w:val="en-GB"/>
        </w:rPr>
        <w:t xml:space="preserve"> </w:t>
      </w:r>
      <w:r w:rsidRPr="00E44ABF">
        <w:rPr>
          <w:rFonts w:cs="Times New Roman"/>
          <w:lang w:val="en-GB"/>
        </w:rPr>
        <w:t>= number of cells harvested and I</w:t>
      </w:r>
      <w:r>
        <w:rPr>
          <w:rFonts w:cs="Times New Roman"/>
          <w:lang w:val="en-GB"/>
        </w:rPr>
        <w:t xml:space="preserve"> </w:t>
      </w:r>
      <w:r w:rsidRPr="00E44ABF">
        <w:rPr>
          <w:rFonts w:cs="Times New Roman"/>
          <w:lang w:val="en-GB"/>
        </w:rPr>
        <w:t>= number of cells inoculated at P1.</w:t>
      </w:r>
    </w:p>
    <w:p w14:paraId="68E3B68E" w14:textId="77777777" w:rsidR="00443079" w:rsidRPr="00E44ABF" w:rsidRDefault="00443079" w:rsidP="00E44ABF">
      <w:pPr>
        <w:spacing w:after="200"/>
        <w:jc w:val="both"/>
        <w:rPr>
          <w:rFonts w:cs="Times New Roman"/>
          <w:lang w:val="en-GB"/>
        </w:rPr>
      </w:pPr>
    </w:p>
    <w:p w14:paraId="4D059444" w14:textId="77777777" w:rsidR="00994A3D" w:rsidRPr="00994A3D" w:rsidRDefault="00654E8F" w:rsidP="0001436A">
      <w:pPr>
        <w:pStyle w:val="Titre1"/>
      </w:pPr>
      <w:r w:rsidRPr="00994A3D">
        <w:lastRenderedPageBreak/>
        <w:t>Supplementary Figures and Tables</w:t>
      </w:r>
    </w:p>
    <w:p w14:paraId="6A15DD4D" w14:textId="3A46C562" w:rsidR="00994A3D" w:rsidRDefault="00C866FC" w:rsidP="002B4A57">
      <w:pPr>
        <w:rPr>
          <w:b/>
          <w:bCs/>
        </w:rPr>
      </w:pPr>
      <w:r w:rsidRPr="00C866FC">
        <w:rPr>
          <w:b/>
          <w:bCs/>
        </w:rPr>
        <w:t>Supplementary Table 1</w:t>
      </w:r>
      <w:r w:rsidR="004947A6" w:rsidRPr="00C866FC">
        <w:rPr>
          <w:b/>
          <w:bCs/>
        </w:rPr>
        <w:t>.</w:t>
      </w:r>
      <w:r>
        <w:rPr>
          <w:b/>
          <w:bCs/>
        </w:rPr>
        <w:t xml:space="preserve"> </w:t>
      </w:r>
      <w:r w:rsidR="003547CB" w:rsidRPr="003547CB">
        <w:t>Quality controls and release criteria of MSCs.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90"/>
        <w:gridCol w:w="3403"/>
        <w:gridCol w:w="3674"/>
      </w:tblGrid>
      <w:tr w:rsidR="003547CB" w:rsidRPr="003547CB" w14:paraId="1B896DBC" w14:textId="77777777" w:rsidTr="003547CB">
        <w:tc>
          <w:tcPr>
            <w:tcW w:w="1377" w:type="pct"/>
            <w:shd w:val="clear" w:color="auto" w:fill="A6A6A6" w:themeFill="background1" w:themeFillShade="A6"/>
            <w:hideMark/>
          </w:tcPr>
          <w:p w14:paraId="049958FB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u w:val="single"/>
                <w:lang w:bidi="en-US"/>
              </w:rPr>
            </w:pPr>
            <w:bookmarkStart w:id="3" w:name="_Toc468280724"/>
            <w:r w:rsidRPr="003547CB">
              <w:rPr>
                <w:rFonts w:cs="Times New Roman"/>
                <w:b/>
                <w:bCs/>
                <w:szCs w:val="24"/>
                <w:u w:val="single"/>
              </w:rPr>
              <w:t>Test</w:t>
            </w:r>
            <w:bookmarkEnd w:id="3"/>
          </w:p>
        </w:tc>
        <w:tc>
          <w:tcPr>
            <w:tcW w:w="1742" w:type="pct"/>
            <w:shd w:val="clear" w:color="auto" w:fill="A6A6A6" w:themeFill="background1" w:themeFillShade="A6"/>
            <w:hideMark/>
          </w:tcPr>
          <w:p w14:paraId="09F73CE6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u w:val="single"/>
                <w:lang w:bidi="en-US"/>
              </w:rPr>
            </w:pPr>
            <w:bookmarkStart w:id="4" w:name="_Toc468280725"/>
            <w:r w:rsidRPr="003547CB">
              <w:rPr>
                <w:rFonts w:cs="Times New Roman"/>
                <w:b/>
                <w:bCs/>
                <w:szCs w:val="24"/>
                <w:u w:val="single"/>
              </w:rPr>
              <w:t>Method</w:t>
            </w:r>
            <w:bookmarkEnd w:id="4"/>
          </w:p>
        </w:tc>
        <w:tc>
          <w:tcPr>
            <w:tcW w:w="1882" w:type="pct"/>
            <w:shd w:val="clear" w:color="auto" w:fill="A6A6A6" w:themeFill="background1" w:themeFillShade="A6"/>
            <w:hideMark/>
          </w:tcPr>
          <w:p w14:paraId="6CE8015E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u w:val="single"/>
                <w:lang w:bidi="en-US"/>
              </w:rPr>
            </w:pPr>
            <w:bookmarkStart w:id="5" w:name="_Toc468280726"/>
            <w:r w:rsidRPr="003547CB">
              <w:rPr>
                <w:rFonts w:cs="Times New Roman"/>
                <w:b/>
                <w:bCs/>
                <w:szCs w:val="24"/>
                <w:u w:val="single"/>
              </w:rPr>
              <w:t>Release criteria</w:t>
            </w:r>
            <w:bookmarkEnd w:id="5"/>
          </w:p>
        </w:tc>
      </w:tr>
      <w:tr w:rsidR="003547CB" w:rsidRPr="003547CB" w14:paraId="0702B1B8" w14:textId="77777777" w:rsidTr="003547CB">
        <w:tc>
          <w:tcPr>
            <w:tcW w:w="5000" w:type="pct"/>
            <w:gridSpan w:val="3"/>
            <w:shd w:val="clear" w:color="auto" w:fill="D9D9D9" w:themeFill="background1" w:themeFillShade="D9"/>
          </w:tcPr>
          <w:p w14:paraId="2FA92524" w14:textId="7052272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3547CB">
              <w:rPr>
                <w:rFonts w:cs="Times New Roman"/>
                <w:b/>
                <w:iCs/>
                <w:szCs w:val="24"/>
              </w:rPr>
              <w:t>Drug Substance</w:t>
            </w:r>
          </w:p>
        </w:tc>
      </w:tr>
      <w:tr w:rsidR="003547CB" w:rsidRPr="003547CB" w14:paraId="14BBFC72" w14:textId="77777777" w:rsidTr="003547CB">
        <w:tc>
          <w:tcPr>
            <w:tcW w:w="1377" w:type="pct"/>
            <w:hideMark/>
          </w:tcPr>
          <w:p w14:paraId="0015AF82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r w:rsidRPr="003547CB">
              <w:rPr>
                <w:rFonts w:cs="Times New Roman"/>
                <w:iCs/>
                <w:szCs w:val="24"/>
              </w:rPr>
              <w:t>Morphology</w:t>
            </w:r>
          </w:p>
        </w:tc>
        <w:tc>
          <w:tcPr>
            <w:tcW w:w="1742" w:type="pct"/>
            <w:hideMark/>
          </w:tcPr>
          <w:p w14:paraId="5AFAB5A3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szCs w:val="24"/>
                <w:lang w:bidi="en-US"/>
              </w:rPr>
            </w:pPr>
            <w:r w:rsidRPr="003547CB">
              <w:rPr>
                <w:rFonts w:cs="Times New Roman"/>
                <w:szCs w:val="24"/>
              </w:rPr>
              <w:t>Microscopic observation</w:t>
            </w:r>
          </w:p>
        </w:tc>
        <w:tc>
          <w:tcPr>
            <w:tcW w:w="1882" w:type="pct"/>
            <w:hideMark/>
          </w:tcPr>
          <w:p w14:paraId="5F171CE2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r w:rsidRPr="003547CB">
              <w:rPr>
                <w:rFonts w:cs="Times New Roman"/>
                <w:iCs/>
                <w:szCs w:val="24"/>
              </w:rPr>
              <w:t>Fibroblastic</w:t>
            </w:r>
          </w:p>
        </w:tc>
      </w:tr>
      <w:tr w:rsidR="003547CB" w:rsidRPr="003547CB" w14:paraId="62D7DCB7" w14:textId="77777777" w:rsidTr="003547CB">
        <w:tc>
          <w:tcPr>
            <w:tcW w:w="1377" w:type="pct"/>
            <w:hideMark/>
          </w:tcPr>
          <w:p w14:paraId="7663B457" w14:textId="43D92016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bookmarkStart w:id="6" w:name="_Toc468280738"/>
            <w:r w:rsidRPr="003547CB">
              <w:rPr>
                <w:rFonts w:cs="Times New Roman"/>
                <w:bCs/>
                <w:szCs w:val="24"/>
              </w:rPr>
              <w:t>Identity</w:t>
            </w:r>
            <w:bookmarkEnd w:id="6"/>
          </w:p>
        </w:tc>
        <w:tc>
          <w:tcPr>
            <w:tcW w:w="1742" w:type="pct"/>
            <w:hideMark/>
          </w:tcPr>
          <w:p w14:paraId="6A0A699C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bookmarkStart w:id="7" w:name="_Toc468280739"/>
            <w:r w:rsidRPr="003547CB">
              <w:rPr>
                <w:rFonts w:cs="Times New Roman"/>
                <w:bCs/>
                <w:szCs w:val="24"/>
              </w:rPr>
              <w:t>Phenotype by FACS</w:t>
            </w:r>
            <w:bookmarkEnd w:id="7"/>
          </w:p>
        </w:tc>
        <w:tc>
          <w:tcPr>
            <w:tcW w:w="1882" w:type="pct"/>
            <w:hideMark/>
          </w:tcPr>
          <w:p w14:paraId="2C827731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iCs/>
                <w:szCs w:val="24"/>
                <w:lang w:bidi="en-US"/>
              </w:rPr>
            </w:pPr>
            <w:bookmarkStart w:id="8" w:name="_Toc468280740"/>
            <w:r w:rsidRPr="003547CB">
              <w:rPr>
                <w:rFonts w:cs="Times New Roman"/>
                <w:bCs/>
                <w:iCs/>
                <w:szCs w:val="24"/>
              </w:rPr>
              <w:t>CD90&gt;95%</w:t>
            </w:r>
            <w:bookmarkEnd w:id="8"/>
          </w:p>
          <w:p w14:paraId="24234D66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iCs/>
                <w:szCs w:val="24"/>
              </w:rPr>
            </w:pPr>
            <w:bookmarkStart w:id="9" w:name="_Toc468280741"/>
            <w:r w:rsidRPr="003547CB">
              <w:rPr>
                <w:rFonts w:cs="Times New Roman"/>
                <w:bCs/>
                <w:iCs/>
                <w:szCs w:val="24"/>
              </w:rPr>
              <w:t>CD105&gt;95%</w:t>
            </w:r>
            <w:bookmarkEnd w:id="9"/>
          </w:p>
          <w:p w14:paraId="795CF72D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iCs/>
                <w:szCs w:val="24"/>
              </w:rPr>
            </w:pPr>
            <w:bookmarkStart w:id="10" w:name="_Toc468280742"/>
            <w:r w:rsidRPr="003547CB">
              <w:rPr>
                <w:rFonts w:cs="Times New Roman"/>
                <w:bCs/>
                <w:iCs/>
                <w:szCs w:val="24"/>
              </w:rPr>
              <w:t>CD73&gt;95%</w:t>
            </w:r>
            <w:bookmarkEnd w:id="10"/>
          </w:p>
          <w:p w14:paraId="7E83713B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iCs/>
                <w:szCs w:val="24"/>
              </w:rPr>
            </w:pPr>
            <w:r w:rsidRPr="003547CB">
              <w:rPr>
                <w:rFonts w:cs="Times New Roman"/>
                <w:bCs/>
                <w:iCs/>
                <w:szCs w:val="24"/>
              </w:rPr>
              <w:t>CD29&gt;90%</w:t>
            </w:r>
          </w:p>
          <w:p w14:paraId="139BD641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iCs/>
                <w:szCs w:val="24"/>
              </w:rPr>
            </w:pPr>
            <w:r w:rsidRPr="003547CB">
              <w:rPr>
                <w:rFonts w:cs="Times New Roman"/>
                <w:bCs/>
                <w:iCs/>
                <w:szCs w:val="24"/>
              </w:rPr>
              <w:t>CD44&gt;90%</w:t>
            </w:r>
          </w:p>
          <w:p w14:paraId="5C772BCA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iCs/>
                <w:szCs w:val="24"/>
                <w:lang w:bidi="en-US"/>
              </w:rPr>
            </w:pPr>
            <w:r w:rsidRPr="003547CB">
              <w:rPr>
                <w:rFonts w:cs="Times New Roman"/>
                <w:bCs/>
                <w:iCs/>
                <w:szCs w:val="24"/>
              </w:rPr>
              <w:t>CD166&gt;90%</w:t>
            </w:r>
          </w:p>
        </w:tc>
      </w:tr>
      <w:tr w:rsidR="003547CB" w:rsidRPr="003547CB" w14:paraId="64BBD5FC" w14:textId="77777777" w:rsidTr="003547CB">
        <w:tc>
          <w:tcPr>
            <w:tcW w:w="1377" w:type="pct"/>
            <w:vMerge w:val="restart"/>
            <w:hideMark/>
          </w:tcPr>
          <w:p w14:paraId="14225621" w14:textId="132252E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bookmarkStart w:id="11" w:name="_Toc468280743"/>
            <w:r w:rsidRPr="003547CB">
              <w:rPr>
                <w:rFonts w:cs="Times New Roman"/>
                <w:bCs/>
                <w:szCs w:val="24"/>
              </w:rPr>
              <w:t>Purity</w:t>
            </w:r>
            <w:bookmarkEnd w:id="11"/>
          </w:p>
        </w:tc>
        <w:tc>
          <w:tcPr>
            <w:tcW w:w="1742" w:type="pct"/>
            <w:vMerge w:val="restart"/>
            <w:hideMark/>
          </w:tcPr>
          <w:p w14:paraId="044EFD3E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bookmarkStart w:id="12" w:name="_Toc468280744"/>
            <w:r w:rsidRPr="003547CB">
              <w:rPr>
                <w:rFonts w:cs="Times New Roman"/>
                <w:bCs/>
                <w:szCs w:val="24"/>
              </w:rPr>
              <w:t>Phenotype by FACS</w:t>
            </w:r>
            <w:bookmarkEnd w:id="12"/>
          </w:p>
        </w:tc>
        <w:tc>
          <w:tcPr>
            <w:tcW w:w="1882" w:type="pct"/>
            <w:hideMark/>
          </w:tcPr>
          <w:p w14:paraId="6555F16A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iCs/>
                <w:szCs w:val="24"/>
                <w:lang w:bidi="en-US"/>
              </w:rPr>
            </w:pPr>
            <w:bookmarkStart w:id="13" w:name="_Toc468280745"/>
            <w:r w:rsidRPr="003547CB">
              <w:rPr>
                <w:rFonts w:cs="Times New Roman"/>
                <w:bCs/>
                <w:iCs/>
                <w:szCs w:val="24"/>
              </w:rPr>
              <w:t>CD14&lt;2%</w:t>
            </w:r>
            <w:bookmarkEnd w:id="13"/>
          </w:p>
          <w:p w14:paraId="2D1B4AB2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iCs/>
                <w:szCs w:val="24"/>
              </w:rPr>
            </w:pPr>
            <w:bookmarkStart w:id="14" w:name="_Toc468280746"/>
            <w:r w:rsidRPr="003547CB">
              <w:rPr>
                <w:rFonts w:cs="Times New Roman"/>
                <w:bCs/>
                <w:iCs/>
                <w:szCs w:val="24"/>
              </w:rPr>
              <w:t>CD34&lt;2%</w:t>
            </w:r>
            <w:bookmarkEnd w:id="14"/>
          </w:p>
          <w:p w14:paraId="0B0D6AAE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iCs/>
                <w:szCs w:val="24"/>
              </w:rPr>
            </w:pPr>
            <w:bookmarkStart w:id="15" w:name="_Toc468280747"/>
            <w:r w:rsidRPr="003547CB">
              <w:rPr>
                <w:rFonts w:cs="Times New Roman"/>
                <w:bCs/>
                <w:iCs/>
                <w:szCs w:val="24"/>
              </w:rPr>
              <w:t>CD45&lt;2%</w:t>
            </w:r>
            <w:bookmarkEnd w:id="15"/>
          </w:p>
          <w:p w14:paraId="1CC24ACA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iCs/>
                <w:szCs w:val="24"/>
                <w:lang w:bidi="en-US"/>
              </w:rPr>
            </w:pPr>
            <w:bookmarkStart w:id="16" w:name="_Toc468280748"/>
            <w:r w:rsidRPr="003547CB">
              <w:rPr>
                <w:rFonts w:cs="Times New Roman"/>
                <w:iCs/>
                <w:szCs w:val="24"/>
              </w:rPr>
              <w:t>CD3&lt;1%</w:t>
            </w:r>
            <w:bookmarkEnd w:id="16"/>
          </w:p>
        </w:tc>
      </w:tr>
      <w:tr w:rsidR="003547CB" w:rsidRPr="003547CB" w14:paraId="4F9025E8" w14:textId="77777777" w:rsidTr="003547CB">
        <w:tc>
          <w:tcPr>
            <w:tcW w:w="1377" w:type="pct"/>
            <w:vMerge/>
            <w:hideMark/>
          </w:tcPr>
          <w:p w14:paraId="342AECB7" w14:textId="77777777" w:rsidR="003547CB" w:rsidRPr="003547CB" w:rsidRDefault="003547CB" w:rsidP="003547CB">
            <w:pPr>
              <w:spacing w:before="0" w:after="0"/>
              <w:rPr>
                <w:rFonts w:cs="Times New Roman"/>
                <w:bCs/>
                <w:szCs w:val="24"/>
                <w:lang w:bidi="en-US"/>
              </w:rPr>
            </w:pPr>
          </w:p>
        </w:tc>
        <w:tc>
          <w:tcPr>
            <w:tcW w:w="1742" w:type="pct"/>
            <w:vMerge/>
            <w:hideMark/>
          </w:tcPr>
          <w:p w14:paraId="6DC804B7" w14:textId="77777777" w:rsidR="003547CB" w:rsidRPr="003547CB" w:rsidRDefault="003547CB" w:rsidP="003547CB">
            <w:pPr>
              <w:spacing w:before="0" w:after="0"/>
              <w:rPr>
                <w:rFonts w:cs="Times New Roman"/>
                <w:bCs/>
                <w:szCs w:val="24"/>
                <w:lang w:bidi="en-US"/>
              </w:rPr>
            </w:pPr>
          </w:p>
        </w:tc>
        <w:tc>
          <w:tcPr>
            <w:tcW w:w="1882" w:type="pct"/>
            <w:hideMark/>
          </w:tcPr>
          <w:p w14:paraId="2D69D153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iCs/>
                <w:szCs w:val="24"/>
                <w:lang w:bidi="en-US"/>
              </w:rPr>
            </w:pPr>
            <w:r w:rsidRPr="003547CB">
              <w:rPr>
                <w:rFonts w:cs="Times New Roman"/>
                <w:bCs/>
                <w:iCs/>
                <w:szCs w:val="24"/>
              </w:rPr>
              <w:t>CD14 + CD34 + CD45 + CD3 &lt; 2%</w:t>
            </w:r>
          </w:p>
        </w:tc>
      </w:tr>
      <w:tr w:rsidR="003547CB" w:rsidRPr="003547CB" w14:paraId="51D1CF7C" w14:textId="77777777" w:rsidTr="003547CB">
        <w:tc>
          <w:tcPr>
            <w:tcW w:w="1377" w:type="pct"/>
            <w:hideMark/>
          </w:tcPr>
          <w:p w14:paraId="0D74F13C" w14:textId="69BC8DCA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bookmarkStart w:id="17" w:name="_Toc468280749"/>
            <w:r w:rsidRPr="003547CB">
              <w:rPr>
                <w:rFonts w:cs="Times New Roman"/>
                <w:bCs/>
                <w:szCs w:val="24"/>
              </w:rPr>
              <w:t>Karyotype</w:t>
            </w:r>
            <w:bookmarkEnd w:id="17"/>
          </w:p>
        </w:tc>
        <w:tc>
          <w:tcPr>
            <w:tcW w:w="1742" w:type="pct"/>
            <w:hideMark/>
          </w:tcPr>
          <w:p w14:paraId="5A575054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bookmarkStart w:id="18" w:name="_Toc468280750"/>
            <w:r w:rsidRPr="003547CB">
              <w:rPr>
                <w:rFonts w:cs="Times New Roman"/>
                <w:bCs/>
                <w:szCs w:val="24"/>
              </w:rPr>
              <w:t>Cell culture</w:t>
            </w:r>
            <w:bookmarkEnd w:id="18"/>
          </w:p>
        </w:tc>
        <w:tc>
          <w:tcPr>
            <w:tcW w:w="1882" w:type="pct"/>
            <w:hideMark/>
          </w:tcPr>
          <w:p w14:paraId="62B195EF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bookmarkStart w:id="19" w:name="_Toc468280751"/>
            <w:r w:rsidRPr="003547CB">
              <w:rPr>
                <w:rFonts w:cs="Times New Roman"/>
                <w:szCs w:val="24"/>
              </w:rPr>
              <w:t>Absence of chromosomal structure and / or number abnormalities</w:t>
            </w:r>
            <w:bookmarkEnd w:id="19"/>
          </w:p>
        </w:tc>
      </w:tr>
      <w:tr w:rsidR="003547CB" w:rsidRPr="003547CB" w14:paraId="3211AD9E" w14:textId="77777777" w:rsidTr="003547CB">
        <w:tc>
          <w:tcPr>
            <w:tcW w:w="1377" w:type="pct"/>
            <w:hideMark/>
          </w:tcPr>
          <w:p w14:paraId="34C70FC6" w14:textId="5093B0B1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bookmarkStart w:id="20" w:name="_Toc468280752"/>
            <w:r w:rsidRPr="003547CB">
              <w:rPr>
                <w:rFonts w:cs="Times New Roman"/>
                <w:bCs/>
                <w:szCs w:val="24"/>
              </w:rPr>
              <w:t>Viability</w:t>
            </w:r>
            <w:bookmarkEnd w:id="20"/>
          </w:p>
        </w:tc>
        <w:tc>
          <w:tcPr>
            <w:tcW w:w="1742" w:type="pct"/>
            <w:hideMark/>
          </w:tcPr>
          <w:p w14:paraId="53B50043" w14:textId="7512790D" w:rsidR="003547CB" w:rsidRPr="003547CB" w:rsidRDefault="00854A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proofErr w:type="spellStart"/>
            <w:r w:rsidRPr="003547CB">
              <w:rPr>
                <w:rFonts w:cs="Times New Roman"/>
                <w:bCs/>
                <w:szCs w:val="24"/>
              </w:rPr>
              <w:t>Nucl</w:t>
            </w:r>
            <w:r>
              <w:rPr>
                <w:rFonts w:cs="Times New Roman"/>
                <w:bCs/>
                <w:szCs w:val="24"/>
              </w:rPr>
              <w:t>e</w:t>
            </w:r>
            <w:r w:rsidRPr="003547CB">
              <w:rPr>
                <w:rFonts w:cs="Times New Roman"/>
                <w:bCs/>
                <w:szCs w:val="24"/>
              </w:rPr>
              <w:t>ocounter</w:t>
            </w:r>
            <w:proofErr w:type="spellEnd"/>
            <w:r w:rsidRPr="003547CB">
              <w:rPr>
                <w:rFonts w:cs="Times New Roman"/>
                <w:szCs w:val="24"/>
              </w:rPr>
              <w:t xml:space="preserve"> NC-200</w:t>
            </w:r>
          </w:p>
        </w:tc>
        <w:tc>
          <w:tcPr>
            <w:tcW w:w="1882" w:type="pct"/>
            <w:hideMark/>
          </w:tcPr>
          <w:p w14:paraId="61D7E24E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bookmarkStart w:id="21" w:name="_Toc468280754"/>
            <w:r w:rsidRPr="003547CB">
              <w:rPr>
                <w:rFonts w:cs="Times New Roman"/>
                <w:bCs/>
                <w:szCs w:val="24"/>
              </w:rPr>
              <w:t>≥80%</w:t>
            </w:r>
            <w:bookmarkEnd w:id="21"/>
          </w:p>
        </w:tc>
      </w:tr>
      <w:tr w:rsidR="003547CB" w:rsidRPr="003547CB" w14:paraId="407356C4" w14:textId="77777777" w:rsidTr="003547CB">
        <w:tc>
          <w:tcPr>
            <w:tcW w:w="1377" w:type="pct"/>
            <w:hideMark/>
          </w:tcPr>
          <w:p w14:paraId="511ECB6E" w14:textId="0C17CA2C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bookmarkStart w:id="22" w:name="_Toc468280755"/>
            <w:r w:rsidRPr="003547CB">
              <w:rPr>
                <w:rFonts w:cs="Times New Roman"/>
                <w:bCs/>
                <w:szCs w:val="24"/>
              </w:rPr>
              <w:t>Immunosuppressive properties (</w:t>
            </w:r>
            <w:r>
              <w:rPr>
                <w:rFonts w:cs="Times New Roman"/>
                <w:bCs/>
                <w:szCs w:val="24"/>
              </w:rPr>
              <w:t>p</w:t>
            </w:r>
            <w:r w:rsidRPr="003547CB">
              <w:rPr>
                <w:rFonts w:cs="Times New Roman"/>
                <w:bCs/>
                <w:szCs w:val="24"/>
              </w:rPr>
              <w:t>otency test)</w:t>
            </w:r>
            <w:bookmarkEnd w:id="22"/>
          </w:p>
        </w:tc>
        <w:tc>
          <w:tcPr>
            <w:tcW w:w="1742" w:type="pct"/>
            <w:hideMark/>
          </w:tcPr>
          <w:p w14:paraId="256F121B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bookmarkStart w:id="23" w:name="_Toc468280756"/>
            <w:r w:rsidRPr="003547CB">
              <w:rPr>
                <w:rFonts w:cs="Times New Roman"/>
                <w:bCs/>
                <w:szCs w:val="24"/>
              </w:rPr>
              <w:t>MLR by FACS</w:t>
            </w:r>
            <w:bookmarkEnd w:id="23"/>
          </w:p>
        </w:tc>
        <w:tc>
          <w:tcPr>
            <w:tcW w:w="1882" w:type="pct"/>
            <w:hideMark/>
          </w:tcPr>
          <w:p w14:paraId="311652CD" w14:textId="30CC53D4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bookmarkStart w:id="24" w:name="_Toc468280757"/>
            <w:r w:rsidRPr="003547CB">
              <w:rPr>
                <w:rFonts w:cs="Times New Roman"/>
                <w:bCs/>
                <w:szCs w:val="24"/>
              </w:rPr>
              <w:t xml:space="preserve">&gt; 25% </w:t>
            </w:r>
            <w:r>
              <w:rPr>
                <w:rFonts w:cs="Times New Roman"/>
                <w:bCs/>
                <w:szCs w:val="24"/>
              </w:rPr>
              <w:t>i</w:t>
            </w:r>
            <w:r w:rsidRPr="003547CB">
              <w:rPr>
                <w:rFonts w:cs="Times New Roman"/>
                <w:bCs/>
                <w:szCs w:val="24"/>
              </w:rPr>
              <w:t>nhibition of the proliferation of activated PBMCs</w:t>
            </w:r>
            <w:bookmarkEnd w:id="24"/>
          </w:p>
        </w:tc>
      </w:tr>
      <w:tr w:rsidR="003547CB" w:rsidRPr="003547CB" w14:paraId="60C3D3FD" w14:textId="77777777" w:rsidTr="003547CB">
        <w:tc>
          <w:tcPr>
            <w:tcW w:w="1377" w:type="pct"/>
            <w:hideMark/>
          </w:tcPr>
          <w:p w14:paraId="2AE47BC7" w14:textId="4A495678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iCs/>
                <w:szCs w:val="24"/>
                <w:lang w:bidi="en-US"/>
              </w:rPr>
            </w:pPr>
            <w:r w:rsidRPr="003547CB">
              <w:rPr>
                <w:rFonts w:cs="Times New Roman"/>
                <w:szCs w:val="24"/>
              </w:rPr>
              <w:t>Cell aggregate</w:t>
            </w:r>
            <w:r w:rsidR="00854ACB">
              <w:rPr>
                <w:rFonts w:cs="Times New Roman"/>
                <w:szCs w:val="24"/>
              </w:rPr>
              <w:t>s</w:t>
            </w:r>
          </w:p>
        </w:tc>
        <w:tc>
          <w:tcPr>
            <w:tcW w:w="1742" w:type="pct"/>
            <w:hideMark/>
          </w:tcPr>
          <w:p w14:paraId="1A6D5A29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szCs w:val="24"/>
                <w:lang w:bidi="en-US"/>
              </w:rPr>
            </w:pPr>
            <w:proofErr w:type="spellStart"/>
            <w:r w:rsidRPr="003547CB">
              <w:rPr>
                <w:rFonts w:cs="Times New Roman"/>
                <w:szCs w:val="24"/>
              </w:rPr>
              <w:t>Nucleocounter</w:t>
            </w:r>
            <w:proofErr w:type="spellEnd"/>
            <w:r w:rsidRPr="003547CB">
              <w:rPr>
                <w:rFonts w:cs="Times New Roman"/>
                <w:szCs w:val="24"/>
              </w:rPr>
              <w:t xml:space="preserve"> NC-200</w:t>
            </w:r>
          </w:p>
        </w:tc>
        <w:tc>
          <w:tcPr>
            <w:tcW w:w="1882" w:type="pct"/>
            <w:hideMark/>
          </w:tcPr>
          <w:p w14:paraId="70289AB4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szCs w:val="24"/>
                <w:lang w:bidi="en-US"/>
              </w:rPr>
            </w:pPr>
            <w:bookmarkStart w:id="25" w:name="_Toc468280760"/>
            <w:r w:rsidRPr="003547CB">
              <w:rPr>
                <w:rFonts w:cs="Times New Roman"/>
                <w:iCs/>
                <w:szCs w:val="24"/>
              </w:rPr>
              <w:t>&lt;</w:t>
            </w:r>
            <w:r w:rsidRPr="003547CB">
              <w:rPr>
                <w:rFonts w:cs="Times New Roman"/>
                <w:szCs w:val="24"/>
              </w:rPr>
              <w:t xml:space="preserve"> 25 %</w:t>
            </w:r>
            <w:bookmarkEnd w:id="25"/>
          </w:p>
        </w:tc>
      </w:tr>
      <w:tr w:rsidR="003547CB" w:rsidRPr="003547CB" w14:paraId="0970E5B3" w14:textId="77777777" w:rsidTr="003547CB">
        <w:tc>
          <w:tcPr>
            <w:tcW w:w="5000" w:type="pct"/>
            <w:gridSpan w:val="3"/>
            <w:shd w:val="clear" w:color="auto" w:fill="D9D9D9" w:themeFill="background1" w:themeFillShade="D9"/>
            <w:hideMark/>
          </w:tcPr>
          <w:p w14:paraId="025B73AA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  <w:lang w:bidi="en-US"/>
              </w:rPr>
            </w:pPr>
            <w:r w:rsidRPr="003547CB">
              <w:rPr>
                <w:rFonts w:cs="Times New Roman"/>
                <w:b/>
                <w:bCs/>
                <w:szCs w:val="24"/>
              </w:rPr>
              <w:t xml:space="preserve">Drug Product </w:t>
            </w:r>
          </w:p>
        </w:tc>
      </w:tr>
      <w:tr w:rsidR="003547CB" w:rsidRPr="003547CB" w14:paraId="68568916" w14:textId="77777777" w:rsidTr="003547CB">
        <w:tc>
          <w:tcPr>
            <w:tcW w:w="1377" w:type="pct"/>
            <w:hideMark/>
          </w:tcPr>
          <w:p w14:paraId="773C742F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szCs w:val="24"/>
                <w:lang w:bidi="en-US"/>
              </w:rPr>
            </w:pPr>
            <w:r w:rsidRPr="003547CB">
              <w:rPr>
                <w:rFonts w:cs="Times New Roman"/>
                <w:szCs w:val="24"/>
              </w:rPr>
              <w:t>Visual inspection</w:t>
            </w:r>
          </w:p>
        </w:tc>
        <w:tc>
          <w:tcPr>
            <w:tcW w:w="1742" w:type="pct"/>
            <w:hideMark/>
          </w:tcPr>
          <w:p w14:paraId="654235B8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szCs w:val="24"/>
                <w:lang w:bidi="en-US"/>
              </w:rPr>
            </w:pPr>
            <w:r w:rsidRPr="003547CB">
              <w:rPr>
                <w:rFonts w:cs="Times New Roman"/>
                <w:szCs w:val="24"/>
              </w:rPr>
              <w:t>European Pharmacopoeia 2.9.20</w:t>
            </w:r>
          </w:p>
        </w:tc>
        <w:tc>
          <w:tcPr>
            <w:tcW w:w="1882" w:type="pct"/>
            <w:hideMark/>
          </w:tcPr>
          <w:p w14:paraId="3813BD6B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szCs w:val="24"/>
                <w:lang w:bidi="en-US"/>
              </w:rPr>
            </w:pPr>
            <w:r w:rsidRPr="003547CB">
              <w:rPr>
                <w:rFonts w:cs="Times New Roman"/>
                <w:szCs w:val="24"/>
              </w:rPr>
              <w:t>Absence of visible particle</w:t>
            </w:r>
          </w:p>
        </w:tc>
      </w:tr>
      <w:tr w:rsidR="003547CB" w:rsidRPr="003547CB" w14:paraId="49CDCEC5" w14:textId="77777777" w:rsidTr="003547CB">
        <w:tc>
          <w:tcPr>
            <w:tcW w:w="1377" w:type="pct"/>
            <w:hideMark/>
          </w:tcPr>
          <w:p w14:paraId="5E172299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r w:rsidRPr="003547CB">
              <w:rPr>
                <w:rFonts w:cs="Times New Roman"/>
                <w:bCs/>
                <w:szCs w:val="24"/>
              </w:rPr>
              <w:t>Sterility test</w:t>
            </w:r>
          </w:p>
        </w:tc>
        <w:tc>
          <w:tcPr>
            <w:tcW w:w="1742" w:type="pct"/>
            <w:hideMark/>
          </w:tcPr>
          <w:p w14:paraId="38972F0F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r w:rsidRPr="003547CB">
              <w:rPr>
                <w:rFonts w:cs="Times New Roman"/>
                <w:bCs/>
                <w:szCs w:val="24"/>
              </w:rPr>
              <w:t>European Pharmacopoeia 2.6.27</w:t>
            </w:r>
          </w:p>
        </w:tc>
        <w:tc>
          <w:tcPr>
            <w:tcW w:w="1882" w:type="pct"/>
            <w:hideMark/>
          </w:tcPr>
          <w:p w14:paraId="1AF5265F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r w:rsidRPr="003547CB">
              <w:rPr>
                <w:rFonts w:cs="Times New Roman"/>
                <w:szCs w:val="24"/>
              </w:rPr>
              <w:t>Culture negative at the limit of detection</w:t>
            </w:r>
          </w:p>
        </w:tc>
      </w:tr>
      <w:tr w:rsidR="003547CB" w:rsidRPr="003547CB" w14:paraId="6F119928" w14:textId="77777777" w:rsidTr="003547CB">
        <w:tc>
          <w:tcPr>
            <w:tcW w:w="1377" w:type="pct"/>
            <w:hideMark/>
          </w:tcPr>
          <w:p w14:paraId="5C022907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r w:rsidRPr="003547CB">
              <w:rPr>
                <w:rFonts w:cs="Times New Roman"/>
                <w:bCs/>
                <w:szCs w:val="24"/>
              </w:rPr>
              <w:t>Mycoplasma test</w:t>
            </w:r>
          </w:p>
        </w:tc>
        <w:tc>
          <w:tcPr>
            <w:tcW w:w="1742" w:type="pct"/>
            <w:hideMark/>
          </w:tcPr>
          <w:p w14:paraId="59ECC709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r w:rsidRPr="003547CB">
              <w:rPr>
                <w:rFonts w:cs="Times New Roman"/>
                <w:szCs w:val="24"/>
              </w:rPr>
              <w:t>European Pharmacopoeia 2.6</w:t>
            </w:r>
            <w:r w:rsidRPr="003547CB">
              <w:rPr>
                <w:rFonts w:cs="Times New Roman"/>
                <w:bCs/>
                <w:szCs w:val="24"/>
              </w:rPr>
              <w:t>.7</w:t>
            </w:r>
          </w:p>
        </w:tc>
        <w:tc>
          <w:tcPr>
            <w:tcW w:w="1882" w:type="pct"/>
            <w:hideMark/>
          </w:tcPr>
          <w:p w14:paraId="6B9C87C6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r w:rsidRPr="003547CB">
              <w:rPr>
                <w:rFonts w:cs="Times New Roman"/>
                <w:bCs/>
                <w:szCs w:val="24"/>
              </w:rPr>
              <w:t>Absence of mycoplasma</w:t>
            </w:r>
          </w:p>
        </w:tc>
      </w:tr>
      <w:tr w:rsidR="003547CB" w:rsidRPr="003547CB" w14:paraId="3880147A" w14:textId="77777777" w:rsidTr="003547CB">
        <w:tc>
          <w:tcPr>
            <w:tcW w:w="1377" w:type="pct"/>
            <w:hideMark/>
          </w:tcPr>
          <w:p w14:paraId="1D4CDC40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r w:rsidRPr="003547CB">
              <w:rPr>
                <w:rFonts w:cs="Times New Roman"/>
                <w:bCs/>
                <w:szCs w:val="24"/>
              </w:rPr>
              <w:t>Endotoxin test</w:t>
            </w:r>
          </w:p>
        </w:tc>
        <w:tc>
          <w:tcPr>
            <w:tcW w:w="1742" w:type="pct"/>
            <w:hideMark/>
          </w:tcPr>
          <w:p w14:paraId="28AA57EC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r w:rsidRPr="003547CB">
              <w:rPr>
                <w:rFonts w:cs="Times New Roman"/>
                <w:szCs w:val="24"/>
              </w:rPr>
              <w:t>European Pharmacopoeia 2.6.14</w:t>
            </w:r>
          </w:p>
        </w:tc>
        <w:tc>
          <w:tcPr>
            <w:tcW w:w="1882" w:type="pct"/>
            <w:hideMark/>
          </w:tcPr>
          <w:p w14:paraId="29FBB5F4" w14:textId="2D3BD050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bCs/>
                <w:szCs w:val="24"/>
                <w:lang w:bidi="en-US"/>
              </w:rPr>
            </w:pPr>
            <w:r w:rsidRPr="003547CB">
              <w:rPr>
                <w:rFonts w:cs="Times New Roman"/>
                <w:bCs/>
                <w:szCs w:val="24"/>
              </w:rPr>
              <w:t>&lt;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3547CB">
              <w:rPr>
                <w:rFonts w:cs="Times New Roman"/>
                <w:bCs/>
                <w:szCs w:val="24"/>
              </w:rPr>
              <w:t>2.5</w:t>
            </w:r>
            <w:r w:rsidR="00854ACB">
              <w:rPr>
                <w:rFonts w:cs="Times New Roman"/>
                <w:bCs/>
                <w:szCs w:val="24"/>
              </w:rPr>
              <w:t xml:space="preserve"> </w:t>
            </w:r>
            <w:r w:rsidRPr="003547CB">
              <w:rPr>
                <w:rFonts w:cs="Times New Roman"/>
                <w:bCs/>
                <w:szCs w:val="24"/>
              </w:rPr>
              <w:t>UI/ml</w:t>
            </w:r>
          </w:p>
        </w:tc>
      </w:tr>
      <w:tr w:rsidR="003547CB" w:rsidRPr="003547CB" w14:paraId="41ED2D78" w14:textId="77777777" w:rsidTr="003547CB">
        <w:tc>
          <w:tcPr>
            <w:tcW w:w="1377" w:type="pct"/>
            <w:hideMark/>
          </w:tcPr>
          <w:p w14:paraId="6BE48303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szCs w:val="24"/>
                <w:lang w:bidi="en-US"/>
              </w:rPr>
            </w:pPr>
            <w:r w:rsidRPr="003547CB">
              <w:rPr>
                <w:rFonts w:cs="Times New Roman"/>
                <w:szCs w:val="24"/>
              </w:rPr>
              <w:t>Freezing temperature curve</w:t>
            </w:r>
          </w:p>
        </w:tc>
        <w:tc>
          <w:tcPr>
            <w:tcW w:w="1742" w:type="pct"/>
            <w:hideMark/>
          </w:tcPr>
          <w:p w14:paraId="3882FEC1" w14:textId="1BA5CD18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szCs w:val="24"/>
                <w:lang w:bidi="en-US"/>
              </w:rPr>
            </w:pPr>
            <w:r w:rsidRPr="003547CB">
              <w:rPr>
                <w:rFonts w:cs="Times New Roman"/>
                <w:szCs w:val="24"/>
              </w:rPr>
              <w:t xml:space="preserve">Control of the </w:t>
            </w:r>
            <w:r w:rsidR="00854ACB">
              <w:rPr>
                <w:rFonts w:cs="Times New Roman"/>
                <w:szCs w:val="24"/>
              </w:rPr>
              <w:t>f</w:t>
            </w:r>
            <w:r w:rsidR="00854ACB" w:rsidRPr="003547CB">
              <w:rPr>
                <w:rFonts w:cs="Times New Roman"/>
                <w:szCs w:val="24"/>
              </w:rPr>
              <w:t xml:space="preserve">reezing </w:t>
            </w:r>
            <w:r w:rsidRPr="003547CB">
              <w:rPr>
                <w:rFonts w:cs="Times New Roman"/>
                <w:szCs w:val="24"/>
              </w:rPr>
              <w:t>temperature curve</w:t>
            </w:r>
          </w:p>
        </w:tc>
        <w:tc>
          <w:tcPr>
            <w:tcW w:w="1882" w:type="pct"/>
            <w:hideMark/>
          </w:tcPr>
          <w:p w14:paraId="147404E9" w14:textId="77777777" w:rsidR="003547CB" w:rsidRPr="003547CB" w:rsidRDefault="003547CB" w:rsidP="003547CB">
            <w:pPr>
              <w:spacing w:before="0" w:after="0"/>
              <w:jc w:val="center"/>
              <w:rPr>
                <w:rFonts w:cs="Times New Roman"/>
                <w:szCs w:val="24"/>
                <w:lang w:bidi="en-US"/>
              </w:rPr>
            </w:pPr>
            <w:r w:rsidRPr="003547CB">
              <w:rPr>
                <w:rFonts w:cs="Times New Roman"/>
                <w:szCs w:val="24"/>
              </w:rPr>
              <w:t>Conform to the programmed temperature curve</w:t>
            </w:r>
          </w:p>
        </w:tc>
      </w:tr>
    </w:tbl>
    <w:p w14:paraId="7B65BC41" w14:textId="192A3DC5" w:rsidR="00DE23E8" w:rsidRPr="001549D3" w:rsidRDefault="00E44ABF" w:rsidP="00854ACB">
      <w:r>
        <w:rPr>
          <w:rFonts w:cs="Times New Roman"/>
          <w:szCs w:val="24"/>
        </w:rPr>
        <w:t xml:space="preserve">FACS: </w:t>
      </w:r>
      <w:r w:rsidRPr="00E44ABF">
        <w:rPr>
          <w:rFonts w:cs="Times New Roman"/>
          <w:szCs w:val="24"/>
        </w:rPr>
        <w:t>Fluorescence activated cell sorting</w:t>
      </w:r>
      <w:r>
        <w:rPr>
          <w:rFonts w:cs="Times New Roman"/>
          <w:szCs w:val="24"/>
        </w:rPr>
        <w:t xml:space="preserve">; MLR: Mixed </w:t>
      </w:r>
      <w:r w:rsidR="00854ACB">
        <w:rPr>
          <w:rFonts w:cs="Times New Roman"/>
          <w:szCs w:val="24"/>
        </w:rPr>
        <w:t xml:space="preserve">Lymphocyte </w:t>
      </w:r>
      <w:r>
        <w:rPr>
          <w:rFonts w:cs="Times New Roman"/>
          <w:szCs w:val="24"/>
        </w:rPr>
        <w:t>Reaction.</w:t>
      </w: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2ABF" w14:textId="77777777" w:rsidR="006A7DE1" w:rsidRDefault="006A7DE1" w:rsidP="00117666">
      <w:pPr>
        <w:spacing w:after="0"/>
      </w:pPr>
      <w:r>
        <w:separator/>
      </w:r>
    </w:p>
  </w:endnote>
  <w:endnote w:type="continuationSeparator" w:id="0">
    <w:p w14:paraId="3CBC0E32" w14:textId="77777777" w:rsidR="006A7DE1" w:rsidRDefault="006A7DE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3040" w14:textId="77777777" w:rsidR="006A7DE1" w:rsidRDefault="006A7DE1" w:rsidP="00117666">
      <w:pPr>
        <w:spacing w:after="0"/>
      </w:pPr>
      <w:r>
        <w:separator/>
      </w:r>
    </w:p>
  </w:footnote>
  <w:footnote w:type="continuationSeparator" w:id="0">
    <w:p w14:paraId="306B4762" w14:textId="77777777" w:rsidR="006A7DE1" w:rsidRDefault="006A7DE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894967027">
    <w:abstractNumId w:val="0"/>
  </w:num>
  <w:num w:numId="2" w16cid:durableId="1483539682">
    <w:abstractNumId w:val="4"/>
  </w:num>
  <w:num w:numId="3" w16cid:durableId="156657894">
    <w:abstractNumId w:val="1"/>
  </w:num>
  <w:num w:numId="4" w16cid:durableId="345908336">
    <w:abstractNumId w:val="5"/>
  </w:num>
  <w:num w:numId="5" w16cid:durableId="50276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4014686">
    <w:abstractNumId w:val="3"/>
  </w:num>
  <w:num w:numId="7" w16cid:durableId="262303599">
    <w:abstractNumId w:val="6"/>
  </w:num>
  <w:num w:numId="8" w16cid:durableId="923103735">
    <w:abstractNumId w:val="6"/>
  </w:num>
  <w:num w:numId="9" w16cid:durableId="2142452937">
    <w:abstractNumId w:val="6"/>
  </w:num>
  <w:num w:numId="10" w16cid:durableId="257911476">
    <w:abstractNumId w:val="6"/>
  </w:num>
  <w:num w:numId="11" w16cid:durableId="1004549664">
    <w:abstractNumId w:val="6"/>
  </w:num>
  <w:num w:numId="12" w16cid:durableId="924850215">
    <w:abstractNumId w:val="6"/>
  </w:num>
  <w:num w:numId="13" w16cid:durableId="1635329759">
    <w:abstractNumId w:val="3"/>
  </w:num>
  <w:num w:numId="14" w16cid:durableId="244343455">
    <w:abstractNumId w:val="2"/>
  </w:num>
  <w:num w:numId="15" w16cid:durableId="1575622547">
    <w:abstractNumId w:val="2"/>
  </w:num>
  <w:num w:numId="16" w16cid:durableId="1990480934">
    <w:abstractNumId w:val="2"/>
  </w:num>
  <w:num w:numId="17" w16cid:durableId="897324190">
    <w:abstractNumId w:val="2"/>
  </w:num>
  <w:num w:numId="18" w16cid:durableId="763916240">
    <w:abstractNumId w:val="2"/>
  </w:num>
  <w:num w:numId="19" w16cid:durableId="292029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F5926"/>
    <w:rsid w:val="003123F4"/>
    <w:rsid w:val="003544FB"/>
    <w:rsid w:val="003547CB"/>
    <w:rsid w:val="003D2F2D"/>
    <w:rsid w:val="00401590"/>
    <w:rsid w:val="00443079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A7DE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54ACB"/>
    <w:rsid w:val="00885156"/>
    <w:rsid w:val="008F6825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866FC"/>
    <w:rsid w:val="00CD066B"/>
    <w:rsid w:val="00CE00AE"/>
    <w:rsid w:val="00CE4FEE"/>
    <w:rsid w:val="00D060CF"/>
    <w:rsid w:val="00DB59C3"/>
    <w:rsid w:val="00DC259A"/>
    <w:rsid w:val="00DE23E8"/>
    <w:rsid w:val="00E44ABF"/>
    <w:rsid w:val="00E52377"/>
    <w:rsid w:val="00E537AD"/>
    <w:rsid w:val="00E64E17"/>
    <w:rsid w:val="00E866C9"/>
    <w:rsid w:val="00EA3D3C"/>
    <w:rsid w:val="00EB3B0E"/>
    <w:rsid w:val="00EC090A"/>
    <w:rsid w:val="00ED20B5"/>
    <w:rsid w:val="00F46900"/>
    <w:rsid w:val="00F61D89"/>
    <w:rsid w:val="00F641E0"/>
    <w:rsid w:val="00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Accentuationlgr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paragraph" w:styleId="Rvision">
    <w:name w:val="Revision"/>
    <w:hidden/>
    <w:uiPriority w:val="99"/>
    <w:semiHidden/>
    <w:rsid w:val="00FA3E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</Pages>
  <Words>1063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Celine Gregoire</cp:lastModifiedBy>
  <cp:revision>2</cp:revision>
  <cp:lastPrinted>2013-10-03T12:51:00Z</cp:lastPrinted>
  <dcterms:created xsi:type="dcterms:W3CDTF">2022-05-20T11:40:00Z</dcterms:created>
  <dcterms:modified xsi:type="dcterms:W3CDTF">2022-05-20T11:40:00Z</dcterms:modified>
</cp:coreProperties>
</file>