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3650D" w14:textId="77777777" w:rsidR="001E0969" w:rsidRDefault="001E0969" w:rsidP="001E0969">
      <w:pPr>
        <w:pStyle w:val="SupplementaryMaterial"/>
        <w:rPr>
          <w:b w:val="0"/>
        </w:rPr>
      </w:pPr>
      <w:r>
        <w:t>Supplementary Material</w:t>
      </w:r>
    </w:p>
    <w:p w14:paraId="5E4879F7" w14:textId="77777777" w:rsidR="001E0969" w:rsidRDefault="001E0969" w:rsidP="001E0969">
      <w:pPr>
        <w:pStyle w:val="Heading1"/>
        <w:numPr>
          <w:ilvl w:val="0"/>
          <w:numId w:val="21"/>
        </w:numPr>
        <w:ind w:left="720" w:hanging="360"/>
      </w:pPr>
      <w:r>
        <w:t>Supplementary Figures</w:t>
      </w:r>
    </w:p>
    <w:p w14:paraId="1D7BD532" w14:textId="77777777" w:rsidR="001E0969" w:rsidRDefault="001E0969" w:rsidP="001E0969">
      <w:pPr>
        <w:rPr>
          <w:rFonts w:cs="Times New Roman"/>
          <w:b/>
          <w:szCs w:val="24"/>
        </w:rPr>
      </w:pPr>
      <w:bookmarkStart w:id="0" w:name="_Hlk99971799"/>
      <w:r>
        <w:rPr>
          <w:rFonts w:cs="Times New Roman"/>
          <w:b/>
          <w:noProof/>
          <w:szCs w:val="24"/>
        </w:rPr>
        <w:drawing>
          <wp:inline distT="0" distB="0" distL="0" distR="0" wp14:anchorId="43FBB346" wp14:editId="2A196A2F">
            <wp:extent cx="6208395" cy="4583430"/>
            <wp:effectExtent l="0" t="0" r="1905" b="7620"/>
            <wp:docPr id="8" name="Picture 8" descr="A picture containing device, indoor, metal,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evice, indoor, metal, me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4583430"/>
                    </a:xfrm>
                    <a:prstGeom prst="rect">
                      <a:avLst/>
                    </a:prstGeom>
                    <a:noFill/>
                    <a:ln>
                      <a:noFill/>
                    </a:ln>
                  </pic:spPr>
                </pic:pic>
              </a:graphicData>
            </a:graphic>
          </wp:inline>
        </w:drawing>
      </w:r>
    </w:p>
    <w:p w14:paraId="32AE9830" w14:textId="77777777" w:rsidR="001E0969" w:rsidRDefault="001E0969" w:rsidP="001E0969">
      <w:pPr>
        <w:rPr>
          <w:rFonts w:cs="Times New Roman"/>
          <w:szCs w:val="24"/>
        </w:rPr>
      </w:pPr>
      <w:r>
        <w:rPr>
          <w:rFonts w:cs="Times New Roman"/>
          <w:b/>
          <w:szCs w:val="24"/>
        </w:rPr>
        <w:t xml:space="preserve">Supplementary Figure </w:t>
      </w:r>
      <w:r>
        <w:fldChar w:fldCharType="begin"/>
      </w:r>
      <w:r>
        <w:rPr>
          <w:rFonts w:cs="Times New Roman"/>
          <w:b/>
          <w:szCs w:val="24"/>
        </w:rPr>
        <w:instrText xml:space="preserve"> SEQ Figure \* ARABIC </w:instrText>
      </w:r>
      <w:r>
        <w:fldChar w:fldCharType="separate"/>
      </w:r>
      <w:r>
        <w:rPr>
          <w:rFonts w:cs="Times New Roman"/>
          <w:b/>
          <w:noProof/>
          <w:szCs w:val="24"/>
        </w:rPr>
        <w:t>1</w:t>
      </w:r>
      <w:r>
        <w:fldChar w:fldCharType="end"/>
      </w:r>
      <w:r>
        <w:rPr>
          <w:rFonts w:cs="Times New Roman"/>
          <w:b/>
          <w:szCs w:val="24"/>
        </w:rPr>
        <w:t>.</w:t>
      </w:r>
      <w:r>
        <w:rPr>
          <w:rFonts w:cs="Times New Roman"/>
          <w:szCs w:val="24"/>
        </w:rPr>
        <w:t xml:space="preserve"> Each assay plate is divided into four quadrants. The positive quadrants (Q1, Q3) are marked with a “plus” sign, which designates the location of the tested urine sample. The negative quadrants are marked with a “minus” sign, which designates the location of the control buffer. </w:t>
      </w:r>
      <w:r>
        <w:rPr>
          <w:rFonts w:cs="Times New Roman"/>
          <w:i/>
          <w:iCs/>
          <w:szCs w:val="24"/>
        </w:rPr>
        <w:t>C. elegans</w:t>
      </w:r>
      <w:r>
        <w:rPr>
          <w:rFonts w:cs="Times New Roman"/>
          <w:szCs w:val="24"/>
        </w:rPr>
        <w:t xml:space="preserve"> are placed at the center of the green circle at the beginning of the assay.</w:t>
      </w:r>
      <w:bookmarkEnd w:id="0"/>
      <w:r>
        <w:rPr>
          <w:rFonts w:cs="Times New Roman"/>
          <w:szCs w:val="24"/>
        </w:rPr>
        <w:t xml:space="preserve"> After the assay is complete, animals are counted in each quadrant within the bounds of the yellow lines to avoid counting those that are close to the quadrant borders or that remain at the center of the plate.</w:t>
      </w:r>
    </w:p>
    <w:p w14:paraId="6F1125AD" w14:textId="77777777" w:rsidR="001E0969" w:rsidRDefault="001E0969" w:rsidP="001E0969">
      <w:r>
        <w:rPr>
          <w:noProof/>
        </w:rPr>
        <w:lastRenderedPageBreak/>
        <w:drawing>
          <wp:inline distT="0" distB="0" distL="0" distR="0" wp14:anchorId="2C0B5A2D" wp14:editId="4A8F46AA">
            <wp:extent cx="6208395" cy="2793365"/>
            <wp:effectExtent l="0" t="0" r="1905"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8395" cy="2793365"/>
                    </a:xfrm>
                    <a:prstGeom prst="rect">
                      <a:avLst/>
                    </a:prstGeom>
                    <a:noFill/>
                    <a:ln>
                      <a:noFill/>
                    </a:ln>
                  </pic:spPr>
                </pic:pic>
              </a:graphicData>
            </a:graphic>
          </wp:inline>
        </w:drawing>
      </w:r>
    </w:p>
    <w:p w14:paraId="7FDF5F8C" w14:textId="77777777" w:rsidR="001E0969" w:rsidRDefault="001E0969" w:rsidP="001E0969">
      <w:pPr>
        <w:keepNext/>
        <w:rPr>
          <w:rFonts w:cs="Times New Roman"/>
          <w:szCs w:val="24"/>
        </w:rPr>
      </w:pPr>
      <w:r>
        <w:rPr>
          <w:rFonts w:cs="Times New Roman"/>
          <w:b/>
          <w:bCs/>
          <w:szCs w:val="24"/>
        </w:rPr>
        <w:lastRenderedPageBreak/>
        <w:t xml:space="preserve">Supplementary Figure 2. </w:t>
      </w:r>
      <w:r>
        <w:rPr>
          <w:rFonts w:cs="Times New Roman"/>
          <w:szCs w:val="24"/>
        </w:rPr>
        <w:t xml:space="preserve">Examples of conditions in which plates are discarded. </w:t>
      </w:r>
      <w:r>
        <w:rPr>
          <w:rFonts w:cs="Times New Roman"/>
          <w:b/>
          <w:bCs/>
          <w:szCs w:val="24"/>
        </w:rPr>
        <w:t xml:space="preserve">A </w:t>
      </w:r>
      <w:r>
        <w:rPr>
          <w:rFonts w:cs="Times New Roman"/>
          <w:szCs w:val="24"/>
        </w:rPr>
        <w:t>The total number of animals on the plate is less than 55:</w:t>
      </w:r>
    </w:p>
    <w:p w14:paraId="376167E2" w14:textId="77777777" w:rsidR="001E0969" w:rsidRDefault="001E0969" w:rsidP="001E0969">
      <w:pPr>
        <w:keepNext/>
        <w:jc w:val="center"/>
        <w:rPr>
          <w:rFonts w:cs="Times New Roman"/>
          <w:szCs w:val="24"/>
        </w:rPr>
      </w:pPr>
      <m:oMathPara>
        <m:oMath>
          <m:r>
            <m:rPr>
              <m:sty m:val="p"/>
            </m:rPr>
            <w:rPr>
              <w:rFonts w:ascii="Cambria Math" w:hAnsi="Cambria Math" w:cs="Times New Roman"/>
              <w:szCs w:val="24"/>
            </w:rPr>
            <m:t>Q1+Q2+Q3+Q4≤55</m:t>
          </m:r>
        </m:oMath>
      </m:oMathPara>
    </w:p>
    <w:p w14:paraId="2EDB23D7" w14:textId="77777777" w:rsidR="001E0969" w:rsidRDefault="001E0969" w:rsidP="001E0969">
      <w:pPr>
        <w:keepNext/>
        <w:rPr>
          <w:rFonts w:cs="Times New Roman"/>
          <w:szCs w:val="24"/>
        </w:rPr>
      </w:pPr>
      <w:r>
        <w:rPr>
          <w:rFonts w:cs="Times New Roman"/>
          <w:b/>
          <w:bCs/>
          <w:szCs w:val="24"/>
        </w:rPr>
        <w:t>B</w:t>
      </w:r>
      <w:r>
        <w:rPr>
          <w:rFonts w:cs="Times New Roman"/>
          <w:szCs w:val="24"/>
        </w:rPr>
        <w:t xml:space="preserve"> The sum of the total animals in three quadrants is less than the total number of animals in the fourth quadrant, e.g.</w:t>
      </w:r>
    </w:p>
    <w:p w14:paraId="27FAC7AC" w14:textId="77777777" w:rsidR="001E0969" w:rsidRDefault="001E0969" w:rsidP="001E0969">
      <w:pPr>
        <w:keepNext/>
        <w:rPr>
          <w:rFonts w:cs="Times New Roman"/>
          <w:szCs w:val="24"/>
        </w:rPr>
      </w:pPr>
      <m:oMathPara>
        <m:oMath>
          <m:r>
            <m:rPr>
              <m:sty m:val="p"/>
            </m:rPr>
            <w:rPr>
              <w:rFonts w:ascii="Cambria Math" w:hAnsi="Cambria Math" w:cs="Times New Roman"/>
              <w:szCs w:val="24"/>
            </w:rPr>
            <m:t>Q1≥Q2+Q3+Q4</m:t>
          </m:r>
        </m:oMath>
      </m:oMathPara>
    </w:p>
    <w:p w14:paraId="5ACADFC8" w14:textId="77777777" w:rsidR="001E0969" w:rsidRDefault="001E0969" w:rsidP="001E0969">
      <w:pPr>
        <w:keepNext/>
        <w:rPr>
          <w:rFonts w:cs="Times New Roman"/>
          <w:szCs w:val="24"/>
        </w:rPr>
      </w:pPr>
      <w:r>
        <w:rPr>
          <w:rFonts w:cs="Times New Roman"/>
          <w:b/>
          <w:bCs/>
          <w:szCs w:val="24"/>
        </w:rPr>
        <w:t xml:space="preserve">C </w:t>
      </w:r>
      <w:r>
        <w:rPr>
          <w:rFonts w:cs="Times New Roman"/>
          <w:szCs w:val="24"/>
        </w:rPr>
        <w:t xml:space="preserve">The number of animals across from the quadrant with the highest total has 50% or less than the number of animals on any other quadrant, e.g. </w:t>
      </w:r>
    </w:p>
    <w:p w14:paraId="33F7F4BE" w14:textId="375DAE4F" w:rsidR="001E0969" w:rsidRPr="009F4425" w:rsidRDefault="001E0969" w:rsidP="001E0969">
      <w:pPr>
        <w:keepNext/>
        <w:rPr>
          <w:rFonts w:eastAsiaTheme="minorEastAsia" w:cs="Times New Roman"/>
          <w:szCs w:val="24"/>
        </w:rPr>
      </w:pPr>
      <m:oMathPara>
        <m:oMath>
          <m:r>
            <m:rPr>
              <m:sty m:val="p"/>
            </m:rPr>
            <w:rPr>
              <w:rFonts w:ascii="Cambria Math" w:hAnsi="Cambria Math" w:cs="Times New Roman"/>
              <w:szCs w:val="24"/>
            </w:rPr>
            <m:t>Q1≥Q2</m:t>
          </m:r>
          <m:d>
            <m:dPr>
              <m:begChr m:val="|"/>
              <m:endChr m:val="|"/>
              <m:ctrlPr>
                <w:rPr>
                  <w:rFonts w:ascii="Cambria Math" w:hAnsi="Cambria Math" w:cs="Times New Roman"/>
                  <w:szCs w:val="24"/>
                </w:rPr>
              </m:ctrlPr>
            </m:dPr>
            <m:e>
              <m:r>
                <m:rPr>
                  <m:sty m:val="p"/>
                </m:rPr>
                <w:rPr>
                  <w:rFonts w:ascii="Cambria Math" w:hAnsi="Cambria Math" w:cs="Times New Roman"/>
                  <w:szCs w:val="24"/>
                </w:rPr>
                <m:t>Q3</m:t>
              </m:r>
            </m:e>
          </m:d>
          <m:r>
            <m:rPr>
              <m:sty m:val="p"/>
            </m:rPr>
            <w:rPr>
              <w:rFonts w:ascii="Cambria Math" w:hAnsi="Cambria Math" w:cs="Times New Roman"/>
              <w:szCs w:val="24"/>
            </w:rPr>
            <m:t>Q4, Q3≤</m:t>
          </m:r>
          <m:f>
            <m:fPr>
              <m:ctrlPr>
                <w:rPr>
                  <w:rFonts w:ascii="Cambria Math" w:hAnsi="Cambria Math" w:cs="Times New Roman"/>
                  <w:szCs w:val="24"/>
                </w:rPr>
              </m:ctrlPr>
            </m:fPr>
            <m:num>
              <m:r>
                <m:rPr>
                  <m:sty m:val="p"/>
                </m:rPr>
                <w:rPr>
                  <w:rFonts w:ascii="Cambria Math" w:hAnsi="Cambria Math" w:cs="Times New Roman"/>
                  <w:szCs w:val="24"/>
                </w:rPr>
                <m:t>Q1</m:t>
              </m:r>
            </m:num>
            <m:den>
              <m:r>
                <m:rPr>
                  <m:sty m:val="p"/>
                </m:rPr>
                <w:rPr>
                  <w:rFonts w:ascii="Cambria Math" w:hAnsi="Cambria Math" w:cs="Times New Roman"/>
                  <w:szCs w:val="24"/>
                </w:rPr>
                <m:t>2</m:t>
              </m:r>
            </m:den>
          </m:f>
          <m:d>
            <m:dPr>
              <m:begChr m:val="|"/>
              <m:endChr m:val="|"/>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Q2</m:t>
                  </m:r>
                </m:num>
                <m:den>
                  <m:r>
                    <m:rPr>
                      <m:sty m:val="p"/>
                    </m:rPr>
                    <w:rPr>
                      <w:rFonts w:ascii="Cambria Math" w:hAnsi="Cambria Math" w:cs="Times New Roman"/>
                      <w:szCs w:val="24"/>
                    </w:rPr>
                    <m:t>2</m:t>
                  </m:r>
                </m:den>
              </m:f>
            </m:e>
          </m:d>
          <m:f>
            <m:fPr>
              <m:ctrlPr>
                <w:rPr>
                  <w:rFonts w:ascii="Cambria Math" w:hAnsi="Cambria Math" w:cs="Times New Roman"/>
                  <w:szCs w:val="24"/>
                </w:rPr>
              </m:ctrlPr>
            </m:fPr>
            <m:num>
              <m:r>
                <m:rPr>
                  <m:sty m:val="p"/>
                </m:rPr>
                <w:rPr>
                  <w:rFonts w:ascii="Cambria Math" w:hAnsi="Cambria Math" w:cs="Times New Roman"/>
                  <w:szCs w:val="24"/>
                </w:rPr>
                <m:t>Q4</m:t>
              </m:r>
            </m:num>
            <m:den>
              <m:r>
                <m:rPr>
                  <m:sty m:val="p"/>
                </m:rPr>
                <w:rPr>
                  <w:rFonts w:ascii="Cambria Math" w:hAnsi="Cambria Math" w:cs="Times New Roman"/>
                  <w:szCs w:val="24"/>
                </w:rPr>
                <m:t>2</m:t>
              </m:r>
            </m:den>
          </m:f>
        </m:oMath>
      </m:oMathPara>
    </w:p>
    <w:p w14:paraId="1FF4CCB1" w14:textId="5162BCF2" w:rsidR="009F4425" w:rsidRDefault="009F4425" w:rsidP="001E0969">
      <w:pPr>
        <w:keepNext/>
        <w:rPr>
          <w:rFonts w:cs="Times New Roman"/>
          <w:szCs w:val="24"/>
        </w:rPr>
      </w:pPr>
      <w:r>
        <w:rPr>
          <w:rFonts w:cs="Times New Roman"/>
          <w:noProof/>
          <w:szCs w:val="24"/>
        </w:rPr>
        <w:drawing>
          <wp:inline distT="0" distB="0" distL="0" distR="0" wp14:anchorId="53F77657" wp14:editId="67CC460A">
            <wp:extent cx="6208395" cy="4753610"/>
            <wp:effectExtent l="0" t="0" r="1905" b="889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753610"/>
                    </a:xfrm>
                    <a:prstGeom prst="rect">
                      <a:avLst/>
                    </a:prstGeom>
                  </pic:spPr>
                </pic:pic>
              </a:graphicData>
            </a:graphic>
          </wp:inline>
        </w:drawing>
      </w:r>
    </w:p>
    <w:p w14:paraId="3B51C6F1" w14:textId="2A947912" w:rsidR="009F4425" w:rsidRPr="002352D0" w:rsidRDefault="009F4425" w:rsidP="009F4425">
      <w:pPr>
        <w:rPr>
          <w:rFonts w:cs="Times New Roman"/>
          <w:szCs w:val="24"/>
        </w:rPr>
      </w:pPr>
      <w:r>
        <w:rPr>
          <w:rFonts w:cs="Times New Roman"/>
          <w:b/>
          <w:bCs/>
          <w:szCs w:val="24"/>
        </w:rPr>
        <w:t xml:space="preserve">Supplementary Figure </w:t>
      </w:r>
      <w:r>
        <w:rPr>
          <w:rFonts w:cs="Times New Roman"/>
          <w:b/>
          <w:bCs/>
          <w:szCs w:val="24"/>
        </w:rPr>
        <w:t xml:space="preserve">3. </w:t>
      </w:r>
      <w:r>
        <w:rPr>
          <w:rFonts w:cs="Times New Roman"/>
          <w:szCs w:val="24"/>
        </w:rPr>
        <w:t>No correlation was observed for the observed chemotaxis index relative to age. Each data point represents the mean CI observed for each animal. Red dotted line is the linear best fit for the data (</w:t>
      </w:r>
      <w:r w:rsidR="002352D0">
        <w:rPr>
          <w:rFonts w:cs="Times New Roman"/>
          <w:szCs w:val="24"/>
        </w:rPr>
        <w:t>Slope=3.17x10</w:t>
      </w:r>
      <w:r w:rsidR="002352D0">
        <w:rPr>
          <w:rFonts w:cs="Times New Roman"/>
          <w:szCs w:val="24"/>
          <w:vertAlign w:val="superscript"/>
        </w:rPr>
        <w:t>-4</w:t>
      </w:r>
      <w:r w:rsidR="002352D0">
        <w:rPr>
          <w:rFonts w:cs="Times New Roman"/>
          <w:szCs w:val="24"/>
        </w:rPr>
        <w:t>).</w:t>
      </w:r>
    </w:p>
    <w:p w14:paraId="6D3F9B81" w14:textId="77777777" w:rsidR="009F4425" w:rsidRDefault="009F4425" w:rsidP="009F4425">
      <w:pPr>
        <w:rPr>
          <w:rFonts w:cs="Times New Roman"/>
          <w:szCs w:val="24"/>
        </w:rPr>
      </w:pPr>
    </w:p>
    <w:p w14:paraId="244D4C08" w14:textId="77777777" w:rsidR="009F4425" w:rsidRDefault="009F4425" w:rsidP="009F4425">
      <w:pPr>
        <w:rPr>
          <w:rFonts w:cs="Times New Roman"/>
          <w:szCs w:val="24"/>
        </w:rPr>
      </w:pPr>
    </w:p>
    <w:p w14:paraId="62F6EDD6" w14:textId="77777777" w:rsidR="009F4425" w:rsidRPr="009F4425" w:rsidRDefault="009F4425" w:rsidP="009F4425">
      <w:pPr>
        <w:pStyle w:val="ListParagraph"/>
        <w:numPr>
          <w:ilvl w:val="0"/>
          <w:numId w:val="22"/>
        </w:numPr>
        <w:spacing w:before="240"/>
        <w:contextualSpacing w:val="0"/>
        <w:outlineLvl w:val="0"/>
        <w:rPr>
          <w:b/>
          <w:vanish/>
        </w:rPr>
      </w:pPr>
    </w:p>
    <w:p w14:paraId="45FBD10E" w14:textId="10CB5134" w:rsidR="009F4425" w:rsidRDefault="009F4425" w:rsidP="009F4425">
      <w:pPr>
        <w:pStyle w:val="Heading1"/>
        <w:numPr>
          <w:ilvl w:val="0"/>
          <w:numId w:val="22"/>
        </w:numPr>
      </w:pPr>
      <w:r>
        <w:t xml:space="preserve">Supplementary </w:t>
      </w:r>
      <w:r>
        <w:t>Tables</w:t>
      </w:r>
    </w:p>
    <w:p w14:paraId="43CB43A2" w14:textId="446A884D" w:rsidR="001E0969" w:rsidRDefault="001E0969" w:rsidP="001E0969">
      <w:pPr>
        <w:keepNext/>
        <w:rPr>
          <w:rFonts w:cs="Times New Roman"/>
          <w:szCs w:val="24"/>
        </w:rPr>
      </w:pPr>
      <w:r>
        <w:rPr>
          <w:rFonts w:cs="Times New Roman"/>
          <w:b/>
          <w:bCs/>
          <w:szCs w:val="24"/>
        </w:rPr>
        <w:t xml:space="preserve">Supplementary Table 1. </w:t>
      </w:r>
      <w:r>
        <w:rPr>
          <w:rFonts w:cs="Times New Roman"/>
          <w:szCs w:val="24"/>
        </w:rPr>
        <w:t xml:space="preserve">CI replicates for initial set of cancer and non-cancer assays. The CI for each non-discarded replicate is listed beneath the </w:t>
      </w:r>
      <w:r w:rsidR="00902986">
        <w:rPr>
          <w:rFonts w:cs="Times New Roman"/>
          <w:szCs w:val="24"/>
        </w:rPr>
        <w:t>code</w:t>
      </w:r>
      <w:r>
        <w:rPr>
          <w:rFonts w:cs="Times New Roman"/>
          <w:szCs w:val="24"/>
        </w:rPr>
        <w:t xml:space="preserve"> of each cancer and non-cancer patient.</w:t>
      </w:r>
      <w:r w:rsidR="00902986">
        <w:rPr>
          <w:rFonts w:cs="Times New Roman"/>
          <w:szCs w:val="24"/>
        </w:rPr>
        <w:t xml:space="preserve"> </w:t>
      </w:r>
    </w:p>
    <w:p w14:paraId="4C313F3E" w14:textId="11F3B926" w:rsidR="00A57101" w:rsidRDefault="00A57101" w:rsidP="00A57101">
      <w:pPr>
        <w:keepNext/>
        <w:rPr>
          <w:rFonts w:cs="Times New Roman"/>
          <w:szCs w:val="24"/>
        </w:rPr>
      </w:pPr>
      <w:r>
        <w:rPr>
          <w:rFonts w:cs="Times New Roman"/>
          <w:b/>
          <w:bCs/>
          <w:szCs w:val="24"/>
        </w:rPr>
        <w:t xml:space="preserve">Supplementary Table 2.  </w:t>
      </w:r>
      <w:r>
        <w:rPr>
          <w:rFonts w:cs="Times New Roman"/>
          <w:szCs w:val="24"/>
        </w:rPr>
        <w:t xml:space="preserve">Chemotaxis data summary for initial cancer and non-cancer data comparison. </w:t>
      </w:r>
      <w:r w:rsidR="00017968">
        <w:rPr>
          <w:rFonts w:cs="Times New Roman"/>
          <w:szCs w:val="24"/>
        </w:rPr>
        <w:t>M=male, not castrated. F=female, not spayed. CM=male, castrated. SF=female, spayed. Unlisted gender information indicates incomplete information on castration or spaying.</w:t>
      </w:r>
    </w:p>
    <w:p w14:paraId="35A31389" w14:textId="77777777" w:rsidR="00A57101" w:rsidRDefault="00A57101" w:rsidP="001E0969">
      <w:pPr>
        <w:keepNext/>
        <w:rPr>
          <w:rFonts w:cs="Times New Roman"/>
          <w:szCs w:val="24"/>
        </w:rPr>
      </w:pPr>
    </w:p>
    <w:p w14:paraId="67EE8540" w14:textId="77777777" w:rsidR="001E0969" w:rsidRDefault="001E0969" w:rsidP="001E0969"/>
    <w:p w14:paraId="191B612D" w14:textId="05D27638" w:rsidR="001E0969" w:rsidRDefault="001E0969" w:rsidP="001E0969">
      <w:pPr>
        <w:keepNext/>
        <w:rPr>
          <w:rFonts w:cs="Times New Roman"/>
          <w:szCs w:val="24"/>
        </w:rPr>
      </w:pPr>
      <w:r>
        <w:rPr>
          <w:rFonts w:cs="Times New Roman"/>
          <w:b/>
          <w:bCs/>
          <w:szCs w:val="24"/>
        </w:rPr>
        <w:t xml:space="preserve">Supplementary Table </w:t>
      </w:r>
      <w:r w:rsidR="00A57101">
        <w:rPr>
          <w:rFonts w:cs="Times New Roman"/>
          <w:b/>
          <w:bCs/>
          <w:szCs w:val="24"/>
        </w:rPr>
        <w:t>3</w:t>
      </w:r>
      <w:r>
        <w:rPr>
          <w:rFonts w:cs="Times New Roman"/>
          <w:b/>
          <w:bCs/>
          <w:szCs w:val="24"/>
        </w:rPr>
        <w:t xml:space="preserve">. </w:t>
      </w:r>
      <w:r>
        <w:rPr>
          <w:rFonts w:cs="Times New Roman"/>
          <w:szCs w:val="24"/>
        </w:rPr>
        <w:t>Sample assay repeats for dog patients with (P03) and without (P09) diagnosed cancer. Each of the assay repeats shows a mean CI above and below the moderate risk threshold for cancer and non-cancer patients, respectively.</w:t>
      </w:r>
    </w:p>
    <w:tbl>
      <w:tblPr>
        <w:tblW w:w="0" w:type="auto"/>
        <w:jc w:val="center"/>
        <w:tblLayout w:type="fixed"/>
        <w:tblLook w:val="04A0" w:firstRow="1" w:lastRow="0" w:firstColumn="1" w:lastColumn="0" w:noHBand="0" w:noVBand="1"/>
      </w:tblPr>
      <w:tblGrid>
        <w:gridCol w:w="1210"/>
        <w:gridCol w:w="1384"/>
        <w:gridCol w:w="1032"/>
        <w:gridCol w:w="1032"/>
        <w:gridCol w:w="1032"/>
        <w:gridCol w:w="1032"/>
        <w:gridCol w:w="1032"/>
      </w:tblGrid>
      <w:tr w:rsidR="001E0969" w14:paraId="16D28849" w14:textId="77777777" w:rsidTr="001002B2">
        <w:trPr>
          <w:trHeight w:val="290"/>
          <w:jc w:val="center"/>
        </w:trPr>
        <w:tc>
          <w:tcPr>
            <w:tcW w:w="1210" w:type="dxa"/>
            <w:tcBorders>
              <w:top w:val="single" w:sz="12" w:space="0" w:color="auto"/>
              <w:left w:val="single" w:sz="12" w:space="0" w:color="auto"/>
              <w:bottom w:val="single" w:sz="6" w:space="0" w:color="auto"/>
              <w:right w:val="single" w:sz="12" w:space="0" w:color="auto"/>
            </w:tcBorders>
          </w:tcPr>
          <w:p w14:paraId="4A6BB8A4" w14:textId="77777777" w:rsidR="001E0969" w:rsidRDefault="001E0969" w:rsidP="001002B2">
            <w:pPr>
              <w:autoSpaceDE w:val="0"/>
              <w:autoSpaceDN w:val="0"/>
              <w:adjustRightInd w:val="0"/>
              <w:spacing w:before="0" w:after="0" w:line="276" w:lineRule="auto"/>
              <w:jc w:val="right"/>
              <w:rPr>
                <w:rFonts w:ascii="Calibri" w:hAnsi="Calibri" w:cs="Calibri"/>
                <w:color w:val="000000"/>
                <w:sz w:val="22"/>
              </w:rPr>
            </w:pPr>
          </w:p>
        </w:tc>
        <w:tc>
          <w:tcPr>
            <w:tcW w:w="3448" w:type="dxa"/>
            <w:gridSpan w:val="3"/>
            <w:tcBorders>
              <w:top w:val="single" w:sz="12" w:space="0" w:color="auto"/>
              <w:left w:val="single" w:sz="12" w:space="0" w:color="auto"/>
              <w:bottom w:val="single" w:sz="6" w:space="0" w:color="auto"/>
              <w:right w:val="single" w:sz="12" w:space="0" w:color="auto"/>
            </w:tcBorders>
          </w:tcPr>
          <w:p w14:paraId="21973562"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P03 (Mast Cell Tumor)</w:t>
            </w:r>
          </w:p>
        </w:tc>
        <w:tc>
          <w:tcPr>
            <w:tcW w:w="3096" w:type="dxa"/>
            <w:gridSpan w:val="3"/>
            <w:tcBorders>
              <w:top w:val="single" w:sz="12" w:space="0" w:color="auto"/>
              <w:left w:val="single" w:sz="12" w:space="0" w:color="auto"/>
              <w:bottom w:val="single" w:sz="6" w:space="0" w:color="auto"/>
              <w:right w:val="single" w:sz="12" w:space="0" w:color="auto"/>
            </w:tcBorders>
            <w:hideMark/>
          </w:tcPr>
          <w:p w14:paraId="40E7C738"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P09 (Non-cancer)</w:t>
            </w:r>
          </w:p>
        </w:tc>
      </w:tr>
      <w:tr w:rsidR="001E0969" w14:paraId="2A2EED69" w14:textId="77777777" w:rsidTr="001002B2">
        <w:trPr>
          <w:trHeight w:val="290"/>
          <w:jc w:val="center"/>
        </w:trPr>
        <w:tc>
          <w:tcPr>
            <w:tcW w:w="1210" w:type="dxa"/>
            <w:tcBorders>
              <w:top w:val="single" w:sz="6" w:space="0" w:color="auto"/>
              <w:left w:val="single" w:sz="12" w:space="0" w:color="auto"/>
              <w:bottom w:val="single" w:sz="6" w:space="0" w:color="auto"/>
              <w:right w:val="single" w:sz="12" w:space="0" w:color="auto"/>
            </w:tcBorders>
          </w:tcPr>
          <w:p w14:paraId="25C3234D" w14:textId="77777777" w:rsidR="001E0969" w:rsidRDefault="001E0969" w:rsidP="001002B2">
            <w:pPr>
              <w:autoSpaceDE w:val="0"/>
              <w:autoSpaceDN w:val="0"/>
              <w:adjustRightInd w:val="0"/>
              <w:spacing w:before="0" w:after="0" w:line="276" w:lineRule="auto"/>
              <w:jc w:val="right"/>
              <w:rPr>
                <w:rFonts w:ascii="Calibri" w:hAnsi="Calibri" w:cs="Calibri"/>
                <w:color w:val="000000"/>
                <w:sz w:val="22"/>
              </w:rPr>
            </w:pPr>
          </w:p>
        </w:tc>
        <w:tc>
          <w:tcPr>
            <w:tcW w:w="1384" w:type="dxa"/>
            <w:tcBorders>
              <w:top w:val="single" w:sz="6" w:space="0" w:color="auto"/>
              <w:left w:val="single" w:sz="12" w:space="0" w:color="auto"/>
              <w:bottom w:val="single" w:sz="6" w:space="0" w:color="auto"/>
              <w:right w:val="single" w:sz="6" w:space="0" w:color="auto"/>
            </w:tcBorders>
          </w:tcPr>
          <w:p w14:paraId="4A2DFF17"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Assay 1</w:t>
            </w:r>
          </w:p>
        </w:tc>
        <w:tc>
          <w:tcPr>
            <w:tcW w:w="1032" w:type="dxa"/>
            <w:tcBorders>
              <w:top w:val="single" w:sz="6" w:space="0" w:color="auto"/>
              <w:left w:val="single" w:sz="6" w:space="0" w:color="auto"/>
              <w:bottom w:val="single" w:sz="6" w:space="0" w:color="auto"/>
              <w:right w:val="single" w:sz="6" w:space="0" w:color="auto"/>
            </w:tcBorders>
          </w:tcPr>
          <w:p w14:paraId="619FDF15"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Assay 2</w:t>
            </w:r>
          </w:p>
        </w:tc>
        <w:tc>
          <w:tcPr>
            <w:tcW w:w="1032" w:type="dxa"/>
            <w:tcBorders>
              <w:top w:val="single" w:sz="6" w:space="0" w:color="auto"/>
              <w:left w:val="single" w:sz="6" w:space="0" w:color="auto"/>
              <w:bottom w:val="single" w:sz="6" w:space="0" w:color="auto"/>
              <w:right w:val="single" w:sz="12" w:space="0" w:color="auto"/>
            </w:tcBorders>
          </w:tcPr>
          <w:p w14:paraId="4D3E1EA4"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Assay 3</w:t>
            </w:r>
          </w:p>
        </w:tc>
        <w:tc>
          <w:tcPr>
            <w:tcW w:w="1032" w:type="dxa"/>
            <w:tcBorders>
              <w:top w:val="single" w:sz="6" w:space="0" w:color="auto"/>
              <w:left w:val="single" w:sz="12" w:space="0" w:color="auto"/>
              <w:bottom w:val="single" w:sz="6" w:space="0" w:color="auto"/>
              <w:right w:val="single" w:sz="6" w:space="0" w:color="auto"/>
            </w:tcBorders>
            <w:hideMark/>
          </w:tcPr>
          <w:p w14:paraId="632A56A3"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Assay 1</w:t>
            </w:r>
          </w:p>
        </w:tc>
        <w:tc>
          <w:tcPr>
            <w:tcW w:w="1032" w:type="dxa"/>
            <w:tcBorders>
              <w:top w:val="single" w:sz="6" w:space="0" w:color="auto"/>
              <w:left w:val="single" w:sz="6" w:space="0" w:color="auto"/>
              <w:bottom w:val="single" w:sz="6" w:space="0" w:color="auto"/>
              <w:right w:val="single" w:sz="6" w:space="0" w:color="auto"/>
            </w:tcBorders>
            <w:hideMark/>
          </w:tcPr>
          <w:p w14:paraId="6A4A9BFB"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Assay 2</w:t>
            </w:r>
          </w:p>
        </w:tc>
        <w:tc>
          <w:tcPr>
            <w:tcW w:w="1032" w:type="dxa"/>
            <w:tcBorders>
              <w:top w:val="single" w:sz="6" w:space="0" w:color="auto"/>
              <w:left w:val="single" w:sz="6" w:space="0" w:color="auto"/>
              <w:bottom w:val="single" w:sz="6" w:space="0" w:color="auto"/>
              <w:right w:val="single" w:sz="12" w:space="0" w:color="auto"/>
            </w:tcBorders>
            <w:hideMark/>
          </w:tcPr>
          <w:p w14:paraId="4B4ED42F"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Assay 3</w:t>
            </w:r>
          </w:p>
        </w:tc>
      </w:tr>
      <w:tr w:rsidR="001E0969" w14:paraId="1157BAAF" w14:textId="77777777" w:rsidTr="001002B2">
        <w:trPr>
          <w:trHeight w:val="290"/>
          <w:jc w:val="center"/>
        </w:trPr>
        <w:tc>
          <w:tcPr>
            <w:tcW w:w="1210" w:type="dxa"/>
            <w:tcBorders>
              <w:top w:val="single" w:sz="6" w:space="0" w:color="auto"/>
              <w:left w:val="single" w:sz="12" w:space="0" w:color="auto"/>
              <w:bottom w:val="single" w:sz="6" w:space="0" w:color="auto"/>
              <w:right w:val="single" w:sz="12" w:space="0" w:color="auto"/>
            </w:tcBorders>
            <w:hideMark/>
          </w:tcPr>
          <w:p w14:paraId="6556A2EB" w14:textId="77777777" w:rsidR="001E0969" w:rsidRDefault="001E0969" w:rsidP="001002B2">
            <w:pPr>
              <w:autoSpaceDE w:val="0"/>
              <w:autoSpaceDN w:val="0"/>
              <w:adjustRightInd w:val="0"/>
              <w:spacing w:before="0" w:after="0" w:line="276" w:lineRule="auto"/>
              <w:rPr>
                <w:rFonts w:ascii="Calibri" w:hAnsi="Calibri" w:cs="Calibri"/>
                <w:color w:val="000000"/>
                <w:sz w:val="22"/>
              </w:rPr>
            </w:pPr>
            <w:r>
              <w:rPr>
                <w:rFonts w:ascii="Calibri" w:hAnsi="Calibri" w:cs="Calibri"/>
                <w:color w:val="000000"/>
                <w:sz w:val="22"/>
              </w:rPr>
              <w:t>Replicate 1</w:t>
            </w:r>
          </w:p>
        </w:tc>
        <w:tc>
          <w:tcPr>
            <w:tcW w:w="1384" w:type="dxa"/>
            <w:tcBorders>
              <w:top w:val="single" w:sz="6" w:space="0" w:color="auto"/>
              <w:left w:val="single" w:sz="12" w:space="0" w:color="auto"/>
              <w:bottom w:val="single" w:sz="6" w:space="0" w:color="auto"/>
              <w:right w:val="single" w:sz="6" w:space="0" w:color="auto"/>
            </w:tcBorders>
          </w:tcPr>
          <w:p w14:paraId="47B5000A"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0.123</w:t>
            </w:r>
          </w:p>
        </w:tc>
        <w:tc>
          <w:tcPr>
            <w:tcW w:w="1032" w:type="dxa"/>
            <w:tcBorders>
              <w:top w:val="single" w:sz="6" w:space="0" w:color="auto"/>
              <w:left w:val="single" w:sz="6" w:space="0" w:color="auto"/>
              <w:bottom w:val="single" w:sz="6" w:space="0" w:color="auto"/>
              <w:right w:val="single" w:sz="6" w:space="0" w:color="auto"/>
            </w:tcBorders>
          </w:tcPr>
          <w:p w14:paraId="05CF6457"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0.223</w:t>
            </w:r>
          </w:p>
        </w:tc>
        <w:tc>
          <w:tcPr>
            <w:tcW w:w="1032" w:type="dxa"/>
            <w:tcBorders>
              <w:top w:val="single" w:sz="6" w:space="0" w:color="auto"/>
              <w:left w:val="single" w:sz="6" w:space="0" w:color="auto"/>
              <w:bottom w:val="single" w:sz="6" w:space="0" w:color="auto"/>
              <w:right w:val="single" w:sz="12" w:space="0" w:color="auto"/>
            </w:tcBorders>
          </w:tcPr>
          <w:p w14:paraId="004915E1"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0.109</w:t>
            </w:r>
          </w:p>
        </w:tc>
        <w:tc>
          <w:tcPr>
            <w:tcW w:w="1032" w:type="dxa"/>
            <w:tcBorders>
              <w:top w:val="single" w:sz="6" w:space="0" w:color="auto"/>
              <w:left w:val="single" w:sz="12" w:space="0" w:color="auto"/>
              <w:bottom w:val="single" w:sz="6" w:space="0" w:color="auto"/>
              <w:right w:val="single" w:sz="6" w:space="0" w:color="auto"/>
            </w:tcBorders>
            <w:hideMark/>
          </w:tcPr>
          <w:p w14:paraId="0ED91C07"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-0.159</w:t>
            </w:r>
          </w:p>
        </w:tc>
        <w:tc>
          <w:tcPr>
            <w:tcW w:w="1032" w:type="dxa"/>
            <w:tcBorders>
              <w:top w:val="single" w:sz="6" w:space="0" w:color="auto"/>
              <w:left w:val="single" w:sz="6" w:space="0" w:color="auto"/>
              <w:bottom w:val="single" w:sz="6" w:space="0" w:color="auto"/>
              <w:right w:val="single" w:sz="6" w:space="0" w:color="auto"/>
            </w:tcBorders>
            <w:hideMark/>
          </w:tcPr>
          <w:p w14:paraId="3A14F05E"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-0.051</w:t>
            </w:r>
          </w:p>
        </w:tc>
        <w:tc>
          <w:tcPr>
            <w:tcW w:w="1032" w:type="dxa"/>
            <w:tcBorders>
              <w:top w:val="single" w:sz="6" w:space="0" w:color="auto"/>
              <w:left w:val="single" w:sz="6" w:space="0" w:color="auto"/>
              <w:bottom w:val="single" w:sz="6" w:space="0" w:color="auto"/>
              <w:right w:val="single" w:sz="12" w:space="0" w:color="auto"/>
            </w:tcBorders>
            <w:hideMark/>
          </w:tcPr>
          <w:p w14:paraId="5056145B"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0.294</w:t>
            </w:r>
          </w:p>
        </w:tc>
      </w:tr>
      <w:tr w:rsidR="001E0969" w14:paraId="7C39CA11" w14:textId="77777777" w:rsidTr="001002B2">
        <w:trPr>
          <w:trHeight w:val="290"/>
          <w:jc w:val="center"/>
        </w:trPr>
        <w:tc>
          <w:tcPr>
            <w:tcW w:w="1210" w:type="dxa"/>
            <w:tcBorders>
              <w:top w:val="single" w:sz="6" w:space="0" w:color="auto"/>
              <w:left w:val="single" w:sz="12" w:space="0" w:color="auto"/>
              <w:bottom w:val="single" w:sz="6" w:space="0" w:color="auto"/>
              <w:right w:val="single" w:sz="12" w:space="0" w:color="auto"/>
            </w:tcBorders>
            <w:hideMark/>
          </w:tcPr>
          <w:p w14:paraId="6DA173F5" w14:textId="77777777" w:rsidR="001E0969" w:rsidRDefault="001E0969" w:rsidP="001002B2">
            <w:pPr>
              <w:autoSpaceDE w:val="0"/>
              <w:autoSpaceDN w:val="0"/>
              <w:adjustRightInd w:val="0"/>
              <w:spacing w:before="0" w:after="0" w:line="276" w:lineRule="auto"/>
              <w:rPr>
                <w:rFonts w:ascii="Calibri" w:hAnsi="Calibri" w:cs="Calibri"/>
                <w:color w:val="000000"/>
                <w:sz w:val="22"/>
              </w:rPr>
            </w:pPr>
            <w:r>
              <w:rPr>
                <w:rFonts w:ascii="Calibri" w:hAnsi="Calibri" w:cs="Calibri"/>
                <w:color w:val="000000"/>
                <w:sz w:val="22"/>
              </w:rPr>
              <w:t>Replicate 2</w:t>
            </w:r>
          </w:p>
        </w:tc>
        <w:tc>
          <w:tcPr>
            <w:tcW w:w="1384" w:type="dxa"/>
            <w:tcBorders>
              <w:top w:val="single" w:sz="6" w:space="0" w:color="auto"/>
              <w:left w:val="single" w:sz="12" w:space="0" w:color="auto"/>
              <w:bottom w:val="single" w:sz="6" w:space="0" w:color="auto"/>
              <w:right w:val="single" w:sz="6" w:space="0" w:color="auto"/>
            </w:tcBorders>
          </w:tcPr>
          <w:p w14:paraId="65EA7A88"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0.233</w:t>
            </w:r>
          </w:p>
        </w:tc>
        <w:tc>
          <w:tcPr>
            <w:tcW w:w="1032" w:type="dxa"/>
            <w:tcBorders>
              <w:top w:val="single" w:sz="6" w:space="0" w:color="auto"/>
              <w:left w:val="single" w:sz="6" w:space="0" w:color="auto"/>
              <w:bottom w:val="single" w:sz="6" w:space="0" w:color="auto"/>
              <w:right w:val="single" w:sz="6" w:space="0" w:color="auto"/>
            </w:tcBorders>
          </w:tcPr>
          <w:p w14:paraId="6F6BAF69"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0.278</w:t>
            </w:r>
          </w:p>
        </w:tc>
        <w:tc>
          <w:tcPr>
            <w:tcW w:w="1032" w:type="dxa"/>
            <w:tcBorders>
              <w:top w:val="single" w:sz="6" w:space="0" w:color="auto"/>
              <w:left w:val="single" w:sz="6" w:space="0" w:color="auto"/>
              <w:bottom w:val="single" w:sz="6" w:space="0" w:color="auto"/>
              <w:right w:val="single" w:sz="12" w:space="0" w:color="auto"/>
            </w:tcBorders>
          </w:tcPr>
          <w:p w14:paraId="11354097"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0.052</w:t>
            </w:r>
          </w:p>
        </w:tc>
        <w:tc>
          <w:tcPr>
            <w:tcW w:w="1032" w:type="dxa"/>
            <w:tcBorders>
              <w:top w:val="single" w:sz="6" w:space="0" w:color="auto"/>
              <w:left w:val="single" w:sz="12" w:space="0" w:color="auto"/>
              <w:bottom w:val="single" w:sz="6" w:space="0" w:color="auto"/>
              <w:right w:val="single" w:sz="6" w:space="0" w:color="auto"/>
            </w:tcBorders>
            <w:hideMark/>
          </w:tcPr>
          <w:p w14:paraId="42FB94A2"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-0.153</w:t>
            </w:r>
          </w:p>
        </w:tc>
        <w:tc>
          <w:tcPr>
            <w:tcW w:w="1032" w:type="dxa"/>
            <w:tcBorders>
              <w:top w:val="single" w:sz="6" w:space="0" w:color="auto"/>
              <w:left w:val="single" w:sz="6" w:space="0" w:color="auto"/>
              <w:bottom w:val="single" w:sz="6" w:space="0" w:color="auto"/>
              <w:right w:val="single" w:sz="6" w:space="0" w:color="auto"/>
            </w:tcBorders>
            <w:hideMark/>
          </w:tcPr>
          <w:p w14:paraId="4881D209"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0.163</w:t>
            </w:r>
          </w:p>
        </w:tc>
        <w:tc>
          <w:tcPr>
            <w:tcW w:w="1032" w:type="dxa"/>
            <w:tcBorders>
              <w:top w:val="single" w:sz="6" w:space="0" w:color="auto"/>
              <w:left w:val="single" w:sz="6" w:space="0" w:color="auto"/>
              <w:bottom w:val="single" w:sz="6" w:space="0" w:color="auto"/>
              <w:right w:val="single" w:sz="12" w:space="0" w:color="auto"/>
            </w:tcBorders>
            <w:hideMark/>
          </w:tcPr>
          <w:p w14:paraId="37636C2D"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-0.294</w:t>
            </w:r>
          </w:p>
        </w:tc>
      </w:tr>
      <w:tr w:rsidR="001E0969" w14:paraId="10394810" w14:textId="77777777" w:rsidTr="001002B2">
        <w:trPr>
          <w:trHeight w:val="290"/>
          <w:jc w:val="center"/>
        </w:trPr>
        <w:tc>
          <w:tcPr>
            <w:tcW w:w="1210" w:type="dxa"/>
            <w:tcBorders>
              <w:top w:val="single" w:sz="6" w:space="0" w:color="auto"/>
              <w:left w:val="single" w:sz="12" w:space="0" w:color="auto"/>
              <w:bottom w:val="single" w:sz="6" w:space="0" w:color="auto"/>
              <w:right w:val="single" w:sz="12" w:space="0" w:color="auto"/>
            </w:tcBorders>
            <w:hideMark/>
          </w:tcPr>
          <w:p w14:paraId="5009F891" w14:textId="77777777" w:rsidR="001E0969" w:rsidRDefault="001E0969" w:rsidP="001002B2">
            <w:pPr>
              <w:autoSpaceDE w:val="0"/>
              <w:autoSpaceDN w:val="0"/>
              <w:adjustRightInd w:val="0"/>
              <w:spacing w:before="0" w:after="0" w:line="276" w:lineRule="auto"/>
              <w:rPr>
                <w:rFonts w:ascii="Calibri" w:hAnsi="Calibri" w:cs="Calibri"/>
                <w:color w:val="000000"/>
                <w:sz w:val="22"/>
              </w:rPr>
            </w:pPr>
            <w:r>
              <w:rPr>
                <w:rFonts w:ascii="Calibri" w:hAnsi="Calibri" w:cs="Calibri"/>
                <w:color w:val="000000"/>
                <w:sz w:val="22"/>
              </w:rPr>
              <w:t>Replicate 3</w:t>
            </w:r>
          </w:p>
        </w:tc>
        <w:tc>
          <w:tcPr>
            <w:tcW w:w="1384" w:type="dxa"/>
            <w:tcBorders>
              <w:top w:val="single" w:sz="6" w:space="0" w:color="auto"/>
              <w:left w:val="single" w:sz="12" w:space="0" w:color="auto"/>
              <w:bottom w:val="single" w:sz="6" w:space="0" w:color="auto"/>
              <w:right w:val="single" w:sz="6" w:space="0" w:color="auto"/>
            </w:tcBorders>
          </w:tcPr>
          <w:p w14:paraId="2991BF66"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0.12</w:t>
            </w:r>
          </w:p>
        </w:tc>
        <w:tc>
          <w:tcPr>
            <w:tcW w:w="1032" w:type="dxa"/>
            <w:tcBorders>
              <w:top w:val="single" w:sz="6" w:space="0" w:color="auto"/>
              <w:left w:val="single" w:sz="6" w:space="0" w:color="auto"/>
              <w:bottom w:val="single" w:sz="6" w:space="0" w:color="auto"/>
              <w:right w:val="single" w:sz="6" w:space="0" w:color="auto"/>
            </w:tcBorders>
          </w:tcPr>
          <w:p w14:paraId="57687509"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-0.042</w:t>
            </w:r>
          </w:p>
        </w:tc>
        <w:tc>
          <w:tcPr>
            <w:tcW w:w="1032" w:type="dxa"/>
            <w:tcBorders>
              <w:top w:val="single" w:sz="6" w:space="0" w:color="auto"/>
              <w:left w:val="single" w:sz="6" w:space="0" w:color="auto"/>
              <w:bottom w:val="single" w:sz="6" w:space="0" w:color="auto"/>
              <w:right w:val="single" w:sz="12" w:space="0" w:color="auto"/>
            </w:tcBorders>
          </w:tcPr>
          <w:p w14:paraId="5D5EB0F6"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0.045</w:t>
            </w:r>
          </w:p>
        </w:tc>
        <w:tc>
          <w:tcPr>
            <w:tcW w:w="1032" w:type="dxa"/>
            <w:tcBorders>
              <w:top w:val="single" w:sz="6" w:space="0" w:color="auto"/>
              <w:left w:val="single" w:sz="12" w:space="0" w:color="auto"/>
              <w:bottom w:val="single" w:sz="6" w:space="0" w:color="auto"/>
              <w:right w:val="single" w:sz="6" w:space="0" w:color="auto"/>
            </w:tcBorders>
            <w:hideMark/>
          </w:tcPr>
          <w:p w14:paraId="14B7AD47"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-0.167</w:t>
            </w:r>
          </w:p>
        </w:tc>
        <w:tc>
          <w:tcPr>
            <w:tcW w:w="1032" w:type="dxa"/>
            <w:tcBorders>
              <w:top w:val="single" w:sz="6" w:space="0" w:color="auto"/>
              <w:left w:val="single" w:sz="6" w:space="0" w:color="auto"/>
              <w:bottom w:val="single" w:sz="6" w:space="0" w:color="auto"/>
              <w:right w:val="single" w:sz="6" w:space="0" w:color="auto"/>
            </w:tcBorders>
            <w:hideMark/>
          </w:tcPr>
          <w:p w14:paraId="657F4373"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-0.136</w:t>
            </w:r>
          </w:p>
        </w:tc>
        <w:tc>
          <w:tcPr>
            <w:tcW w:w="1032" w:type="dxa"/>
            <w:tcBorders>
              <w:top w:val="single" w:sz="6" w:space="0" w:color="auto"/>
              <w:left w:val="single" w:sz="6" w:space="0" w:color="auto"/>
              <w:bottom w:val="single" w:sz="6" w:space="0" w:color="auto"/>
              <w:right w:val="single" w:sz="12" w:space="0" w:color="auto"/>
            </w:tcBorders>
            <w:hideMark/>
          </w:tcPr>
          <w:p w14:paraId="5E4B77A1"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-0.127</w:t>
            </w:r>
          </w:p>
        </w:tc>
      </w:tr>
      <w:tr w:rsidR="001E0969" w14:paraId="67FE76BC" w14:textId="77777777" w:rsidTr="001002B2">
        <w:trPr>
          <w:trHeight w:val="290"/>
          <w:jc w:val="center"/>
        </w:trPr>
        <w:tc>
          <w:tcPr>
            <w:tcW w:w="1210" w:type="dxa"/>
            <w:tcBorders>
              <w:top w:val="single" w:sz="6" w:space="0" w:color="auto"/>
              <w:left w:val="single" w:sz="12" w:space="0" w:color="auto"/>
              <w:bottom w:val="single" w:sz="6" w:space="0" w:color="auto"/>
              <w:right w:val="single" w:sz="12" w:space="0" w:color="auto"/>
            </w:tcBorders>
            <w:hideMark/>
          </w:tcPr>
          <w:p w14:paraId="008E48DC" w14:textId="77777777" w:rsidR="001E0969" w:rsidRDefault="001E0969" w:rsidP="001002B2">
            <w:pPr>
              <w:autoSpaceDE w:val="0"/>
              <w:autoSpaceDN w:val="0"/>
              <w:adjustRightInd w:val="0"/>
              <w:spacing w:before="0" w:after="0" w:line="276" w:lineRule="auto"/>
              <w:rPr>
                <w:rFonts w:ascii="Calibri" w:hAnsi="Calibri" w:cs="Calibri"/>
                <w:color w:val="000000"/>
                <w:sz w:val="22"/>
              </w:rPr>
            </w:pPr>
            <w:r>
              <w:rPr>
                <w:rFonts w:ascii="Calibri" w:hAnsi="Calibri" w:cs="Calibri"/>
                <w:color w:val="000000"/>
                <w:sz w:val="22"/>
              </w:rPr>
              <w:t>Replicate 4</w:t>
            </w:r>
          </w:p>
        </w:tc>
        <w:tc>
          <w:tcPr>
            <w:tcW w:w="1384" w:type="dxa"/>
            <w:tcBorders>
              <w:top w:val="single" w:sz="6" w:space="0" w:color="auto"/>
              <w:left w:val="single" w:sz="12" w:space="0" w:color="auto"/>
              <w:bottom w:val="single" w:sz="6" w:space="0" w:color="auto"/>
              <w:right w:val="single" w:sz="6" w:space="0" w:color="auto"/>
            </w:tcBorders>
          </w:tcPr>
          <w:p w14:paraId="6D8DD87E"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0.174</w:t>
            </w:r>
          </w:p>
        </w:tc>
        <w:tc>
          <w:tcPr>
            <w:tcW w:w="1032" w:type="dxa"/>
            <w:tcBorders>
              <w:top w:val="single" w:sz="6" w:space="0" w:color="auto"/>
              <w:left w:val="single" w:sz="6" w:space="0" w:color="auto"/>
              <w:bottom w:val="single" w:sz="6" w:space="0" w:color="auto"/>
              <w:right w:val="single" w:sz="6" w:space="0" w:color="auto"/>
            </w:tcBorders>
          </w:tcPr>
          <w:p w14:paraId="75B738EE"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0.286</w:t>
            </w:r>
          </w:p>
        </w:tc>
        <w:tc>
          <w:tcPr>
            <w:tcW w:w="1032" w:type="dxa"/>
            <w:tcBorders>
              <w:top w:val="single" w:sz="6" w:space="0" w:color="auto"/>
              <w:left w:val="single" w:sz="6" w:space="0" w:color="auto"/>
              <w:bottom w:val="single" w:sz="6" w:space="0" w:color="auto"/>
              <w:right w:val="single" w:sz="12" w:space="0" w:color="auto"/>
            </w:tcBorders>
          </w:tcPr>
          <w:p w14:paraId="11100211"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0.071</w:t>
            </w:r>
          </w:p>
        </w:tc>
        <w:tc>
          <w:tcPr>
            <w:tcW w:w="1032" w:type="dxa"/>
            <w:tcBorders>
              <w:top w:val="single" w:sz="6" w:space="0" w:color="auto"/>
              <w:left w:val="single" w:sz="12" w:space="0" w:color="auto"/>
              <w:bottom w:val="single" w:sz="6" w:space="0" w:color="auto"/>
              <w:right w:val="single" w:sz="6" w:space="0" w:color="auto"/>
            </w:tcBorders>
            <w:hideMark/>
          </w:tcPr>
          <w:p w14:paraId="2E2C068A"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0.031</w:t>
            </w:r>
          </w:p>
        </w:tc>
        <w:tc>
          <w:tcPr>
            <w:tcW w:w="1032" w:type="dxa"/>
            <w:tcBorders>
              <w:top w:val="single" w:sz="6" w:space="0" w:color="auto"/>
              <w:left w:val="single" w:sz="6" w:space="0" w:color="auto"/>
              <w:bottom w:val="single" w:sz="6" w:space="0" w:color="auto"/>
              <w:right w:val="single" w:sz="6" w:space="0" w:color="auto"/>
            </w:tcBorders>
            <w:hideMark/>
          </w:tcPr>
          <w:p w14:paraId="6A03B718"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0.164</w:t>
            </w:r>
          </w:p>
        </w:tc>
        <w:tc>
          <w:tcPr>
            <w:tcW w:w="1032" w:type="dxa"/>
            <w:tcBorders>
              <w:top w:val="single" w:sz="6" w:space="0" w:color="auto"/>
              <w:left w:val="single" w:sz="6" w:space="0" w:color="auto"/>
              <w:bottom w:val="single" w:sz="6" w:space="0" w:color="auto"/>
              <w:right w:val="single" w:sz="12" w:space="0" w:color="auto"/>
            </w:tcBorders>
            <w:hideMark/>
          </w:tcPr>
          <w:p w14:paraId="2B940131"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0.147</w:t>
            </w:r>
          </w:p>
        </w:tc>
      </w:tr>
      <w:tr w:rsidR="001E0969" w14:paraId="34C43FCD" w14:textId="77777777" w:rsidTr="001002B2">
        <w:trPr>
          <w:trHeight w:val="290"/>
          <w:jc w:val="center"/>
        </w:trPr>
        <w:tc>
          <w:tcPr>
            <w:tcW w:w="1210" w:type="dxa"/>
            <w:tcBorders>
              <w:top w:val="single" w:sz="6" w:space="0" w:color="auto"/>
              <w:left w:val="single" w:sz="12" w:space="0" w:color="auto"/>
              <w:bottom w:val="single" w:sz="6" w:space="0" w:color="auto"/>
              <w:right w:val="single" w:sz="12" w:space="0" w:color="auto"/>
            </w:tcBorders>
            <w:hideMark/>
          </w:tcPr>
          <w:p w14:paraId="281E0482" w14:textId="77777777" w:rsidR="001E0969" w:rsidRDefault="001E0969" w:rsidP="001002B2">
            <w:pPr>
              <w:autoSpaceDE w:val="0"/>
              <w:autoSpaceDN w:val="0"/>
              <w:adjustRightInd w:val="0"/>
              <w:spacing w:before="0" w:after="0" w:line="276" w:lineRule="auto"/>
              <w:rPr>
                <w:rFonts w:ascii="Calibri" w:hAnsi="Calibri" w:cs="Calibri"/>
                <w:color w:val="000000"/>
                <w:sz w:val="22"/>
              </w:rPr>
            </w:pPr>
            <w:r>
              <w:rPr>
                <w:rFonts w:ascii="Calibri" w:hAnsi="Calibri" w:cs="Calibri"/>
                <w:color w:val="000000"/>
                <w:sz w:val="22"/>
              </w:rPr>
              <w:t>Replicate 5</w:t>
            </w:r>
          </w:p>
        </w:tc>
        <w:tc>
          <w:tcPr>
            <w:tcW w:w="1384" w:type="dxa"/>
            <w:tcBorders>
              <w:top w:val="single" w:sz="6" w:space="0" w:color="auto"/>
              <w:left w:val="single" w:sz="12" w:space="0" w:color="auto"/>
              <w:bottom w:val="single" w:sz="6" w:space="0" w:color="auto"/>
              <w:right w:val="single" w:sz="6" w:space="0" w:color="auto"/>
            </w:tcBorders>
          </w:tcPr>
          <w:p w14:paraId="229FAC85"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0.102</w:t>
            </w:r>
          </w:p>
        </w:tc>
        <w:tc>
          <w:tcPr>
            <w:tcW w:w="1032" w:type="dxa"/>
            <w:tcBorders>
              <w:top w:val="single" w:sz="6" w:space="0" w:color="auto"/>
              <w:left w:val="single" w:sz="6" w:space="0" w:color="auto"/>
              <w:bottom w:val="single" w:sz="6" w:space="0" w:color="auto"/>
              <w:right w:val="single" w:sz="6" w:space="0" w:color="auto"/>
            </w:tcBorders>
          </w:tcPr>
          <w:p w14:paraId="62AA341E"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0.147</w:t>
            </w:r>
          </w:p>
        </w:tc>
        <w:tc>
          <w:tcPr>
            <w:tcW w:w="1032" w:type="dxa"/>
            <w:tcBorders>
              <w:top w:val="single" w:sz="6" w:space="0" w:color="auto"/>
              <w:left w:val="single" w:sz="6" w:space="0" w:color="auto"/>
              <w:bottom w:val="single" w:sz="6" w:space="0" w:color="auto"/>
              <w:right w:val="single" w:sz="12" w:space="0" w:color="auto"/>
            </w:tcBorders>
          </w:tcPr>
          <w:p w14:paraId="369E5FE1"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0.211</w:t>
            </w:r>
          </w:p>
        </w:tc>
        <w:tc>
          <w:tcPr>
            <w:tcW w:w="1032" w:type="dxa"/>
            <w:tcBorders>
              <w:top w:val="single" w:sz="6" w:space="0" w:color="auto"/>
              <w:left w:val="single" w:sz="12" w:space="0" w:color="auto"/>
              <w:bottom w:val="single" w:sz="6" w:space="0" w:color="auto"/>
              <w:right w:val="single" w:sz="6" w:space="0" w:color="auto"/>
            </w:tcBorders>
            <w:hideMark/>
          </w:tcPr>
          <w:p w14:paraId="74D113AD"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0.096</w:t>
            </w:r>
          </w:p>
        </w:tc>
        <w:tc>
          <w:tcPr>
            <w:tcW w:w="1032" w:type="dxa"/>
            <w:tcBorders>
              <w:top w:val="single" w:sz="6" w:space="0" w:color="auto"/>
              <w:left w:val="single" w:sz="6" w:space="0" w:color="auto"/>
              <w:bottom w:val="single" w:sz="6" w:space="0" w:color="auto"/>
              <w:right w:val="single" w:sz="6" w:space="0" w:color="auto"/>
            </w:tcBorders>
            <w:hideMark/>
          </w:tcPr>
          <w:p w14:paraId="13ECC4FE"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-0.31</w:t>
            </w:r>
          </w:p>
        </w:tc>
        <w:tc>
          <w:tcPr>
            <w:tcW w:w="1032" w:type="dxa"/>
            <w:tcBorders>
              <w:top w:val="single" w:sz="6" w:space="0" w:color="auto"/>
              <w:left w:val="single" w:sz="6" w:space="0" w:color="auto"/>
              <w:bottom w:val="single" w:sz="6" w:space="0" w:color="auto"/>
              <w:right w:val="single" w:sz="12" w:space="0" w:color="auto"/>
            </w:tcBorders>
            <w:hideMark/>
          </w:tcPr>
          <w:p w14:paraId="7D4E0289"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-0.143</w:t>
            </w:r>
          </w:p>
        </w:tc>
      </w:tr>
      <w:tr w:rsidR="001E0969" w14:paraId="1F4CABBC" w14:textId="77777777" w:rsidTr="001002B2">
        <w:trPr>
          <w:trHeight w:val="290"/>
          <w:jc w:val="center"/>
        </w:trPr>
        <w:tc>
          <w:tcPr>
            <w:tcW w:w="1210" w:type="dxa"/>
            <w:tcBorders>
              <w:top w:val="single" w:sz="6" w:space="0" w:color="auto"/>
              <w:left w:val="single" w:sz="12" w:space="0" w:color="auto"/>
              <w:bottom w:val="single" w:sz="6" w:space="0" w:color="auto"/>
              <w:right w:val="single" w:sz="12" w:space="0" w:color="auto"/>
            </w:tcBorders>
            <w:hideMark/>
          </w:tcPr>
          <w:p w14:paraId="67D06307" w14:textId="77777777" w:rsidR="001E0969" w:rsidRDefault="001E0969" w:rsidP="001002B2">
            <w:pPr>
              <w:autoSpaceDE w:val="0"/>
              <w:autoSpaceDN w:val="0"/>
              <w:adjustRightInd w:val="0"/>
              <w:spacing w:before="0" w:after="0" w:line="276" w:lineRule="auto"/>
              <w:rPr>
                <w:rFonts w:ascii="Calibri" w:hAnsi="Calibri" w:cs="Calibri"/>
                <w:color w:val="000000"/>
                <w:sz w:val="22"/>
              </w:rPr>
            </w:pPr>
            <w:r>
              <w:rPr>
                <w:rFonts w:ascii="Calibri" w:hAnsi="Calibri" w:cs="Calibri"/>
                <w:color w:val="000000"/>
                <w:sz w:val="22"/>
              </w:rPr>
              <w:t>Replicate 6</w:t>
            </w:r>
          </w:p>
        </w:tc>
        <w:tc>
          <w:tcPr>
            <w:tcW w:w="1384" w:type="dxa"/>
            <w:tcBorders>
              <w:top w:val="single" w:sz="6" w:space="0" w:color="auto"/>
              <w:left w:val="single" w:sz="12" w:space="0" w:color="auto"/>
              <w:bottom w:val="single" w:sz="6" w:space="0" w:color="auto"/>
              <w:right w:val="single" w:sz="6" w:space="0" w:color="auto"/>
            </w:tcBorders>
          </w:tcPr>
          <w:p w14:paraId="4073EF4A"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0.082</w:t>
            </w:r>
          </w:p>
        </w:tc>
        <w:tc>
          <w:tcPr>
            <w:tcW w:w="1032" w:type="dxa"/>
            <w:tcBorders>
              <w:top w:val="single" w:sz="6" w:space="0" w:color="auto"/>
              <w:left w:val="single" w:sz="6" w:space="0" w:color="auto"/>
              <w:bottom w:val="single" w:sz="6" w:space="0" w:color="auto"/>
              <w:right w:val="single" w:sz="6" w:space="0" w:color="auto"/>
            </w:tcBorders>
          </w:tcPr>
          <w:p w14:paraId="3AAFCB5D"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c>
          <w:tcPr>
            <w:tcW w:w="1032" w:type="dxa"/>
            <w:tcBorders>
              <w:top w:val="single" w:sz="6" w:space="0" w:color="auto"/>
              <w:left w:val="single" w:sz="6" w:space="0" w:color="auto"/>
              <w:bottom w:val="single" w:sz="6" w:space="0" w:color="auto"/>
              <w:right w:val="single" w:sz="12" w:space="0" w:color="auto"/>
            </w:tcBorders>
          </w:tcPr>
          <w:p w14:paraId="051994B1"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0.027</w:t>
            </w:r>
          </w:p>
        </w:tc>
        <w:tc>
          <w:tcPr>
            <w:tcW w:w="1032" w:type="dxa"/>
            <w:tcBorders>
              <w:top w:val="single" w:sz="6" w:space="0" w:color="auto"/>
              <w:left w:val="single" w:sz="12" w:space="0" w:color="auto"/>
              <w:bottom w:val="single" w:sz="6" w:space="0" w:color="auto"/>
              <w:right w:val="single" w:sz="6" w:space="0" w:color="auto"/>
            </w:tcBorders>
            <w:hideMark/>
          </w:tcPr>
          <w:p w14:paraId="4169FEFA"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0.056</w:t>
            </w:r>
          </w:p>
        </w:tc>
        <w:tc>
          <w:tcPr>
            <w:tcW w:w="1032" w:type="dxa"/>
            <w:tcBorders>
              <w:top w:val="single" w:sz="6" w:space="0" w:color="auto"/>
              <w:left w:val="single" w:sz="6" w:space="0" w:color="auto"/>
              <w:bottom w:val="single" w:sz="6" w:space="0" w:color="auto"/>
              <w:right w:val="single" w:sz="6" w:space="0" w:color="auto"/>
            </w:tcBorders>
          </w:tcPr>
          <w:p w14:paraId="1A678AE6"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c>
          <w:tcPr>
            <w:tcW w:w="1032" w:type="dxa"/>
            <w:tcBorders>
              <w:top w:val="single" w:sz="6" w:space="0" w:color="auto"/>
              <w:left w:val="single" w:sz="6" w:space="0" w:color="auto"/>
              <w:bottom w:val="single" w:sz="6" w:space="0" w:color="auto"/>
              <w:right w:val="single" w:sz="12" w:space="0" w:color="auto"/>
            </w:tcBorders>
            <w:hideMark/>
          </w:tcPr>
          <w:p w14:paraId="11485760"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r>
      <w:tr w:rsidR="001E0969" w14:paraId="3DFCEB30" w14:textId="77777777" w:rsidTr="001002B2">
        <w:trPr>
          <w:trHeight w:val="290"/>
          <w:jc w:val="center"/>
        </w:trPr>
        <w:tc>
          <w:tcPr>
            <w:tcW w:w="1210" w:type="dxa"/>
            <w:tcBorders>
              <w:top w:val="single" w:sz="6" w:space="0" w:color="auto"/>
              <w:left w:val="single" w:sz="12" w:space="0" w:color="auto"/>
              <w:bottom w:val="nil"/>
              <w:right w:val="single" w:sz="12" w:space="0" w:color="auto"/>
            </w:tcBorders>
            <w:hideMark/>
          </w:tcPr>
          <w:p w14:paraId="5B650511" w14:textId="77777777" w:rsidR="001E0969" w:rsidRDefault="001E0969" w:rsidP="001002B2">
            <w:pPr>
              <w:autoSpaceDE w:val="0"/>
              <w:autoSpaceDN w:val="0"/>
              <w:adjustRightInd w:val="0"/>
              <w:spacing w:before="0" w:after="0" w:line="276" w:lineRule="auto"/>
              <w:rPr>
                <w:rFonts w:ascii="Calibri" w:hAnsi="Calibri" w:cs="Calibri"/>
                <w:color w:val="000000"/>
                <w:sz w:val="22"/>
              </w:rPr>
            </w:pPr>
            <w:r>
              <w:rPr>
                <w:rFonts w:ascii="Calibri" w:hAnsi="Calibri" w:cs="Calibri"/>
                <w:color w:val="000000"/>
                <w:sz w:val="22"/>
              </w:rPr>
              <w:t>Replicate 7</w:t>
            </w:r>
          </w:p>
        </w:tc>
        <w:tc>
          <w:tcPr>
            <w:tcW w:w="1384" w:type="dxa"/>
            <w:tcBorders>
              <w:top w:val="single" w:sz="6" w:space="0" w:color="auto"/>
              <w:left w:val="single" w:sz="12" w:space="0" w:color="auto"/>
              <w:bottom w:val="nil"/>
              <w:right w:val="single" w:sz="6" w:space="0" w:color="auto"/>
            </w:tcBorders>
          </w:tcPr>
          <w:p w14:paraId="4D8038BD"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0.109</w:t>
            </w:r>
          </w:p>
        </w:tc>
        <w:tc>
          <w:tcPr>
            <w:tcW w:w="1032" w:type="dxa"/>
            <w:tcBorders>
              <w:top w:val="single" w:sz="6" w:space="0" w:color="auto"/>
              <w:left w:val="single" w:sz="6" w:space="0" w:color="auto"/>
              <w:bottom w:val="nil"/>
              <w:right w:val="single" w:sz="6" w:space="0" w:color="auto"/>
            </w:tcBorders>
          </w:tcPr>
          <w:p w14:paraId="4B0D8326"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c>
          <w:tcPr>
            <w:tcW w:w="1032" w:type="dxa"/>
            <w:tcBorders>
              <w:top w:val="single" w:sz="6" w:space="0" w:color="auto"/>
              <w:left w:val="single" w:sz="6" w:space="0" w:color="auto"/>
              <w:bottom w:val="nil"/>
              <w:right w:val="single" w:sz="12" w:space="0" w:color="auto"/>
            </w:tcBorders>
          </w:tcPr>
          <w:p w14:paraId="606D3680"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c>
          <w:tcPr>
            <w:tcW w:w="1032" w:type="dxa"/>
            <w:tcBorders>
              <w:top w:val="single" w:sz="6" w:space="0" w:color="auto"/>
              <w:left w:val="single" w:sz="12" w:space="0" w:color="auto"/>
              <w:bottom w:val="nil"/>
              <w:right w:val="single" w:sz="6" w:space="0" w:color="auto"/>
            </w:tcBorders>
            <w:hideMark/>
          </w:tcPr>
          <w:p w14:paraId="58D0A357"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0.053</w:t>
            </w:r>
          </w:p>
        </w:tc>
        <w:tc>
          <w:tcPr>
            <w:tcW w:w="1032" w:type="dxa"/>
            <w:tcBorders>
              <w:top w:val="single" w:sz="6" w:space="0" w:color="auto"/>
              <w:left w:val="single" w:sz="6" w:space="0" w:color="auto"/>
              <w:bottom w:val="nil"/>
              <w:right w:val="single" w:sz="6" w:space="0" w:color="auto"/>
            </w:tcBorders>
          </w:tcPr>
          <w:p w14:paraId="57172E73"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c>
          <w:tcPr>
            <w:tcW w:w="1032" w:type="dxa"/>
            <w:tcBorders>
              <w:top w:val="single" w:sz="6" w:space="0" w:color="auto"/>
              <w:left w:val="single" w:sz="6" w:space="0" w:color="auto"/>
              <w:bottom w:val="nil"/>
              <w:right w:val="single" w:sz="12" w:space="0" w:color="auto"/>
            </w:tcBorders>
          </w:tcPr>
          <w:p w14:paraId="2F5DD68F"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r>
      <w:tr w:rsidR="001E0969" w14:paraId="17752E3D" w14:textId="77777777" w:rsidTr="001002B2">
        <w:trPr>
          <w:trHeight w:val="290"/>
          <w:jc w:val="center"/>
        </w:trPr>
        <w:tc>
          <w:tcPr>
            <w:tcW w:w="1210" w:type="dxa"/>
            <w:tcBorders>
              <w:top w:val="single" w:sz="6" w:space="0" w:color="auto"/>
              <w:left w:val="single" w:sz="12" w:space="0" w:color="auto"/>
              <w:bottom w:val="nil"/>
              <w:right w:val="single" w:sz="12" w:space="0" w:color="auto"/>
            </w:tcBorders>
          </w:tcPr>
          <w:p w14:paraId="2AD775F8" w14:textId="77777777" w:rsidR="001E0969" w:rsidRDefault="001E0969" w:rsidP="001002B2">
            <w:pPr>
              <w:autoSpaceDE w:val="0"/>
              <w:autoSpaceDN w:val="0"/>
              <w:adjustRightInd w:val="0"/>
              <w:spacing w:before="0" w:after="0" w:line="276" w:lineRule="auto"/>
              <w:jc w:val="right"/>
              <w:rPr>
                <w:rFonts w:ascii="Calibri" w:hAnsi="Calibri" w:cs="Calibri"/>
                <w:color w:val="000000"/>
                <w:sz w:val="22"/>
              </w:rPr>
            </w:pPr>
          </w:p>
        </w:tc>
        <w:tc>
          <w:tcPr>
            <w:tcW w:w="1384" w:type="dxa"/>
            <w:tcBorders>
              <w:top w:val="single" w:sz="6" w:space="0" w:color="auto"/>
              <w:left w:val="single" w:sz="12" w:space="0" w:color="auto"/>
              <w:bottom w:val="nil"/>
              <w:right w:val="single" w:sz="6" w:space="0" w:color="auto"/>
            </w:tcBorders>
          </w:tcPr>
          <w:p w14:paraId="26D5634B"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c>
          <w:tcPr>
            <w:tcW w:w="1032" w:type="dxa"/>
            <w:tcBorders>
              <w:top w:val="single" w:sz="6" w:space="0" w:color="auto"/>
              <w:left w:val="single" w:sz="6" w:space="0" w:color="auto"/>
              <w:bottom w:val="nil"/>
              <w:right w:val="single" w:sz="6" w:space="0" w:color="auto"/>
            </w:tcBorders>
          </w:tcPr>
          <w:p w14:paraId="634EF090"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c>
          <w:tcPr>
            <w:tcW w:w="1032" w:type="dxa"/>
            <w:tcBorders>
              <w:top w:val="single" w:sz="6" w:space="0" w:color="auto"/>
              <w:left w:val="single" w:sz="6" w:space="0" w:color="auto"/>
              <w:bottom w:val="nil"/>
              <w:right w:val="single" w:sz="12" w:space="0" w:color="auto"/>
            </w:tcBorders>
          </w:tcPr>
          <w:p w14:paraId="666FA69E"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c>
          <w:tcPr>
            <w:tcW w:w="1032" w:type="dxa"/>
            <w:tcBorders>
              <w:top w:val="single" w:sz="6" w:space="0" w:color="auto"/>
              <w:left w:val="single" w:sz="12" w:space="0" w:color="auto"/>
              <w:bottom w:val="nil"/>
              <w:right w:val="single" w:sz="6" w:space="0" w:color="auto"/>
            </w:tcBorders>
          </w:tcPr>
          <w:p w14:paraId="6457E139"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c>
          <w:tcPr>
            <w:tcW w:w="1032" w:type="dxa"/>
            <w:tcBorders>
              <w:top w:val="single" w:sz="6" w:space="0" w:color="auto"/>
              <w:left w:val="single" w:sz="6" w:space="0" w:color="auto"/>
              <w:bottom w:val="nil"/>
              <w:right w:val="single" w:sz="6" w:space="0" w:color="auto"/>
            </w:tcBorders>
          </w:tcPr>
          <w:p w14:paraId="1A684224"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c>
          <w:tcPr>
            <w:tcW w:w="1032" w:type="dxa"/>
            <w:tcBorders>
              <w:top w:val="single" w:sz="6" w:space="0" w:color="auto"/>
              <w:left w:val="single" w:sz="6" w:space="0" w:color="auto"/>
              <w:bottom w:val="nil"/>
              <w:right w:val="single" w:sz="12" w:space="0" w:color="auto"/>
            </w:tcBorders>
          </w:tcPr>
          <w:p w14:paraId="2CBE3147"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p>
        </w:tc>
      </w:tr>
      <w:tr w:rsidR="001E0969" w14:paraId="2B32064D" w14:textId="77777777" w:rsidTr="001002B2">
        <w:trPr>
          <w:trHeight w:val="305"/>
          <w:jc w:val="center"/>
        </w:trPr>
        <w:tc>
          <w:tcPr>
            <w:tcW w:w="1210" w:type="dxa"/>
            <w:tcBorders>
              <w:top w:val="single" w:sz="6" w:space="0" w:color="auto"/>
              <w:left w:val="single" w:sz="12" w:space="0" w:color="auto"/>
              <w:bottom w:val="single" w:sz="12" w:space="0" w:color="auto"/>
              <w:right w:val="single" w:sz="12" w:space="0" w:color="auto"/>
            </w:tcBorders>
            <w:hideMark/>
          </w:tcPr>
          <w:p w14:paraId="057B8B8B" w14:textId="77777777" w:rsidR="001E0969" w:rsidRDefault="001E0969" w:rsidP="001002B2">
            <w:pPr>
              <w:autoSpaceDE w:val="0"/>
              <w:autoSpaceDN w:val="0"/>
              <w:adjustRightInd w:val="0"/>
              <w:spacing w:before="0" w:after="0" w:line="276" w:lineRule="auto"/>
              <w:rPr>
                <w:rFonts w:ascii="Calibri" w:hAnsi="Calibri" w:cs="Calibri"/>
                <w:color w:val="000000"/>
                <w:sz w:val="22"/>
              </w:rPr>
            </w:pPr>
            <w:r>
              <w:rPr>
                <w:rFonts w:ascii="Calibri" w:hAnsi="Calibri" w:cs="Calibri"/>
                <w:color w:val="000000"/>
                <w:sz w:val="22"/>
              </w:rPr>
              <w:t>Mean CI</w:t>
            </w:r>
          </w:p>
        </w:tc>
        <w:tc>
          <w:tcPr>
            <w:tcW w:w="1384" w:type="dxa"/>
            <w:tcBorders>
              <w:top w:val="single" w:sz="6" w:space="0" w:color="auto"/>
              <w:left w:val="single" w:sz="12" w:space="0" w:color="auto"/>
              <w:bottom w:val="single" w:sz="12" w:space="0" w:color="auto"/>
              <w:right w:val="single" w:sz="6" w:space="0" w:color="auto"/>
            </w:tcBorders>
          </w:tcPr>
          <w:p w14:paraId="6FA4FB81"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0.135</w:t>
            </w:r>
          </w:p>
        </w:tc>
        <w:tc>
          <w:tcPr>
            <w:tcW w:w="1032" w:type="dxa"/>
            <w:tcBorders>
              <w:top w:val="single" w:sz="6" w:space="0" w:color="auto"/>
              <w:left w:val="single" w:sz="6" w:space="0" w:color="auto"/>
              <w:bottom w:val="single" w:sz="12" w:space="0" w:color="auto"/>
              <w:right w:val="single" w:sz="6" w:space="0" w:color="auto"/>
            </w:tcBorders>
          </w:tcPr>
          <w:p w14:paraId="275183EB"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0.178</w:t>
            </w:r>
          </w:p>
        </w:tc>
        <w:tc>
          <w:tcPr>
            <w:tcW w:w="1032" w:type="dxa"/>
            <w:tcBorders>
              <w:top w:val="single" w:sz="6" w:space="0" w:color="auto"/>
              <w:left w:val="single" w:sz="6" w:space="0" w:color="auto"/>
              <w:bottom w:val="single" w:sz="12" w:space="0" w:color="auto"/>
              <w:right w:val="single" w:sz="12" w:space="0" w:color="auto"/>
            </w:tcBorders>
          </w:tcPr>
          <w:p w14:paraId="7D3E922E"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0.086</w:t>
            </w:r>
          </w:p>
        </w:tc>
        <w:tc>
          <w:tcPr>
            <w:tcW w:w="1032" w:type="dxa"/>
            <w:tcBorders>
              <w:top w:val="single" w:sz="6" w:space="0" w:color="auto"/>
              <w:left w:val="single" w:sz="12" w:space="0" w:color="auto"/>
              <w:bottom w:val="single" w:sz="12" w:space="0" w:color="auto"/>
              <w:right w:val="single" w:sz="6" w:space="0" w:color="auto"/>
            </w:tcBorders>
            <w:hideMark/>
          </w:tcPr>
          <w:p w14:paraId="647AD74F"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-0.035</w:t>
            </w:r>
          </w:p>
        </w:tc>
        <w:tc>
          <w:tcPr>
            <w:tcW w:w="1032" w:type="dxa"/>
            <w:tcBorders>
              <w:top w:val="single" w:sz="6" w:space="0" w:color="auto"/>
              <w:left w:val="single" w:sz="6" w:space="0" w:color="auto"/>
              <w:bottom w:val="single" w:sz="12" w:space="0" w:color="auto"/>
              <w:right w:val="single" w:sz="6" w:space="0" w:color="auto"/>
            </w:tcBorders>
            <w:hideMark/>
          </w:tcPr>
          <w:p w14:paraId="57A2E16B"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-0.034</w:t>
            </w:r>
          </w:p>
        </w:tc>
        <w:tc>
          <w:tcPr>
            <w:tcW w:w="1032" w:type="dxa"/>
            <w:tcBorders>
              <w:top w:val="single" w:sz="6" w:space="0" w:color="auto"/>
              <w:left w:val="single" w:sz="6" w:space="0" w:color="auto"/>
              <w:bottom w:val="single" w:sz="12" w:space="0" w:color="auto"/>
              <w:right w:val="single" w:sz="12" w:space="0" w:color="auto"/>
            </w:tcBorders>
            <w:hideMark/>
          </w:tcPr>
          <w:p w14:paraId="1EAE990B" w14:textId="77777777" w:rsidR="001E0969" w:rsidRDefault="001E0969" w:rsidP="001002B2">
            <w:pPr>
              <w:autoSpaceDE w:val="0"/>
              <w:autoSpaceDN w:val="0"/>
              <w:adjustRightInd w:val="0"/>
              <w:spacing w:before="0" w:after="0" w:line="276" w:lineRule="auto"/>
              <w:jc w:val="center"/>
              <w:rPr>
                <w:rFonts w:ascii="Calibri" w:hAnsi="Calibri" w:cs="Calibri"/>
                <w:color w:val="000000"/>
                <w:sz w:val="22"/>
              </w:rPr>
            </w:pPr>
            <w:r>
              <w:rPr>
                <w:rFonts w:ascii="Calibri" w:hAnsi="Calibri" w:cs="Calibri"/>
                <w:color w:val="000000"/>
                <w:sz w:val="22"/>
              </w:rPr>
              <w:t>-0.025</w:t>
            </w:r>
          </w:p>
        </w:tc>
      </w:tr>
    </w:tbl>
    <w:p w14:paraId="39288081" w14:textId="77777777" w:rsidR="001E0969" w:rsidRDefault="001E0969" w:rsidP="001E0969"/>
    <w:p w14:paraId="02FC0C72" w14:textId="7730022C" w:rsidR="001E0969" w:rsidRDefault="001E0969" w:rsidP="001E0969">
      <w:pPr>
        <w:keepNext/>
        <w:rPr>
          <w:rFonts w:cs="Times New Roman"/>
          <w:szCs w:val="24"/>
        </w:rPr>
      </w:pPr>
      <w:r>
        <w:rPr>
          <w:rFonts w:cs="Times New Roman"/>
          <w:b/>
          <w:bCs/>
          <w:szCs w:val="24"/>
        </w:rPr>
        <w:t xml:space="preserve">Supplementary Table 4. </w:t>
      </w:r>
      <w:r>
        <w:rPr>
          <w:rFonts w:cs="Times New Roman"/>
          <w:szCs w:val="24"/>
        </w:rPr>
        <w:t>CI replicates for ten samples of lymphoma, mast cell tumor, melanoma, and hemangiosarcoma. The CI for each non-discarded replicate is listed beneath the</w:t>
      </w:r>
      <w:r w:rsidR="00902986">
        <w:rPr>
          <w:rFonts w:cs="Times New Roman"/>
          <w:szCs w:val="24"/>
        </w:rPr>
        <w:t xml:space="preserve"> code </w:t>
      </w:r>
      <w:r>
        <w:rPr>
          <w:rFonts w:cs="Times New Roman"/>
          <w:szCs w:val="24"/>
        </w:rPr>
        <w:t>of each cancer patient.</w:t>
      </w:r>
      <w:r w:rsidR="00017968">
        <w:rPr>
          <w:rFonts w:cs="Times New Roman"/>
          <w:szCs w:val="24"/>
        </w:rPr>
        <w:t xml:space="preserve"> </w:t>
      </w:r>
    </w:p>
    <w:p w14:paraId="1A7635D4" w14:textId="0C1950D6" w:rsidR="001E0969" w:rsidRDefault="001E0969" w:rsidP="001E0969">
      <w:pPr>
        <w:keepNext/>
        <w:rPr>
          <w:rFonts w:cs="Times New Roman"/>
          <w:szCs w:val="24"/>
        </w:rPr>
      </w:pPr>
      <w:r>
        <w:rPr>
          <w:rFonts w:cs="Times New Roman"/>
          <w:b/>
          <w:bCs/>
          <w:szCs w:val="24"/>
        </w:rPr>
        <w:t xml:space="preserve">Supplementary Table 5. </w:t>
      </w:r>
      <w:r>
        <w:rPr>
          <w:rFonts w:cs="Times New Roman"/>
          <w:szCs w:val="24"/>
        </w:rPr>
        <w:t>Chemotaxis data summary for ten samples of lymphoma, mast cell tumor, melanoma, and hemangiosarcoma.</w:t>
      </w:r>
      <w:r w:rsidR="00017968">
        <w:rPr>
          <w:rFonts w:cs="Times New Roman"/>
          <w:szCs w:val="24"/>
        </w:rPr>
        <w:t xml:space="preserve"> M=male, not castrated. F=female, not spayed. CM=male, </w:t>
      </w:r>
      <w:r w:rsidR="00017968">
        <w:rPr>
          <w:rFonts w:cs="Times New Roman"/>
          <w:szCs w:val="24"/>
        </w:rPr>
        <w:lastRenderedPageBreak/>
        <w:t>castrated. SF=female, spayed. Unlisted gender information indicates incomplete information on castration or spaying.</w:t>
      </w:r>
    </w:p>
    <w:p w14:paraId="7308C30C" w14:textId="0435E8F0" w:rsidR="00902986" w:rsidRDefault="00902986" w:rsidP="00902986">
      <w:pPr>
        <w:keepNext/>
        <w:rPr>
          <w:rFonts w:cs="Times New Roman"/>
          <w:szCs w:val="24"/>
        </w:rPr>
      </w:pPr>
      <w:r>
        <w:rPr>
          <w:rFonts w:cs="Times New Roman"/>
          <w:b/>
          <w:bCs/>
          <w:szCs w:val="24"/>
        </w:rPr>
        <w:t xml:space="preserve">Supplementary Table 6. </w:t>
      </w:r>
      <w:r>
        <w:rPr>
          <w:rFonts w:cs="Times New Roman"/>
          <w:szCs w:val="24"/>
        </w:rPr>
        <w:t>CI replicates for sixteen additional samples without a confirmed cancer diagnosis. The CI for each non-discarded replicate is listed beneath the code of each cancer patient.</w:t>
      </w:r>
      <w:r w:rsidR="00017968">
        <w:rPr>
          <w:rFonts w:cs="Times New Roman"/>
          <w:szCs w:val="24"/>
        </w:rPr>
        <w:t xml:space="preserve"> </w:t>
      </w:r>
    </w:p>
    <w:p w14:paraId="2F228876" w14:textId="4EA021C5" w:rsidR="00902986" w:rsidRDefault="00017968" w:rsidP="001E0969">
      <w:pPr>
        <w:keepNext/>
        <w:rPr>
          <w:rFonts w:cs="Times New Roman"/>
          <w:szCs w:val="24"/>
        </w:rPr>
      </w:pPr>
      <w:r>
        <w:rPr>
          <w:rFonts w:cs="Times New Roman"/>
          <w:b/>
          <w:bCs/>
          <w:szCs w:val="24"/>
        </w:rPr>
        <w:t xml:space="preserve">Supplementary Table 7. </w:t>
      </w:r>
      <w:r>
        <w:rPr>
          <w:rFonts w:cs="Times New Roman"/>
          <w:szCs w:val="24"/>
        </w:rPr>
        <w:t>Chemotaxis data summary sixteen additional samples without a confirmed cancer diagnosis. M=male, not castrated. F=female, not spayed. CM=male, castrated. SF=female, spayed. Unlisted gender information indicates incomplete information on castration or spaying.</w:t>
      </w:r>
    </w:p>
    <w:p w14:paraId="7B65BC41" w14:textId="77777777" w:rsidR="00DE23E8" w:rsidRPr="001549D3" w:rsidRDefault="00DE23E8" w:rsidP="00654E8F">
      <w:pPr>
        <w:spacing w:before="240"/>
      </w:pPr>
    </w:p>
    <w:sectPr w:rsidR="00DE23E8"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D949D" w14:textId="77777777" w:rsidR="00452AE2" w:rsidRDefault="00452AE2" w:rsidP="00117666">
      <w:pPr>
        <w:spacing w:after="0"/>
      </w:pPr>
      <w:r>
        <w:separator/>
      </w:r>
    </w:p>
  </w:endnote>
  <w:endnote w:type="continuationSeparator" w:id="0">
    <w:p w14:paraId="50B7847F" w14:textId="77777777" w:rsidR="00452AE2" w:rsidRDefault="00452AE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C7222" w14:textId="77777777" w:rsidR="00452AE2" w:rsidRDefault="00452AE2" w:rsidP="00117666">
      <w:pPr>
        <w:spacing w:after="0"/>
      </w:pPr>
      <w:r>
        <w:separator/>
      </w:r>
    </w:p>
  </w:footnote>
  <w:footnote w:type="continuationSeparator" w:id="0">
    <w:p w14:paraId="3E6E12E3" w14:textId="77777777" w:rsidR="00452AE2" w:rsidRDefault="00452AE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789401272">
    <w:abstractNumId w:val="0"/>
  </w:num>
  <w:num w:numId="2" w16cid:durableId="983971223">
    <w:abstractNumId w:val="4"/>
  </w:num>
  <w:num w:numId="3" w16cid:durableId="1418744054">
    <w:abstractNumId w:val="1"/>
  </w:num>
  <w:num w:numId="4" w16cid:durableId="1414161291">
    <w:abstractNumId w:val="5"/>
  </w:num>
  <w:num w:numId="5" w16cid:durableId="19832638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0438010">
    <w:abstractNumId w:val="3"/>
  </w:num>
  <w:num w:numId="7" w16cid:durableId="1036810066">
    <w:abstractNumId w:val="6"/>
  </w:num>
  <w:num w:numId="8" w16cid:durableId="322514480">
    <w:abstractNumId w:val="6"/>
  </w:num>
  <w:num w:numId="9" w16cid:durableId="216820517">
    <w:abstractNumId w:val="6"/>
  </w:num>
  <w:num w:numId="10" w16cid:durableId="497044294">
    <w:abstractNumId w:val="6"/>
  </w:num>
  <w:num w:numId="11" w16cid:durableId="1375929016">
    <w:abstractNumId w:val="6"/>
  </w:num>
  <w:num w:numId="12" w16cid:durableId="1133476035">
    <w:abstractNumId w:val="6"/>
  </w:num>
  <w:num w:numId="13" w16cid:durableId="1039163071">
    <w:abstractNumId w:val="3"/>
  </w:num>
  <w:num w:numId="14" w16cid:durableId="1506818239">
    <w:abstractNumId w:val="2"/>
  </w:num>
  <w:num w:numId="15" w16cid:durableId="233660370">
    <w:abstractNumId w:val="2"/>
  </w:num>
  <w:num w:numId="16" w16cid:durableId="2126726989">
    <w:abstractNumId w:val="2"/>
  </w:num>
  <w:num w:numId="17" w16cid:durableId="21639117">
    <w:abstractNumId w:val="2"/>
  </w:num>
  <w:num w:numId="18" w16cid:durableId="648747720">
    <w:abstractNumId w:val="2"/>
  </w:num>
  <w:num w:numId="19" w16cid:durableId="472917537">
    <w:abstractNumId w:val="2"/>
  </w:num>
  <w:num w:numId="20" w16cid:durableId="41204436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1" w16cid:durableId="10050912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81728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17968"/>
    <w:rsid w:val="00034304"/>
    <w:rsid w:val="00035434"/>
    <w:rsid w:val="00052A14"/>
    <w:rsid w:val="00077D53"/>
    <w:rsid w:val="00105FD9"/>
    <w:rsid w:val="00117666"/>
    <w:rsid w:val="001549D3"/>
    <w:rsid w:val="00160065"/>
    <w:rsid w:val="001777F5"/>
    <w:rsid w:val="00177D84"/>
    <w:rsid w:val="00177DC7"/>
    <w:rsid w:val="001E0969"/>
    <w:rsid w:val="002352D0"/>
    <w:rsid w:val="00267D18"/>
    <w:rsid w:val="00274347"/>
    <w:rsid w:val="002868E2"/>
    <w:rsid w:val="002869C3"/>
    <w:rsid w:val="002936E4"/>
    <w:rsid w:val="002B4A57"/>
    <w:rsid w:val="002C74CA"/>
    <w:rsid w:val="003123F4"/>
    <w:rsid w:val="003544FB"/>
    <w:rsid w:val="003D2F2D"/>
    <w:rsid w:val="004005F4"/>
    <w:rsid w:val="00401590"/>
    <w:rsid w:val="00447801"/>
    <w:rsid w:val="00452AE2"/>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61942"/>
    <w:rsid w:val="00885156"/>
    <w:rsid w:val="00902986"/>
    <w:rsid w:val="009151AA"/>
    <w:rsid w:val="0093429D"/>
    <w:rsid w:val="00943573"/>
    <w:rsid w:val="00964134"/>
    <w:rsid w:val="00970F7D"/>
    <w:rsid w:val="00994A3D"/>
    <w:rsid w:val="009C2B12"/>
    <w:rsid w:val="009F4425"/>
    <w:rsid w:val="00A174D9"/>
    <w:rsid w:val="00A57101"/>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ED434A"/>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986"/>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24</TotalTime>
  <Pages>5</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Daniel</cp:lastModifiedBy>
  <cp:revision>4</cp:revision>
  <cp:lastPrinted>2013-10-03T12:51:00Z</cp:lastPrinted>
  <dcterms:created xsi:type="dcterms:W3CDTF">2022-04-29T18:39:00Z</dcterms:created>
  <dcterms:modified xsi:type="dcterms:W3CDTF">2022-07-07T00:25:00Z</dcterms:modified>
</cp:coreProperties>
</file>