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jpe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63D7C2B0" w14:textId="77777777" w:rsidR="00994A3D" w:rsidRPr="001549D3" w:rsidRDefault="00994A3D" w:rsidP="00D01612">
      <w:pPr>
        <w:pStyle w:val="Heading1"/>
      </w:pPr>
      <w:r w:rsidRPr="0001436A">
        <w:t>Supplementary</w:t>
      </w:r>
      <w:r w:rsidRPr="001549D3">
        <w:t xml:space="preserve"> Figures</w:t>
      </w:r>
    </w:p>
    <w:p w14:paraId="6754D378" w14:textId="77777777" w:rsidR="00994A3D" w:rsidRPr="001549D3" w:rsidRDefault="00994A3D" w:rsidP="00994A3D">
      <w:pPr>
        <w:keepNext/>
        <w:rPr>
          <w:rFonts w:cs="Times New Roman"/>
          <w:szCs w:val="24"/>
        </w:rPr>
      </w:pPr>
    </w:p>
    <w:p w14:paraId="3C419443" w14:textId="1B0A4EAD" w:rsidR="00994A3D" w:rsidRPr="001549D3" w:rsidRDefault="00D01612" w:rsidP="00994A3D">
      <w:pPr>
        <w:keepNext/>
        <w:jc w:val="center"/>
        <w:rPr>
          <w:rFonts w:cs="Times New Roman"/>
          <w:szCs w:val="24"/>
        </w:rPr>
      </w:pPr>
      <w:r>
        <w:rPr>
          <w:rFonts w:cs="Times New Roman"/>
          <w:noProof/>
          <w:szCs w:val="24"/>
        </w:rPr>
        <w:drawing>
          <wp:inline distT="0" distB="0" distL="0" distR="0" wp14:anchorId="7579150B" wp14:editId="292145AE">
            <wp:extent cx="6208395" cy="1966595"/>
            <wp:effectExtent l="0" t="0" r="1905"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ubbl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8395" cy="1966595"/>
                    </a:xfrm>
                    <a:prstGeom prst="rect">
                      <a:avLst/>
                    </a:prstGeom>
                  </pic:spPr>
                </pic:pic>
              </a:graphicData>
            </a:graphic>
          </wp:inline>
        </w:drawing>
      </w:r>
    </w:p>
    <w:p w14:paraId="3AE196DF" w14:textId="7685C321" w:rsidR="00994A3D" w:rsidRPr="002B4A57" w:rsidRDefault="00994A3D" w:rsidP="002B4A57">
      <w:pPr>
        <w:keepNext/>
        <w:rPr>
          <w:rFonts w:cs="Times New Roman"/>
          <w:b/>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00D01612">
        <w:rPr>
          <w:rFonts w:cs="Times New Roman"/>
          <w:b/>
          <w:szCs w:val="24"/>
        </w:rPr>
        <w:t xml:space="preserve">: </w:t>
      </w:r>
      <w:r w:rsidR="00D01612">
        <w:rPr>
          <w:rFonts w:cs="Times New Roman"/>
          <w:bCs/>
          <w:szCs w:val="24"/>
        </w:rPr>
        <w:t xml:space="preserve">A) The lattice vectors </w:t>
      </w:r>
      <w:r w:rsidR="00693B6B">
        <w:rPr>
          <w:rFonts w:asciiTheme="majorBidi" w:hAnsiTheme="majorBidi" w:cstheme="majorBidi"/>
          <w:b/>
          <w:bCs/>
          <w:szCs w:val="24"/>
        </w:rPr>
        <w:t>v</w:t>
      </w:r>
      <w:r w:rsidR="00693B6B">
        <w:rPr>
          <w:rFonts w:asciiTheme="majorBidi" w:hAnsiTheme="majorBidi" w:cstheme="majorBidi"/>
          <w:szCs w:val="24"/>
          <w:vertAlign w:val="subscript"/>
        </w:rPr>
        <w:t>1</w:t>
      </w:r>
      <w:r w:rsidR="00693B6B">
        <w:rPr>
          <w:rFonts w:asciiTheme="majorBidi" w:hAnsiTheme="majorBidi" w:cstheme="majorBidi"/>
          <w:szCs w:val="24"/>
        </w:rPr>
        <w:t xml:space="preserve"> = (</w:t>
      </w:r>
      <w:r w:rsidR="00693B6B">
        <w:rPr>
          <w:rFonts w:asciiTheme="majorBidi" w:hAnsiTheme="majorBidi" w:cstheme="majorBidi"/>
          <w:i/>
          <w:iCs/>
          <w:szCs w:val="24"/>
        </w:rPr>
        <w:t>a</w:t>
      </w:r>
      <w:r w:rsidR="00693B6B">
        <w:rPr>
          <w:rFonts w:asciiTheme="majorBidi" w:hAnsiTheme="majorBidi" w:cstheme="majorBidi"/>
          <w:szCs w:val="24"/>
        </w:rPr>
        <w:t>√3/</w:t>
      </w:r>
      <w:r w:rsidR="00ED37B0">
        <w:rPr>
          <w:rFonts w:asciiTheme="majorBidi" w:hAnsiTheme="majorBidi" w:cstheme="majorBidi"/>
          <w:szCs w:val="24"/>
        </w:rPr>
        <w:t>2, -</w:t>
      </w:r>
      <w:r w:rsidR="00693B6B">
        <w:rPr>
          <w:rFonts w:asciiTheme="majorBidi" w:hAnsiTheme="majorBidi" w:cstheme="majorBidi"/>
          <w:i/>
          <w:iCs/>
          <w:szCs w:val="24"/>
        </w:rPr>
        <w:t>a</w:t>
      </w:r>
      <w:r w:rsidR="00693B6B">
        <w:rPr>
          <w:rFonts w:asciiTheme="majorBidi" w:hAnsiTheme="majorBidi" w:cstheme="majorBidi"/>
          <w:szCs w:val="24"/>
        </w:rPr>
        <w:t>/2, 0)</w:t>
      </w:r>
      <w:r w:rsidR="00693B6B">
        <w:rPr>
          <w:rFonts w:asciiTheme="majorBidi" w:hAnsiTheme="majorBidi" w:cstheme="majorBidi"/>
          <w:szCs w:val="24"/>
        </w:rPr>
        <w:t xml:space="preserve"> and</w:t>
      </w:r>
      <w:r w:rsidR="00693B6B" w:rsidRPr="0056165C">
        <w:rPr>
          <w:rFonts w:asciiTheme="majorBidi" w:hAnsiTheme="majorBidi" w:cstheme="majorBidi"/>
          <w:b/>
          <w:bCs/>
          <w:szCs w:val="24"/>
        </w:rPr>
        <w:t xml:space="preserve"> </w:t>
      </w:r>
      <w:r w:rsidR="00693B6B">
        <w:rPr>
          <w:rFonts w:asciiTheme="majorBidi" w:hAnsiTheme="majorBidi" w:cstheme="majorBidi"/>
          <w:b/>
          <w:bCs/>
          <w:szCs w:val="24"/>
        </w:rPr>
        <w:t>v</w:t>
      </w:r>
      <w:r w:rsidR="00693B6B">
        <w:rPr>
          <w:rFonts w:asciiTheme="majorBidi" w:hAnsiTheme="majorBidi" w:cstheme="majorBidi"/>
          <w:szCs w:val="24"/>
          <w:vertAlign w:val="subscript"/>
        </w:rPr>
        <w:t>2</w:t>
      </w:r>
      <w:r w:rsidR="00693B6B">
        <w:rPr>
          <w:rFonts w:asciiTheme="majorBidi" w:hAnsiTheme="majorBidi" w:cstheme="majorBidi"/>
          <w:szCs w:val="24"/>
        </w:rPr>
        <w:t xml:space="preserve"> = (</w:t>
      </w:r>
      <w:r w:rsidR="00693B6B">
        <w:rPr>
          <w:rFonts w:asciiTheme="majorBidi" w:hAnsiTheme="majorBidi" w:cstheme="majorBidi"/>
          <w:i/>
          <w:iCs/>
          <w:szCs w:val="24"/>
        </w:rPr>
        <w:t>a</w:t>
      </w:r>
      <w:r w:rsidR="00693B6B">
        <w:rPr>
          <w:rFonts w:asciiTheme="majorBidi" w:hAnsiTheme="majorBidi" w:cstheme="majorBidi"/>
          <w:szCs w:val="24"/>
        </w:rPr>
        <w:t>√3/2,</w:t>
      </w:r>
      <w:r w:rsidR="00ED37B0">
        <w:rPr>
          <w:rFonts w:asciiTheme="majorBidi" w:hAnsiTheme="majorBidi" w:cstheme="majorBidi"/>
          <w:szCs w:val="24"/>
        </w:rPr>
        <w:t xml:space="preserve"> </w:t>
      </w:r>
      <w:r w:rsidR="00693B6B">
        <w:rPr>
          <w:rFonts w:asciiTheme="majorBidi" w:hAnsiTheme="majorBidi" w:cstheme="majorBidi"/>
          <w:szCs w:val="24"/>
        </w:rPr>
        <w:t>-</w:t>
      </w:r>
      <w:r w:rsidR="00693B6B">
        <w:rPr>
          <w:rFonts w:asciiTheme="majorBidi" w:hAnsiTheme="majorBidi" w:cstheme="majorBidi"/>
          <w:i/>
          <w:iCs/>
          <w:szCs w:val="24"/>
        </w:rPr>
        <w:t>a</w:t>
      </w:r>
      <w:r w:rsidR="00693B6B">
        <w:rPr>
          <w:rFonts w:asciiTheme="majorBidi" w:hAnsiTheme="majorBidi" w:cstheme="majorBidi"/>
          <w:szCs w:val="24"/>
        </w:rPr>
        <w:t xml:space="preserve">/2, 0), </w:t>
      </w:r>
      <w:r w:rsidR="00D01612">
        <w:rPr>
          <w:rFonts w:cs="Times New Roman"/>
          <w:bCs/>
          <w:szCs w:val="24"/>
        </w:rPr>
        <w:t xml:space="preserve">shown on a single </w:t>
      </w:r>
      <w:r w:rsidR="00270E10">
        <w:rPr>
          <w:rFonts w:cs="Times New Roman"/>
          <w:bCs/>
          <w:szCs w:val="24"/>
        </w:rPr>
        <w:t>carbon hexagon</w:t>
      </w:r>
      <w:r w:rsidR="008019E0">
        <w:rPr>
          <w:rFonts w:cs="Times New Roman"/>
          <w:bCs/>
          <w:szCs w:val="24"/>
        </w:rPr>
        <w:t xml:space="preserve">. B) The vector </w:t>
      </w:r>
      <w:r w:rsidR="008019E0">
        <w:rPr>
          <w:rFonts w:cs="Times New Roman"/>
          <w:b/>
          <w:szCs w:val="24"/>
        </w:rPr>
        <w:t>v</w:t>
      </w:r>
      <w:r w:rsidR="008019E0">
        <w:rPr>
          <w:rFonts w:cs="Times New Roman"/>
          <w:b/>
          <w:szCs w:val="24"/>
          <w:vertAlign w:val="subscript"/>
        </w:rPr>
        <w:t>3</w:t>
      </w:r>
      <w:r w:rsidR="008019E0">
        <w:rPr>
          <w:rFonts w:cs="Times New Roman"/>
          <w:b/>
          <w:szCs w:val="24"/>
        </w:rPr>
        <w:t xml:space="preserve"> </w:t>
      </w:r>
      <w:r w:rsidR="000C24DE">
        <w:rPr>
          <w:rFonts w:cs="Times New Roman"/>
          <w:bCs/>
          <w:szCs w:val="24"/>
        </w:rPr>
        <w:t xml:space="preserve">= (0, 0, </w:t>
      </w:r>
      <w:r w:rsidR="000C24DE" w:rsidRPr="000C24DE">
        <w:rPr>
          <w:rFonts w:cs="Times New Roman"/>
          <w:bCs/>
          <w:i/>
          <w:iCs/>
          <w:szCs w:val="24"/>
        </w:rPr>
        <w:t>c</w:t>
      </w:r>
      <w:r w:rsidR="000C24DE">
        <w:rPr>
          <w:rFonts w:cs="Times New Roman"/>
          <w:bCs/>
          <w:szCs w:val="24"/>
        </w:rPr>
        <w:t xml:space="preserve">) </w:t>
      </w:r>
      <w:r w:rsidR="008019E0" w:rsidRPr="000C24DE">
        <w:rPr>
          <w:rFonts w:cs="Times New Roman"/>
          <w:bCs/>
          <w:szCs w:val="24"/>
        </w:rPr>
        <w:t>shown</w:t>
      </w:r>
      <w:r w:rsidR="008019E0">
        <w:rPr>
          <w:rFonts w:cs="Times New Roman"/>
          <w:bCs/>
          <w:szCs w:val="24"/>
        </w:rPr>
        <w:t xml:space="preserve"> </w:t>
      </w:r>
      <w:r w:rsidR="00693B6B">
        <w:rPr>
          <w:rFonts w:cs="Times New Roman"/>
          <w:bCs/>
          <w:szCs w:val="24"/>
        </w:rPr>
        <w:t>on</w:t>
      </w:r>
      <w:r w:rsidR="008019E0">
        <w:rPr>
          <w:rFonts w:cs="Times New Roman"/>
          <w:bCs/>
          <w:szCs w:val="24"/>
        </w:rPr>
        <w:t xml:space="preserve"> multiple graphite layers.</w:t>
      </w:r>
      <w:r w:rsidRPr="001549D3">
        <w:rPr>
          <w:rFonts w:cs="Times New Roman"/>
          <w:szCs w:val="24"/>
        </w:rPr>
        <w:t xml:space="preserve"> </w:t>
      </w:r>
    </w:p>
    <w:p w14:paraId="7B65BC41" w14:textId="3673CCDC" w:rsidR="00DE23E8" w:rsidRDefault="00184BDB" w:rsidP="00C2030C">
      <w:pPr>
        <w:spacing w:before="240"/>
        <w:jc w:val="center"/>
      </w:pPr>
      <w:r>
        <w:rPr>
          <w:noProof/>
        </w:rPr>
        <w:drawing>
          <wp:inline distT="0" distB="0" distL="0" distR="0" wp14:anchorId="1386DD6E" wp14:editId="68D305CD">
            <wp:extent cx="5243491" cy="3147060"/>
            <wp:effectExtent l="0" t="0" r="0" b="0"/>
            <wp:docPr id="8" name="Picture 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catte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72167" cy="3164271"/>
                    </a:xfrm>
                    <a:prstGeom prst="rect">
                      <a:avLst/>
                    </a:prstGeom>
                  </pic:spPr>
                </pic:pic>
              </a:graphicData>
            </a:graphic>
          </wp:inline>
        </w:drawing>
      </w:r>
    </w:p>
    <w:p w14:paraId="0C24DF14" w14:textId="1605F2D6" w:rsidR="00C2030C" w:rsidRDefault="00C2030C" w:rsidP="00C2030C">
      <w:pPr>
        <w:spacing w:before="240"/>
      </w:pPr>
      <w:r>
        <w:rPr>
          <w:b/>
          <w:bCs/>
        </w:rPr>
        <w:t xml:space="preserve">Supplementary Figure 2: </w:t>
      </w:r>
      <w:r w:rsidR="00184BDB">
        <w:t>The temperature of the top four</w:t>
      </w:r>
      <w:r w:rsidR="00F97616">
        <w:t xml:space="preserve"> graphene</w:t>
      </w:r>
      <w:r w:rsidR="00184BDB">
        <w:t xml:space="preserve"> layers that are under alternating thermostat during the first impact at 250eV</w:t>
      </w:r>
      <w:r w:rsidR="00C532B0">
        <w:t xml:space="preserve"> at 1 ps of simulation time</w:t>
      </w:r>
      <w:r w:rsidR="00184BDB">
        <w:t xml:space="preserve">, showing the increase in temperature, stabilization, then subsequent cool-down </w:t>
      </w:r>
      <w:r w:rsidR="00F97616">
        <w:t>after the re-application of the thermostat</w:t>
      </w:r>
      <w:r w:rsidR="00C532B0">
        <w:t>.</w:t>
      </w:r>
      <w:r w:rsidR="00F97616">
        <w:t xml:space="preserve"> </w:t>
      </w:r>
      <w:r w:rsidR="003F34C6">
        <w:t>The plateaus at each stage indicate that the insertion and thermostat times allow for the collision cascade dynamics to be captured.</w:t>
      </w:r>
    </w:p>
    <w:p w14:paraId="6DD5A770" w14:textId="730F8615" w:rsidR="003F34C6" w:rsidRDefault="00F05889" w:rsidP="00F05889">
      <w:pPr>
        <w:spacing w:before="240"/>
        <w:jc w:val="center"/>
      </w:pPr>
      <w:r>
        <w:rPr>
          <w:noProof/>
        </w:rPr>
        <w:lastRenderedPageBreak/>
        <w:drawing>
          <wp:inline distT="0" distB="0" distL="0" distR="0" wp14:anchorId="29671C86" wp14:editId="354A00DA">
            <wp:extent cx="4389120" cy="2583180"/>
            <wp:effectExtent l="0" t="0" r="0" b="7620"/>
            <wp:docPr id="9" name="Picture 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catter chart&#10;&#10;Description automatically generated"/>
                    <pic:cNvPicPr/>
                  </pic:nvPicPr>
                  <pic:blipFill rotWithShape="1">
                    <a:blip r:embed="rId10">
                      <a:extLst>
                        <a:ext uri="{28A0092B-C50C-407E-A947-70E740481C1C}">
                          <a14:useLocalDpi xmlns:a14="http://schemas.microsoft.com/office/drawing/2010/main" val="0"/>
                        </a:ext>
                      </a:extLst>
                    </a:blip>
                    <a:srcRect l="1994" t="2490" r="2245" b="3744"/>
                    <a:stretch/>
                  </pic:blipFill>
                  <pic:spPr bwMode="auto">
                    <a:xfrm>
                      <a:off x="0" y="0"/>
                      <a:ext cx="4389862" cy="2583616"/>
                    </a:xfrm>
                    <a:prstGeom prst="rect">
                      <a:avLst/>
                    </a:prstGeom>
                    <a:ln>
                      <a:noFill/>
                    </a:ln>
                    <a:extLst>
                      <a:ext uri="{53640926-AAD7-44D8-BBD7-CCE9431645EC}">
                        <a14:shadowObscured xmlns:a14="http://schemas.microsoft.com/office/drawing/2010/main"/>
                      </a:ext>
                    </a:extLst>
                  </pic:spPr>
                </pic:pic>
              </a:graphicData>
            </a:graphic>
          </wp:inline>
        </w:drawing>
      </w:r>
    </w:p>
    <w:p w14:paraId="3597BA22" w14:textId="27B793F8" w:rsidR="00F05889" w:rsidRDefault="00F05889" w:rsidP="00F05889">
      <w:pPr>
        <w:spacing w:before="240"/>
      </w:pPr>
      <w:r>
        <w:rPr>
          <w:b/>
          <w:bCs/>
        </w:rPr>
        <w:t xml:space="preserve">Supplemental Figure 3: </w:t>
      </w:r>
      <w:r>
        <w:t xml:space="preserve">The penetration depth (calculated as described in the main text) at the final timestep versus the square root of the ion energy, showing an approximately linear trend that has been noted in previous bombardment studies. We note that additional independent simulations could be used to </w:t>
      </w:r>
      <w:r w:rsidR="008D364E">
        <w:t>create</w:t>
      </w:r>
      <w:r>
        <w:t xml:space="preserve"> error bars for </w:t>
      </w:r>
      <w:r w:rsidR="008D364E">
        <w:t>the data</w:t>
      </w:r>
      <w:r>
        <w:t>, however we do not expect the general trend to change.</w:t>
      </w:r>
    </w:p>
    <w:p w14:paraId="48B450EF" w14:textId="24725ECF" w:rsidR="00462371" w:rsidRDefault="00462371" w:rsidP="00F05889">
      <w:pPr>
        <w:spacing w:before="240"/>
      </w:pPr>
      <w:r>
        <w:rPr>
          <w:noProof/>
        </w:rPr>
        <w:drawing>
          <wp:inline distT="0" distB="0" distL="0" distR="0" wp14:anchorId="13CA53E9" wp14:editId="354B4A69">
            <wp:extent cx="6208395" cy="2359025"/>
            <wp:effectExtent l="0" t="0" r="1905" b="3175"/>
            <wp:docPr id="10" name="Picture 10"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ubbl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8395" cy="2359025"/>
                    </a:xfrm>
                    <a:prstGeom prst="rect">
                      <a:avLst/>
                    </a:prstGeom>
                  </pic:spPr>
                </pic:pic>
              </a:graphicData>
            </a:graphic>
          </wp:inline>
        </w:drawing>
      </w:r>
    </w:p>
    <w:p w14:paraId="52ABFBAC" w14:textId="040B374B" w:rsidR="00462371" w:rsidRPr="00462371" w:rsidRDefault="00462371" w:rsidP="00F05889">
      <w:pPr>
        <w:spacing w:before="240"/>
      </w:pPr>
      <w:r>
        <w:rPr>
          <w:b/>
          <w:bCs/>
        </w:rPr>
        <w:t>Supplemental Figure 4:</w:t>
      </w:r>
      <w:r>
        <w:t xml:space="preserve"> A) Substitution defect observed at 150 eV bombardment. B) Vacancy defect observed at 250 eV bombardment.</w:t>
      </w:r>
    </w:p>
    <w:sectPr w:rsidR="00462371" w:rsidRPr="00462371"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BAC4" w14:textId="77777777" w:rsidR="00B572F4" w:rsidRDefault="00B572F4" w:rsidP="00117666">
      <w:pPr>
        <w:spacing w:after="0"/>
      </w:pPr>
      <w:r>
        <w:separator/>
      </w:r>
    </w:p>
  </w:endnote>
  <w:endnote w:type="continuationSeparator" w:id="0">
    <w:p w14:paraId="3C792726" w14:textId="77777777" w:rsidR="00B572F4" w:rsidRDefault="00B572F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8A1E" w14:textId="77777777" w:rsidR="00B572F4" w:rsidRDefault="00B572F4" w:rsidP="00117666">
      <w:pPr>
        <w:spacing w:after="0"/>
      </w:pPr>
      <w:r>
        <w:separator/>
      </w:r>
    </w:p>
  </w:footnote>
  <w:footnote w:type="continuationSeparator" w:id="0">
    <w:p w14:paraId="21D9D6C7" w14:textId="77777777" w:rsidR="00B572F4" w:rsidRDefault="00B572F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503856765">
    <w:abstractNumId w:val="0"/>
  </w:num>
  <w:num w:numId="2" w16cid:durableId="187257608">
    <w:abstractNumId w:val="4"/>
  </w:num>
  <w:num w:numId="3" w16cid:durableId="1149059853">
    <w:abstractNumId w:val="1"/>
  </w:num>
  <w:num w:numId="4" w16cid:durableId="1356081691">
    <w:abstractNumId w:val="5"/>
  </w:num>
  <w:num w:numId="5" w16cid:durableId="1937209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4888575">
    <w:abstractNumId w:val="3"/>
  </w:num>
  <w:num w:numId="7" w16cid:durableId="1051150053">
    <w:abstractNumId w:val="6"/>
  </w:num>
  <w:num w:numId="8" w16cid:durableId="505749460">
    <w:abstractNumId w:val="6"/>
  </w:num>
  <w:num w:numId="9" w16cid:durableId="433594017">
    <w:abstractNumId w:val="6"/>
  </w:num>
  <w:num w:numId="10" w16cid:durableId="2038891498">
    <w:abstractNumId w:val="6"/>
  </w:num>
  <w:num w:numId="11" w16cid:durableId="2116092505">
    <w:abstractNumId w:val="6"/>
  </w:num>
  <w:num w:numId="12" w16cid:durableId="1919092898">
    <w:abstractNumId w:val="6"/>
  </w:num>
  <w:num w:numId="13" w16cid:durableId="1837918214">
    <w:abstractNumId w:val="3"/>
  </w:num>
  <w:num w:numId="14" w16cid:durableId="1813864689">
    <w:abstractNumId w:val="2"/>
  </w:num>
  <w:num w:numId="15" w16cid:durableId="123815902">
    <w:abstractNumId w:val="2"/>
  </w:num>
  <w:num w:numId="16" w16cid:durableId="330839588">
    <w:abstractNumId w:val="2"/>
  </w:num>
  <w:num w:numId="17" w16cid:durableId="1220941235">
    <w:abstractNumId w:val="2"/>
  </w:num>
  <w:num w:numId="18" w16cid:durableId="1915310093">
    <w:abstractNumId w:val="2"/>
  </w:num>
  <w:num w:numId="19" w16cid:durableId="97819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C24DE"/>
    <w:rsid w:val="00105FD9"/>
    <w:rsid w:val="00117666"/>
    <w:rsid w:val="001549D3"/>
    <w:rsid w:val="00160065"/>
    <w:rsid w:val="00177D84"/>
    <w:rsid w:val="00184BDB"/>
    <w:rsid w:val="00267D18"/>
    <w:rsid w:val="00270E10"/>
    <w:rsid w:val="00274347"/>
    <w:rsid w:val="002868E2"/>
    <w:rsid w:val="002869C3"/>
    <w:rsid w:val="002936E4"/>
    <w:rsid w:val="002B4A57"/>
    <w:rsid w:val="002C74CA"/>
    <w:rsid w:val="003123F4"/>
    <w:rsid w:val="003544FB"/>
    <w:rsid w:val="003D2F2D"/>
    <w:rsid w:val="003F34C6"/>
    <w:rsid w:val="00401590"/>
    <w:rsid w:val="00447801"/>
    <w:rsid w:val="00452E9C"/>
    <w:rsid w:val="00462371"/>
    <w:rsid w:val="004735C8"/>
    <w:rsid w:val="004947A6"/>
    <w:rsid w:val="004961FF"/>
    <w:rsid w:val="00517A89"/>
    <w:rsid w:val="005250F2"/>
    <w:rsid w:val="00593EEA"/>
    <w:rsid w:val="005A5EEE"/>
    <w:rsid w:val="006375C7"/>
    <w:rsid w:val="00654E8F"/>
    <w:rsid w:val="00660D05"/>
    <w:rsid w:val="006820B1"/>
    <w:rsid w:val="00693B6B"/>
    <w:rsid w:val="006A51F7"/>
    <w:rsid w:val="006B7D14"/>
    <w:rsid w:val="00701727"/>
    <w:rsid w:val="0070566C"/>
    <w:rsid w:val="00714C50"/>
    <w:rsid w:val="00725A7D"/>
    <w:rsid w:val="007501BE"/>
    <w:rsid w:val="00790BB3"/>
    <w:rsid w:val="007C206C"/>
    <w:rsid w:val="008019E0"/>
    <w:rsid w:val="00817DD6"/>
    <w:rsid w:val="0083759F"/>
    <w:rsid w:val="008846A1"/>
    <w:rsid w:val="00885156"/>
    <w:rsid w:val="008D364E"/>
    <w:rsid w:val="009151AA"/>
    <w:rsid w:val="0093429D"/>
    <w:rsid w:val="00943573"/>
    <w:rsid w:val="00964134"/>
    <w:rsid w:val="00970F7D"/>
    <w:rsid w:val="00994A3D"/>
    <w:rsid w:val="009C2B12"/>
    <w:rsid w:val="00A174D9"/>
    <w:rsid w:val="00AA4D24"/>
    <w:rsid w:val="00AB6715"/>
    <w:rsid w:val="00B1671E"/>
    <w:rsid w:val="00B25EB8"/>
    <w:rsid w:val="00B37F4D"/>
    <w:rsid w:val="00B572F4"/>
    <w:rsid w:val="00C2030C"/>
    <w:rsid w:val="00C52A7B"/>
    <w:rsid w:val="00C532B0"/>
    <w:rsid w:val="00C56BAF"/>
    <w:rsid w:val="00C679AA"/>
    <w:rsid w:val="00C75972"/>
    <w:rsid w:val="00CD066B"/>
    <w:rsid w:val="00CE4FEE"/>
    <w:rsid w:val="00D01612"/>
    <w:rsid w:val="00D060CF"/>
    <w:rsid w:val="00DB59C3"/>
    <w:rsid w:val="00DC259A"/>
    <w:rsid w:val="00DE23E8"/>
    <w:rsid w:val="00E52377"/>
    <w:rsid w:val="00E537AD"/>
    <w:rsid w:val="00E64E17"/>
    <w:rsid w:val="00E866C9"/>
    <w:rsid w:val="00EA3D3C"/>
    <w:rsid w:val="00EC090A"/>
    <w:rsid w:val="00ED20B5"/>
    <w:rsid w:val="00ED37B0"/>
    <w:rsid w:val="00F05889"/>
    <w:rsid w:val="00F46900"/>
    <w:rsid w:val="00F61D89"/>
    <w:rsid w:val="00F97616"/>
    <w:rsid w:val="00FE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95</TotalTime>
  <Pages>2</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Aaditya Rau</cp:lastModifiedBy>
  <cp:revision>13</cp:revision>
  <cp:lastPrinted>2013-10-03T12:51:00Z</cp:lastPrinted>
  <dcterms:created xsi:type="dcterms:W3CDTF">2022-06-07T02:01:00Z</dcterms:created>
  <dcterms:modified xsi:type="dcterms:W3CDTF">2022-06-07T03:54:00Z</dcterms:modified>
</cp:coreProperties>
</file>