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E578E4" w:rsidRDefault="00654E8F" w:rsidP="0001436A">
      <w:pPr>
        <w:pStyle w:val="SupplementaryMaterial"/>
        <w:rPr>
          <w:b w:val="0"/>
        </w:rPr>
      </w:pPr>
      <w:r w:rsidRPr="00E578E4">
        <w:t>Supplementary Material</w:t>
      </w:r>
    </w:p>
    <w:p w14:paraId="4D059444" w14:textId="34464C57" w:rsidR="00994A3D" w:rsidRPr="00E578E4" w:rsidRDefault="00654E8F" w:rsidP="0001436A">
      <w:pPr>
        <w:pStyle w:val="Heading1"/>
      </w:pPr>
      <w:r w:rsidRPr="00E578E4">
        <w:t>Supplementary Figures and Tables</w:t>
      </w:r>
    </w:p>
    <w:p w14:paraId="07EB64A0" w14:textId="6C7FF862" w:rsidR="00ED16AB" w:rsidRPr="00E578E4" w:rsidRDefault="00ED16AB" w:rsidP="00ED16AB">
      <w:pPr>
        <w:jc w:val="center"/>
      </w:pPr>
      <w:r w:rsidRPr="00E578E4">
        <w:rPr>
          <w:b/>
          <w:noProof/>
          <w:lang w:eastAsia="zh-CN"/>
        </w:rPr>
        <w:drawing>
          <wp:inline distT="0" distB="0" distL="0" distR="0" wp14:anchorId="0468B287" wp14:editId="3F95A05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121" cy="1456582"/>
                    </a:xfrm>
                    <a:prstGeom prst="rect">
                      <a:avLst/>
                    </a:prstGeom>
                    <a:noFill/>
                    <a:ln>
                      <a:noFill/>
                    </a:ln>
                  </pic:spPr>
                </pic:pic>
              </a:graphicData>
            </a:graphic>
          </wp:inline>
        </w:drawing>
      </w:r>
    </w:p>
    <w:p w14:paraId="6754D378" w14:textId="737F2CC6" w:rsidR="00994A3D" w:rsidRPr="00E578E4" w:rsidRDefault="00994A3D" w:rsidP="003741BE">
      <w:pPr>
        <w:pStyle w:val="Heading2"/>
      </w:pPr>
      <w:r w:rsidRPr="00E578E4">
        <w:t>Supplementary Figures</w:t>
      </w:r>
    </w:p>
    <w:p w14:paraId="3029FD4D" w14:textId="20E14A3B" w:rsidR="003741BE" w:rsidRPr="00E578E4" w:rsidRDefault="00D327E3" w:rsidP="003741BE">
      <w:pPr>
        <w:keepNext/>
        <w:jc w:val="center"/>
        <w:rPr>
          <w:rFonts w:cs="Times New Roman"/>
          <w:szCs w:val="24"/>
        </w:rPr>
      </w:pPr>
      <w:r w:rsidRPr="00E578E4">
        <w:rPr>
          <w:noProof/>
        </w:rPr>
        <w:drawing>
          <wp:inline distT="0" distB="0" distL="0" distR="0" wp14:anchorId="65C6DA13" wp14:editId="58421A80">
            <wp:extent cx="4806900" cy="4186052"/>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562" cy="4189241"/>
                    </a:xfrm>
                    <a:prstGeom prst="rect">
                      <a:avLst/>
                    </a:prstGeom>
                    <a:noFill/>
                    <a:ln>
                      <a:noFill/>
                    </a:ln>
                  </pic:spPr>
                </pic:pic>
              </a:graphicData>
            </a:graphic>
          </wp:inline>
        </w:drawing>
      </w:r>
    </w:p>
    <w:p w14:paraId="002995EC" w14:textId="0BD48CFB" w:rsidR="003741BE" w:rsidRPr="00E578E4" w:rsidRDefault="00AC22B1" w:rsidP="00AC22B1">
      <w:pPr>
        <w:keepNext/>
        <w:rPr>
          <w:rFonts w:cs="Times New Roman"/>
          <w:bCs/>
          <w:szCs w:val="24"/>
        </w:rPr>
      </w:pPr>
      <w:r w:rsidRPr="00E578E4">
        <w:rPr>
          <w:rFonts w:cs="Times New Roman"/>
          <w:b/>
          <w:szCs w:val="24"/>
        </w:rPr>
        <w:t xml:space="preserve">Supplementary Figure 1. </w:t>
      </w:r>
      <w:r w:rsidR="00DF73EA" w:rsidRPr="00E578E4">
        <w:rPr>
          <w:rFonts w:cs="Times New Roman"/>
          <w:bCs/>
          <w:szCs w:val="24"/>
        </w:rPr>
        <w:t>Landscape of genetic variations of 13 CRGs in TCGA cohort. CRGs, cuproptosis related genes; TCGA, the Cancer Genome Atlas.</w:t>
      </w:r>
    </w:p>
    <w:p w14:paraId="1439E360" w14:textId="560A294F" w:rsidR="003741BE" w:rsidRPr="00E578E4" w:rsidRDefault="003741BE" w:rsidP="003741BE">
      <w:pPr>
        <w:spacing w:before="0" w:after="200" w:line="276" w:lineRule="auto"/>
        <w:rPr>
          <w:rFonts w:cs="Times New Roman"/>
          <w:bCs/>
          <w:szCs w:val="24"/>
        </w:rPr>
      </w:pPr>
      <w:r w:rsidRPr="00E578E4">
        <w:rPr>
          <w:rFonts w:cs="Times New Roman"/>
          <w:bCs/>
          <w:szCs w:val="24"/>
        </w:rPr>
        <w:br w:type="page"/>
      </w:r>
      <w:r w:rsidR="00D327E3" w:rsidRPr="00E578E4">
        <w:rPr>
          <w:noProof/>
        </w:rPr>
        <w:lastRenderedPageBreak/>
        <w:drawing>
          <wp:inline distT="0" distB="0" distL="0" distR="0" wp14:anchorId="70A0F245" wp14:editId="779ACC5D">
            <wp:extent cx="6639070" cy="442355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8838" cy="4430066"/>
                    </a:xfrm>
                    <a:prstGeom prst="rect">
                      <a:avLst/>
                    </a:prstGeom>
                    <a:noFill/>
                    <a:ln>
                      <a:noFill/>
                    </a:ln>
                  </pic:spPr>
                </pic:pic>
              </a:graphicData>
            </a:graphic>
          </wp:inline>
        </w:drawing>
      </w:r>
    </w:p>
    <w:p w14:paraId="5AF6CBA0" w14:textId="532CA280" w:rsidR="00DF73EA" w:rsidRPr="00E578E4" w:rsidRDefault="00DF73EA" w:rsidP="00DF73EA">
      <w:pPr>
        <w:pStyle w:val="Caption"/>
        <w:rPr>
          <w:b w:val="0"/>
          <w:bCs w:val="0"/>
        </w:rPr>
      </w:pPr>
      <w:r w:rsidRPr="00E578E4">
        <w:t xml:space="preserve">Supplementary Figure 2. </w:t>
      </w:r>
      <w:r w:rsidRPr="00E578E4">
        <w:rPr>
          <w:b w:val="0"/>
          <w:bCs w:val="0"/>
        </w:rPr>
        <w:t xml:space="preserve">Kaplan-Meier analysis of CRGs in TCGA cohort. Kaplan–Meier curves of overall survival between high and low expression levels of (A) </w:t>
      </w:r>
      <w:r w:rsidRPr="00E578E4">
        <w:rPr>
          <w:b w:val="0"/>
          <w:bCs w:val="0"/>
          <w:i/>
          <w:iCs/>
        </w:rPr>
        <w:t>FDX1,</w:t>
      </w:r>
      <w:r w:rsidRPr="00E578E4">
        <w:rPr>
          <w:b w:val="0"/>
          <w:bCs w:val="0"/>
        </w:rPr>
        <w:t xml:space="preserve"> (B) </w:t>
      </w:r>
      <w:r w:rsidRPr="00E578E4">
        <w:rPr>
          <w:b w:val="0"/>
          <w:bCs w:val="0"/>
          <w:i/>
          <w:iCs/>
        </w:rPr>
        <w:t>LIPT1</w:t>
      </w:r>
      <w:r w:rsidRPr="00E578E4">
        <w:rPr>
          <w:b w:val="0"/>
          <w:bCs w:val="0"/>
        </w:rPr>
        <w:t xml:space="preserve">, (C) </w:t>
      </w:r>
      <w:r w:rsidRPr="00E578E4">
        <w:rPr>
          <w:b w:val="0"/>
          <w:bCs w:val="0"/>
          <w:i/>
          <w:iCs/>
        </w:rPr>
        <w:t>DLD</w:t>
      </w:r>
      <w:r w:rsidRPr="00E578E4">
        <w:rPr>
          <w:b w:val="0"/>
          <w:bCs w:val="0"/>
        </w:rPr>
        <w:t xml:space="preserve">, (D) </w:t>
      </w:r>
      <w:r w:rsidRPr="00E578E4">
        <w:rPr>
          <w:b w:val="0"/>
          <w:bCs w:val="0"/>
          <w:i/>
          <w:iCs/>
        </w:rPr>
        <w:t>DBT1</w:t>
      </w:r>
      <w:r w:rsidRPr="00E578E4">
        <w:rPr>
          <w:b w:val="0"/>
          <w:bCs w:val="0"/>
        </w:rPr>
        <w:t xml:space="preserve">, (E) </w:t>
      </w:r>
      <w:r w:rsidRPr="00E578E4">
        <w:rPr>
          <w:b w:val="0"/>
          <w:bCs w:val="0"/>
          <w:i/>
          <w:iCs/>
        </w:rPr>
        <w:t>GCSH</w:t>
      </w:r>
      <w:r w:rsidRPr="00E578E4">
        <w:rPr>
          <w:b w:val="0"/>
          <w:bCs w:val="0"/>
        </w:rPr>
        <w:t xml:space="preserve">, (F) </w:t>
      </w:r>
      <w:r w:rsidRPr="00E578E4">
        <w:rPr>
          <w:b w:val="0"/>
          <w:bCs w:val="0"/>
          <w:i/>
          <w:iCs/>
        </w:rPr>
        <w:t>DLST</w:t>
      </w:r>
      <w:r w:rsidRPr="00E578E4">
        <w:rPr>
          <w:b w:val="0"/>
          <w:bCs w:val="0"/>
        </w:rPr>
        <w:t xml:space="preserve">, (G) </w:t>
      </w:r>
      <w:r w:rsidRPr="00E578E4">
        <w:rPr>
          <w:b w:val="0"/>
          <w:bCs w:val="0"/>
          <w:i/>
          <w:iCs/>
        </w:rPr>
        <w:t>DLAT</w:t>
      </w:r>
      <w:r w:rsidRPr="00E578E4">
        <w:rPr>
          <w:b w:val="0"/>
          <w:bCs w:val="0"/>
        </w:rPr>
        <w:t xml:space="preserve">, (H) </w:t>
      </w:r>
      <w:r w:rsidRPr="00E578E4">
        <w:rPr>
          <w:b w:val="0"/>
          <w:bCs w:val="0"/>
          <w:i/>
          <w:iCs/>
        </w:rPr>
        <w:t>PDHB</w:t>
      </w:r>
      <w:r w:rsidRPr="00E578E4">
        <w:rPr>
          <w:b w:val="0"/>
          <w:bCs w:val="0"/>
        </w:rPr>
        <w:t xml:space="preserve">, (I) </w:t>
      </w:r>
      <w:r w:rsidRPr="00E578E4">
        <w:rPr>
          <w:b w:val="0"/>
          <w:bCs w:val="0"/>
          <w:i/>
          <w:iCs/>
        </w:rPr>
        <w:t>SLC31A1</w:t>
      </w:r>
      <w:r w:rsidRPr="00E578E4">
        <w:rPr>
          <w:b w:val="0"/>
          <w:bCs w:val="0"/>
        </w:rPr>
        <w:t xml:space="preserve">, (J) </w:t>
      </w:r>
      <w:r w:rsidRPr="00E578E4">
        <w:rPr>
          <w:b w:val="0"/>
          <w:bCs w:val="0"/>
          <w:i/>
          <w:iCs/>
        </w:rPr>
        <w:t xml:space="preserve">ATP7A </w:t>
      </w:r>
      <w:r w:rsidRPr="00E578E4">
        <w:rPr>
          <w:b w:val="0"/>
          <w:bCs w:val="0"/>
        </w:rPr>
        <w:t>and</w:t>
      </w:r>
      <w:r w:rsidRPr="00E578E4">
        <w:rPr>
          <w:b w:val="0"/>
          <w:bCs w:val="0"/>
          <w:i/>
          <w:iCs/>
        </w:rPr>
        <w:t xml:space="preserve"> </w:t>
      </w:r>
      <w:r w:rsidRPr="00E578E4">
        <w:rPr>
          <w:b w:val="0"/>
          <w:bCs w:val="0"/>
        </w:rPr>
        <w:t xml:space="preserve">(K) </w:t>
      </w:r>
      <w:r w:rsidRPr="00E578E4">
        <w:rPr>
          <w:b w:val="0"/>
          <w:bCs w:val="0"/>
          <w:i/>
          <w:iCs/>
        </w:rPr>
        <w:t>ATP7B</w:t>
      </w:r>
      <w:r w:rsidRPr="00E578E4">
        <w:rPr>
          <w:b w:val="0"/>
          <w:bCs w:val="0"/>
        </w:rPr>
        <w:t xml:space="preserve"> in TCGA-LGG cohort. </w:t>
      </w:r>
      <w:r w:rsidRPr="00E578E4">
        <w:rPr>
          <w:b w:val="0"/>
          <w:bCs w:val="0"/>
          <w:noProof/>
        </w:rPr>
        <w:t xml:space="preserve">CRGs, cuproptosis related genes; TCGA, the Cancer Genome Atlas; </w:t>
      </w:r>
      <w:r w:rsidRPr="00E578E4">
        <w:rPr>
          <w:b w:val="0"/>
          <w:bCs w:val="0"/>
        </w:rPr>
        <w:t>LGG, lower-grade glioma (WHO Ⅱ and Ⅲ).</w:t>
      </w:r>
    </w:p>
    <w:p w14:paraId="7262DE71" w14:textId="77777777" w:rsidR="003741BE" w:rsidRPr="00E578E4" w:rsidRDefault="003741BE" w:rsidP="003741BE">
      <w:pPr>
        <w:pStyle w:val="NoSpacing"/>
      </w:pPr>
    </w:p>
    <w:p w14:paraId="2C1C4669" w14:textId="5E38DD81" w:rsidR="003741BE" w:rsidRPr="00E578E4" w:rsidRDefault="00215399" w:rsidP="003741BE">
      <w:pPr>
        <w:pStyle w:val="NoSpacing"/>
      </w:pPr>
      <w:r w:rsidRPr="00E578E4">
        <w:rPr>
          <w:noProof/>
        </w:rPr>
        <w:lastRenderedPageBreak/>
        <w:drawing>
          <wp:inline distT="0" distB="0" distL="0" distR="0" wp14:anchorId="054D99E9" wp14:editId="0CD45E1F">
            <wp:extent cx="6350847" cy="61414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3752" cy="6144302"/>
                    </a:xfrm>
                    <a:prstGeom prst="rect">
                      <a:avLst/>
                    </a:prstGeom>
                    <a:noFill/>
                    <a:ln>
                      <a:noFill/>
                    </a:ln>
                  </pic:spPr>
                </pic:pic>
              </a:graphicData>
            </a:graphic>
          </wp:inline>
        </w:drawing>
      </w:r>
    </w:p>
    <w:p w14:paraId="48EEB13C" w14:textId="2C2C9240" w:rsidR="00DF73EA" w:rsidRPr="00E578E4" w:rsidRDefault="00DF73EA" w:rsidP="00DF73EA">
      <w:pPr>
        <w:pStyle w:val="Caption"/>
        <w:rPr>
          <w:b w:val="0"/>
          <w:bCs w:val="0"/>
        </w:rPr>
      </w:pPr>
      <w:r w:rsidRPr="00E578E4">
        <w:t xml:space="preserve">Supplementary Figure 3. </w:t>
      </w:r>
      <w:r w:rsidRPr="00E578E4">
        <w:rPr>
          <w:b w:val="0"/>
          <w:bCs w:val="0"/>
        </w:rPr>
        <w:t xml:space="preserve">Unsupervised clustering for CRGs. (A-E) TCGA-LGG cohort was grouped into 2 clusters according to the consensus clustering matrix (k = 2). (F) Uniform clustering CDF with k from 2 to 9. (G) The change of area under CDF curve with k from 2 to 9. (H) The tracking plot showed the relationship between samples and clusters. (I) The PCA plot showed the distribution of samples among 2 CRG clusters. CRGs, </w:t>
      </w:r>
      <w:r w:rsidRPr="00E578E4">
        <w:rPr>
          <w:b w:val="0"/>
          <w:bCs w:val="0"/>
          <w:noProof/>
        </w:rPr>
        <w:t>cuproptosis related genes</w:t>
      </w:r>
      <w:r w:rsidRPr="00E578E4">
        <w:rPr>
          <w:b w:val="0"/>
          <w:bCs w:val="0"/>
        </w:rPr>
        <w:t xml:space="preserve">; </w:t>
      </w:r>
      <w:r w:rsidRPr="00E578E4">
        <w:rPr>
          <w:b w:val="0"/>
          <w:bCs w:val="0"/>
          <w:noProof/>
        </w:rPr>
        <w:t xml:space="preserve">TCGA, the Cancer Genome Atlas; </w:t>
      </w:r>
      <w:r w:rsidRPr="00E578E4">
        <w:rPr>
          <w:b w:val="0"/>
          <w:bCs w:val="0"/>
        </w:rPr>
        <w:t>LGG, lower-grade glioma (WHO Ⅱ and Ⅲ); CDF, cumulative distribution function; PCA, principal component analysis.</w:t>
      </w:r>
    </w:p>
    <w:p w14:paraId="474C3BE1" w14:textId="77777777" w:rsidR="003741BE" w:rsidRPr="00E578E4" w:rsidRDefault="003741BE" w:rsidP="003741BE">
      <w:pPr>
        <w:pStyle w:val="NoSpacing"/>
      </w:pPr>
    </w:p>
    <w:p w14:paraId="5116D42C" w14:textId="2161CB95" w:rsidR="003741BE" w:rsidRPr="00E578E4" w:rsidRDefault="00215399" w:rsidP="003741BE">
      <w:pPr>
        <w:pStyle w:val="NoSpacing"/>
      </w:pPr>
      <w:r w:rsidRPr="00E578E4">
        <w:rPr>
          <w:noProof/>
        </w:rPr>
        <w:lastRenderedPageBreak/>
        <w:drawing>
          <wp:inline distT="0" distB="0" distL="0" distR="0" wp14:anchorId="44E859C9" wp14:editId="0E28C1F2">
            <wp:extent cx="6609435" cy="642809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3532" cy="6432079"/>
                    </a:xfrm>
                    <a:prstGeom prst="rect">
                      <a:avLst/>
                    </a:prstGeom>
                    <a:noFill/>
                    <a:ln>
                      <a:noFill/>
                    </a:ln>
                  </pic:spPr>
                </pic:pic>
              </a:graphicData>
            </a:graphic>
          </wp:inline>
        </w:drawing>
      </w:r>
    </w:p>
    <w:p w14:paraId="08122B29" w14:textId="3A9E2248" w:rsidR="00DF73EA" w:rsidRPr="00E578E4" w:rsidRDefault="00DF73EA" w:rsidP="00DF73EA">
      <w:pPr>
        <w:pStyle w:val="Caption"/>
        <w:rPr>
          <w:b w:val="0"/>
          <w:bCs w:val="0"/>
        </w:rPr>
      </w:pPr>
      <w:r w:rsidRPr="00E578E4">
        <w:t xml:space="preserve">Supplementary Figure 4. </w:t>
      </w:r>
      <w:r w:rsidRPr="00E578E4">
        <w:rPr>
          <w:b w:val="0"/>
          <w:bCs w:val="0"/>
        </w:rPr>
        <w:t>Unsupervised clustering for OS-related DEGs. (A-E) TCGA-LGG cohort was grouped into 3 clusters according to the consensus clustering matrix (k = 3). (F) Uniform clustering cumulative distribution function (CDF) with k from 2 to 9. (G) The change of area under CDF curve with k from 2 to 9. (H) The tracking plot showed the relationship between samples and clusters. (I) The PCA plot showed the distribution among 3 gene clusters. OS, overall survival; DEGs, differentially expressed genes;</w:t>
      </w:r>
      <w:r w:rsidRPr="00E578E4">
        <w:rPr>
          <w:b w:val="0"/>
          <w:bCs w:val="0"/>
          <w:noProof/>
        </w:rPr>
        <w:t xml:space="preserve"> TCGA, the Cancer Genome Atlas; </w:t>
      </w:r>
      <w:r w:rsidRPr="00E578E4">
        <w:rPr>
          <w:b w:val="0"/>
          <w:bCs w:val="0"/>
        </w:rPr>
        <w:t xml:space="preserve">LGG, lower-grade glioma (WHO Ⅱ and Ⅲ); CRGs, </w:t>
      </w:r>
      <w:r w:rsidRPr="00E578E4">
        <w:rPr>
          <w:b w:val="0"/>
          <w:bCs w:val="0"/>
          <w:noProof/>
        </w:rPr>
        <w:t>cuproptosis related genes</w:t>
      </w:r>
      <w:r w:rsidRPr="00E578E4">
        <w:rPr>
          <w:b w:val="0"/>
          <w:bCs w:val="0"/>
        </w:rPr>
        <w:t>; CDF, cumulative distribution function; PCA, principal component analysis.</w:t>
      </w:r>
    </w:p>
    <w:p w14:paraId="5F95EDE2" w14:textId="77777777" w:rsidR="003741BE" w:rsidRPr="00E578E4" w:rsidRDefault="003741BE" w:rsidP="003741BE">
      <w:pPr>
        <w:pStyle w:val="NoSpacing"/>
      </w:pPr>
    </w:p>
    <w:p w14:paraId="2B4227D8" w14:textId="093569A9" w:rsidR="003741BE" w:rsidRPr="00E578E4" w:rsidRDefault="00215399" w:rsidP="003741BE">
      <w:pPr>
        <w:pStyle w:val="NoSpacing"/>
      </w:pPr>
      <w:r w:rsidRPr="00E578E4">
        <w:rPr>
          <w:noProof/>
        </w:rPr>
        <w:lastRenderedPageBreak/>
        <w:drawing>
          <wp:inline distT="0" distB="0" distL="0" distR="0" wp14:anchorId="3CD11036" wp14:editId="663B3A38">
            <wp:extent cx="5704840" cy="28524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4840" cy="2852420"/>
                    </a:xfrm>
                    <a:prstGeom prst="rect">
                      <a:avLst/>
                    </a:prstGeom>
                    <a:noFill/>
                    <a:ln>
                      <a:noFill/>
                    </a:ln>
                  </pic:spPr>
                </pic:pic>
              </a:graphicData>
            </a:graphic>
          </wp:inline>
        </w:drawing>
      </w:r>
    </w:p>
    <w:p w14:paraId="3C0E67A3" w14:textId="30076098" w:rsidR="00DF73EA" w:rsidRPr="00E578E4" w:rsidRDefault="00DF73EA" w:rsidP="00DF73EA">
      <w:pPr>
        <w:pStyle w:val="Caption"/>
        <w:rPr>
          <w:b w:val="0"/>
          <w:bCs w:val="0"/>
        </w:rPr>
      </w:pPr>
      <w:r w:rsidRPr="00E578E4">
        <w:t xml:space="preserve">Supplementary Figure 5. </w:t>
      </w:r>
      <w:r w:rsidRPr="00E578E4">
        <w:rPr>
          <w:b w:val="0"/>
          <w:bCs w:val="0"/>
        </w:rPr>
        <w:t>LASSO coefficient profiles of OS-related DEGs and cross-validation for tuning the parameter selection in the LASSO regression. LASSO, least absolute shrinkage and selection operator. OS, overall survival; DEGs, differentially expressed genes.</w:t>
      </w:r>
    </w:p>
    <w:p w14:paraId="261167E2" w14:textId="77777777" w:rsidR="003741BE" w:rsidRPr="00E578E4" w:rsidRDefault="003741BE" w:rsidP="003741BE">
      <w:pPr>
        <w:pStyle w:val="NoSpacing"/>
      </w:pPr>
    </w:p>
    <w:p w14:paraId="7E3C4E98" w14:textId="63932A13" w:rsidR="003741BE" w:rsidRPr="00E578E4" w:rsidRDefault="00215399" w:rsidP="003741BE">
      <w:pPr>
        <w:pStyle w:val="NoSpacing"/>
        <w:jc w:val="center"/>
      </w:pPr>
      <w:r w:rsidRPr="00E578E4">
        <w:rPr>
          <w:noProof/>
        </w:rPr>
        <w:lastRenderedPageBreak/>
        <w:drawing>
          <wp:inline distT="0" distB="0" distL="0" distR="0" wp14:anchorId="215C90B5" wp14:editId="3F2910B4">
            <wp:extent cx="4415051" cy="6985214"/>
            <wp:effectExtent l="0" t="0" r="508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5282" cy="7001401"/>
                    </a:xfrm>
                    <a:prstGeom prst="rect">
                      <a:avLst/>
                    </a:prstGeom>
                    <a:noFill/>
                    <a:ln>
                      <a:noFill/>
                    </a:ln>
                  </pic:spPr>
                </pic:pic>
              </a:graphicData>
            </a:graphic>
          </wp:inline>
        </w:drawing>
      </w:r>
    </w:p>
    <w:p w14:paraId="0FAAA458" w14:textId="2DAC581F" w:rsidR="00DF73EA" w:rsidRPr="00E578E4" w:rsidRDefault="00DF73EA" w:rsidP="00DF73EA">
      <w:pPr>
        <w:pStyle w:val="Caption"/>
        <w:rPr>
          <w:b w:val="0"/>
          <w:bCs w:val="0"/>
        </w:rPr>
      </w:pPr>
      <w:r w:rsidRPr="00E578E4">
        <w:t xml:space="preserve">Supplementary Figure 6. </w:t>
      </w:r>
      <w:r w:rsidRPr="00E578E4">
        <w:rPr>
          <w:b w:val="0"/>
          <w:bCs w:val="0"/>
        </w:rPr>
        <w:t xml:space="preserve">Functional annotation of 5 genes in cuproptosis-related prognostic model. (A-C) GSEA between </w:t>
      </w:r>
      <w:r w:rsidRPr="00E578E4">
        <w:rPr>
          <w:b w:val="0"/>
          <w:bCs w:val="0"/>
          <w:i/>
          <w:iCs/>
        </w:rPr>
        <w:t>C21orf62</w:t>
      </w:r>
      <w:r w:rsidRPr="00E578E4">
        <w:rPr>
          <w:b w:val="0"/>
          <w:bCs w:val="0"/>
        </w:rPr>
        <w:t xml:space="preserve"> high- and low-expression samples. (D-F) GSEA between </w:t>
      </w:r>
      <w:r w:rsidRPr="00E578E4">
        <w:rPr>
          <w:b w:val="0"/>
          <w:bCs w:val="0"/>
          <w:i/>
          <w:iCs/>
        </w:rPr>
        <w:t>DRAXIN</w:t>
      </w:r>
      <w:r w:rsidRPr="00E578E4">
        <w:rPr>
          <w:b w:val="0"/>
          <w:bCs w:val="0"/>
        </w:rPr>
        <w:t xml:space="preserve"> high- and low-expression samples. (G-I) GSEA between </w:t>
      </w:r>
      <w:r w:rsidRPr="00E578E4">
        <w:rPr>
          <w:b w:val="0"/>
          <w:bCs w:val="0"/>
          <w:i/>
          <w:iCs/>
        </w:rPr>
        <w:t>ITPRID2</w:t>
      </w:r>
      <w:r w:rsidRPr="00E578E4">
        <w:rPr>
          <w:b w:val="0"/>
          <w:bCs w:val="0"/>
        </w:rPr>
        <w:t xml:space="preserve"> high- and low-expression samples. (J-L) GSEA between </w:t>
      </w:r>
      <w:r w:rsidRPr="00E578E4">
        <w:rPr>
          <w:b w:val="0"/>
          <w:bCs w:val="0"/>
          <w:i/>
          <w:iCs/>
        </w:rPr>
        <w:t>MAP3K1</w:t>
      </w:r>
      <w:r w:rsidRPr="00E578E4">
        <w:rPr>
          <w:b w:val="0"/>
          <w:bCs w:val="0"/>
        </w:rPr>
        <w:t xml:space="preserve"> high- and low-expression samples. (M-O) GSEA between </w:t>
      </w:r>
      <w:r w:rsidRPr="00E578E4">
        <w:rPr>
          <w:b w:val="0"/>
          <w:bCs w:val="0"/>
          <w:i/>
          <w:iCs/>
        </w:rPr>
        <w:t>MOXD1</w:t>
      </w:r>
      <w:r w:rsidRPr="00E578E4">
        <w:rPr>
          <w:b w:val="0"/>
          <w:bCs w:val="0"/>
        </w:rPr>
        <w:t xml:space="preserve"> high- and low-expression samples. GSEA, Gene Set Enrichment Analysis.</w:t>
      </w:r>
    </w:p>
    <w:p w14:paraId="47BD6305" w14:textId="77777777" w:rsidR="003741BE" w:rsidRPr="00E578E4" w:rsidRDefault="003741BE" w:rsidP="003741BE">
      <w:pPr>
        <w:pStyle w:val="NoSpacing"/>
      </w:pPr>
    </w:p>
    <w:p w14:paraId="13CC3052" w14:textId="1DB8FD84" w:rsidR="003741BE" w:rsidRPr="00E578E4" w:rsidRDefault="00215399" w:rsidP="003741BE">
      <w:pPr>
        <w:pStyle w:val="NoSpacing"/>
        <w:jc w:val="center"/>
      </w:pPr>
      <w:r w:rsidRPr="00E578E4">
        <w:rPr>
          <w:noProof/>
        </w:rPr>
        <w:lastRenderedPageBreak/>
        <w:drawing>
          <wp:inline distT="0" distB="0" distL="0" distR="0" wp14:anchorId="118D6F1A" wp14:editId="7CAD418F">
            <wp:extent cx="5431809" cy="4984111"/>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7462" cy="4989298"/>
                    </a:xfrm>
                    <a:prstGeom prst="rect">
                      <a:avLst/>
                    </a:prstGeom>
                    <a:noFill/>
                    <a:ln>
                      <a:noFill/>
                    </a:ln>
                  </pic:spPr>
                </pic:pic>
              </a:graphicData>
            </a:graphic>
          </wp:inline>
        </w:drawing>
      </w:r>
    </w:p>
    <w:p w14:paraId="5CE28073" w14:textId="71011BA6" w:rsidR="00215399" w:rsidRPr="00E578E4" w:rsidRDefault="00371051" w:rsidP="00371051">
      <w:pPr>
        <w:pStyle w:val="NoSpacing"/>
        <w:jc w:val="both"/>
      </w:pPr>
      <w:r w:rsidRPr="00E578E4">
        <w:rPr>
          <w:rFonts w:cs="Times New Roman"/>
          <w:b/>
          <w:bCs/>
        </w:rPr>
        <w:t xml:space="preserve">Supplementary Figure7. </w:t>
      </w:r>
      <w:r w:rsidRPr="00E578E4">
        <w:rPr>
          <w:rFonts w:cs="Times New Roman"/>
        </w:rPr>
        <w:t xml:space="preserve">Calibration curves of the </w:t>
      </w:r>
      <w:proofErr w:type="spellStart"/>
      <w:r w:rsidRPr="00E578E4">
        <w:rPr>
          <w:rFonts w:cs="Times New Roman"/>
        </w:rPr>
        <w:t>CRG_score</w:t>
      </w:r>
      <w:proofErr w:type="spellEnd"/>
      <w:r w:rsidRPr="00E578E4">
        <w:rPr>
          <w:rFonts w:cs="Times New Roman"/>
        </w:rPr>
        <w:t xml:space="preserve"> for predicting probabilities of 1</w:t>
      </w:r>
      <w:r w:rsidR="00234609" w:rsidRPr="00E578E4">
        <w:rPr>
          <w:rFonts w:cs="Times New Roman" w:hint="eastAsia"/>
          <w:lang w:eastAsia="zh-CN"/>
        </w:rPr>
        <w:t>-</w:t>
      </w:r>
      <w:r w:rsidRPr="00E578E4">
        <w:rPr>
          <w:rFonts w:cs="Times New Roman"/>
        </w:rPr>
        <w:t>, 3</w:t>
      </w:r>
      <w:r w:rsidR="00234609" w:rsidRPr="00E578E4">
        <w:rPr>
          <w:rFonts w:cs="Times New Roman" w:hint="eastAsia"/>
          <w:lang w:eastAsia="zh-CN"/>
        </w:rPr>
        <w:t>-</w:t>
      </w:r>
      <w:r w:rsidRPr="00E578E4">
        <w:rPr>
          <w:rFonts w:cs="Times New Roman"/>
        </w:rPr>
        <w:t>, and 5</w:t>
      </w:r>
      <w:r w:rsidR="00234609" w:rsidRPr="00E578E4">
        <w:rPr>
          <w:rFonts w:cs="Times New Roman" w:hint="eastAsia"/>
          <w:lang w:eastAsia="zh-CN"/>
        </w:rPr>
        <w:t>-</w:t>
      </w:r>
      <w:r w:rsidRPr="00E578E4">
        <w:rPr>
          <w:rFonts w:cs="Times New Roman"/>
        </w:rPr>
        <w:t xml:space="preserve">year survival. (A-B) Calibration curves of the </w:t>
      </w:r>
      <w:proofErr w:type="spellStart"/>
      <w:r w:rsidRPr="00E578E4">
        <w:rPr>
          <w:rFonts w:cs="Times New Roman"/>
        </w:rPr>
        <w:t>CRG_score</w:t>
      </w:r>
      <w:proofErr w:type="spellEnd"/>
      <w:r w:rsidRPr="00E578E4">
        <w:rPr>
          <w:rFonts w:cs="Times New Roman"/>
        </w:rPr>
        <w:t xml:space="preserve"> for predicting probabilities of 1</w:t>
      </w:r>
      <w:r w:rsidR="00234609" w:rsidRPr="00E578E4">
        <w:rPr>
          <w:rFonts w:cs="Times New Roman" w:hint="eastAsia"/>
          <w:lang w:eastAsia="zh-CN"/>
        </w:rPr>
        <w:t>-</w:t>
      </w:r>
      <w:r w:rsidRPr="00E578E4">
        <w:rPr>
          <w:rFonts w:cs="Times New Roman"/>
        </w:rPr>
        <w:t>, 3</w:t>
      </w:r>
      <w:r w:rsidR="00234609" w:rsidRPr="00E578E4">
        <w:rPr>
          <w:rFonts w:cs="Times New Roman" w:hint="eastAsia"/>
          <w:lang w:eastAsia="zh-CN"/>
        </w:rPr>
        <w:t>-</w:t>
      </w:r>
      <w:r w:rsidRPr="00E578E4">
        <w:rPr>
          <w:rFonts w:cs="Times New Roman"/>
        </w:rPr>
        <w:t>, and 5</w:t>
      </w:r>
      <w:r w:rsidR="00234609" w:rsidRPr="00E578E4">
        <w:rPr>
          <w:rFonts w:cs="Times New Roman" w:hint="eastAsia"/>
          <w:lang w:eastAsia="zh-CN"/>
        </w:rPr>
        <w:t>-</w:t>
      </w:r>
      <w:r w:rsidRPr="00E578E4">
        <w:rPr>
          <w:rFonts w:cs="Times New Roman"/>
        </w:rPr>
        <w:t xml:space="preserve">year survival based on TCGA-training and TCGA validation cohorts. (C-D) Calibration curves of the </w:t>
      </w:r>
      <w:proofErr w:type="spellStart"/>
      <w:r w:rsidRPr="00E578E4">
        <w:rPr>
          <w:rFonts w:cs="Times New Roman"/>
        </w:rPr>
        <w:t>CRG_score</w:t>
      </w:r>
      <w:proofErr w:type="spellEnd"/>
      <w:r w:rsidRPr="00E578E4">
        <w:rPr>
          <w:rFonts w:cs="Times New Roman"/>
        </w:rPr>
        <w:t xml:space="preserve"> for predicting probabilities of 1</w:t>
      </w:r>
      <w:r w:rsidR="00234609" w:rsidRPr="00E578E4">
        <w:rPr>
          <w:rFonts w:cs="Times New Roman" w:hint="eastAsia"/>
          <w:lang w:eastAsia="zh-CN"/>
        </w:rPr>
        <w:t>-</w:t>
      </w:r>
      <w:r w:rsidRPr="00E578E4">
        <w:rPr>
          <w:rFonts w:cs="Times New Roman"/>
        </w:rPr>
        <w:t>, 3</w:t>
      </w:r>
      <w:r w:rsidR="00234609" w:rsidRPr="00E578E4">
        <w:rPr>
          <w:rFonts w:cs="Times New Roman" w:hint="eastAsia"/>
          <w:lang w:eastAsia="zh-CN"/>
        </w:rPr>
        <w:t>-</w:t>
      </w:r>
      <w:r w:rsidRPr="00E578E4">
        <w:rPr>
          <w:rFonts w:cs="Times New Roman"/>
        </w:rPr>
        <w:t>, and 5</w:t>
      </w:r>
      <w:r w:rsidR="00234609" w:rsidRPr="00E578E4">
        <w:rPr>
          <w:rFonts w:cs="Times New Roman" w:hint="eastAsia"/>
          <w:lang w:eastAsia="zh-CN"/>
        </w:rPr>
        <w:t>-</w:t>
      </w:r>
      <w:r w:rsidRPr="00E578E4">
        <w:rPr>
          <w:rFonts w:cs="Times New Roman"/>
        </w:rPr>
        <w:t>year survival based on CGGA1 cohort and CGGA2 cohort.</w:t>
      </w:r>
    </w:p>
    <w:p w14:paraId="62C86027" w14:textId="3C1DB36D" w:rsidR="00215399" w:rsidRPr="00E578E4" w:rsidRDefault="00215399" w:rsidP="003741BE">
      <w:pPr>
        <w:pStyle w:val="NoSpacing"/>
        <w:jc w:val="center"/>
      </w:pPr>
    </w:p>
    <w:p w14:paraId="5A792EB8" w14:textId="772AA4B4" w:rsidR="00215399" w:rsidRPr="00E578E4" w:rsidRDefault="00215399" w:rsidP="003741BE">
      <w:pPr>
        <w:pStyle w:val="NoSpacing"/>
        <w:jc w:val="center"/>
      </w:pPr>
      <w:r w:rsidRPr="00E578E4">
        <w:rPr>
          <w:noProof/>
        </w:rPr>
        <w:lastRenderedPageBreak/>
        <w:drawing>
          <wp:inline distT="0" distB="0" distL="0" distR="0" wp14:anchorId="1D7FE8DF" wp14:editId="75D03279">
            <wp:extent cx="5220269" cy="697823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3269" cy="6995609"/>
                    </a:xfrm>
                    <a:prstGeom prst="rect">
                      <a:avLst/>
                    </a:prstGeom>
                    <a:noFill/>
                    <a:ln>
                      <a:noFill/>
                    </a:ln>
                  </pic:spPr>
                </pic:pic>
              </a:graphicData>
            </a:graphic>
          </wp:inline>
        </w:drawing>
      </w:r>
    </w:p>
    <w:p w14:paraId="7BE8E04F" w14:textId="14E71411" w:rsidR="003741BE" w:rsidRPr="00E578E4" w:rsidRDefault="00DF73EA" w:rsidP="00DF73EA">
      <w:pPr>
        <w:pStyle w:val="Caption"/>
        <w:rPr>
          <w:b w:val="0"/>
          <w:bCs w:val="0"/>
          <w:noProof/>
        </w:rPr>
      </w:pPr>
      <w:r w:rsidRPr="00E578E4">
        <w:t xml:space="preserve">Supplementary Figure </w:t>
      </w:r>
      <w:r w:rsidR="00215399" w:rsidRPr="00E578E4">
        <w:t>8</w:t>
      </w:r>
      <w:r w:rsidRPr="00E578E4">
        <w:t>.</w:t>
      </w:r>
      <w:r w:rsidR="00664F7C" w:rsidRPr="00E578E4">
        <w:rPr>
          <w:b w:val="0"/>
          <w:bCs w:val="0"/>
        </w:rPr>
        <w:t xml:space="preserve"> The Kaplan–Meier OS curves among 4 groups classified by CRG score and the expression levels of (A) </w:t>
      </w:r>
      <w:r w:rsidR="00664F7C" w:rsidRPr="00E578E4">
        <w:rPr>
          <w:b w:val="0"/>
          <w:bCs w:val="0"/>
          <w:i/>
          <w:iCs/>
        </w:rPr>
        <w:t>BTN2A2,</w:t>
      </w:r>
      <w:r w:rsidR="00664F7C" w:rsidRPr="00E578E4">
        <w:rPr>
          <w:b w:val="0"/>
          <w:bCs w:val="0"/>
        </w:rPr>
        <w:t xml:space="preserve"> (B) </w:t>
      </w:r>
      <w:r w:rsidR="00664F7C" w:rsidRPr="00E578E4">
        <w:rPr>
          <w:b w:val="0"/>
          <w:bCs w:val="0"/>
          <w:i/>
          <w:iCs/>
        </w:rPr>
        <w:t>CD276</w:t>
      </w:r>
      <w:r w:rsidR="00664F7C" w:rsidRPr="00E578E4">
        <w:rPr>
          <w:b w:val="0"/>
          <w:bCs w:val="0"/>
        </w:rPr>
        <w:t xml:space="preserve">, (C) </w:t>
      </w:r>
      <w:r w:rsidR="00664F7C" w:rsidRPr="00E578E4">
        <w:rPr>
          <w:b w:val="0"/>
          <w:bCs w:val="0"/>
          <w:i/>
          <w:iCs/>
        </w:rPr>
        <w:t>PDCD1LG2</w:t>
      </w:r>
      <w:r w:rsidR="00664F7C" w:rsidRPr="00E578E4">
        <w:rPr>
          <w:b w:val="0"/>
          <w:bCs w:val="0"/>
        </w:rPr>
        <w:t xml:space="preserve">, (D) </w:t>
      </w:r>
      <w:r w:rsidR="00664F7C" w:rsidRPr="00E578E4">
        <w:rPr>
          <w:b w:val="0"/>
          <w:bCs w:val="0"/>
          <w:i/>
          <w:iCs/>
        </w:rPr>
        <w:t>CD160</w:t>
      </w:r>
      <w:r w:rsidR="00664F7C" w:rsidRPr="00E578E4">
        <w:rPr>
          <w:b w:val="0"/>
          <w:bCs w:val="0"/>
        </w:rPr>
        <w:t xml:space="preserve">, (E) </w:t>
      </w:r>
      <w:r w:rsidR="00664F7C" w:rsidRPr="00E578E4">
        <w:rPr>
          <w:b w:val="0"/>
          <w:bCs w:val="0"/>
          <w:i/>
          <w:iCs/>
        </w:rPr>
        <w:t>CD226</w:t>
      </w:r>
      <w:r w:rsidR="00664F7C" w:rsidRPr="00E578E4">
        <w:rPr>
          <w:b w:val="0"/>
          <w:bCs w:val="0"/>
        </w:rPr>
        <w:t xml:space="preserve">, (F) </w:t>
      </w:r>
      <w:r w:rsidR="00664F7C" w:rsidRPr="00E578E4">
        <w:rPr>
          <w:b w:val="0"/>
          <w:bCs w:val="0"/>
          <w:i/>
          <w:iCs/>
        </w:rPr>
        <w:t>BTN3A1</w:t>
      </w:r>
      <w:r w:rsidR="00664F7C" w:rsidRPr="00E578E4">
        <w:rPr>
          <w:b w:val="0"/>
          <w:bCs w:val="0"/>
        </w:rPr>
        <w:t xml:space="preserve">, (G) </w:t>
      </w:r>
      <w:r w:rsidR="00664F7C" w:rsidRPr="00E578E4">
        <w:rPr>
          <w:b w:val="0"/>
          <w:bCs w:val="0"/>
          <w:i/>
          <w:iCs/>
        </w:rPr>
        <w:t>CD96</w:t>
      </w:r>
      <w:r w:rsidR="00664F7C" w:rsidRPr="00E578E4">
        <w:rPr>
          <w:b w:val="0"/>
          <w:bCs w:val="0"/>
        </w:rPr>
        <w:t xml:space="preserve">, (H) </w:t>
      </w:r>
      <w:r w:rsidR="00664F7C" w:rsidRPr="00E578E4">
        <w:rPr>
          <w:b w:val="0"/>
          <w:bCs w:val="0"/>
          <w:i/>
          <w:iCs/>
        </w:rPr>
        <w:t>CD274</w:t>
      </w:r>
      <w:r w:rsidR="00664F7C" w:rsidRPr="00E578E4">
        <w:rPr>
          <w:b w:val="0"/>
          <w:bCs w:val="0"/>
        </w:rPr>
        <w:t xml:space="preserve">, (I) </w:t>
      </w:r>
      <w:r w:rsidR="00664F7C" w:rsidRPr="00E578E4">
        <w:rPr>
          <w:b w:val="0"/>
          <w:bCs w:val="0"/>
          <w:i/>
          <w:iCs/>
        </w:rPr>
        <w:t>TNFRSF14</w:t>
      </w:r>
      <w:r w:rsidR="00664F7C" w:rsidRPr="00E578E4">
        <w:rPr>
          <w:b w:val="0"/>
          <w:bCs w:val="0"/>
        </w:rPr>
        <w:t xml:space="preserve">, (J) </w:t>
      </w:r>
      <w:r w:rsidR="00664F7C" w:rsidRPr="00E578E4">
        <w:rPr>
          <w:b w:val="0"/>
          <w:bCs w:val="0"/>
          <w:i/>
          <w:iCs/>
        </w:rPr>
        <w:t xml:space="preserve">HLA-DOA </w:t>
      </w:r>
      <w:r w:rsidR="00664F7C" w:rsidRPr="00E578E4">
        <w:rPr>
          <w:b w:val="0"/>
          <w:bCs w:val="0"/>
        </w:rPr>
        <w:t xml:space="preserve">(K) </w:t>
      </w:r>
      <w:r w:rsidR="00664F7C" w:rsidRPr="00E578E4">
        <w:rPr>
          <w:b w:val="0"/>
          <w:bCs w:val="0"/>
          <w:i/>
          <w:iCs/>
        </w:rPr>
        <w:t xml:space="preserve">CD40LG, </w:t>
      </w:r>
      <w:r w:rsidR="00664F7C" w:rsidRPr="00E578E4">
        <w:rPr>
          <w:b w:val="0"/>
          <w:bCs w:val="0"/>
        </w:rPr>
        <w:t xml:space="preserve">(L) </w:t>
      </w:r>
      <w:r w:rsidR="00664F7C" w:rsidRPr="00E578E4">
        <w:rPr>
          <w:b w:val="0"/>
          <w:bCs w:val="0"/>
          <w:i/>
          <w:iCs/>
        </w:rPr>
        <w:t xml:space="preserve">HLA-DRA </w:t>
      </w:r>
      <w:r w:rsidR="00664F7C" w:rsidRPr="00E578E4">
        <w:rPr>
          <w:b w:val="0"/>
          <w:bCs w:val="0"/>
        </w:rPr>
        <w:t xml:space="preserve">(M) </w:t>
      </w:r>
      <w:r w:rsidR="00664F7C" w:rsidRPr="00E578E4">
        <w:rPr>
          <w:b w:val="0"/>
          <w:bCs w:val="0"/>
          <w:i/>
          <w:iCs/>
        </w:rPr>
        <w:t xml:space="preserve">CEACAM1 </w:t>
      </w:r>
      <w:r w:rsidR="00664F7C" w:rsidRPr="00E578E4">
        <w:rPr>
          <w:b w:val="0"/>
          <w:bCs w:val="0"/>
        </w:rPr>
        <w:t xml:space="preserve">(N) </w:t>
      </w:r>
      <w:r w:rsidR="00664F7C" w:rsidRPr="00E578E4">
        <w:rPr>
          <w:b w:val="0"/>
          <w:bCs w:val="0"/>
          <w:i/>
          <w:iCs/>
        </w:rPr>
        <w:t>HLA-DQA1</w:t>
      </w:r>
      <w:r w:rsidR="00664F7C" w:rsidRPr="00E578E4">
        <w:rPr>
          <w:b w:val="0"/>
          <w:bCs w:val="0"/>
        </w:rPr>
        <w:t xml:space="preserve"> and</w:t>
      </w:r>
      <w:r w:rsidR="00664F7C" w:rsidRPr="00E578E4">
        <w:rPr>
          <w:b w:val="0"/>
          <w:bCs w:val="0"/>
          <w:i/>
          <w:iCs/>
        </w:rPr>
        <w:t xml:space="preserve"> </w:t>
      </w:r>
      <w:r w:rsidR="00664F7C" w:rsidRPr="00E578E4">
        <w:rPr>
          <w:b w:val="0"/>
          <w:bCs w:val="0"/>
        </w:rPr>
        <w:t xml:space="preserve">(O) </w:t>
      </w:r>
      <w:r w:rsidR="00664F7C" w:rsidRPr="00E578E4">
        <w:rPr>
          <w:b w:val="0"/>
          <w:bCs w:val="0"/>
          <w:i/>
          <w:iCs/>
        </w:rPr>
        <w:t>PVR</w:t>
      </w:r>
      <w:r w:rsidR="00664F7C" w:rsidRPr="00E578E4">
        <w:rPr>
          <w:b w:val="0"/>
          <w:bCs w:val="0"/>
        </w:rPr>
        <w:t xml:space="preserve"> in TCGA-LGG cohort. OS, overall survival; CRGs, </w:t>
      </w:r>
      <w:r w:rsidR="00664F7C" w:rsidRPr="00E578E4">
        <w:rPr>
          <w:b w:val="0"/>
          <w:bCs w:val="0"/>
          <w:noProof/>
        </w:rPr>
        <w:t>cuproptosis related genes.</w:t>
      </w:r>
    </w:p>
    <w:p w14:paraId="7B677FB2" w14:textId="00B6FE16" w:rsidR="003741BE" w:rsidRPr="00E578E4" w:rsidRDefault="003741BE" w:rsidP="003741BE">
      <w:pPr>
        <w:spacing w:before="0" w:after="200" w:line="276" w:lineRule="auto"/>
        <w:rPr>
          <w:rFonts w:cs="Times New Roman"/>
          <w:noProof/>
          <w:szCs w:val="24"/>
        </w:rPr>
      </w:pPr>
      <w:r w:rsidRPr="00E578E4">
        <w:rPr>
          <w:b/>
          <w:bCs/>
          <w:noProof/>
        </w:rPr>
        <w:br w:type="page"/>
      </w:r>
    </w:p>
    <w:p w14:paraId="560E2D0F" w14:textId="1665DBE3" w:rsidR="003741BE" w:rsidRPr="00E578E4" w:rsidRDefault="00215399" w:rsidP="00DF73EA">
      <w:pPr>
        <w:pStyle w:val="Caption"/>
        <w:rPr>
          <w:b w:val="0"/>
          <w:bCs w:val="0"/>
          <w:noProof/>
        </w:rPr>
      </w:pPr>
      <w:r w:rsidRPr="00E578E4">
        <w:rPr>
          <w:b w:val="0"/>
          <w:bCs w:val="0"/>
          <w:noProof/>
        </w:rPr>
        <w:lastRenderedPageBreak/>
        <w:drawing>
          <wp:inline distT="0" distB="0" distL="0" distR="0" wp14:anchorId="43AF9BF1" wp14:editId="02DDE9FA">
            <wp:extent cx="6202680" cy="3541395"/>
            <wp:effectExtent l="0" t="0" r="762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2680" cy="3541395"/>
                    </a:xfrm>
                    <a:prstGeom prst="rect">
                      <a:avLst/>
                    </a:prstGeom>
                    <a:noFill/>
                    <a:ln>
                      <a:noFill/>
                    </a:ln>
                  </pic:spPr>
                </pic:pic>
              </a:graphicData>
            </a:graphic>
          </wp:inline>
        </w:drawing>
      </w:r>
    </w:p>
    <w:p w14:paraId="66CE6B1D" w14:textId="21259BE3" w:rsidR="00DF73EA" w:rsidRPr="00E578E4" w:rsidRDefault="00664F7C" w:rsidP="00DF73EA">
      <w:pPr>
        <w:pStyle w:val="Caption"/>
        <w:rPr>
          <w:b w:val="0"/>
          <w:bCs w:val="0"/>
        </w:rPr>
      </w:pPr>
      <w:r w:rsidRPr="00E578E4">
        <w:t xml:space="preserve">Supplementary Figure </w:t>
      </w:r>
      <w:r w:rsidR="00215399" w:rsidRPr="00E578E4">
        <w:t>9</w:t>
      </w:r>
      <w:r w:rsidRPr="00E578E4">
        <w:t>.</w:t>
      </w:r>
      <w:r w:rsidR="00DF73EA" w:rsidRPr="00E578E4">
        <w:t xml:space="preserve"> </w:t>
      </w:r>
      <w:r w:rsidR="00DF73EA" w:rsidRPr="00E578E4">
        <w:rPr>
          <w:b w:val="0"/>
          <w:bCs w:val="0"/>
        </w:rPr>
        <w:t>Independent prognostic analysis in CGGA1 and CGGA2 cohorts. (A) Univariate Cox regression analysis of CRG score and clinical characteristics in CGGA1 cohort. (B) Multivariate Cox regression analysis of CRG score and clinical characteristics in CGGA1 cohort. (C) Univariate Cox regression analysis of CRG score and clinical characteristics in CGGA2 cohort. (D) Multivariate Cox regression analysis of CRG score and clinical characteristics in CGGA2 cohort. CGGA, Chinese Glioma Genome Atlas; CRGs, cuproptosis related genes.</w:t>
      </w:r>
    </w:p>
    <w:p w14:paraId="5E565536" w14:textId="310FED35" w:rsidR="00D327E3" w:rsidRPr="00E578E4" w:rsidRDefault="00D327E3" w:rsidP="00D327E3">
      <w:pPr>
        <w:pStyle w:val="NoSpacing"/>
      </w:pPr>
    </w:p>
    <w:p w14:paraId="4B0BD602" w14:textId="77777777" w:rsidR="00D327E3" w:rsidRPr="00E578E4" w:rsidRDefault="00D327E3" w:rsidP="00D327E3">
      <w:pPr>
        <w:pStyle w:val="NoSpacing"/>
      </w:pPr>
    </w:p>
    <w:p w14:paraId="01BCDF92" w14:textId="45D985E8" w:rsidR="003741BE" w:rsidRPr="00E578E4" w:rsidRDefault="003741BE">
      <w:pPr>
        <w:spacing w:before="0" w:after="200" w:line="276" w:lineRule="auto"/>
      </w:pPr>
      <w:r w:rsidRPr="00E578E4">
        <w:br w:type="page"/>
      </w:r>
    </w:p>
    <w:p w14:paraId="7CD908CC" w14:textId="0BCF9654" w:rsidR="003741BE" w:rsidRPr="00E578E4" w:rsidRDefault="00AC22B1" w:rsidP="003741BE">
      <w:pPr>
        <w:pStyle w:val="Heading2"/>
      </w:pPr>
      <w:r w:rsidRPr="00E578E4">
        <w:lastRenderedPageBreak/>
        <w:t>Supplementary Tables</w:t>
      </w:r>
    </w:p>
    <w:p w14:paraId="7186ECA6" w14:textId="77777777" w:rsidR="00DF73EA" w:rsidRPr="00E578E4" w:rsidRDefault="00DF73EA" w:rsidP="00DF73EA">
      <w:pPr>
        <w:pStyle w:val="Caption"/>
      </w:pPr>
      <w:r w:rsidRPr="00E578E4">
        <w:t xml:space="preserve">Supplementary Table 1. </w:t>
      </w:r>
      <w:r w:rsidRPr="00E578E4">
        <w:rPr>
          <w:b w:val="0"/>
          <w:bCs w:val="0"/>
        </w:rPr>
        <w:t>Summary of 13 cuproptosis related genes.</w:t>
      </w:r>
      <w:r w:rsidRPr="00E578E4">
        <w:rPr>
          <w:b w:val="0"/>
          <w:bCs w:val="0"/>
        </w:rPr>
        <w:tab/>
      </w:r>
      <w:r w:rsidRPr="00E578E4">
        <w:tab/>
      </w:r>
    </w:p>
    <w:p w14:paraId="603183C7" w14:textId="77777777" w:rsidR="00DF73EA" w:rsidRPr="00E578E4" w:rsidRDefault="00DF73EA" w:rsidP="00DF73EA">
      <w:pPr>
        <w:pStyle w:val="Caption"/>
      </w:pPr>
      <w:r w:rsidRPr="00E578E4">
        <w:t xml:space="preserve">Supplementary Table 2. </w:t>
      </w:r>
      <w:r w:rsidRPr="00E578E4">
        <w:rPr>
          <w:b w:val="0"/>
          <w:bCs w:val="0"/>
        </w:rPr>
        <w:t>Clinical characteristics of patients enrolled.</w:t>
      </w:r>
    </w:p>
    <w:p w14:paraId="669963A6" w14:textId="77777777" w:rsidR="00DF73EA" w:rsidRPr="00E578E4" w:rsidRDefault="00DF73EA" w:rsidP="00DF73EA">
      <w:pPr>
        <w:pStyle w:val="Caption"/>
        <w:rPr>
          <w:b w:val="0"/>
          <w:bCs w:val="0"/>
          <w:noProof/>
        </w:rPr>
      </w:pPr>
      <w:r w:rsidRPr="00E578E4">
        <w:t xml:space="preserve">Supplementary Table 3. </w:t>
      </w:r>
      <w:r w:rsidRPr="00E578E4">
        <w:rPr>
          <w:b w:val="0"/>
          <w:bCs w:val="0"/>
        </w:rPr>
        <w:t>Oligo sequences used in quantitative real-time PCR.</w:t>
      </w:r>
    </w:p>
    <w:p w14:paraId="2590C8E6" w14:textId="77777777" w:rsidR="00DF73EA" w:rsidRPr="00E578E4" w:rsidRDefault="00DF73EA" w:rsidP="00DF73EA">
      <w:pPr>
        <w:pStyle w:val="Caption"/>
      </w:pPr>
      <w:r w:rsidRPr="00E578E4">
        <w:t xml:space="preserve">Supplementary Table 4. </w:t>
      </w:r>
      <w:r w:rsidRPr="00E578E4">
        <w:rPr>
          <w:b w:val="0"/>
          <w:bCs w:val="0"/>
        </w:rPr>
        <w:t>The activation states of GOBP and KEGG terms between CRG clusters by GSVA.</w:t>
      </w:r>
    </w:p>
    <w:p w14:paraId="3E77E11E" w14:textId="77777777" w:rsidR="00DF73EA" w:rsidRPr="00E578E4" w:rsidRDefault="00DF73EA" w:rsidP="00DF73EA">
      <w:pPr>
        <w:pStyle w:val="Caption"/>
        <w:rPr>
          <w:b w:val="0"/>
          <w:bCs w:val="0"/>
        </w:rPr>
      </w:pPr>
      <w:r w:rsidRPr="00E578E4">
        <w:t xml:space="preserve">Supplementary Table 5. </w:t>
      </w:r>
      <w:r w:rsidRPr="00E578E4">
        <w:rPr>
          <w:b w:val="0"/>
          <w:bCs w:val="0"/>
        </w:rPr>
        <w:t>GSEA of significant HALLMARK between CRG clusters.</w:t>
      </w:r>
    </w:p>
    <w:p w14:paraId="18041345" w14:textId="77777777" w:rsidR="00DF73EA" w:rsidRPr="00E578E4" w:rsidRDefault="00DF73EA" w:rsidP="00DF73EA">
      <w:pPr>
        <w:pStyle w:val="Caption"/>
      </w:pPr>
      <w:r w:rsidRPr="00E578E4">
        <w:t xml:space="preserve">Supplementary Table 6. </w:t>
      </w:r>
      <w:r w:rsidRPr="00E578E4">
        <w:rPr>
          <w:b w:val="0"/>
          <w:bCs w:val="0"/>
        </w:rPr>
        <w:t>Functional annotation of DEGs between two CRG clusters.</w:t>
      </w:r>
    </w:p>
    <w:p w14:paraId="6F63E999" w14:textId="77777777" w:rsidR="00DF73EA" w:rsidRPr="00E578E4" w:rsidRDefault="00DF73EA" w:rsidP="00DF73EA">
      <w:pPr>
        <w:pStyle w:val="Caption"/>
        <w:rPr>
          <w:b w:val="0"/>
          <w:bCs w:val="0"/>
        </w:rPr>
      </w:pPr>
      <w:r w:rsidRPr="00E578E4">
        <w:t xml:space="preserve">Supplementary Table 7. </w:t>
      </w:r>
      <w:r w:rsidRPr="00E578E4">
        <w:rPr>
          <w:b w:val="0"/>
          <w:bCs w:val="0"/>
        </w:rPr>
        <w:t>The characteristics of CGGA1 and CGGA2 cohort.</w:t>
      </w:r>
    </w:p>
    <w:p w14:paraId="670580E0" w14:textId="77777777" w:rsidR="00DF73EA" w:rsidRPr="00E578E4" w:rsidRDefault="00DF73EA" w:rsidP="00DF73EA">
      <w:pPr>
        <w:pStyle w:val="Caption"/>
      </w:pPr>
      <w:r w:rsidRPr="00E578E4">
        <w:t xml:space="preserve">Supplementary Table 8. </w:t>
      </w:r>
      <w:r w:rsidRPr="00E578E4">
        <w:rPr>
          <w:b w:val="0"/>
          <w:bCs w:val="0"/>
        </w:rPr>
        <w:t>GSEA of significant GOBP and HALLMARK terms between high- and low-risk group.</w:t>
      </w:r>
    </w:p>
    <w:p w14:paraId="592DF999" w14:textId="46E84543" w:rsidR="00DF73EA" w:rsidRPr="00E578E4" w:rsidRDefault="00DF73EA" w:rsidP="00DF73EA">
      <w:pPr>
        <w:pStyle w:val="Caption"/>
        <w:rPr>
          <w:b w:val="0"/>
          <w:bCs w:val="0"/>
        </w:rPr>
      </w:pPr>
      <w:r w:rsidRPr="00E578E4">
        <w:t xml:space="preserve">Supplementary Table 9. </w:t>
      </w:r>
      <w:r w:rsidRPr="00E578E4">
        <w:rPr>
          <w:b w:val="0"/>
          <w:bCs w:val="0"/>
        </w:rPr>
        <w:t>Correlations between the expression of ICGs and CRG score.</w:t>
      </w:r>
    </w:p>
    <w:p w14:paraId="4BAAC534" w14:textId="023656AA" w:rsidR="003F6334" w:rsidRPr="00E578E4" w:rsidRDefault="003F6334" w:rsidP="003F6334">
      <w:pPr>
        <w:pStyle w:val="Caption"/>
        <w:rPr>
          <w:b w:val="0"/>
          <w:bCs w:val="0"/>
        </w:rPr>
      </w:pPr>
      <w:bookmarkStart w:id="0" w:name="_Hlk107838046"/>
      <w:r w:rsidRPr="00E578E4">
        <w:t xml:space="preserve">Supplementary Table 10. </w:t>
      </w:r>
      <w:r w:rsidRPr="00E578E4">
        <w:rPr>
          <w:b w:val="0"/>
          <w:bCs w:val="0"/>
        </w:rPr>
        <w:t>Comparison between different models.</w:t>
      </w:r>
    </w:p>
    <w:bookmarkEnd w:id="0"/>
    <w:p w14:paraId="57B5E6A4" w14:textId="77777777" w:rsidR="003F6334" w:rsidRPr="00E578E4" w:rsidRDefault="003F6334" w:rsidP="003F6334">
      <w:pPr>
        <w:pStyle w:val="NoSpacing"/>
        <w:rPr>
          <w:b/>
          <w:bCs/>
        </w:rPr>
      </w:pPr>
    </w:p>
    <w:p w14:paraId="7B65BC41" w14:textId="77777777" w:rsidR="00DE23E8" w:rsidRPr="00E578E4" w:rsidRDefault="00DE23E8" w:rsidP="00654E8F">
      <w:pPr>
        <w:spacing w:before="240"/>
      </w:pPr>
    </w:p>
    <w:sectPr w:rsidR="00DE23E8" w:rsidRPr="00E578E4"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784A" w14:textId="77777777" w:rsidR="007D0811" w:rsidRDefault="007D0811" w:rsidP="00117666">
      <w:pPr>
        <w:spacing w:after="0"/>
      </w:pPr>
      <w:r>
        <w:separator/>
      </w:r>
    </w:p>
  </w:endnote>
  <w:endnote w:type="continuationSeparator" w:id="0">
    <w:p w14:paraId="670DEBB1" w14:textId="77777777" w:rsidR="007D0811" w:rsidRDefault="007D081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EE64A" w14:textId="77777777" w:rsidR="007D0811" w:rsidRDefault="007D0811" w:rsidP="00117666">
      <w:pPr>
        <w:spacing w:after="0"/>
      </w:pPr>
      <w:r>
        <w:separator/>
      </w:r>
    </w:p>
  </w:footnote>
  <w:footnote w:type="continuationSeparator" w:id="0">
    <w:p w14:paraId="5EFD12A2" w14:textId="77777777" w:rsidR="007D0811" w:rsidRDefault="007D081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476097164">
    <w:abstractNumId w:val="0"/>
  </w:num>
  <w:num w:numId="2" w16cid:durableId="1709138969">
    <w:abstractNumId w:val="4"/>
  </w:num>
  <w:num w:numId="3" w16cid:durableId="875125169">
    <w:abstractNumId w:val="1"/>
  </w:num>
  <w:num w:numId="4" w16cid:durableId="2015455956">
    <w:abstractNumId w:val="5"/>
  </w:num>
  <w:num w:numId="5" w16cid:durableId="64050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6842856">
    <w:abstractNumId w:val="3"/>
  </w:num>
  <w:num w:numId="7" w16cid:durableId="1921790776">
    <w:abstractNumId w:val="6"/>
  </w:num>
  <w:num w:numId="8" w16cid:durableId="1110012388">
    <w:abstractNumId w:val="6"/>
  </w:num>
  <w:num w:numId="9" w16cid:durableId="230425948">
    <w:abstractNumId w:val="6"/>
  </w:num>
  <w:num w:numId="10" w16cid:durableId="873422109">
    <w:abstractNumId w:val="6"/>
  </w:num>
  <w:num w:numId="11" w16cid:durableId="1892450152">
    <w:abstractNumId w:val="6"/>
  </w:num>
  <w:num w:numId="12" w16cid:durableId="975333121">
    <w:abstractNumId w:val="6"/>
  </w:num>
  <w:num w:numId="13" w16cid:durableId="1685089657">
    <w:abstractNumId w:val="3"/>
  </w:num>
  <w:num w:numId="14" w16cid:durableId="347219649">
    <w:abstractNumId w:val="2"/>
  </w:num>
  <w:num w:numId="15" w16cid:durableId="1763260187">
    <w:abstractNumId w:val="2"/>
  </w:num>
  <w:num w:numId="16" w16cid:durableId="1278023169">
    <w:abstractNumId w:val="2"/>
  </w:num>
  <w:num w:numId="17" w16cid:durableId="1039283667">
    <w:abstractNumId w:val="2"/>
  </w:num>
  <w:num w:numId="18" w16cid:durableId="1507204379">
    <w:abstractNumId w:val="2"/>
  </w:num>
  <w:num w:numId="19" w16cid:durableId="1690257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yNLcwNjW0MDQzN7ZU0lEKTi0uzszPAykwrQUAH5t1CiwAAAA="/>
  </w:docVars>
  <w:rsids>
    <w:rsidRoot w:val="00ED20B5"/>
    <w:rsid w:val="0001436A"/>
    <w:rsid w:val="00034304"/>
    <w:rsid w:val="00035434"/>
    <w:rsid w:val="00052A14"/>
    <w:rsid w:val="00077D53"/>
    <w:rsid w:val="00084119"/>
    <w:rsid w:val="000B6894"/>
    <w:rsid w:val="00105FD9"/>
    <w:rsid w:val="00117666"/>
    <w:rsid w:val="001549D3"/>
    <w:rsid w:val="00160065"/>
    <w:rsid w:val="00165F9C"/>
    <w:rsid w:val="00177D84"/>
    <w:rsid w:val="00215399"/>
    <w:rsid w:val="00234609"/>
    <w:rsid w:val="00236B57"/>
    <w:rsid w:val="00267D18"/>
    <w:rsid w:val="00274347"/>
    <w:rsid w:val="002868E2"/>
    <w:rsid w:val="002869C3"/>
    <w:rsid w:val="002936E4"/>
    <w:rsid w:val="002B4A57"/>
    <w:rsid w:val="002C74CA"/>
    <w:rsid w:val="003123F4"/>
    <w:rsid w:val="003368EC"/>
    <w:rsid w:val="003544FB"/>
    <w:rsid w:val="00371051"/>
    <w:rsid w:val="003741BE"/>
    <w:rsid w:val="003D2F2D"/>
    <w:rsid w:val="003F6334"/>
    <w:rsid w:val="00401590"/>
    <w:rsid w:val="00446B29"/>
    <w:rsid w:val="00447801"/>
    <w:rsid w:val="00452E9C"/>
    <w:rsid w:val="004735C8"/>
    <w:rsid w:val="0048505E"/>
    <w:rsid w:val="004947A6"/>
    <w:rsid w:val="004961FF"/>
    <w:rsid w:val="00517A89"/>
    <w:rsid w:val="005250F2"/>
    <w:rsid w:val="00576146"/>
    <w:rsid w:val="00593EEA"/>
    <w:rsid w:val="005A5EEE"/>
    <w:rsid w:val="006375C7"/>
    <w:rsid w:val="0064454E"/>
    <w:rsid w:val="00654E8F"/>
    <w:rsid w:val="00660D05"/>
    <w:rsid w:val="00664F7C"/>
    <w:rsid w:val="006820B1"/>
    <w:rsid w:val="006B1ECB"/>
    <w:rsid w:val="006B7D14"/>
    <w:rsid w:val="00701727"/>
    <w:rsid w:val="0070566C"/>
    <w:rsid w:val="00714C50"/>
    <w:rsid w:val="00725A7D"/>
    <w:rsid w:val="007501BE"/>
    <w:rsid w:val="00790BB3"/>
    <w:rsid w:val="007C206C"/>
    <w:rsid w:val="007D0811"/>
    <w:rsid w:val="00817DD6"/>
    <w:rsid w:val="0083759F"/>
    <w:rsid w:val="00885156"/>
    <w:rsid w:val="008C144E"/>
    <w:rsid w:val="008F00FF"/>
    <w:rsid w:val="009151AA"/>
    <w:rsid w:val="0093429D"/>
    <w:rsid w:val="00943573"/>
    <w:rsid w:val="00964134"/>
    <w:rsid w:val="00970F7D"/>
    <w:rsid w:val="00994A3D"/>
    <w:rsid w:val="009C1733"/>
    <w:rsid w:val="009C2B12"/>
    <w:rsid w:val="00A174D9"/>
    <w:rsid w:val="00AA4D24"/>
    <w:rsid w:val="00AB6715"/>
    <w:rsid w:val="00AC22B1"/>
    <w:rsid w:val="00AE4096"/>
    <w:rsid w:val="00B156B6"/>
    <w:rsid w:val="00B1671E"/>
    <w:rsid w:val="00B25EB8"/>
    <w:rsid w:val="00B37F4D"/>
    <w:rsid w:val="00B54D3D"/>
    <w:rsid w:val="00C47384"/>
    <w:rsid w:val="00C52A7B"/>
    <w:rsid w:val="00C56BAF"/>
    <w:rsid w:val="00C679AA"/>
    <w:rsid w:val="00C75972"/>
    <w:rsid w:val="00C80B3F"/>
    <w:rsid w:val="00CD066B"/>
    <w:rsid w:val="00CE4FEE"/>
    <w:rsid w:val="00D060CF"/>
    <w:rsid w:val="00D327E3"/>
    <w:rsid w:val="00DB59C3"/>
    <w:rsid w:val="00DC259A"/>
    <w:rsid w:val="00DE23E8"/>
    <w:rsid w:val="00DF73EA"/>
    <w:rsid w:val="00E06FD4"/>
    <w:rsid w:val="00E52377"/>
    <w:rsid w:val="00E537AD"/>
    <w:rsid w:val="00E578E4"/>
    <w:rsid w:val="00E64E17"/>
    <w:rsid w:val="00E866C9"/>
    <w:rsid w:val="00EA3D3C"/>
    <w:rsid w:val="00EB2156"/>
    <w:rsid w:val="00EC090A"/>
    <w:rsid w:val="00ED16AB"/>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AC22B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DD385E9AC595408132351F1EDF8AA6" ma:contentTypeVersion="13" ma:contentTypeDescription="Create a new document." ma:contentTypeScope="" ma:versionID="9e8e16c9f8b9c19417e423bfb7708d93">
  <xsd:schema xmlns:xsd="http://www.w3.org/2001/XMLSchema" xmlns:xs="http://www.w3.org/2001/XMLSchema" xmlns:p="http://schemas.microsoft.com/office/2006/metadata/properties" xmlns:ns3="66756b57-f01d-4b0c-a029-c7379691fd34" xmlns:ns4="9d23c983-6d2d-49b1-a654-65dd9eb9744c" targetNamespace="http://schemas.microsoft.com/office/2006/metadata/properties" ma:root="true" ma:fieldsID="00bea7e2266529adfc19a15eb606aac0" ns3:_="" ns4:_="">
    <xsd:import namespace="66756b57-f01d-4b0c-a029-c7379691fd34"/>
    <xsd:import namespace="9d23c983-6d2d-49b1-a654-65dd9eb974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56b57-f01d-4b0c-a029-c7379691f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3c983-6d2d-49b1-a654-65dd9eb9744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FF141-658B-4D18-948B-A7826F097F63}">
  <ds:schemaRefs>
    <ds:schemaRef ds:uri="http://schemas.openxmlformats.org/officeDocument/2006/bibliography"/>
  </ds:schemaRefs>
</ds:datastoreItem>
</file>

<file path=customXml/itemProps2.xml><?xml version="1.0" encoding="utf-8"?>
<ds:datastoreItem xmlns:ds="http://schemas.openxmlformats.org/officeDocument/2006/customXml" ds:itemID="{537E5B8C-8743-42F9-8299-8E94F6F0CE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1C68B7-0628-4C6F-9510-A83B01990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56b57-f01d-4b0c-a029-c7379691fd34"/>
    <ds:schemaRef ds:uri="9d23c983-6d2d-49b1-a654-65dd9eb974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AEC54D-39F5-426C-BCE0-0937F796C9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Isobel Crouch</cp:lastModifiedBy>
  <cp:revision>19</cp:revision>
  <cp:lastPrinted>2013-10-03T12:51:00Z</cp:lastPrinted>
  <dcterms:created xsi:type="dcterms:W3CDTF">2021-11-18T20:59:00Z</dcterms:created>
  <dcterms:modified xsi:type="dcterms:W3CDTF">2022-07-25T13:10:00Z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0x01010036DD385E9AC595408132351F1EDF8AA6</vt:lpwstr>
  </property>
</Properties>
</file>