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sz w:val="24"/>
          <w:szCs w:val="24"/>
        </w:rPr>
      </w:pPr>
      <w:r>
        <w:rPr>
          <w:rFonts w:ascii="Times New Roman" w:hAnsi="Times New Roman" w:cs="Times New Roman"/>
          <w:b/>
          <w:bCs/>
          <w:sz w:val="24"/>
          <w:szCs w:val="24"/>
        </w:rPr>
        <w:t>Supplementary Table 1. Characteristics of patients in TCGA cohort and CGGA cohort</w:t>
      </w:r>
    </w:p>
    <w:tbl>
      <w:tblPr>
        <w:tblStyle w:val="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61"/>
        <w:gridCol w:w="2730"/>
        <w:gridCol w:w="273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Feature</w:t>
            </w:r>
          </w:p>
        </w:tc>
        <w:tc>
          <w:tcPr>
            <w:tcW w:w="2841"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TCGA cohort (n=663)</w:t>
            </w:r>
          </w:p>
        </w:tc>
        <w:tc>
          <w:tcPr>
            <w:tcW w:w="2841" w:type="dxa"/>
            <w:tcBorders>
              <w:top w:val="single" w:color="auto" w:sz="4" w:space="0"/>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CGGA cohort (n=693)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age</w:t>
            </w:r>
          </w:p>
        </w:tc>
        <w:tc>
          <w:tcPr>
            <w:tcW w:w="2841"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c>
          <w:tcPr>
            <w:tcW w:w="2841" w:type="dxa"/>
            <w:tcBorders>
              <w:top w:val="single" w:color="auto" w:sz="4"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≤40</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265</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291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&gt;40</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398</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401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Grade</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II</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248</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188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III</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262</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255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IV</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153</w:t>
            </w:r>
          </w:p>
        </w:tc>
        <w:tc>
          <w:tcPr>
            <w:tcW w:w="2841"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249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Histology</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Astrocytoma</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192</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271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Oligodendroglioma</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191</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142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Oligoastrocytoma</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127</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31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GBM</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153</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249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IDH-mutation status</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Mutant</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422</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356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Wildtype</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234</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286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1p/19q codeletion</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Codel</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168</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145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Non-codel</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487</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478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MGMT promoter methylation</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Methylated</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473</w:t>
            </w:r>
          </w:p>
        </w:tc>
        <w:tc>
          <w:tcPr>
            <w:tcW w:w="0" w:type="auto"/>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315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Unmethylated</w:t>
            </w:r>
          </w:p>
        </w:tc>
        <w:tc>
          <w:tcPr>
            <w:tcW w:w="0" w:type="auto"/>
            <w:tcBorders>
              <w:top w:val="nil"/>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159</w:t>
            </w:r>
          </w:p>
        </w:tc>
        <w:tc>
          <w:tcPr>
            <w:tcW w:w="0" w:type="auto"/>
            <w:tcBorders>
              <w:top w:val="nil"/>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227</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b/>
          <w:sz w:val="24"/>
          <w:szCs w:val="24"/>
          <w:lang w:val="en-US" w:eastAsia="zh-CN"/>
        </w:rPr>
      </w:pPr>
      <w:r>
        <w:rPr>
          <w:rFonts w:ascii="Times New Roman" w:hAnsi="Times New Roman" w:cs="Times New Roman"/>
          <w:b/>
          <w:sz w:val="24"/>
          <w:szCs w:val="24"/>
        </w:rPr>
        <w:t xml:space="preserve">Supplementary </w:t>
      </w:r>
      <w:r>
        <w:rPr>
          <w:rFonts w:hint="eastAsia" w:ascii="Times New Roman" w:hAnsi="Times New Roman" w:cs="Times New Roman"/>
          <w:b/>
          <w:sz w:val="24"/>
          <w:szCs w:val="24"/>
          <w:lang w:val="en-US" w:eastAsia="zh-CN"/>
        </w:rPr>
        <w:t>Figure legends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b/>
          <w:sz w:val="24"/>
          <w:szCs w:val="24"/>
        </w:rPr>
        <w:t>Supplementary Figure S</w:t>
      </w:r>
      <w:r>
        <w:rPr>
          <w:rFonts w:hint="eastAsia" w:ascii="Times New Roman" w:hAnsi="Times New Roman" w:cs="Times New Roman"/>
          <w:b/>
          <w:sz w:val="24"/>
          <w:szCs w:val="24"/>
          <w:lang w:val="en-US" w:eastAsia="zh-CN"/>
        </w:rPr>
        <w:t>1</w:t>
      </w:r>
      <w:r>
        <w:rPr>
          <w:rFonts w:ascii="Times New Roman" w:hAnsi="Times New Roman" w:cs="Times New Roman"/>
          <w:b/>
          <w:sz w:val="24"/>
          <w:szCs w:val="24"/>
        </w:rPr>
        <w:t xml:space="preserve">. </w:t>
      </w:r>
      <w:r>
        <w:rPr>
          <w:rFonts w:ascii="Times New Roman" w:hAnsi="Times New Roman" w:cs="Times New Roman"/>
          <w:sz w:val="24"/>
          <w:szCs w:val="24"/>
        </w:rPr>
        <w:t xml:space="preserve">The consensus matrices plot exhibits the clusters at </w:t>
      </w:r>
      <w:r>
        <w:rPr>
          <w:rFonts w:ascii="Times New Roman" w:hAnsi="Times New Roman" w:cs="Times New Roman"/>
          <w:i/>
          <w:sz w:val="24"/>
          <w:szCs w:val="24"/>
        </w:rPr>
        <w:t>k</w:t>
      </w:r>
      <w:r>
        <w:rPr>
          <w:rFonts w:ascii="Times New Roman" w:hAnsi="Times New Roman" w:cs="Times New Roman"/>
          <w:sz w:val="24"/>
          <w:szCs w:val="24"/>
        </w:rPr>
        <w:t xml:space="preserve"> = 3, 4, 5, 6.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4"/>
          <w:szCs w:val="24"/>
          <w:lang w:val="en-US" w:eastAsia="zh-CN"/>
        </w:rPr>
      </w:pPr>
      <w:r>
        <w:rPr>
          <w:rFonts w:ascii="Times New Roman" w:hAnsi="Times New Roman" w:cs="Times New Roman"/>
          <w:b/>
          <w:sz w:val="24"/>
          <w:szCs w:val="24"/>
        </w:rPr>
        <w:t>Supplementary Figure S</w:t>
      </w:r>
      <w:r>
        <w:rPr>
          <w:rFonts w:hint="eastAsia" w:ascii="Times New Roman" w:hAnsi="Times New Roman" w:cs="Times New Roman"/>
          <w:b/>
          <w:sz w:val="24"/>
          <w:szCs w:val="24"/>
          <w:lang w:val="en-US" w:eastAsia="zh-CN"/>
        </w:rPr>
        <w:t>2</w:t>
      </w:r>
      <w:r>
        <w:rPr>
          <w:rFonts w:ascii="Times New Roman" w:hAnsi="Times New Roman" w:cs="Times New Roman"/>
          <w:b/>
          <w:sz w:val="24"/>
          <w:szCs w:val="24"/>
        </w:rPr>
        <w:t>.</w:t>
      </w:r>
      <w:r>
        <w:rPr>
          <w:rFonts w:hint="eastAsia" w:ascii="Times New Roman" w:hAnsi="Times New Roman" w:cs="Times New Roman"/>
          <w:b/>
          <w:sz w:val="24"/>
          <w:szCs w:val="24"/>
          <w:lang w:val="en-US" w:eastAsia="zh-CN"/>
        </w:rPr>
        <w:t xml:space="preserve"> </w:t>
      </w:r>
      <w:bookmarkStart w:id="3" w:name="_GoBack"/>
      <w:bookmarkStart w:id="0" w:name="OLE_LINK1"/>
      <w:r>
        <w:rPr>
          <w:rFonts w:hint="eastAsia" w:ascii="Times New Roman" w:hAnsi="Times New Roman" w:cs="Times New Roman"/>
          <w:b w:val="0"/>
          <w:bCs/>
          <w:sz w:val="24"/>
          <w:szCs w:val="24"/>
          <w:lang w:val="en-US" w:eastAsia="zh-CN"/>
        </w:rPr>
        <w:t>Differential analysis</w:t>
      </w:r>
      <w:bookmarkEnd w:id="3"/>
      <w:bookmarkEnd w:id="0"/>
      <w:r>
        <w:rPr>
          <w:rFonts w:hint="eastAsia" w:ascii="Times New Roman" w:hAnsi="Times New Roman" w:cs="Times New Roman"/>
          <w:b w:val="0"/>
          <w:bCs/>
          <w:sz w:val="24"/>
          <w:szCs w:val="24"/>
          <w:lang w:val="en-US" w:eastAsia="zh-CN"/>
        </w:rPr>
        <w:t xml:space="preserve"> between GBM and normal tissues. (adj. p-value &lt; 0.05 and |log2(FC)| &gt;1).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b/>
          <w:bCs/>
          <w:sz w:val="24"/>
          <w:szCs w:val="24"/>
        </w:rPr>
        <w:t>Supplementary Figure S</w:t>
      </w:r>
      <w:r>
        <w:rPr>
          <w:rFonts w:hint="eastAsia" w:ascii="Times New Roman" w:hAnsi="Times New Roman" w:cs="Times New Roman"/>
          <w:b/>
          <w:bCs/>
          <w:sz w:val="24"/>
          <w:szCs w:val="24"/>
          <w:lang w:val="en-US" w:eastAsia="zh-CN"/>
        </w:rPr>
        <w:t>3</w:t>
      </w:r>
      <w:r>
        <w:rPr>
          <w:rFonts w:ascii="Times New Roman" w:hAnsi="Times New Roman" w:cs="Times New Roman"/>
          <w:b/>
          <w:bCs/>
          <w:sz w:val="24"/>
          <w:szCs w:val="24"/>
        </w:rPr>
        <w:t xml:space="preserve">. </w:t>
      </w:r>
      <w:r>
        <w:rPr>
          <w:rFonts w:ascii="Times New Roman" w:hAnsi="Times New Roman" w:cs="Times New Roman"/>
          <w:sz w:val="24"/>
          <w:szCs w:val="24"/>
        </w:rPr>
        <w:t>Survival analysis of risk genes in the TCGA database.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b/>
          <w:bCs/>
          <w:sz w:val="24"/>
          <w:szCs w:val="24"/>
        </w:rPr>
        <w:t>Supplementary Figure S</w:t>
      </w:r>
      <w:r>
        <w:rPr>
          <w:rFonts w:hint="eastAsia" w:ascii="Times New Roman" w:hAnsi="Times New Roman" w:cs="Times New Roman"/>
          <w:b/>
          <w:bCs/>
          <w:sz w:val="24"/>
          <w:szCs w:val="24"/>
          <w:lang w:val="en-US" w:eastAsia="zh-CN"/>
        </w:rPr>
        <w:t>4</w:t>
      </w:r>
      <w:r>
        <w:rPr>
          <w:rFonts w:ascii="Times New Roman" w:hAnsi="Times New Roman" w:cs="Times New Roman"/>
          <w:b/>
          <w:bCs/>
          <w:sz w:val="24"/>
          <w:szCs w:val="24"/>
        </w:rPr>
        <w:t xml:space="preserve">. </w:t>
      </w:r>
      <w:r>
        <w:rPr>
          <w:rFonts w:ascii="Times New Roman" w:hAnsi="Times New Roman" w:cs="Times New Roman"/>
          <w:sz w:val="24"/>
          <w:szCs w:val="24"/>
        </w:rPr>
        <w:t>Survival analysis of risk genes in the CGGA database.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sz w:val="24"/>
          <w:szCs w:val="24"/>
        </w:rPr>
      </w:pPr>
      <w:r>
        <w:rPr>
          <w:rFonts w:ascii="Times New Roman" w:hAnsi="Times New Roman" w:cs="Times New Roman"/>
          <w:b/>
          <w:bCs/>
          <w:sz w:val="24"/>
          <w:szCs w:val="24"/>
        </w:rPr>
        <w:t>Supplementary Figure S</w:t>
      </w:r>
      <w:r>
        <w:rPr>
          <w:rFonts w:hint="eastAsia" w:ascii="Times New Roman" w:hAnsi="Times New Roman" w:cs="Times New Roman"/>
          <w:b/>
          <w:bCs/>
          <w:sz w:val="24"/>
          <w:szCs w:val="24"/>
          <w:lang w:val="en-US" w:eastAsia="zh-CN"/>
        </w:rPr>
        <w:t>5</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 Relationship between risk score and each clinicopathological </w:t>
      </w:r>
      <w:r>
        <w:rPr>
          <w:rFonts w:hint="eastAsia" w:ascii="Times New Roman" w:hAnsi="Times New Roman" w:cs="Times New Roman"/>
          <w:bCs/>
          <w:sz w:val="24"/>
          <w:szCs w:val="24"/>
          <w:lang w:val="en-US" w:eastAsia="zh-CN"/>
        </w:rPr>
        <w:t>feature</w:t>
      </w:r>
      <w:r>
        <w:rPr>
          <w:rFonts w:ascii="Times New Roman" w:hAnsi="Times New Roman" w:cs="Times New Roman"/>
          <w:bCs/>
          <w:sz w:val="24"/>
          <w:szCs w:val="24"/>
        </w:rPr>
        <w:t xml:space="preserve"> (</w:t>
      </w:r>
      <w:r>
        <w:rPr>
          <w:rFonts w:ascii="Times New Roman" w:hAnsi="Times New Roman" w:cs="Times New Roman"/>
          <w:bCs/>
          <w:i/>
          <w:sz w:val="24"/>
          <w:szCs w:val="24"/>
        </w:rPr>
        <w:t>IDH</w:t>
      </w:r>
      <w:r>
        <w:rPr>
          <w:rFonts w:ascii="Times New Roman" w:hAnsi="Times New Roman" w:cs="Times New Roman"/>
          <w:bCs/>
          <w:sz w:val="24"/>
          <w:szCs w:val="24"/>
        </w:rPr>
        <w:t xml:space="preserve">-mutant status, 1p/19q codeletion, MGMT promoter methylation, age, WHO grade, and histology). (B) KM analyses of patients in the CGGA dataset stratified by </w:t>
      </w:r>
      <w:r>
        <w:rPr>
          <w:rFonts w:ascii="Times New Roman" w:hAnsi="Times New Roman" w:cs="Times New Roman"/>
          <w:bCs/>
          <w:i/>
          <w:sz w:val="24"/>
          <w:szCs w:val="24"/>
        </w:rPr>
        <w:t>IDH</w:t>
      </w:r>
      <w:r>
        <w:rPr>
          <w:rFonts w:ascii="Times New Roman" w:hAnsi="Times New Roman" w:cs="Times New Roman"/>
          <w:bCs/>
          <w:sz w:val="24"/>
          <w:szCs w:val="24"/>
        </w:rPr>
        <w:t>-mutant status, 1p/19q codeletion, MGMT promoter methylation, age, and WHO grade in the CGGA cohort. ROC curve analysis of the risk model in predicting 1-, 3- and 5-year OS in the CGGA-LGG cohort and 1-, 2- and 3-year OS in the CGGA-GBM cohort.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b/>
          <w:bCs/>
          <w:sz w:val="24"/>
          <w:szCs w:val="24"/>
        </w:rPr>
        <w:t>Supplementary Figure S</w:t>
      </w:r>
      <w:r>
        <w:rPr>
          <w:rFonts w:hint="eastAsia" w:ascii="Times New Roman" w:hAnsi="Times New Roman" w:cs="Times New Roman"/>
          <w:b/>
          <w:bCs/>
          <w:sz w:val="24"/>
          <w:szCs w:val="24"/>
          <w:lang w:val="en-US" w:eastAsia="zh-CN"/>
        </w:rPr>
        <w:t>6</w:t>
      </w:r>
      <w:r>
        <w:rPr>
          <w:rFonts w:ascii="Times New Roman" w:hAnsi="Times New Roman" w:cs="Times New Roman"/>
          <w:b/>
          <w:bCs/>
          <w:sz w:val="24"/>
          <w:szCs w:val="24"/>
        </w:rPr>
        <w:t>.</w:t>
      </w:r>
      <w:r>
        <w:rPr>
          <w:rFonts w:ascii="Times New Roman" w:hAnsi="Times New Roman" w:cs="Times New Roman"/>
          <w:sz w:val="24"/>
          <w:szCs w:val="24"/>
        </w:rPr>
        <w:t xml:space="preserve"> Clinical information analyses of LGG subgroup. </w:t>
      </w:r>
      <w:bookmarkStart w:id="1" w:name="OLE_LINK99"/>
      <w:r>
        <w:rPr>
          <w:rFonts w:ascii="Times New Roman" w:hAnsi="Times New Roman" w:cs="Times New Roman"/>
          <w:sz w:val="24"/>
          <w:szCs w:val="24"/>
        </w:rPr>
        <w:t xml:space="preserve">(A, D) The relationship between the risk score and each clinicopathological </w:t>
      </w:r>
      <w:r>
        <w:rPr>
          <w:rFonts w:hint="eastAsia" w:ascii="Times New Roman" w:hAnsi="Times New Roman" w:cs="Times New Roman"/>
          <w:sz w:val="24"/>
          <w:szCs w:val="24"/>
          <w:lang w:val="en-US" w:eastAsia="zh-CN"/>
        </w:rPr>
        <w:t>feature</w:t>
      </w:r>
      <w:r>
        <w:rPr>
          <w:rFonts w:ascii="Times New Roman" w:hAnsi="Times New Roman" w:cs="Times New Roman"/>
          <w:sz w:val="24"/>
          <w:szCs w:val="24"/>
        </w:rPr>
        <w:t xml:space="preserve"> (</w:t>
      </w:r>
      <w:r>
        <w:rPr>
          <w:rFonts w:ascii="Times New Roman" w:hAnsi="Times New Roman" w:cs="Times New Roman"/>
          <w:i/>
          <w:sz w:val="24"/>
          <w:szCs w:val="24"/>
        </w:rPr>
        <w:t>IDH</w:t>
      </w:r>
      <w:r>
        <w:rPr>
          <w:rFonts w:ascii="Times New Roman" w:hAnsi="Times New Roman" w:cs="Times New Roman"/>
          <w:sz w:val="24"/>
          <w:szCs w:val="24"/>
        </w:rPr>
        <w:t>-mutant status, 1p/19q codeletion, MGMT promoter methylation, age)</w:t>
      </w:r>
      <w:bookmarkStart w:id="2" w:name="OLE_LINK100"/>
      <w:r>
        <w:rPr>
          <w:rFonts w:ascii="Times New Roman" w:hAnsi="Times New Roman" w:cs="Times New Roman"/>
          <w:sz w:val="24"/>
          <w:szCs w:val="24"/>
        </w:rPr>
        <w:t xml:space="preserve"> in TCGA- and CGGA-LGG subgroup.</w:t>
      </w:r>
      <w:bookmarkEnd w:id="2"/>
      <w:r>
        <w:rPr>
          <w:rFonts w:ascii="Times New Roman" w:hAnsi="Times New Roman" w:cs="Times New Roman"/>
          <w:sz w:val="24"/>
          <w:szCs w:val="24"/>
        </w:rPr>
        <w:t xml:space="preserve"> (B, E) Tumor purity, ESTIMATE, immune and stromal scores in high- and low-risk groups in TCGA- and CGGA-LGG subgroup. </w:t>
      </w:r>
      <w:bookmarkEnd w:id="1"/>
      <w:r>
        <w:rPr>
          <w:rFonts w:ascii="Times New Roman" w:hAnsi="Times New Roman" w:cs="Times New Roman"/>
          <w:sz w:val="24"/>
          <w:szCs w:val="24"/>
        </w:rPr>
        <w:t>(C, F) The expression differences of 14 ARGs between high and low-risk groups in TCGA- and CGGA-LGG subgroup.</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b/>
          <w:bCs/>
          <w:sz w:val="24"/>
          <w:szCs w:val="24"/>
        </w:rPr>
        <w:t>Supplementary Figure S</w:t>
      </w:r>
      <w:r>
        <w:rPr>
          <w:rFonts w:hint="eastAsia" w:ascii="Times New Roman" w:hAnsi="Times New Roman" w:cs="Times New Roman"/>
          <w:b/>
          <w:bCs/>
          <w:sz w:val="24"/>
          <w:szCs w:val="24"/>
          <w:lang w:val="en-US" w:eastAsia="zh-CN"/>
        </w:rPr>
        <w:t>7</w:t>
      </w:r>
      <w:r>
        <w:rPr>
          <w:rFonts w:ascii="Times New Roman" w:hAnsi="Times New Roman" w:cs="Times New Roman"/>
          <w:b/>
          <w:bCs/>
          <w:sz w:val="24"/>
          <w:szCs w:val="24"/>
        </w:rPr>
        <w:t>.</w:t>
      </w:r>
      <w:r>
        <w:rPr>
          <w:rFonts w:ascii="Times New Roman" w:hAnsi="Times New Roman" w:cs="Times New Roman"/>
          <w:sz w:val="24"/>
          <w:szCs w:val="24"/>
        </w:rPr>
        <w:t xml:space="preserve"> Clinical-information analyses of the GBM subgroup. (A, D) Relationship between risk score and each clinicopathological characteristic (</w:t>
      </w:r>
      <w:r>
        <w:rPr>
          <w:rFonts w:ascii="Times New Roman" w:hAnsi="Times New Roman" w:cs="Times New Roman"/>
          <w:i/>
          <w:sz w:val="24"/>
          <w:szCs w:val="24"/>
        </w:rPr>
        <w:t>IDH</w:t>
      </w:r>
      <w:r>
        <w:rPr>
          <w:rFonts w:ascii="Times New Roman" w:hAnsi="Times New Roman" w:cs="Times New Roman"/>
          <w:sz w:val="24"/>
          <w:szCs w:val="24"/>
        </w:rPr>
        <w:t>-mutant status, MGMT promoter methylation, age) in the TCGA- and CGGA-GBM subgroups. (B, E) Tumor purity and ESTIMATE, immune, and stromal scores in the high- and low-risk groups in the TCGA- and CGGA-GBM subgroups. (C, F) Expression differences of 14 ARGs between the high and low-risk groups in the TCGA- and CGGA-GBM subgroups.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b/>
          <w:bCs/>
          <w:sz w:val="24"/>
          <w:szCs w:val="24"/>
        </w:rPr>
        <w:t>Supplementary Figure S</w:t>
      </w:r>
      <w:r>
        <w:rPr>
          <w:rFonts w:hint="eastAsia" w:ascii="Times New Roman" w:hAnsi="Times New Roman" w:cs="Times New Roman"/>
          <w:b/>
          <w:bCs/>
          <w:sz w:val="24"/>
          <w:szCs w:val="24"/>
          <w:lang w:val="en-US" w:eastAsia="zh-CN"/>
        </w:rPr>
        <w:t>8</w:t>
      </w:r>
      <w:r>
        <w:rPr>
          <w:rFonts w:ascii="Times New Roman" w:hAnsi="Times New Roman" w:cs="Times New Roman"/>
          <w:b/>
          <w:bCs/>
          <w:sz w:val="24"/>
          <w:szCs w:val="24"/>
        </w:rPr>
        <w:t xml:space="preserve">. </w:t>
      </w:r>
      <w:r>
        <w:rPr>
          <w:rFonts w:ascii="Times New Roman" w:hAnsi="Times New Roman" w:cs="Times New Roman"/>
          <w:sz w:val="24"/>
          <w:szCs w:val="24"/>
        </w:rPr>
        <w:t>Relationship between risk signature and TIME in the CGGA database. (A) Heatmap of risk score and the two immunity subtypes based on ssGSEA scores for 29 immune gene sets in the CGGA database. (B) Comparison of tumor purity and of ESTIMATE, immune, and stromal scores between the high- and low-risk groups in the CGGA database. (C) Association between 22 tumor-infiltrating immune cells and the risk signature. (D) Comparison of risk score between the immunity-high and immunity-low subtypes in the CGGA database.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ascii="Times New Roman" w:hAnsi="Times New Roman" w:cs="Times New Roman"/>
          <w:b/>
          <w:bCs/>
          <w:sz w:val="24"/>
          <w:szCs w:val="24"/>
        </w:rPr>
        <w:t>Supplementary Figure S</w:t>
      </w:r>
      <w:r>
        <w:rPr>
          <w:rFonts w:hint="eastAsia" w:ascii="Times New Roman" w:hAnsi="Times New Roman" w:cs="Times New Roman"/>
          <w:b/>
          <w:bCs/>
          <w:sz w:val="24"/>
          <w:szCs w:val="24"/>
          <w:lang w:val="en-US" w:eastAsia="zh-CN"/>
        </w:rPr>
        <w:t>9</w:t>
      </w:r>
      <w:r>
        <w:rPr>
          <w:rFonts w:ascii="Times New Roman" w:hAnsi="Times New Roman" w:cs="Times New Roman"/>
          <w:b/>
          <w:bCs/>
          <w:sz w:val="24"/>
          <w:szCs w:val="24"/>
        </w:rPr>
        <w:t xml:space="preserve">. </w:t>
      </w:r>
      <w:r>
        <w:rPr>
          <w:rFonts w:ascii="Times New Roman" w:hAnsi="Times New Roman" w:cs="Times New Roman"/>
          <w:sz w:val="24"/>
          <w:szCs w:val="24"/>
        </w:rPr>
        <w:t>Construction and validation of the nomogram to predict OS in glioma patients. (A) The nomogram was established using age, WHO grade, and the ARG risk signature in the CGGA cohort. (B–D) Calibration curve of the nomogram for predicting the probability of OS at 1, 3, and 5 years in the CGGA cohort. (E–G) DCA of the OS-related nomogram at 1, 3, and 5 years in the CGGA cohort.</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Times New Roman" w:hAnsi="Times New Roman" w:cs="Times New Roman"/>
      </w:rPr>
    </w:pPr>
    <w:r>
      <w:rPr>
        <w:rStyle w:val="7"/>
        <w:rFonts w:ascii="Times New Roman" w:hAnsi="Times New Roman" w:cs="Times New Roman"/>
      </w:rPr>
      <w:fldChar w:fldCharType="begin"/>
    </w:r>
    <w:r>
      <w:rPr>
        <w:rStyle w:val="7"/>
        <w:rFonts w:ascii="Times New Roman" w:hAnsi="Times New Roman" w:cs="Times New Roman"/>
      </w:rPr>
      <w:instrText xml:space="preserve">PAGE  </w:instrText>
    </w:r>
    <w:r>
      <w:rPr>
        <w:rStyle w:val="7"/>
        <w:rFonts w:ascii="Times New Roman" w:hAnsi="Times New Roman" w:cs="Times New Roman"/>
      </w:rPr>
      <w:fldChar w:fldCharType="separate"/>
    </w:r>
    <w:r>
      <w:rPr>
        <w:rStyle w:val="7"/>
        <w:rFonts w:ascii="Times New Roman" w:hAnsi="Times New Roman" w:cs="Times New Roman"/>
      </w:rPr>
      <w:t>1</w:t>
    </w:r>
    <w:r>
      <w:rPr>
        <w:rStyle w:val="7"/>
        <w:rFonts w:ascii="Times New Roman" w:hAnsi="Times New Roman" w:cs="Times New Roma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ZjhjOGYzNTAwYWE4MmRhODA0NjA4MjkzZjdiMTkifQ=="/>
    <w:docVar w:name="KY_MEDREF_DOCUID" w:val="{E294590C-20B8-4592-8234-6849C8BA8D0F}"/>
    <w:docVar w:name="KY_MEDREF_VERSION" w:val="3"/>
  </w:docVars>
  <w:rsids>
    <w:rsidRoot w:val="001F1BEA"/>
    <w:rsid w:val="001F1BEA"/>
    <w:rsid w:val="003C7FB5"/>
    <w:rsid w:val="00561FA8"/>
    <w:rsid w:val="00AF1827"/>
    <w:rsid w:val="1E631E87"/>
    <w:rsid w:val="5D9678CD"/>
    <w:rsid w:val="7908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semiHidden/>
    <w:unhideWhenUsed/>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494</Words>
  <Characters>2671</Characters>
  <Lines>3</Lines>
  <Paragraphs>1</Paragraphs>
  <TotalTime>9</TotalTime>
  <ScaleCrop>false</ScaleCrop>
  <LinksUpToDate>false</LinksUpToDate>
  <CharactersWithSpaces>3102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2021-11-05T19:00:00Z</dcterms:created>
  <dc:creator>Tianhao Hu</dc:creator>
  <cp:lastModifiedBy>Sheng Han</cp:lastModifiedBy>
  <dcterms:modified xsi:type="dcterms:W3CDTF">2022-06-12T21:03:26Z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C7DA6B2D32DA46D995583C0B5CE20C29</vt:lpwstr>
  </property>
</Properties>
</file>