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5E89" w14:textId="21DC9F42" w:rsidR="006C4F32" w:rsidRPr="0030256B" w:rsidRDefault="007350A9" w:rsidP="00302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56B">
        <w:rPr>
          <w:rFonts w:ascii="Times New Roman" w:hAnsi="Times New Roman" w:cs="Times New Roman"/>
          <w:b/>
          <w:sz w:val="24"/>
          <w:szCs w:val="24"/>
        </w:rPr>
        <w:t xml:space="preserve">MS Quantification of </w:t>
      </w:r>
      <w:r w:rsidR="0061372D" w:rsidRPr="0030256B">
        <w:rPr>
          <w:rFonts w:ascii="Times New Roman" w:hAnsi="Times New Roman" w:cs="Times New Roman"/>
          <w:b/>
          <w:sz w:val="24"/>
          <w:szCs w:val="24"/>
        </w:rPr>
        <w:t>TMAO</w:t>
      </w:r>
      <w:r w:rsidR="003A1FF1" w:rsidRPr="0030256B">
        <w:rPr>
          <w:rFonts w:ascii="Times New Roman" w:hAnsi="Times New Roman" w:cs="Times New Roman"/>
          <w:b/>
          <w:sz w:val="24"/>
          <w:szCs w:val="24"/>
        </w:rPr>
        <w:t>,</w:t>
      </w:r>
      <w:r w:rsidR="00113060" w:rsidRPr="00302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54C" w:rsidRPr="0030256B">
        <w:rPr>
          <w:rFonts w:ascii="Times New Roman" w:hAnsi="Times New Roman" w:cs="Times New Roman"/>
          <w:b/>
          <w:sz w:val="24"/>
          <w:szCs w:val="24"/>
        </w:rPr>
        <w:t>Creatinine</w:t>
      </w:r>
      <w:r w:rsidR="003A1FF1" w:rsidRPr="0030256B">
        <w:rPr>
          <w:rFonts w:ascii="Times New Roman" w:hAnsi="Times New Roman" w:cs="Times New Roman"/>
          <w:b/>
          <w:sz w:val="24"/>
          <w:szCs w:val="24"/>
        </w:rPr>
        <w:t>, Choline and Betaine</w:t>
      </w:r>
      <w:r w:rsidRPr="0030256B">
        <w:rPr>
          <w:rFonts w:ascii="Times New Roman" w:hAnsi="Times New Roman" w:cs="Times New Roman"/>
          <w:b/>
          <w:sz w:val="24"/>
          <w:szCs w:val="24"/>
        </w:rPr>
        <w:t xml:space="preserve"> in Canine Plasma</w:t>
      </w:r>
    </w:p>
    <w:p w14:paraId="01131782" w14:textId="77777777" w:rsidR="0030256B" w:rsidRDefault="0030256B" w:rsidP="003025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A8C6D4" w14:textId="73AA8080" w:rsidR="001C5A77" w:rsidRPr="0030256B" w:rsidRDefault="00C60E5A" w:rsidP="003025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Sample preparation</w:t>
      </w:r>
    </w:p>
    <w:p w14:paraId="563FC914" w14:textId="77777777" w:rsidR="0030256B" w:rsidRDefault="002B41DA" w:rsidP="0030256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551F3" w14:textId="37A36538" w:rsidR="00C60E5A" w:rsidRDefault="00546A6B" w:rsidP="00B553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56B">
        <w:rPr>
          <w:rFonts w:ascii="Times New Roman" w:hAnsi="Times New Roman" w:cs="Times New Roman"/>
          <w:sz w:val="24"/>
          <w:szCs w:val="24"/>
        </w:rPr>
        <w:t>After thawing on ice, 50 µL of canine p</w:t>
      </w:r>
      <w:r w:rsidR="003A1FF1" w:rsidRPr="0030256B">
        <w:rPr>
          <w:rFonts w:ascii="Times New Roman" w:hAnsi="Times New Roman" w:cs="Times New Roman"/>
          <w:sz w:val="24"/>
          <w:szCs w:val="24"/>
        </w:rPr>
        <w:t>lasma</w:t>
      </w:r>
      <w:r w:rsidRPr="0030256B">
        <w:rPr>
          <w:rFonts w:ascii="Times New Roman" w:hAnsi="Times New Roman" w:cs="Times New Roman"/>
          <w:sz w:val="24"/>
          <w:szCs w:val="24"/>
        </w:rPr>
        <w:t xml:space="preserve"> plus 10 µl of prepared internal standard solution (ITSD) was pipetted into clean and labeled 1.5 mL microcentrifuge tubes. Then 75 µL of 50 mM tert-butyl bromoacetate in acetonitrile (50 mM TBBA-CAN) and 10 µL of 10 mM ammonium hydroxide solution (10 mM NH</w:t>
      </w:r>
      <w:r w:rsidRPr="003025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256B">
        <w:rPr>
          <w:rFonts w:ascii="Times New Roman" w:hAnsi="Times New Roman" w:cs="Times New Roman"/>
          <w:sz w:val="24"/>
          <w:szCs w:val="24"/>
        </w:rPr>
        <w:t>OH)</w:t>
      </w:r>
      <w:r w:rsidR="00DA2522" w:rsidRPr="0030256B">
        <w:rPr>
          <w:rFonts w:ascii="Times New Roman" w:hAnsi="Times New Roman" w:cs="Times New Roman"/>
          <w:sz w:val="24"/>
          <w:szCs w:val="24"/>
        </w:rPr>
        <w:t xml:space="preserve"> w</w:t>
      </w:r>
      <w:r w:rsidR="003A1FF1" w:rsidRPr="0030256B">
        <w:rPr>
          <w:rFonts w:ascii="Times New Roman" w:hAnsi="Times New Roman" w:cs="Times New Roman"/>
          <w:sz w:val="24"/>
          <w:szCs w:val="24"/>
        </w:rPr>
        <w:t>as</w:t>
      </w:r>
      <w:r w:rsidR="00DA2522" w:rsidRPr="0030256B">
        <w:rPr>
          <w:rFonts w:ascii="Times New Roman" w:hAnsi="Times New Roman" w:cs="Times New Roman"/>
          <w:sz w:val="24"/>
          <w:szCs w:val="24"/>
        </w:rPr>
        <w:t xml:space="preserve"> </w:t>
      </w:r>
      <w:r w:rsidRPr="0030256B">
        <w:rPr>
          <w:rFonts w:ascii="Times New Roman" w:hAnsi="Times New Roman" w:cs="Times New Roman"/>
          <w:sz w:val="24"/>
          <w:szCs w:val="24"/>
        </w:rPr>
        <w:t xml:space="preserve">pipetted to each tube and then the tubes were vortexed and incubated at RT for 30 minutes.  </w:t>
      </w:r>
      <w:r w:rsidR="00DA2522" w:rsidRPr="0030256B">
        <w:rPr>
          <w:rFonts w:ascii="Times New Roman" w:hAnsi="Times New Roman" w:cs="Times New Roman"/>
          <w:sz w:val="24"/>
          <w:szCs w:val="24"/>
        </w:rPr>
        <w:t xml:space="preserve"> </w:t>
      </w:r>
      <w:r w:rsidR="00765E7E" w:rsidRPr="0030256B">
        <w:rPr>
          <w:rFonts w:ascii="Times New Roman" w:hAnsi="Times New Roman" w:cs="Times New Roman"/>
          <w:sz w:val="24"/>
          <w:szCs w:val="24"/>
        </w:rPr>
        <w:t>After incubation, the samples were extracted by adding</w:t>
      </w:r>
      <w:r w:rsidRPr="0030256B">
        <w:rPr>
          <w:rFonts w:ascii="Times New Roman" w:hAnsi="Times New Roman" w:cs="Times New Roman"/>
          <w:sz w:val="24"/>
          <w:szCs w:val="24"/>
        </w:rPr>
        <w:t xml:space="preserve"> 50 µL of </w:t>
      </w:r>
      <w:r w:rsidR="004A6C5F" w:rsidRPr="0030256B">
        <w:rPr>
          <w:rFonts w:ascii="Times New Roman" w:hAnsi="Times New Roman" w:cs="Times New Roman"/>
          <w:sz w:val="24"/>
          <w:szCs w:val="24"/>
        </w:rPr>
        <w:t xml:space="preserve"> acetonitrile with .1% formic acid (ACN, .1% FA) </w:t>
      </w:r>
      <w:r w:rsidR="00765E7E" w:rsidRPr="0030256B">
        <w:rPr>
          <w:rFonts w:ascii="Times New Roman" w:hAnsi="Times New Roman" w:cs="Times New Roman"/>
          <w:sz w:val="24"/>
          <w:szCs w:val="24"/>
        </w:rPr>
        <w:t xml:space="preserve">to each tube, vortexed briefly, and then </w:t>
      </w:r>
      <w:r w:rsidR="00DA2522" w:rsidRPr="0030256B">
        <w:rPr>
          <w:rFonts w:ascii="Times New Roman" w:hAnsi="Times New Roman" w:cs="Times New Roman"/>
          <w:sz w:val="24"/>
          <w:szCs w:val="24"/>
        </w:rPr>
        <w:t xml:space="preserve">centrifuged </w:t>
      </w:r>
      <w:r w:rsidR="00E157B3" w:rsidRPr="0030256B">
        <w:rPr>
          <w:rFonts w:ascii="Times New Roman" w:hAnsi="Times New Roman" w:cs="Times New Roman"/>
          <w:sz w:val="24"/>
          <w:szCs w:val="24"/>
        </w:rPr>
        <w:t xml:space="preserve">at 15,000 g for </w:t>
      </w:r>
      <w:r w:rsidR="00765E7E" w:rsidRPr="0030256B">
        <w:rPr>
          <w:rFonts w:ascii="Times New Roman" w:hAnsi="Times New Roman" w:cs="Times New Roman"/>
          <w:sz w:val="24"/>
          <w:szCs w:val="24"/>
        </w:rPr>
        <w:t>5</w:t>
      </w:r>
      <w:r w:rsidR="00E157B3" w:rsidRPr="0030256B">
        <w:rPr>
          <w:rFonts w:ascii="Times New Roman" w:hAnsi="Times New Roman" w:cs="Times New Roman"/>
          <w:sz w:val="24"/>
          <w:szCs w:val="24"/>
        </w:rPr>
        <w:t xml:space="preserve"> minutes</w:t>
      </w:r>
      <w:r w:rsidR="00765E7E" w:rsidRPr="0030256B">
        <w:rPr>
          <w:rFonts w:ascii="Times New Roman" w:hAnsi="Times New Roman" w:cs="Times New Roman"/>
          <w:sz w:val="24"/>
          <w:szCs w:val="24"/>
        </w:rPr>
        <w:t xml:space="preserve"> at RT</w:t>
      </w:r>
      <w:r w:rsidR="00E157B3" w:rsidRPr="0030256B">
        <w:rPr>
          <w:rFonts w:ascii="Times New Roman" w:hAnsi="Times New Roman" w:cs="Times New Roman"/>
          <w:sz w:val="24"/>
          <w:szCs w:val="24"/>
        </w:rPr>
        <w:t>.</w:t>
      </w:r>
      <w:r w:rsidR="00765E7E" w:rsidRPr="0030256B">
        <w:rPr>
          <w:rFonts w:ascii="Times New Roman" w:hAnsi="Times New Roman" w:cs="Times New Roman"/>
          <w:sz w:val="24"/>
          <w:szCs w:val="24"/>
        </w:rPr>
        <w:t xml:space="preserve"> The s</w:t>
      </w:r>
      <w:r w:rsidR="00DA2522" w:rsidRPr="0030256B">
        <w:rPr>
          <w:rFonts w:ascii="Times New Roman" w:hAnsi="Times New Roman" w:cs="Times New Roman"/>
          <w:sz w:val="24"/>
          <w:szCs w:val="24"/>
        </w:rPr>
        <w:t xml:space="preserve">upernatants were </w:t>
      </w:r>
      <w:r w:rsidR="00765E7E" w:rsidRPr="0030256B">
        <w:rPr>
          <w:rFonts w:ascii="Times New Roman" w:hAnsi="Times New Roman" w:cs="Times New Roman"/>
          <w:sz w:val="24"/>
          <w:szCs w:val="24"/>
        </w:rPr>
        <w:t>then transferred into clean and labeled LCMS vials for MS instrumental analysis.</w:t>
      </w:r>
      <w:r w:rsidR="00DA2522" w:rsidRPr="0030256B">
        <w:rPr>
          <w:rFonts w:ascii="Times New Roman" w:hAnsi="Times New Roman" w:cs="Times New Roman"/>
          <w:sz w:val="24"/>
          <w:szCs w:val="24"/>
        </w:rPr>
        <w:t xml:space="preserve"> </w:t>
      </w:r>
      <w:r w:rsidR="000C2EF0" w:rsidRPr="0030256B">
        <w:rPr>
          <w:rFonts w:ascii="Times New Roman" w:hAnsi="Times New Roman" w:cs="Times New Roman"/>
          <w:sz w:val="24"/>
          <w:szCs w:val="24"/>
        </w:rPr>
        <w:t xml:space="preserve">The isotopic labeled internal standards used were </w:t>
      </w:r>
      <w:r w:rsidR="00765E7E" w:rsidRPr="0030256B">
        <w:rPr>
          <w:rFonts w:ascii="Times New Roman" w:hAnsi="Times New Roman" w:cs="Times New Roman"/>
          <w:sz w:val="24"/>
          <w:szCs w:val="24"/>
        </w:rPr>
        <w:t>TMAO-d9 (DLM-4779-1, Cambridge Isotope Laboratories), creatinine-d3 (D-3689, CDN Isotopes Inc.), choline-d9 (DLM-549-1, Cambridge Isotope Laboratories) and betaine-d9 (616656, Sigma-Aldrich)</w:t>
      </w:r>
    </w:p>
    <w:p w14:paraId="18E47A2F" w14:textId="77777777" w:rsidR="00B5534F" w:rsidRDefault="00B5534F" w:rsidP="00B5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FC824" w14:textId="1030248F" w:rsidR="002B41DA" w:rsidRDefault="002B41DA" w:rsidP="00B5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56B">
        <w:rPr>
          <w:rFonts w:ascii="Times New Roman" w:hAnsi="Times New Roman" w:cs="Times New Roman"/>
          <w:sz w:val="24"/>
          <w:szCs w:val="24"/>
        </w:rPr>
        <w:t>Liquid Chromatography</w:t>
      </w:r>
    </w:p>
    <w:p w14:paraId="21F7405E" w14:textId="77777777" w:rsidR="00B5534F" w:rsidRPr="0030256B" w:rsidRDefault="00B5534F" w:rsidP="00B5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6B6CA" w14:textId="269B5B74" w:rsidR="00990E4B" w:rsidRPr="0030256B" w:rsidRDefault="0077129E" w:rsidP="0030256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56B">
        <w:rPr>
          <w:rFonts w:ascii="Times New Roman" w:hAnsi="Times New Roman" w:cs="Times New Roman"/>
          <w:sz w:val="24"/>
          <w:szCs w:val="24"/>
        </w:rPr>
        <w:t>Quantification of TMAO</w:t>
      </w:r>
      <w:r w:rsidR="00705242" w:rsidRPr="0030256B">
        <w:rPr>
          <w:rFonts w:ascii="Times New Roman" w:hAnsi="Times New Roman" w:cs="Times New Roman"/>
          <w:sz w:val="24"/>
          <w:szCs w:val="24"/>
        </w:rPr>
        <w:t xml:space="preserve">, </w:t>
      </w:r>
      <w:r w:rsidRPr="0030256B">
        <w:rPr>
          <w:rFonts w:ascii="Times New Roman" w:hAnsi="Times New Roman" w:cs="Times New Roman"/>
          <w:sz w:val="24"/>
          <w:szCs w:val="24"/>
        </w:rPr>
        <w:t>creatinine</w:t>
      </w:r>
      <w:r w:rsidR="00705242" w:rsidRPr="0030256B">
        <w:rPr>
          <w:rFonts w:ascii="Times New Roman" w:hAnsi="Times New Roman" w:cs="Times New Roman"/>
          <w:sz w:val="24"/>
          <w:szCs w:val="24"/>
        </w:rPr>
        <w:t>, choline</w:t>
      </w:r>
      <w:r w:rsidR="00546A6B" w:rsidRPr="0030256B">
        <w:rPr>
          <w:rFonts w:ascii="Times New Roman" w:hAnsi="Times New Roman" w:cs="Times New Roman"/>
          <w:sz w:val="24"/>
          <w:szCs w:val="24"/>
        </w:rPr>
        <w:t>,</w:t>
      </w:r>
      <w:r w:rsidR="00705242" w:rsidRPr="0030256B">
        <w:rPr>
          <w:rFonts w:ascii="Times New Roman" w:hAnsi="Times New Roman" w:cs="Times New Roman"/>
          <w:sz w:val="24"/>
          <w:szCs w:val="24"/>
        </w:rPr>
        <w:t xml:space="preserve"> and betaine</w:t>
      </w:r>
      <w:r w:rsidR="00546A6B" w:rsidRPr="0030256B">
        <w:rPr>
          <w:rFonts w:ascii="Times New Roman" w:hAnsi="Times New Roman" w:cs="Times New Roman"/>
          <w:sz w:val="24"/>
          <w:szCs w:val="24"/>
        </w:rPr>
        <w:t>,</w:t>
      </w:r>
      <w:r w:rsidRPr="0030256B">
        <w:rPr>
          <w:rFonts w:ascii="Times New Roman" w:hAnsi="Times New Roman" w:cs="Times New Roman"/>
          <w:sz w:val="24"/>
          <w:szCs w:val="24"/>
        </w:rPr>
        <w:t xml:space="preserve"> was performed </w:t>
      </w:r>
      <w:r w:rsidR="00FB3C0D" w:rsidRPr="0030256B">
        <w:rPr>
          <w:rFonts w:ascii="Times New Roman" w:hAnsi="Times New Roman" w:cs="Times New Roman"/>
          <w:sz w:val="24"/>
          <w:szCs w:val="24"/>
        </w:rPr>
        <w:t>by injecting 5 µL of each calibration standard, QC sample, and prepared plasma study sample</w:t>
      </w:r>
      <w:r w:rsidRPr="0030256B">
        <w:rPr>
          <w:rFonts w:ascii="Times New Roman" w:hAnsi="Times New Roman" w:cs="Times New Roman"/>
          <w:sz w:val="24"/>
          <w:szCs w:val="24"/>
        </w:rPr>
        <w:t xml:space="preserve"> </w:t>
      </w:r>
      <w:r w:rsidR="00FB3C0D" w:rsidRPr="0030256B">
        <w:rPr>
          <w:rFonts w:ascii="Times New Roman" w:hAnsi="Times New Roman" w:cs="Times New Roman"/>
          <w:sz w:val="24"/>
          <w:szCs w:val="24"/>
        </w:rPr>
        <w:t xml:space="preserve">onto an </w:t>
      </w:r>
      <w:r w:rsidR="002B154C" w:rsidRPr="0030256B">
        <w:rPr>
          <w:rFonts w:ascii="Times New Roman" w:hAnsi="Times New Roman" w:cs="Times New Roman"/>
          <w:sz w:val="24"/>
          <w:szCs w:val="24"/>
        </w:rPr>
        <w:t xml:space="preserve">Atlantis Silica HILIC 3µm 4.6×150mm </w:t>
      </w:r>
      <w:r w:rsidR="00FB3C0D" w:rsidRPr="0030256B">
        <w:rPr>
          <w:rFonts w:ascii="Times New Roman" w:hAnsi="Times New Roman" w:cs="Times New Roman"/>
          <w:sz w:val="24"/>
          <w:szCs w:val="24"/>
        </w:rPr>
        <w:t xml:space="preserve">UPLC </w:t>
      </w:r>
      <w:r w:rsidR="002B154C" w:rsidRPr="0030256B">
        <w:rPr>
          <w:rFonts w:ascii="Times New Roman" w:hAnsi="Times New Roman" w:cs="Times New Roman"/>
          <w:sz w:val="24"/>
          <w:szCs w:val="24"/>
        </w:rPr>
        <w:t>column (Waters Corp, Milford,</w:t>
      </w:r>
      <w:r w:rsidR="000A5947" w:rsidRPr="0030256B">
        <w:rPr>
          <w:rFonts w:ascii="Times New Roman" w:hAnsi="Times New Roman" w:cs="Times New Roman"/>
          <w:sz w:val="24"/>
          <w:szCs w:val="24"/>
        </w:rPr>
        <w:t xml:space="preserve"> MA -</w:t>
      </w:r>
      <w:r w:rsidR="002B154C" w:rsidRPr="0030256B">
        <w:rPr>
          <w:rFonts w:ascii="Times New Roman" w:hAnsi="Times New Roman" w:cs="Times New Roman"/>
          <w:sz w:val="24"/>
          <w:szCs w:val="24"/>
        </w:rPr>
        <w:t xml:space="preserve"> USA) using a Waters ACQUITY UPLC system. The column was heated to 40°C, and the flow rate was maintained at </w:t>
      </w:r>
      <w:r w:rsidR="00E80D3B" w:rsidRPr="0030256B">
        <w:rPr>
          <w:rFonts w:ascii="Times New Roman" w:hAnsi="Times New Roman" w:cs="Times New Roman"/>
          <w:sz w:val="24"/>
          <w:szCs w:val="24"/>
        </w:rPr>
        <w:t>500</w:t>
      </w:r>
      <w:r w:rsidR="002B154C" w:rsidRPr="0030256B">
        <w:rPr>
          <w:rFonts w:ascii="Times New Roman" w:hAnsi="Times New Roman" w:cs="Times New Roman"/>
          <w:sz w:val="24"/>
          <w:szCs w:val="24"/>
        </w:rPr>
        <w:t xml:space="preserve"> </w:t>
      </w:r>
      <w:r w:rsidR="00E80D3B" w:rsidRPr="0030256B">
        <w:rPr>
          <w:rFonts w:ascii="Times New Roman" w:hAnsi="Times New Roman" w:cs="Times New Roman"/>
          <w:sz w:val="24"/>
          <w:szCs w:val="24"/>
        </w:rPr>
        <w:t>µ</w:t>
      </w:r>
      <w:r w:rsidR="002B154C" w:rsidRPr="0030256B">
        <w:rPr>
          <w:rFonts w:ascii="Times New Roman" w:hAnsi="Times New Roman" w:cs="Times New Roman"/>
          <w:sz w:val="24"/>
          <w:szCs w:val="24"/>
        </w:rPr>
        <w:t>L/min. The gradient was</w:t>
      </w:r>
      <w:r w:rsidR="00152916" w:rsidRPr="0030256B">
        <w:rPr>
          <w:rFonts w:ascii="Times New Roman" w:hAnsi="Times New Roman" w:cs="Times New Roman"/>
          <w:sz w:val="24"/>
          <w:szCs w:val="24"/>
        </w:rPr>
        <w:t xml:space="preserve"> as follows on Table 1:</w:t>
      </w:r>
    </w:p>
    <w:p w14:paraId="75EF0428" w14:textId="1F2A3865" w:rsidR="00113060" w:rsidRDefault="00113060" w:rsidP="001A358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A0A3B">
        <w:rPr>
          <w:rFonts w:ascii="Times New Roman" w:hAnsi="Times New Roman" w:cs="Times New Roman"/>
        </w:rPr>
        <w:t xml:space="preserve">         </w:t>
      </w:r>
      <w:r w:rsidR="00B5534F">
        <w:rPr>
          <w:rFonts w:ascii="Times New Roman" w:hAnsi="Times New Roman" w:cs="Times New Roman"/>
        </w:rPr>
        <w:tab/>
        <w:t xml:space="preserve">      </w:t>
      </w:r>
      <w:r w:rsidRPr="009A0A3B">
        <w:rPr>
          <w:rFonts w:ascii="Times New Roman" w:hAnsi="Times New Roman" w:cs="Times New Roman"/>
          <w:b/>
          <w:bCs/>
          <w:sz w:val="16"/>
          <w:szCs w:val="16"/>
          <w:u w:val="single"/>
        </w:rPr>
        <w:t>Table 1</w:t>
      </w:r>
    </w:p>
    <w:p w14:paraId="1432EE3D" w14:textId="77777777" w:rsidR="00B5534F" w:rsidRPr="009A0A3B" w:rsidRDefault="00B5534F" w:rsidP="001A3580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620"/>
        <w:gridCol w:w="900"/>
        <w:gridCol w:w="1080"/>
        <w:gridCol w:w="1170"/>
      </w:tblGrid>
      <w:tr w:rsidR="00152916" w:rsidRPr="009A0A3B" w14:paraId="57DBB4A8" w14:textId="43F9DEB1" w:rsidTr="005C0F5F">
        <w:trPr>
          <w:trHeight w:hRule="exact" w:val="288"/>
          <w:jc w:val="center"/>
        </w:trPr>
        <w:tc>
          <w:tcPr>
            <w:tcW w:w="1075" w:type="dxa"/>
          </w:tcPr>
          <w:p w14:paraId="29A807BD" w14:textId="246DD615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Minutes</w:t>
            </w:r>
          </w:p>
        </w:tc>
        <w:tc>
          <w:tcPr>
            <w:tcW w:w="1620" w:type="dxa"/>
          </w:tcPr>
          <w:p w14:paraId="2E3D9B41" w14:textId="062C44F3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Flow Rate µL/min</w:t>
            </w:r>
          </w:p>
        </w:tc>
        <w:tc>
          <w:tcPr>
            <w:tcW w:w="900" w:type="dxa"/>
          </w:tcPr>
          <w:p w14:paraId="0C79CBEE" w14:textId="06BB64B6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%A</w:t>
            </w:r>
          </w:p>
        </w:tc>
        <w:tc>
          <w:tcPr>
            <w:tcW w:w="1080" w:type="dxa"/>
          </w:tcPr>
          <w:p w14:paraId="37912F98" w14:textId="2815950D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%B</w:t>
            </w:r>
          </w:p>
        </w:tc>
        <w:tc>
          <w:tcPr>
            <w:tcW w:w="1170" w:type="dxa"/>
          </w:tcPr>
          <w:p w14:paraId="63E10E4E" w14:textId="30E366D1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Curve</w:t>
            </w:r>
          </w:p>
        </w:tc>
      </w:tr>
      <w:tr w:rsidR="00152916" w:rsidRPr="009A0A3B" w14:paraId="0060C226" w14:textId="3D7E814F" w:rsidTr="005C0F5F">
        <w:trPr>
          <w:trHeight w:hRule="exact" w:val="288"/>
          <w:jc w:val="center"/>
        </w:trPr>
        <w:tc>
          <w:tcPr>
            <w:tcW w:w="1075" w:type="dxa"/>
          </w:tcPr>
          <w:p w14:paraId="22AE7417" w14:textId="246F091E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Initial</w:t>
            </w:r>
          </w:p>
        </w:tc>
        <w:tc>
          <w:tcPr>
            <w:tcW w:w="1620" w:type="dxa"/>
          </w:tcPr>
          <w:p w14:paraId="19A84EC7" w14:textId="016F1C5E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</w:tcPr>
          <w:p w14:paraId="68E2F983" w14:textId="5F03EED5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668B12E5" w14:textId="376A6B14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70" w:type="dxa"/>
          </w:tcPr>
          <w:p w14:paraId="39339123" w14:textId="1EEC25D7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52916" w:rsidRPr="009A0A3B" w14:paraId="01FC950D" w14:textId="35C5C413" w:rsidTr="005C0F5F">
        <w:trPr>
          <w:trHeight w:hRule="exact" w:val="288"/>
          <w:jc w:val="center"/>
        </w:trPr>
        <w:tc>
          <w:tcPr>
            <w:tcW w:w="1075" w:type="dxa"/>
          </w:tcPr>
          <w:p w14:paraId="1B04CEF3" w14:textId="654520F3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2.90</w:t>
            </w:r>
          </w:p>
        </w:tc>
        <w:tc>
          <w:tcPr>
            <w:tcW w:w="1620" w:type="dxa"/>
          </w:tcPr>
          <w:p w14:paraId="2283FB06" w14:textId="03C1DEAC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</w:tcPr>
          <w:p w14:paraId="3C41E6A1" w14:textId="31CC7E89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80" w:type="dxa"/>
          </w:tcPr>
          <w:p w14:paraId="473972F9" w14:textId="7C6AFDEE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0" w:type="dxa"/>
          </w:tcPr>
          <w:p w14:paraId="7EFFE158" w14:textId="64745F47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52916" w:rsidRPr="009A0A3B" w14:paraId="5B30A8DC" w14:textId="4B266307" w:rsidTr="005C0F5F">
        <w:trPr>
          <w:trHeight w:hRule="exact" w:val="288"/>
          <w:jc w:val="center"/>
        </w:trPr>
        <w:tc>
          <w:tcPr>
            <w:tcW w:w="1075" w:type="dxa"/>
          </w:tcPr>
          <w:p w14:paraId="51EEB7FD" w14:textId="57F62ED9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620" w:type="dxa"/>
          </w:tcPr>
          <w:p w14:paraId="4E153B74" w14:textId="5A0A7AE5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</w:tcPr>
          <w:p w14:paraId="1F96BA1E" w14:textId="252FEEA0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80" w:type="dxa"/>
          </w:tcPr>
          <w:p w14:paraId="746ED6BB" w14:textId="15EEBDE6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</w:tcPr>
          <w:p w14:paraId="1AB1EA0C" w14:textId="5F780D25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52916" w:rsidRPr="009A0A3B" w14:paraId="3E1BC69D" w14:textId="690AA723" w:rsidTr="005C0F5F">
        <w:trPr>
          <w:trHeight w:hRule="exact" w:val="288"/>
          <w:jc w:val="center"/>
        </w:trPr>
        <w:tc>
          <w:tcPr>
            <w:tcW w:w="1075" w:type="dxa"/>
          </w:tcPr>
          <w:p w14:paraId="74CAF389" w14:textId="539A4C2C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1620" w:type="dxa"/>
          </w:tcPr>
          <w:p w14:paraId="28EDB306" w14:textId="784B627B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</w:tcPr>
          <w:p w14:paraId="41F9C884" w14:textId="77EA2FF2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80" w:type="dxa"/>
          </w:tcPr>
          <w:p w14:paraId="268E59E7" w14:textId="6944DB46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</w:tcPr>
          <w:p w14:paraId="58BAEBCA" w14:textId="1B9D22EE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52916" w:rsidRPr="009A0A3B" w14:paraId="04918E48" w14:textId="259FDCC8" w:rsidTr="005C0F5F">
        <w:trPr>
          <w:trHeight w:hRule="exact" w:val="288"/>
          <w:jc w:val="center"/>
        </w:trPr>
        <w:tc>
          <w:tcPr>
            <w:tcW w:w="1075" w:type="dxa"/>
          </w:tcPr>
          <w:p w14:paraId="4A9F4AC1" w14:textId="78956E99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3.60</w:t>
            </w:r>
          </w:p>
        </w:tc>
        <w:tc>
          <w:tcPr>
            <w:tcW w:w="1620" w:type="dxa"/>
          </w:tcPr>
          <w:p w14:paraId="5C03A029" w14:textId="2693806C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</w:tcPr>
          <w:p w14:paraId="12241AC4" w14:textId="119D0571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0E238AD4" w14:textId="58ED5C90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70" w:type="dxa"/>
          </w:tcPr>
          <w:p w14:paraId="00E5A03A" w14:textId="7651B9CF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52916" w:rsidRPr="009A0A3B" w14:paraId="6C26C9C6" w14:textId="4ECF1A7D" w:rsidTr="005C0F5F">
        <w:trPr>
          <w:trHeight w:hRule="exact" w:val="288"/>
          <w:jc w:val="center"/>
        </w:trPr>
        <w:tc>
          <w:tcPr>
            <w:tcW w:w="1075" w:type="dxa"/>
          </w:tcPr>
          <w:p w14:paraId="5F0C1A86" w14:textId="7819037B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1620" w:type="dxa"/>
          </w:tcPr>
          <w:p w14:paraId="6E62739F" w14:textId="7FFC2271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</w:tcPr>
          <w:p w14:paraId="51FA9F02" w14:textId="2504F74D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16B3007F" w14:textId="12CA87F7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70" w:type="dxa"/>
          </w:tcPr>
          <w:p w14:paraId="7A37FBEF" w14:textId="385220A1" w:rsidR="00152916" w:rsidRPr="009A0A3B" w:rsidRDefault="00152916" w:rsidP="009A0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A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14:paraId="01D62F39" w14:textId="77777777" w:rsidR="00B5534F" w:rsidRDefault="002B154C" w:rsidP="009A0A3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A0A3B">
        <w:rPr>
          <w:rFonts w:ascii="Times New Roman" w:hAnsi="Times New Roman" w:cs="Times New Roman"/>
        </w:rPr>
        <w:t xml:space="preserve"> </w:t>
      </w:r>
    </w:p>
    <w:p w14:paraId="0EFB771F" w14:textId="426A4497" w:rsidR="002B41DA" w:rsidRPr="00B5534F" w:rsidRDefault="00152916" w:rsidP="009A0A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534F">
        <w:rPr>
          <w:rFonts w:ascii="Times New Roman" w:hAnsi="Times New Roman" w:cs="Times New Roman"/>
          <w:sz w:val="24"/>
          <w:szCs w:val="24"/>
        </w:rPr>
        <w:t>Mobile phase buffer</w:t>
      </w:r>
      <w:r w:rsidR="007F55C0" w:rsidRPr="00B5534F">
        <w:rPr>
          <w:rFonts w:ascii="Times New Roman" w:hAnsi="Times New Roman" w:cs="Times New Roman"/>
          <w:sz w:val="24"/>
          <w:szCs w:val="24"/>
        </w:rPr>
        <w:t xml:space="preserve"> A is 10% acetonitrile/90%water with 10</w:t>
      </w:r>
      <w:r w:rsidR="007A0FFC" w:rsidRPr="00B5534F">
        <w:rPr>
          <w:rFonts w:ascii="Times New Roman" w:hAnsi="Times New Roman" w:cs="Times New Roman"/>
          <w:sz w:val="24"/>
          <w:szCs w:val="24"/>
        </w:rPr>
        <w:t xml:space="preserve"> </w:t>
      </w:r>
      <w:r w:rsidR="007F55C0" w:rsidRPr="00B5534F">
        <w:rPr>
          <w:rFonts w:ascii="Times New Roman" w:hAnsi="Times New Roman" w:cs="Times New Roman"/>
          <w:sz w:val="24"/>
          <w:szCs w:val="24"/>
        </w:rPr>
        <w:t xml:space="preserve">mM </w:t>
      </w:r>
      <w:r w:rsidR="002B154C" w:rsidRPr="00B5534F">
        <w:rPr>
          <w:rFonts w:ascii="Times New Roman" w:hAnsi="Times New Roman" w:cs="Times New Roman"/>
          <w:sz w:val="24"/>
          <w:szCs w:val="24"/>
        </w:rPr>
        <w:t xml:space="preserve">ammonium </w:t>
      </w:r>
      <w:proofErr w:type="spellStart"/>
      <w:r w:rsidR="002B154C" w:rsidRPr="00B5534F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="007F55C0" w:rsidRPr="00B5534F">
        <w:rPr>
          <w:rFonts w:ascii="Times New Roman" w:hAnsi="Times New Roman" w:cs="Times New Roman"/>
          <w:sz w:val="24"/>
          <w:szCs w:val="24"/>
        </w:rPr>
        <w:t xml:space="preserve"> and 0.125% formic aci</w:t>
      </w:r>
      <w:r w:rsidR="003A41F9" w:rsidRPr="00B5534F">
        <w:rPr>
          <w:rFonts w:ascii="Times New Roman" w:hAnsi="Times New Roman" w:cs="Times New Roman"/>
          <w:sz w:val="24"/>
          <w:szCs w:val="24"/>
        </w:rPr>
        <w:t xml:space="preserve">d and B </w:t>
      </w:r>
      <w:r w:rsidR="007F55C0" w:rsidRPr="00B5534F">
        <w:rPr>
          <w:rFonts w:ascii="Times New Roman" w:hAnsi="Times New Roman" w:cs="Times New Roman"/>
          <w:sz w:val="24"/>
          <w:szCs w:val="24"/>
        </w:rPr>
        <w:t>is 90% acetonitrile/10% water with 10</w:t>
      </w:r>
      <w:r w:rsidR="007A0FFC" w:rsidRPr="00B5534F">
        <w:rPr>
          <w:rFonts w:ascii="Times New Roman" w:hAnsi="Times New Roman" w:cs="Times New Roman"/>
          <w:sz w:val="24"/>
          <w:szCs w:val="24"/>
        </w:rPr>
        <w:t xml:space="preserve"> </w:t>
      </w:r>
      <w:r w:rsidR="007F55C0" w:rsidRPr="00B5534F">
        <w:rPr>
          <w:rFonts w:ascii="Times New Roman" w:hAnsi="Times New Roman" w:cs="Times New Roman"/>
          <w:sz w:val="24"/>
          <w:szCs w:val="24"/>
        </w:rPr>
        <w:t xml:space="preserve">mM ammonium </w:t>
      </w:r>
      <w:proofErr w:type="spellStart"/>
      <w:r w:rsidR="007F55C0" w:rsidRPr="00B5534F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="007F55C0" w:rsidRPr="00B5534F">
        <w:rPr>
          <w:rFonts w:ascii="Times New Roman" w:hAnsi="Times New Roman" w:cs="Times New Roman"/>
          <w:sz w:val="24"/>
          <w:szCs w:val="24"/>
        </w:rPr>
        <w:t xml:space="preserve"> and 0.125% formic acid.</w:t>
      </w:r>
      <w:r w:rsidR="000F0AD9" w:rsidRPr="00B5534F">
        <w:rPr>
          <w:rFonts w:ascii="Times New Roman" w:hAnsi="Times New Roman" w:cs="Times New Roman"/>
          <w:sz w:val="24"/>
          <w:szCs w:val="24"/>
        </w:rPr>
        <w:t xml:space="preserve">  A curve = 6 is linear.</w:t>
      </w:r>
      <w:r w:rsidR="007F55C0" w:rsidRPr="00B5534F">
        <w:rPr>
          <w:rFonts w:ascii="Times New Roman" w:hAnsi="Times New Roman" w:cs="Times New Roman"/>
          <w:sz w:val="24"/>
          <w:szCs w:val="24"/>
        </w:rPr>
        <w:t xml:space="preserve"> </w:t>
      </w:r>
      <w:r w:rsidR="003A41F9" w:rsidRPr="00B55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52DF6" w14:textId="77777777" w:rsidR="009A0A3B" w:rsidRDefault="009A0A3B" w:rsidP="009A0A3B">
      <w:pPr>
        <w:spacing w:after="0" w:line="240" w:lineRule="auto"/>
        <w:rPr>
          <w:rFonts w:ascii="Times New Roman" w:hAnsi="Times New Roman" w:cs="Times New Roman"/>
        </w:rPr>
      </w:pPr>
    </w:p>
    <w:p w14:paraId="3667301E" w14:textId="04A11B73" w:rsidR="002B41DA" w:rsidRPr="00B5534F" w:rsidRDefault="002B41DA" w:rsidP="009A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34F">
        <w:rPr>
          <w:rFonts w:ascii="Times New Roman" w:hAnsi="Times New Roman" w:cs="Times New Roman"/>
          <w:sz w:val="24"/>
          <w:szCs w:val="24"/>
        </w:rPr>
        <w:t xml:space="preserve">MS </w:t>
      </w:r>
      <w:r w:rsidR="00F14136" w:rsidRPr="00B5534F">
        <w:rPr>
          <w:rFonts w:ascii="Times New Roman" w:hAnsi="Times New Roman" w:cs="Times New Roman"/>
          <w:sz w:val="24"/>
          <w:szCs w:val="24"/>
        </w:rPr>
        <w:t>D</w:t>
      </w:r>
      <w:r w:rsidRPr="00B5534F">
        <w:rPr>
          <w:rFonts w:ascii="Times New Roman" w:hAnsi="Times New Roman" w:cs="Times New Roman"/>
          <w:sz w:val="24"/>
          <w:szCs w:val="24"/>
        </w:rPr>
        <w:t>ata Collection and Quantification of Metabolites</w:t>
      </w:r>
    </w:p>
    <w:p w14:paraId="33A6BF87" w14:textId="77777777" w:rsidR="009A0A3B" w:rsidRPr="009A0A3B" w:rsidRDefault="009A0A3B" w:rsidP="009A0A3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ABFE4B6" w14:textId="24D90D21" w:rsidR="003A41F9" w:rsidRPr="00B5534F" w:rsidRDefault="00565DC8" w:rsidP="009A0A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534F">
        <w:rPr>
          <w:rFonts w:ascii="Times New Roman" w:hAnsi="Times New Roman" w:cs="Times New Roman"/>
          <w:sz w:val="24"/>
          <w:szCs w:val="24"/>
        </w:rPr>
        <w:t xml:space="preserve">The metabolites and their corresponding </w:t>
      </w:r>
      <w:r w:rsidR="00944C59" w:rsidRPr="00B5534F">
        <w:rPr>
          <w:rFonts w:ascii="Times New Roman" w:hAnsi="Times New Roman" w:cs="Times New Roman"/>
          <w:sz w:val="24"/>
          <w:szCs w:val="24"/>
        </w:rPr>
        <w:t>isotopes</w:t>
      </w:r>
      <w:r w:rsidR="007F55C0" w:rsidRPr="00B5534F">
        <w:rPr>
          <w:rFonts w:ascii="Times New Roman" w:hAnsi="Times New Roman" w:cs="Times New Roman"/>
          <w:sz w:val="24"/>
          <w:szCs w:val="24"/>
        </w:rPr>
        <w:t xml:space="preserve"> were monitored</w:t>
      </w:r>
      <w:r w:rsidR="003A41F9" w:rsidRPr="00B5534F">
        <w:rPr>
          <w:rFonts w:ascii="Times New Roman" w:hAnsi="Times New Roman" w:cs="Times New Roman"/>
          <w:sz w:val="24"/>
          <w:szCs w:val="24"/>
        </w:rPr>
        <w:t xml:space="preserve"> on </w:t>
      </w:r>
      <w:r w:rsidR="00944C59" w:rsidRPr="00B5534F">
        <w:rPr>
          <w:rFonts w:ascii="Times New Roman" w:hAnsi="Times New Roman" w:cs="Times New Roman"/>
          <w:sz w:val="24"/>
          <w:szCs w:val="24"/>
        </w:rPr>
        <w:t xml:space="preserve">a </w:t>
      </w:r>
      <w:r w:rsidR="003A41F9" w:rsidRPr="00B5534F">
        <w:rPr>
          <w:rFonts w:ascii="Times New Roman" w:hAnsi="Times New Roman" w:cs="Times New Roman"/>
          <w:sz w:val="24"/>
          <w:szCs w:val="24"/>
        </w:rPr>
        <w:t>Waters</w:t>
      </w:r>
      <w:r w:rsidR="00944C59" w:rsidRPr="00B5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BE" w:rsidRPr="00B5534F">
        <w:rPr>
          <w:rFonts w:ascii="Times New Roman" w:hAnsi="Times New Roman" w:cs="Times New Roman"/>
          <w:sz w:val="24"/>
          <w:szCs w:val="24"/>
        </w:rPr>
        <w:t>Xevo</w:t>
      </w:r>
      <w:proofErr w:type="spellEnd"/>
      <w:r w:rsidR="008E51BE" w:rsidRPr="00B5534F">
        <w:rPr>
          <w:rFonts w:ascii="Times New Roman" w:hAnsi="Times New Roman" w:cs="Times New Roman"/>
          <w:sz w:val="24"/>
          <w:szCs w:val="24"/>
        </w:rPr>
        <w:t xml:space="preserve"> </w:t>
      </w:r>
      <w:r w:rsidR="004A6C5F" w:rsidRPr="00B5534F">
        <w:rPr>
          <w:rFonts w:ascii="Times New Roman" w:hAnsi="Times New Roman" w:cs="Times New Roman"/>
          <w:sz w:val="24"/>
          <w:szCs w:val="24"/>
        </w:rPr>
        <w:t>TQ-S Micro</w:t>
      </w:r>
      <w:r w:rsidR="008E51BE" w:rsidRPr="00B5534F">
        <w:rPr>
          <w:rFonts w:ascii="Times New Roman" w:hAnsi="Times New Roman" w:cs="Times New Roman"/>
          <w:sz w:val="24"/>
          <w:szCs w:val="24"/>
        </w:rPr>
        <w:t xml:space="preserve"> triple </w:t>
      </w:r>
      <w:proofErr w:type="spellStart"/>
      <w:r w:rsidR="008E51BE" w:rsidRPr="00B5534F">
        <w:rPr>
          <w:rFonts w:ascii="Times New Roman" w:hAnsi="Times New Roman" w:cs="Times New Roman"/>
          <w:sz w:val="24"/>
          <w:szCs w:val="24"/>
        </w:rPr>
        <w:t>quadrapole</w:t>
      </w:r>
      <w:proofErr w:type="spellEnd"/>
      <w:r w:rsidR="008E51BE" w:rsidRPr="00B5534F">
        <w:rPr>
          <w:rFonts w:ascii="Times New Roman" w:hAnsi="Times New Roman" w:cs="Times New Roman"/>
          <w:sz w:val="24"/>
          <w:szCs w:val="24"/>
        </w:rPr>
        <w:t xml:space="preserve"> MS. 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The MRM’s </w:t>
      </w:r>
      <w:r w:rsidR="007F55C0" w:rsidRPr="00B5534F">
        <w:rPr>
          <w:rFonts w:ascii="Times New Roman" w:hAnsi="Times New Roman" w:cs="Times New Roman"/>
          <w:sz w:val="24"/>
          <w:szCs w:val="24"/>
        </w:rPr>
        <w:t>us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ed for </w:t>
      </w:r>
      <w:r w:rsidR="007F55C0" w:rsidRPr="00B5534F">
        <w:rPr>
          <w:rFonts w:ascii="Times New Roman" w:hAnsi="Times New Roman" w:cs="Times New Roman"/>
          <w:sz w:val="24"/>
          <w:szCs w:val="24"/>
        </w:rPr>
        <w:t xml:space="preserve">precursor-product ion transitions: </w:t>
      </w:r>
      <w:r w:rsidR="00944C59" w:rsidRPr="00B5534F">
        <w:rPr>
          <w:rFonts w:ascii="Times New Roman" w:hAnsi="Times New Roman" w:cs="Times New Roman"/>
          <w:sz w:val="24"/>
          <w:szCs w:val="24"/>
        </w:rPr>
        <w:t>76</w:t>
      </w:r>
      <w:r w:rsidR="00944C59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944C59" w:rsidRPr="00B5534F">
        <w:rPr>
          <w:rFonts w:ascii="Times New Roman" w:hAnsi="Times New Roman" w:cs="Times New Roman"/>
          <w:sz w:val="24"/>
          <w:szCs w:val="24"/>
        </w:rPr>
        <w:t>58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 m/z</w:t>
      </w:r>
      <w:r w:rsidR="00944C59" w:rsidRPr="00B5534F">
        <w:rPr>
          <w:rFonts w:ascii="Times New Roman" w:hAnsi="Times New Roman" w:cs="Times New Roman"/>
          <w:sz w:val="24"/>
          <w:szCs w:val="24"/>
        </w:rPr>
        <w:t xml:space="preserve"> for TMAO, 85</w:t>
      </w:r>
      <w:r w:rsidR="00944C59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944C59" w:rsidRPr="00B5534F">
        <w:rPr>
          <w:rFonts w:ascii="Times New Roman" w:hAnsi="Times New Roman" w:cs="Times New Roman"/>
          <w:sz w:val="24"/>
          <w:szCs w:val="24"/>
        </w:rPr>
        <w:t>66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 m/z</w:t>
      </w:r>
      <w:r w:rsidR="00944C59" w:rsidRPr="00B5534F">
        <w:rPr>
          <w:rFonts w:ascii="Times New Roman" w:hAnsi="Times New Roman" w:cs="Times New Roman"/>
          <w:sz w:val="24"/>
          <w:szCs w:val="24"/>
        </w:rPr>
        <w:t xml:space="preserve"> for TMAO-d9, 114</w:t>
      </w:r>
      <w:r w:rsidR="00944C59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944C59" w:rsidRPr="00B5534F">
        <w:rPr>
          <w:rFonts w:ascii="Times New Roman" w:hAnsi="Times New Roman" w:cs="Times New Roman"/>
          <w:sz w:val="24"/>
          <w:szCs w:val="24"/>
        </w:rPr>
        <w:t>86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 m/z</w:t>
      </w:r>
      <w:r w:rsidR="00944C59" w:rsidRPr="00B5534F">
        <w:rPr>
          <w:rFonts w:ascii="Times New Roman" w:hAnsi="Times New Roman" w:cs="Times New Roman"/>
          <w:sz w:val="24"/>
          <w:szCs w:val="24"/>
        </w:rPr>
        <w:t xml:space="preserve"> for creatinine,</w:t>
      </w:r>
      <w:r w:rsidR="00152916" w:rsidRPr="00B5534F">
        <w:rPr>
          <w:rFonts w:ascii="Times New Roman" w:hAnsi="Times New Roman" w:cs="Times New Roman"/>
          <w:sz w:val="24"/>
          <w:szCs w:val="24"/>
        </w:rPr>
        <w:t xml:space="preserve"> 174</w:t>
      </w:r>
      <w:r w:rsidR="00152916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152916" w:rsidRPr="00B5534F">
        <w:rPr>
          <w:rFonts w:ascii="Times New Roman" w:hAnsi="Times New Roman" w:cs="Times New Roman"/>
          <w:sz w:val="24"/>
          <w:szCs w:val="24"/>
        </w:rPr>
        <w:t>118 m/z for TMA, 187</w:t>
      </w:r>
      <w:r w:rsidR="00152916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152916" w:rsidRPr="00B5534F">
        <w:rPr>
          <w:rFonts w:ascii="Times New Roman" w:hAnsi="Times New Roman" w:cs="Times New Roman"/>
          <w:sz w:val="24"/>
          <w:szCs w:val="24"/>
        </w:rPr>
        <w:t xml:space="preserve">127 m/z  for TMA-d9, </w:t>
      </w:r>
      <w:r w:rsidR="00D279B5" w:rsidRPr="00B5534F">
        <w:rPr>
          <w:rFonts w:ascii="Times New Roman" w:hAnsi="Times New Roman" w:cs="Times New Roman"/>
          <w:sz w:val="24"/>
          <w:szCs w:val="24"/>
        </w:rPr>
        <w:t xml:space="preserve"> </w:t>
      </w:r>
      <w:r w:rsidR="00944C59" w:rsidRPr="00B5534F">
        <w:rPr>
          <w:rFonts w:ascii="Times New Roman" w:hAnsi="Times New Roman" w:cs="Times New Roman"/>
          <w:sz w:val="24"/>
          <w:szCs w:val="24"/>
        </w:rPr>
        <w:t>117</w:t>
      </w:r>
      <w:bookmarkStart w:id="0" w:name="_Hlk47000899"/>
      <w:r w:rsidR="00944C59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bookmarkEnd w:id="0"/>
      <w:r w:rsidR="00944C59" w:rsidRPr="00B5534F">
        <w:rPr>
          <w:rFonts w:ascii="Times New Roman" w:hAnsi="Times New Roman" w:cs="Times New Roman"/>
          <w:sz w:val="24"/>
          <w:szCs w:val="24"/>
        </w:rPr>
        <w:t xml:space="preserve">89 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m/z </w:t>
      </w:r>
      <w:r w:rsidR="00944C59" w:rsidRPr="00B5534F">
        <w:rPr>
          <w:rFonts w:ascii="Times New Roman" w:hAnsi="Times New Roman" w:cs="Times New Roman"/>
          <w:sz w:val="24"/>
          <w:szCs w:val="24"/>
        </w:rPr>
        <w:t>for creatin</w:t>
      </w:r>
      <w:r w:rsidR="00F3089C" w:rsidRPr="00B5534F">
        <w:rPr>
          <w:rFonts w:ascii="Times New Roman" w:hAnsi="Times New Roman" w:cs="Times New Roman"/>
          <w:sz w:val="24"/>
          <w:szCs w:val="24"/>
        </w:rPr>
        <w:t>in</w:t>
      </w:r>
      <w:r w:rsidR="00944C59" w:rsidRPr="00B5534F">
        <w:rPr>
          <w:rFonts w:ascii="Times New Roman" w:hAnsi="Times New Roman" w:cs="Times New Roman"/>
          <w:sz w:val="24"/>
          <w:szCs w:val="24"/>
        </w:rPr>
        <w:t>e-d9</w:t>
      </w:r>
      <w:r w:rsidR="00705242" w:rsidRPr="00B5534F">
        <w:rPr>
          <w:rFonts w:ascii="Times New Roman" w:hAnsi="Times New Roman" w:cs="Times New Roman"/>
          <w:sz w:val="24"/>
          <w:szCs w:val="24"/>
        </w:rPr>
        <w:t>, 104</w:t>
      </w:r>
      <w:r w:rsidR="00705242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705242" w:rsidRPr="00B5534F">
        <w:rPr>
          <w:rFonts w:ascii="Times New Roman" w:hAnsi="Times New Roman" w:cs="Times New Roman"/>
          <w:sz w:val="24"/>
          <w:szCs w:val="24"/>
        </w:rPr>
        <w:t xml:space="preserve">45 </w:t>
      </w:r>
      <w:r w:rsidR="00C10DE5" w:rsidRPr="00B5534F">
        <w:rPr>
          <w:rFonts w:ascii="Times New Roman" w:hAnsi="Times New Roman" w:cs="Times New Roman"/>
          <w:sz w:val="24"/>
          <w:szCs w:val="24"/>
        </w:rPr>
        <w:t xml:space="preserve">m/z </w:t>
      </w:r>
      <w:r w:rsidR="00705242" w:rsidRPr="00B5534F">
        <w:rPr>
          <w:rFonts w:ascii="Times New Roman" w:hAnsi="Times New Roman" w:cs="Times New Roman"/>
          <w:sz w:val="24"/>
          <w:szCs w:val="24"/>
        </w:rPr>
        <w:t>for choline, 113</w:t>
      </w:r>
      <w:r w:rsidR="00705242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705242" w:rsidRPr="00B5534F">
        <w:rPr>
          <w:rFonts w:ascii="Times New Roman" w:hAnsi="Times New Roman" w:cs="Times New Roman"/>
          <w:sz w:val="24"/>
          <w:szCs w:val="24"/>
        </w:rPr>
        <w:t xml:space="preserve">45 </w:t>
      </w:r>
      <w:r w:rsidR="00E80D3B" w:rsidRPr="00B5534F">
        <w:rPr>
          <w:rFonts w:ascii="Times New Roman" w:hAnsi="Times New Roman" w:cs="Times New Roman"/>
          <w:sz w:val="24"/>
          <w:szCs w:val="24"/>
        </w:rPr>
        <w:t xml:space="preserve">m/z </w:t>
      </w:r>
      <w:r w:rsidR="00705242" w:rsidRPr="00B5534F">
        <w:rPr>
          <w:rFonts w:ascii="Times New Roman" w:hAnsi="Times New Roman" w:cs="Times New Roman"/>
          <w:sz w:val="24"/>
          <w:szCs w:val="24"/>
        </w:rPr>
        <w:t>for choline-d9, 118</w:t>
      </w:r>
      <w:r w:rsidR="00705242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705242" w:rsidRPr="00B5534F">
        <w:rPr>
          <w:rFonts w:ascii="Times New Roman" w:hAnsi="Times New Roman" w:cs="Times New Roman"/>
          <w:sz w:val="24"/>
          <w:szCs w:val="24"/>
        </w:rPr>
        <w:t>59</w:t>
      </w:r>
      <w:r w:rsidR="00E80D3B" w:rsidRPr="00B5534F">
        <w:rPr>
          <w:rFonts w:ascii="Times New Roman" w:hAnsi="Times New Roman" w:cs="Times New Roman"/>
          <w:sz w:val="24"/>
          <w:szCs w:val="24"/>
        </w:rPr>
        <w:t xml:space="preserve"> m/z</w:t>
      </w:r>
      <w:r w:rsidR="00705242" w:rsidRPr="00B5534F">
        <w:rPr>
          <w:rFonts w:ascii="Times New Roman" w:hAnsi="Times New Roman" w:cs="Times New Roman"/>
          <w:sz w:val="24"/>
          <w:szCs w:val="24"/>
        </w:rPr>
        <w:t xml:space="preserve"> for betaine, and 127</w:t>
      </w:r>
      <w:r w:rsidR="00705242" w:rsidRPr="00B553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705242" w:rsidRPr="00B5534F">
        <w:rPr>
          <w:rFonts w:ascii="Times New Roman" w:hAnsi="Times New Roman" w:cs="Times New Roman"/>
          <w:sz w:val="24"/>
          <w:szCs w:val="24"/>
        </w:rPr>
        <w:t>68</w:t>
      </w:r>
      <w:r w:rsidR="00E80D3B" w:rsidRPr="00B5534F">
        <w:rPr>
          <w:rFonts w:ascii="Times New Roman" w:hAnsi="Times New Roman" w:cs="Times New Roman"/>
          <w:sz w:val="24"/>
          <w:szCs w:val="24"/>
        </w:rPr>
        <w:t xml:space="preserve"> m/z</w:t>
      </w:r>
      <w:r w:rsidR="00705242" w:rsidRPr="00B5534F">
        <w:rPr>
          <w:rFonts w:ascii="Times New Roman" w:hAnsi="Times New Roman" w:cs="Times New Roman"/>
          <w:sz w:val="24"/>
          <w:szCs w:val="24"/>
        </w:rPr>
        <w:t xml:space="preserve"> for betaine-d9</w:t>
      </w:r>
      <w:r w:rsidR="00944C59" w:rsidRPr="00B5534F">
        <w:rPr>
          <w:rFonts w:ascii="Times New Roman" w:hAnsi="Times New Roman" w:cs="Times New Roman"/>
          <w:sz w:val="24"/>
          <w:szCs w:val="24"/>
        </w:rPr>
        <w:t xml:space="preserve">. </w:t>
      </w:r>
      <w:r w:rsidR="002E276D" w:rsidRPr="00B5534F">
        <w:rPr>
          <w:rFonts w:ascii="Times New Roman" w:hAnsi="Times New Roman" w:cs="Times New Roman"/>
          <w:sz w:val="24"/>
          <w:szCs w:val="24"/>
        </w:rPr>
        <w:t>Concentrations of each metabolite in samples w</w:t>
      </w:r>
      <w:r w:rsidR="001A3E88" w:rsidRPr="00B5534F">
        <w:rPr>
          <w:rFonts w:ascii="Times New Roman" w:hAnsi="Times New Roman" w:cs="Times New Roman"/>
          <w:sz w:val="24"/>
          <w:szCs w:val="24"/>
        </w:rPr>
        <w:t>ere</w:t>
      </w:r>
      <w:r w:rsidR="002E276D" w:rsidRPr="00B5534F">
        <w:rPr>
          <w:rFonts w:ascii="Times New Roman" w:hAnsi="Times New Roman" w:cs="Times New Roman"/>
          <w:sz w:val="24"/>
          <w:szCs w:val="24"/>
        </w:rPr>
        <w:t xml:space="preserve"> determined from its </w:t>
      </w:r>
      <w:r w:rsidR="00E80D3B" w:rsidRPr="00B5534F">
        <w:rPr>
          <w:rFonts w:ascii="Times New Roman" w:hAnsi="Times New Roman" w:cs="Times New Roman"/>
          <w:sz w:val="24"/>
          <w:szCs w:val="24"/>
        </w:rPr>
        <w:t xml:space="preserve">specific </w:t>
      </w:r>
      <w:r w:rsidR="002E276D" w:rsidRPr="00B5534F">
        <w:rPr>
          <w:rFonts w:ascii="Times New Roman" w:hAnsi="Times New Roman" w:cs="Times New Roman"/>
          <w:sz w:val="24"/>
          <w:szCs w:val="24"/>
        </w:rPr>
        <w:t>calibration curve using peak area ratio of the metabolite to its isotope</w:t>
      </w:r>
      <w:r w:rsidR="001A3E88" w:rsidRPr="00B553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E3686" w14:textId="2B2A583A" w:rsidR="00113060" w:rsidRPr="00B5534F" w:rsidRDefault="00113060" w:rsidP="00B5534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534F">
        <w:rPr>
          <w:rFonts w:ascii="Times New Roman" w:hAnsi="Times New Roman" w:cs="Times New Roman"/>
          <w:sz w:val="24"/>
          <w:szCs w:val="24"/>
        </w:rPr>
        <w:lastRenderedPageBreak/>
        <w:t>The MS settings for data collection were as follows as listed in Table 2:</w:t>
      </w:r>
    </w:p>
    <w:p w14:paraId="128769F6" w14:textId="0A776476" w:rsidR="00113060" w:rsidRPr="00B5534F" w:rsidRDefault="003157B7" w:rsidP="001A3580">
      <w:pPr>
        <w:spacing w:line="240" w:lineRule="auto"/>
        <w:ind w:firstLine="7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B5534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B5534F" w:rsidRPr="00B5534F">
        <w:rPr>
          <w:rFonts w:ascii="Times New Roman" w:hAnsi="Times New Roman" w:cs="Times New Roman"/>
          <w:sz w:val="16"/>
          <w:szCs w:val="16"/>
        </w:rPr>
        <w:t xml:space="preserve">  </w:t>
      </w:r>
      <w:r w:rsidR="001A3580">
        <w:rPr>
          <w:rFonts w:ascii="Times New Roman" w:hAnsi="Times New Roman" w:cs="Times New Roman"/>
          <w:sz w:val="16"/>
          <w:szCs w:val="16"/>
        </w:rPr>
        <w:t xml:space="preserve">   </w:t>
      </w:r>
      <w:r w:rsidR="00113060" w:rsidRPr="00B5534F">
        <w:rPr>
          <w:rFonts w:ascii="Times New Roman" w:hAnsi="Times New Roman" w:cs="Times New Roman"/>
          <w:b/>
          <w:bCs/>
          <w:sz w:val="16"/>
          <w:szCs w:val="16"/>
          <w:u w:val="single"/>
        </w:rPr>
        <w:t>Table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340"/>
      </w:tblGrid>
      <w:tr w:rsidR="00113060" w:rsidRPr="00B5534F" w14:paraId="05B62554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0191B9D9" w14:textId="66658C77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 Setting</w:t>
            </w:r>
          </w:p>
        </w:tc>
        <w:tc>
          <w:tcPr>
            <w:tcW w:w="2340" w:type="dxa"/>
          </w:tcPr>
          <w:p w14:paraId="4E93587A" w14:textId="3003B0CC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Parameter</w:t>
            </w:r>
          </w:p>
        </w:tc>
      </w:tr>
      <w:tr w:rsidR="00113060" w:rsidRPr="00B5534F" w14:paraId="0676BDE3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37C2C0C3" w14:textId="4E84E484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 xml:space="preserve">Capillary voltage </w:t>
            </w:r>
          </w:p>
        </w:tc>
        <w:tc>
          <w:tcPr>
            <w:tcW w:w="2340" w:type="dxa"/>
          </w:tcPr>
          <w:p w14:paraId="4569C9FD" w14:textId="17DB4D71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3.50 kV</w:t>
            </w:r>
          </w:p>
        </w:tc>
      </w:tr>
      <w:tr w:rsidR="00113060" w:rsidRPr="00B5534F" w14:paraId="5B5BB9F3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145F722D" w14:textId="1577FC0C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Cone voltage</w:t>
            </w:r>
          </w:p>
        </w:tc>
        <w:tc>
          <w:tcPr>
            <w:tcW w:w="2340" w:type="dxa"/>
          </w:tcPr>
          <w:p w14:paraId="2CABF17B" w14:textId="3C4C67A9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20 kV</w:t>
            </w:r>
          </w:p>
        </w:tc>
      </w:tr>
      <w:tr w:rsidR="00113060" w:rsidRPr="00B5534F" w14:paraId="6587CC99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68F976F1" w14:textId="026E90A1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Desolvation</w:t>
            </w:r>
            <w:proofErr w:type="spellEnd"/>
            <w:r w:rsidRPr="00B5534F">
              <w:rPr>
                <w:rFonts w:ascii="Times New Roman" w:hAnsi="Times New Roman" w:cs="Times New Roman"/>
                <w:sz w:val="16"/>
                <w:szCs w:val="16"/>
              </w:rPr>
              <w:t xml:space="preserve"> Temp</w:t>
            </w:r>
          </w:p>
        </w:tc>
        <w:tc>
          <w:tcPr>
            <w:tcW w:w="2340" w:type="dxa"/>
          </w:tcPr>
          <w:p w14:paraId="4554E952" w14:textId="68F1E1A0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500° C</w:t>
            </w:r>
          </w:p>
        </w:tc>
      </w:tr>
      <w:tr w:rsidR="00113060" w:rsidRPr="00B5534F" w14:paraId="7E11897D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25C0F34F" w14:textId="64C3D196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Desolvation</w:t>
            </w:r>
            <w:proofErr w:type="spellEnd"/>
            <w:r w:rsidRPr="00B55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534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</w:t>
            </w: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as flow rate</w:t>
            </w:r>
          </w:p>
        </w:tc>
        <w:tc>
          <w:tcPr>
            <w:tcW w:w="2340" w:type="dxa"/>
          </w:tcPr>
          <w:p w14:paraId="7642DC7C" w14:textId="316CDAFB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650 L/</w:t>
            </w:r>
            <w:proofErr w:type="spellStart"/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hr</w:t>
            </w:r>
            <w:proofErr w:type="spellEnd"/>
          </w:p>
        </w:tc>
      </w:tr>
      <w:tr w:rsidR="00113060" w:rsidRPr="00B5534F" w14:paraId="5A5281EB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01D477C6" w14:textId="47C324A9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Cone Gas flow rate</w:t>
            </w:r>
          </w:p>
        </w:tc>
        <w:tc>
          <w:tcPr>
            <w:tcW w:w="2340" w:type="dxa"/>
          </w:tcPr>
          <w:p w14:paraId="4F03A80B" w14:textId="1E211EED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20 L/</w:t>
            </w:r>
            <w:proofErr w:type="spellStart"/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hr</w:t>
            </w:r>
            <w:proofErr w:type="spellEnd"/>
          </w:p>
        </w:tc>
      </w:tr>
      <w:tr w:rsidR="00113060" w:rsidRPr="00B5534F" w14:paraId="4B2F4F32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2A4EEFA3" w14:textId="2644BDCE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Collision energy</w:t>
            </w:r>
          </w:p>
        </w:tc>
        <w:tc>
          <w:tcPr>
            <w:tcW w:w="2340" w:type="dxa"/>
          </w:tcPr>
          <w:p w14:paraId="314BFCD5" w14:textId="0E231187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1 V</w:t>
            </w:r>
          </w:p>
        </w:tc>
      </w:tr>
      <w:tr w:rsidR="00113060" w:rsidRPr="00B5534F" w14:paraId="7DA91C5E" w14:textId="77777777" w:rsidTr="003157B7">
        <w:trPr>
          <w:trHeight w:hRule="exact" w:val="288"/>
          <w:jc w:val="center"/>
        </w:trPr>
        <w:tc>
          <w:tcPr>
            <w:tcW w:w="2695" w:type="dxa"/>
          </w:tcPr>
          <w:p w14:paraId="70FE0681" w14:textId="1B89B027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Source Temp</w:t>
            </w:r>
          </w:p>
        </w:tc>
        <w:tc>
          <w:tcPr>
            <w:tcW w:w="2340" w:type="dxa"/>
          </w:tcPr>
          <w:p w14:paraId="5C4C7ECB" w14:textId="7B15A188" w:rsidR="00113060" w:rsidRPr="00B5534F" w:rsidRDefault="00113060" w:rsidP="003157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4F">
              <w:rPr>
                <w:rFonts w:ascii="Times New Roman" w:hAnsi="Times New Roman" w:cs="Times New Roman"/>
                <w:sz w:val="16"/>
                <w:szCs w:val="16"/>
              </w:rPr>
              <w:t>150° C</w:t>
            </w:r>
          </w:p>
        </w:tc>
      </w:tr>
    </w:tbl>
    <w:p w14:paraId="10F1C887" w14:textId="26A68C8E" w:rsidR="002B41DA" w:rsidRDefault="002B41DA" w:rsidP="00B5534F">
      <w:pPr>
        <w:spacing w:line="240" w:lineRule="auto"/>
        <w:ind w:firstLine="720"/>
        <w:rPr>
          <w:rFonts w:ascii="Arial" w:hAnsi="Arial" w:cs="Arial"/>
        </w:rPr>
      </w:pPr>
    </w:p>
    <w:p w14:paraId="5E6AEF30" w14:textId="55EACE40" w:rsidR="002B41DA" w:rsidRPr="00B5534F" w:rsidRDefault="002B41DA" w:rsidP="00B5534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534F">
        <w:rPr>
          <w:rFonts w:ascii="Times New Roman" w:hAnsi="Times New Roman" w:cs="Times New Roman"/>
          <w:sz w:val="24"/>
          <w:szCs w:val="24"/>
        </w:rPr>
        <w:t>Quantification of the listed metabolites was achieved by the construction of 13</w:t>
      </w:r>
      <w:r w:rsidR="00BD1291" w:rsidRPr="00B5534F">
        <w:rPr>
          <w:rFonts w:ascii="Times New Roman" w:hAnsi="Times New Roman" w:cs="Times New Roman"/>
          <w:sz w:val="24"/>
          <w:szCs w:val="24"/>
        </w:rPr>
        <w:t>-</w:t>
      </w:r>
      <w:r w:rsidR="00A40855" w:rsidRPr="00B5534F">
        <w:rPr>
          <w:rFonts w:ascii="Times New Roman" w:hAnsi="Times New Roman" w:cs="Times New Roman"/>
          <w:sz w:val="24"/>
          <w:szCs w:val="24"/>
        </w:rPr>
        <w:t>point calibration</w:t>
      </w:r>
      <w:r w:rsidRPr="00B5534F">
        <w:rPr>
          <w:rFonts w:ascii="Times New Roman" w:hAnsi="Times New Roman" w:cs="Times New Roman"/>
          <w:sz w:val="24"/>
          <w:szCs w:val="24"/>
        </w:rPr>
        <w:t xml:space="preserve"> curve (S0 – S1</w:t>
      </w:r>
      <w:r w:rsidR="000B2D1E" w:rsidRPr="00B5534F">
        <w:rPr>
          <w:rFonts w:ascii="Times New Roman" w:hAnsi="Times New Roman" w:cs="Times New Roman"/>
          <w:sz w:val="24"/>
          <w:szCs w:val="24"/>
        </w:rPr>
        <w:t>2</w:t>
      </w:r>
      <w:r w:rsidRPr="00B5534F">
        <w:rPr>
          <w:rFonts w:ascii="Times New Roman" w:hAnsi="Times New Roman" w:cs="Times New Roman"/>
          <w:sz w:val="24"/>
          <w:szCs w:val="24"/>
        </w:rPr>
        <w:t>) containing known amounts of standards and labeled internal standards to derive</w:t>
      </w:r>
      <w:r w:rsidR="000F73B9" w:rsidRPr="00B5534F">
        <w:rPr>
          <w:rFonts w:ascii="Times New Roman" w:hAnsi="Times New Roman" w:cs="Times New Roman"/>
          <w:sz w:val="24"/>
          <w:szCs w:val="24"/>
        </w:rPr>
        <w:t xml:space="preserve"> individual calibration curves for each metabolite.  </w:t>
      </w:r>
      <w:r w:rsidR="00A40855" w:rsidRPr="00B5534F">
        <w:rPr>
          <w:rFonts w:ascii="Times New Roman" w:hAnsi="Times New Roman" w:cs="Times New Roman"/>
          <w:sz w:val="24"/>
          <w:szCs w:val="24"/>
        </w:rPr>
        <w:t xml:space="preserve">The </w:t>
      </w:r>
      <w:r w:rsidR="007C6A88" w:rsidRPr="00B5534F">
        <w:rPr>
          <w:rFonts w:ascii="Times New Roman" w:hAnsi="Times New Roman" w:cs="Times New Roman"/>
          <w:sz w:val="24"/>
          <w:szCs w:val="24"/>
        </w:rPr>
        <w:t xml:space="preserve">generated calibration </w:t>
      </w:r>
      <w:r w:rsidR="00A40855" w:rsidRPr="00B5534F">
        <w:rPr>
          <w:rFonts w:ascii="Times New Roman" w:hAnsi="Times New Roman" w:cs="Times New Roman"/>
          <w:sz w:val="24"/>
          <w:szCs w:val="24"/>
        </w:rPr>
        <w:t>curve</w:t>
      </w:r>
      <w:r w:rsidR="007C6A88" w:rsidRPr="00B5534F">
        <w:rPr>
          <w:rFonts w:ascii="Times New Roman" w:hAnsi="Times New Roman" w:cs="Times New Roman"/>
          <w:sz w:val="24"/>
          <w:szCs w:val="24"/>
        </w:rPr>
        <w:t>s</w:t>
      </w:r>
      <w:r w:rsidR="00A40855" w:rsidRPr="00B5534F">
        <w:rPr>
          <w:rFonts w:ascii="Times New Roman" w:hAnsi="Times New Roman" w:cs="Times New Roman"/>
          <w:sz w:val="24"/>
          <w:szCs w:val="24"/>
        </w:rPr>
        <w:t xml:space="preserve"> </w:t>
      </w:r>
      <w:r w:rsidR="007C6A88" w:rsidRPr="00B5534F">
        <w:rPr>
          <w:rFonts w:ascii="Times New Roman" w:hAnsi="Times New Roman" w:cs="Times New Roman"/>
          <w:sz w:val="24"/>
          <w:szCs w:val="24"/>
        </w:rPr>
        <w:t xml:space="preserve">plot type was set to linear and weighted to 1/x.  </w:t>
      </w:r>
      <w:r w:rsidR="000A5947" w:rsidRPr="00B5534F">
        <w:rPr>
          <w:rFonts w:ascii="Times New Roman" w:hAnsi="Times New Roman" w:cs="Times New Roman"/>
          <w:sz w:val="24"/>
          <w:szCs w:val="24"/>
        </w:rPr>
        <w:t>The calculations and displayed results were performed in TargetLynx®</w:t>
      </w:r>
      <w:r w:rsidR="00DB0100" w:rsidRPr="00B5534F">
        <w:rPr>
          <w:rFonts w:ascii="Times New Roman" w:hAnsi="Times New Roman" w:cs="Times New Roman"/>
          <w:sz w:val="24"/>
          <w:szCs w:val="24"/>
        </w:rPr>
        <w:t>v.4.1</w:t>
      </w:r>
      <w:r w:rsidR="000A5947" w:rsidRPr="00B5534F">
        <w:rPr>
          <w:rFonts w:ascii="Times New Roman" w:hAnsi="Times New Roman" w:cs="Times New Roman"/>
          <w:sz w:val="24"/>
          <w:szCs w:val="24"/>
        </w:rPr>
        <w:t xml:space="preserve"> (Waters Corp, Milford, MA - USA)</w:t>
      </w:r>
    </w:p>
    <w:sectPr w:rsidR="002B41DA" w:rsidRPr="00B5534F" w:rsidSect="0008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2D"/>
    <w:rsid w:val="00033E3B"/>
    <w:rsid w:val="0007362D"/>
    <w:rsid w:val="0008502A"/>
    <w:rsid w:val="00086CBA"/>
    <w:rsid w:val="000A5947"/>
    <w:rsid w:val="000B2D1E"/>
    <w:rsid w:val="000B7A44"/>
    <w:rsid w:val="000C2EF0"/>
    <w:rsid w:val="000F0AD9"/>
    <w:rsid w:val="000F73B9"/>
    <w:rsid w:val="00113060"/>
    <w:rsid w:val="00152916"/>
    <w:rsid w:val="00187BF7"/>
    <w:rsid w:val="001A3580"/>
    <w:rsid w:val="001A3E88"/>
    <w:rsid w:val="001C5A77"/>
    <w:rsid w:val="002572AB"/>
    <w:rsid w:val="0028715B"/>
    <w:rsid w:val="002B154C"/>
    <w:rsid w:val="002B41DA"/>
    <w:rsid w:val="002E276D"/>
    <w:rsid w:val="0030256B"/>
    <w:rsid w:val="003157B7"/>
    <w:rsid w:val="00325C01"/>
    <w:rsid w:val="003A1FF1"/>
    <w:rsid w:val="003A41F9"/>
    <w:rsid w:val="004A6C5F"/>
    <w:rsid w:val="00546A6B"/>
    <w:rsid w:val="00565DC8"/>
    <w:rsid w:val="005940BB"/>
    <w:rsid w:val="005C0F5F"/>
    <w:rsid w:val="0061372D"/>
    <w:rsid w:val="006921CE"/>
    <w:rsid w:val="006C4F32"/>
    <w:rsid w:val="00705242"/>
    <w:rsid w:val="007350A9"/>
    <w:rsid w:val="00765E7E"/>
    <w:rsid w:val="0077129E"/>
    <w:rsid w:val="007A0FFC"/>
    <w:rsid w:val="007C6A88"/>
    <w:rsid w:val="007F55C0"/>
    <w:rsid w:val="00856C02"/>
    <w:rsid w:val="008E51BE"/>
    <w:rsid w:val="00944C59"/>
    <w:rsid w:val="0094518F"/>
    <w:rsid w:val="00990E4B"/>
    <w:rsid w:val="009A0A3B"/>
    <w:rsid w:val="00A115FA"/>
    <w:rsid w:val="00A403CB"/>
    <w:rsid w:val="00A40855"/>
    <w:rsid w:val="00A6500C"/>
    <w:rsid w:val="00AD7E14"/>
    <w:rsid w:val="00B5534F"/>
    <w:rsid w:val="00B67B29"/>
    <w:rsid w:val="00BD1291"/>
    <w:rsid w:val="00C10DE5"/>
    <w:rsid w:val="00C220CB"/>
    <w:rsid w:val="00C31408"/>
    <w:rsid w:val="00C339F8"/>
    <w:rsid w:val="00C60E5A"/>
    <w:rsid w:val="00CD3147"/>
    <w:rsid w:val="00D279B5"/>
    <w:rsid w:val="00D65650"/>
    <w:rsid w:val="00DA2522"/>
    <w:rsid w:val="00DB0100"/>
    <w:rsid w:val="00E157B3"/>
    <w:rsid w:val="00E80D3B"/>
    <w:rsid w:val="00F14136"/>
    <w:rsid w:val="00F3089C"/>
    <w:rsid w:val="00F57C1B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B0B"/>
  <w15:docId w15:val="{1F55BD84-0A84-4C1A-A475-713F24F4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2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29E"/>
    <w:rPr>
      <w:color w:val="0000FF"/>
      <w:u w:val="single"/>
    </w:rPr>
  </w:style>
  <w:style w:type="table" w:styleId="TableGrid">
    <w:name w:val="Table Grid"/>
    <w:basedOn w:val="TableNormal"/>
    <w:uiPriority w:val="59"/>
    <w:rsid w:val="0015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Laura Goodfellow</cp:lastModifiedBy>
  <cp:revision>2</cp:revision>
  <dcterms:created xsi:type="dcterms:W3CDTF">2022-06-09T08:30:00Z</dcterms:created>
  <dcterms:modified xsi:type="dcterms:W3CDTF">2022-06-09T08:30:00Z</dcterms:modified>
</cp:coreProperties>
</file>