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6"/>
        <w:tblW w:w="9266" w:type="dxa"/>
        <w:tblInd w:w="-471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6"/>
        <w:gridCol w:w="1890"/>
        <w:gridCol w:w="1463"/>
        <w:gridCol w:w="1295"/>
        <w:gridCol w:w="932"/>
      </w:tblGrid>
      <w:tr>
        <w:trPr>
          <w:trHeight w:val="379" w:hRule="atLeast"/>
        </w:trPr>
        <w:tc>
          <w:tcPr>
            <w:tcW w:w="0" w:type="auto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 xml:space="preserve">Table S1 </w:t>
            </w:r>
            <w:r>
              <w:rPr>
                <w:rFonts w:ascii="Times New Roman" w:hAnsi="Times New Roman" w:eastAsia="ArialMTStd" w:cs="Times New Roman"/>
                <w:b/>
                <w:bCs/>
                <w:color w:val="231F20"/>
                <w:lang w:bidi="ar"/>
              </w:rPr>
              <w:t>Comparison of clinical characteristics according to sex</w:t>
            </w:r>
          </w:p>
        </w:tc>
      </w:tr>
      <w:tr>
        <w:trPr>
          <w:trHeight w:val="284" w:hRule="atLeast"/>
        </w:trPr>
        <w:tc>
          <w:tcPr>
            <w:tcW w:w="36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Variables</w:t>
            </w:r>
          </w:p>
        </w:tc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Total (n=1377)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 (n=404)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 (n=973)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P</w:t>
            </w:r>
          </w:p>
        </w:tc>
      </w:tr>
      <w:tr>
        <w:trPr>
          <w:trHeight w:val="209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Hypertension,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812 (59.0)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274 (67.8)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538 (55.3)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&lt;0.001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Diabetes,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294 (21.4)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110 (27.2)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184 (18.9)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&lt;0.001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231F20"/>
              </w:rPr>
              <w:t>Dyslipidemia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60 (4.4)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13 (3.2)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47 (4.8)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0.234</w:t>
            </w:r>
          </w:p>
        </w:tc>
      </w:tr>
      <w:tr>
        <w:trPr>
          <w:trHeight w:val="22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DengXian" w:cs="Times New Roman"/>
                <w:color w:val="000000"/>
                <w:lang w:bidi="ar"/>
              </w:rPr>
              <w:t>ICH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21 (1.5)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8 (2)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13 (1.3)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0.518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Onset to arrival time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0.492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≤24 h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778 (56.5)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222 (55)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556 (57.1)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24-72 h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599 (43.5)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182 (45)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417 (42.9)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Initial NIHSS score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0.88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≤3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1045 (75.9)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305 (75.5)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740 (76.1)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4-5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332 (24.1)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99 (24.5)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233 (23.9)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AF,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42 (3.1)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19 (4.7)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23 (2.4)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0.033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TIA,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20 (1.5)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9 (2.2)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11 (1.1)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0.193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DengXian" w:cs="Times New Roman"/>
                <w:color w:val="000000"/>
                <w:lang w:bidi="ar"/>
              </w:rPr>
              <w:t>Antiplatelet use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127 (9.2)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43 (10.6)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84 (8.6)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0.284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color w:val="000000"/>
                <w:lang w:bidi="ar"/>
              </w:rPr>
              <w:t>Antihypertensive use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512 (37.2)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191 (47.3)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321 (33)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&lt; 0.001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Antiplatelet drugs admission,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0.051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Times New Roman" w:cs="Times New Roman"/>
              </w:rPr>
              <w:t>AM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541 (39.3)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180 (44.6)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361 (37.1)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Times New Roman" w:cs="Times New Roman"/>
              </w:rPr>
              <w:t>DAPT-ALC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474 (34.4)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125 (30.9)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349 (35.9)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Times New Roman" w:cs="Times New Roman"/>
              </w:rPr>
              <w:t>DAPT-AUC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301 (21.9)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79 (19.6)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222 (22.8)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Times New Roman" w:cs="Times New Roman"/>
              </w:rPr>
              <w:t>CM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61 (4.4)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20 (5)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41 (4.2)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Stroke,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323 (23.5)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93 (23)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230 (23.6)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0.86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CAD,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80 (5.8)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29 (7.2)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51 (5.2)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0.203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AMI,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43 (3.1)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8 (2)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35 (3.6)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0.161</w:t>
            </w:r>
          </w:p>
        </w:tc>
      </w:tr>
      <w:tr>
        <w:trPr>
          <w:trHeight w:val="284" w:hRule="atLeast"/>
        </w:trPr>
        <w:tc>
          <w:tcPr>
            <w:tcW w:w="368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PAD, n (%)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 (0.1)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 (0.2)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 (0.1)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0.501</w:t>
            </w:r>
          </w:p>
        </w:tc>
      </w:tr>
      <w:tr>
        <w:trPr>
          <w:trHeight w:val="284" w:hRule="atLeast"/>
        </w:trPr>
        <w:tc>
          <w:tcPr>
            <w:tcW w:w="926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ascii="Times New Roman" w:hAnsi="Times New Roman" w:eastAsia="Times New Roman" w:cs="Times New Roman"/>
              </w:rPr>
              <w:t>Abbreviations:</w:t>
            </w:r>
            <w:r>
              <w:rPr>
                <w:rFonts w:ascii="Times New Roman" w:hAnsi="Times New Roman" w:eastAsia="微软雅黑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AF: atrial fibrillation; TIA: transient ischemic attack; CAD: coronary artery disease; AMI: acute myocardial infarction; PAD: peripheral artery disease; ICH: intracranial hemorrhage; NIHSS: National Institutes of Health Stroke Scale; AM: aspirin monotherapy; CM: clopidogrel monotherapy; DAPT-ALC: dual antiplatelet therapy with aspirin and a loading dose of clopidogrel (clopidogrel loading dose of 300 mg on the first day); DAPT-AUC: dual antiplatelet therapy with aspirin and no loading dose of clopidogrel (clopidogrel 75 mg daily); Data are shown as n (%).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MTStd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19"/>
    <w:rsid w:val="000104AF"/>
    <w:rsid w:val="000128ED"/>
    <w:rsid w:val="0002276D"/>
    <w:rsid w:val="00027C97"/>
    <w:rsid w:val="00047C05"/>
    <w:rsid w:val="00055F51"/>
    <w:rsid w:val="00076E4D"/>
    <w:rsid w:val="000876D2"/>
    <w:rsid w:val="00093D71"/>
    <w:rsid w:val="000A6ABE"/>
    <w:rsid w:val="000B2B32"/>
    <w:rsid w:val="000B4516"/>
    <w:rsid w:val="000C751C"/>
    <w:rsid w:val="000D58D8"/>
    <w:rsid w:val="000E0E21"/>
    <w:rsid w:val="000E672F"/>
    <w:rsid w:val="001035B3"/>
    <w:rsid w:val="0011689A"/>
    <w:rsid w:val="0012165A"/>
    <w:rsid w:val="0015040B"/>
    <w:rsid w:val="00150E3E"/>
    <w:rsid w:val="00151D9E"/>
    <w:rsid w:val="001528D7"/>
    <w:rsid w:val="00166BF4"/>
    <w:rsid w:val="001702F7"/>
    <w:rsid w:val="00192FD2"/>
    <w:rsid w:val="001A0B01"/>
    <w:rsid w:val="001A4E88"/>
    <w:rsid w:val="001B72E3"/>
    <w:rsid w:val="001C5999"/>
    <w:rsid w:val="002010B5"/>
    <w:rsid w:val="00206711"/>
    <w:rsid w:val="00206F1D"/>
    <w:rsid w:val="002156C1"/>
    <w:rsid w:val="00216DA1"/>
    <w:rsid w:val="00224AD8"/>
    <w:rsid w:val="00235F49"/>
    <w:rsid w:val="00252382"/>
    <w:rsid w:val="002541E9"/>
    <w:rsid w:val="0026205C"/>
    <w:rsid w:val="002631CA"/>
    <w:rsid w:val="002717E1"/>
    <w:rsid w:val="00283871"/>
    <w:rsid w:val="0028785F"/>
    <w:rsid w:val="0029053B"/>
    <w:rsid w:val="002A4D3E"/>
    <w:rsid w:val="002C3BFA"/>
    <w:rsid w:val="002C5ABF"/>
    <w:rsid w:val="002D4CA3"/>
    <w:rsid w:val="00312E89"/>
    <w:rsid w:val="00334DE2"/>
    <w:rsid w:val="00337EEE"/>
    <w:rsid w:val="003661C8"/>
    <w:rsid w:val="003750E0"/>
    <w:rsid w:val="00390AA1"/>
    <w:rsid w:val="003A57CA"/>
    <w:rsid w:val="003C6A84"/>
    <w:rsid w:val="003D6612"/>
    <w:rsid w:val="003E74FE"/>
    <w:rsid w:val="004065BD"/>
    <w:rsid w:val="00425ED6"/>
    <w:rsid w:val="0043580A"/>
    <w:rsid w:val="00447BB2"/>
    <w:rsid w:val="00454F55"/>
    <w:rsid w:val="00460A90"/>
    <w:rsid w:val="004715A5"/>
    <w:rsid w:val="00486C0B"/>
    <w:rsid w:val="0048784E"/>
    <w:rsid w:val="00491B24"/>
    <w:rsid w:val="004A294C"/>
    <w:rsid w:val="004A2C33"/>
    <w:rsid w:val="004C7FD9"/>
    <w:rsid w:val="004D75B5"/>
    <w:rsid w:val="005110A6"/>
    <w:rsid w:val="00515D70"/>
    <w:rsid w:val="0054141C"/>
    <w:rsid w:val="00541DBA"/>
    <w:rsid w:val="005518A5"/>
    <w:rsid w:val="0055605F"/>
    <w:rsid w:val="00556516"/>
    <w:rsid w:val="00562B85"/>
    <w:rsid w:val="005758D2"/>
    <w:rsid w:val="00575F7B"/>
    <w:rsid w:val="00580F71"/>
    <w:rsid w:val="00581E36"/>
    <w:rsid w:val="005835DF"/>
    <w:rsid w:val="00591864"/>
    <w:rsid w:val="005A701B"/>
    <w:rsid w:val="005B0304"/>
    <w:rsid w:val="005B09E2"/>
    <w:rsid w:val="005C012D"/>
    <w:rsid w:val="005C5144"/>
    <w:rsid w:val="005C5ED7"/>
    <w:rsid w:val="005D33E0"/>
    <w:rsid w:val="005E7175"/>
    <w:rsid w:val="005E7BD4"/>
    <w:rsid w:val="00602CAE"/>
    <w:rsid w:val="0060529E"/>
    <w:rsid w:val="00606467"/>
    <w:rsid w:val="00607CBE"/>
    <w:rsid w:val="00621221"/>
    <w:rsid w:val="0064472A"/>
    <w:rsid w:val="00647DC3"/>
    <w:rsid w:val="00652647"/>
    <w:rsid w:val="00656F91"/>
    <w:rsid w:val="006572E9"/>
    <w:rsid w:val="00674985"/>
    <w:rsid w:val="006768DC"/>
    <w:rsid w:val="00693BD7"/>
    <w:rsid w:val="006A0BCF"/>
    <w:rsid w:val="006A20DB"/>
    <w:rsid w:val="006A7153"/>
    <w:rsid w:val="006C05F9"/>
    <w:rsid w:val="006D5A70"/>
    <w:rsid w:val="006D7AA9"/>
    <w:rsid w:val="006E06E1"/>
    <w:rsid w:val="006E411D"/>
    <w:rsid w:val="006E56C6"/>
    <w:rsid w:val="006F3E1E"/>
    <w:rsid w:val="006F463A"/>
    <w:rsid w:val="006F5DC6"/>
    <w:rsid w:val="006F6AD9"/>
    <w:rsid w:val="00712B17"/>
    <w:rsid w:val="00712E79"/>
    <w:rsid w:val="0071441E"/>
    <w:rsid w:val="007162BA"/>
    <w:rsid w:val="007220D9"/>
    <w:rsid w:val="0073605A"/>
    <w:rsid w:val="00745203"/>
    <w:rsid w:val="00775A93"/>
    <w:rsid w:val="00776524"/>
    <w:rsid w:val="00777C7F"/>
    <w:rsid w:val="00780662"/>
    <w:rsid w:val="00797464"/>
    <w:rsid w:val="007B5C40"/>
    <w:rsid w:val="007E2823"/>
    <w:rsid w:val="00824519"/>
    <w:rsid w:val="00830986"/>
    <w:rsid w:val="008477D1"/>
    <w:rsid w:val="00852B3D"/>
    <w:rsid w:val="00892717"/>
    <w:rsid w:val="00893119"/>
    <w:rsid w:val="008B0896"/>
    <w:rsid w:val="008B5450"/>
    <w:rsid w:val="008B6195"/>
    <w:rsid w:val="008C7A49"/>
    <w:rsid w:val="008D1D26"/>
    <w:rsid w:val="008E73A8"/>
    <w:rsid w:val="008F2A6E"/>
    <w:rsid w:val="008F3B16"/>
    <w:rsid w:val="008F6617"/>
    <w:rsid w:val="00914474"/>
    <w:rsid w:val="0092687A"/>
    <w:rsid w:val="0094103F"/>
    <w:rsid w:val="009569FD"/>
    <w:rsid w:val="00973D0B"/>
    <w:rsid w:val="009809A7"/>
    <w:rsid w:val="00996D96"/>
    <w:rsid w:val="009C1CD7"/>
    <w:rsid w:val="009C2DB2"/>
    <w:rsid w:val="00A1652C"/>
    <w:rsid w:val="00A261CA"/>
    <w:rsid w:val="00A26D63"/>
    <w:rsid w:val="00A26DBF"/>
    <w:rsid w:val="00A26EDE"/>
    <w:rsid w:val="00A40A7A"/>
    <w:rsid w:val="00A42649"/>
    <w:rsid w:val="00A54688"/>
    <w:rsid w:val="00A8504A"/>
    <w:rsid w:val="00A90B92"/>
    <w:rsid w:val="00A90E78"/>
    <w:rsid w:val="00A9670C"/>
    <w:rsid w:val="00AB1B01"/>
    <w:rsid w:val="00AB75CA"/>
    <w:rsid w:val="00AC1F37"/>
    <w:rsid w:val="00AC7CB0"/>
    <w:rsid w:val="00AD45E3"/>
    <w:rsid w:val="00AE1D57"/>
    <w:rsid w:val="00AE234B"/>
    <w:rsid w:val="00AF780A"/>
    <w:rsid w:val="00B00D35"/>
    <w:rsid w:val="00B0433D"/>
    <w:rsid w:val="00B14388"/>
    <w:rsid w:val="00B14496"/>
    <w:rsid w:val="00B24824"/>
    <w:rsid w:val="00B36D6D"/>
    <w:rsid w:val="00B51401"/>
    <w:rsid w:val="00B576E2"/>
    <w:rsid w:val="00B64545"/>
    <w:rsid w:val="00B67815"/>
    <w:rsid w:val="00B75CEF"/>
    <w:rsid w:val="00B8127F"/>
    <w:rsid w:val="00B8634E"/>
    <w:rsid w:val="00BB27A1"/>
    <w:rsid w:val="00BC7DF2"/>
    <w:rsid w:val="00BE10B2"/>
    <w:rsid w:val="00BE7CBD"/>
    <w:rsid w:val="00BF03A2"/>
    <w:rsid w:val="00C16F83"/>
    <w:rsid w:val="00C228D1"/>
    <w:rsid w:val="00C3034A"/>
    <w:rsid w:val="00C6225F"/>
    <w:rsid w:val="00C711B4"/>
    <w:rsid w:val="00C7705A"/>
    <w:rsid w:val="00C77124"/>
    <w:rsid w:val="00C873BD"/>
    <w:rsid w:val="00C96D58"/>
    <w:rsid w:val="00CC1654"/>
    <w:rsid w:val="00CC645C"/>
    <w:rsid w:val="00CD281E"/>
    <w:rsid w:val="00CE552C"/>
    <w:rsid w:val="00CF13B2"/>
    <w:rsid w:val="00D006EA"/>
    <w:rsid w:val="00D02C02"/>
    <w:rsid w:val="00D1092A"/>
    <w:rsid w:val="00D22B9E"/>
    <w:rsid w:val="00D22E6A"/>
    <w:rsid w:val="00D2558F"/>
    <w:rsid w:val="00D3203C"/>
    <w:rsid w:val="00D518E1"/>
    <w:rsid w:val="00D626AE"/>
    <w:rsid w:val="00D77B2F"/>
    <w:rsid w:val="00D84589"/>
    <w:rsid w:val="00D86299"/>
    <w:rsid w:val="00D935AF"/>
    <w:rsid w:val="00D97C5F"/>
    <w:rsid w:val="00DA09EA"/>
    <w:rsid w:val="00DB1229"/>
    <w:rsid w:val="00DC57B3"/>
    <w:rsid w:val="00DD4A0D"/>
    <w:rsid w:val="00DE73DD"/>
    <w:rsid w:val="00DF1BED"/>
    <w:rsid w:val="00E0061D"/>
    <w:rsid w:val="00E235AC"/>
    <w:rsid w:val="00E24615"/>
    <w:rsid w:val="00E402DC"/>
    <w:rsid w:val="00E67688"/>
    <w:rsid w:val="00E73D57"/>
    <w:rsid w:val="00EB407B"/>
    <w:rsid w:val="00ED6F14"/>
    <w:rsid w:val="00EF2D8D"/>
    <w:rsid w:val="00EF4C67"/>
    <w:rsid w:val="00F31185"/>
    <w:rsid w:val="00F6068E"/>
    <w:rsid w:val="00F61870"/>
    <w:rsid w:val="00F61A92"/>
    <w:rsid w:val="00F6264C"/>
    <w:rsid w:val="00F90D5B"/>
    <w:rsid w:val="00FE0F6B"/>
    <w:rsid w:val="00FE3B0E"/>
    <w:rsid w:val="00FF4628"/>
    <w:rsid w:val="5FEF7C4B"/>
    <w:rsid w:val="7FD7A33A"/>
    <w:rsid w:val="DEFFF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9"/>
    <w:unhideWhenUsed/>
    <w:qFormat/>
    <w:uiPriority w:val="99"/>
    <w:rPr>
      <w:b/>
      <w:bCs/>
    </w:rPr>
  </w:style>
  <w:style w:type="paragraph" w:styleId="3">
    <w:name w:val="annotation text"/>
    <w:basedOn w:val="1"/>
    <w:link w:val="7"/>
    <w:unhideWhenUsed/>
    <w:qFormat/>
    <w:uiPriority w:val="99"/>
    <w:rPr>
      <w:sz w:val="20"/>
      <w:szCs w:val="20"/>
    </w:rPr>
  </w:style>
  <w:style w:type="character" w:styleId="5">
    <w:name w:val="annotation reference"/>
    <w:basedOn w:val="4"/>
    <w:qFormat/>
    <w:uiPriority w:val="99"/>
    <w:rPr>
      <w:sz w:val="16"/>
      <w:szCs w:val="16"/>
    </w:rPr>
  </w:style>
  <w:style w:type="character" w:customStyle="1" w:styleId="7">
    <w:name w:val="批注文字 字符"/>
    <w:basedOn w:val="4"/>
    <w:link w:val="3"/>
    <w:semiHidden/>
    <w:qFormat/>
    <w:uiPriority w:val="99"/>
    <w:rPr>
      <w:sz w:val="20"/>
      <w:szCs w:val="20"/>
    </w:rPr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9">
    <w:name w:val="批注主题 字符"/>
    <w:basedOn w:val="7"/>
    <w:link w:val="2"/>
    <w:semiHidden/>
    <w:qFormat/>
    <w:uiPriority w:val="99"/>
    <w:rPr>
      <w:b/>
      <w:bCs/>
      <w:sz w:val="20"/>
      <w:szCs w:val="20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2958</Characters>
  <Lines>24</Lines>
  <Paragraphs>6</Paragraphs>
  <ScaleCrop>false</ScaleCrop>
  <LinksUpToDate>false</LinksUpToDate>
  <CharactersWithSpaces>3470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2022-01-12T02:55:00Z</dcterms:created>
  <dc:creator>Happy</dc:creator>
  <cp:lastModifiedBy>tongtong2007</cp:lastModifiedBy>
  <dcterms:modified xsi:type="dcterms:W3CDTF">2022-07-29T14:38:09Z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2022-01-08T10:02:08Z</vt:filetime>
  </property>
  <property fmtid="{D5CDD505-2E9C-101B-9397-08002B2CF9AE}" pid="3" name="KSOProductBuildVer">
    <vt:lpwstr>2052-3.8.1.6116</vt:lpwstr>
  </property>
</Properties>
</file>