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77777777" w:rsidR="00EA3D3C" w:rsidRPr="00994A3D" w:rsidRDefault="00654E8F" w:rsidP="0001436A">
      <w:pPr>
        <w:pStyle w:val="Heading1"/>
      </w:pPr>
      <w:r w:rsidRPr="00994A3D">
        <w:t>Supplementary Data</w:t>
      </w:r>
    </w:p>
    <w:p w14:paraId="63D7C2B0" w14:textId="4DD5BA02" w:rsidR="00994A3D" w:rsidRDefault="00994A3D" w:rsidP="0001436A">
      <w:pPr>
        <w:pStyle w:val="Heading2"/>
      </w:pPr>
      <w:r w:rsidRPr="0001436A">
        <w:t>Supplementary</w:t>
      </w:r>
      <w:r w:rsidRPr="001549D3">
        <w:t xml:space="preserve"> </w:t>
      </w:r>
      <w:r w:rsidR="00556000">
        <w:t>Table</w:t>
      </w:r>
    </w:p>
    <w:p w14:paraId="494C2FC5" w14:textId="0E2F65EB" w:rsidR="00F94269" w:rsidRPr="00A07701" w:rsidRDefault="00F94269" w:rsidP="00F94269">
      <w:bookmarkStart w:id="0" w:name="_Hlk96000285"/>
      <w:r w:rsidRPr="00A07701">
        <w:rPr>
          <w:b/>
          <w:bCs/>
        </w:rPr>
        <w:t xml:space="preserve">Table </w:t>
      </w:r>
      <w:bookmarkEnd w:id="0"/>
      <w:r w:rsidR="00F811AE">
        <w:rPr>
          <w:b/>
          <w:bCs/>
        </w:rPr>
        <w:t>S</w:t>
      </w:r>
      <w:r w:rsidR="00654F0A">
        <w:rPr>
          <w:b/>
          <w:bCs/>
        </w:rPr>
        <w:t>1</w:t>
      </w:r>
      <w:r w:rsidRPr="00A07701">
        <w:t xml:space="preserve"> Chemical composition</w:t>
      </w:r>
      <w:r>
        <w:t xml:space="preserve"> (g/100g)</w:t>
      </w:r>
      <w:r w:rsidRPr="00A07701">
        <w:t xml:space="preserve"> of bovine, caprine and ovine whole milk* </w:t>
      </w:r>
    </w:p>
    <w:tbl>
      <w:tblPr>
        <w:tblStyle w:val="TableGrid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2"/>
        <w:gridCol w:w="2006"/>
        <w:gridCol w:w="1996"/>
        <w:gridCol w:w="2153"/>
      </w:tblGrid>
      <w:tr w:rsidR="00F94269" w:rsidRPr="000A7C8B" w14:paraId="499243D4" w14:textId="77777777" w:rsidTr="005F13D0">
        <w:trPr>
          <w:trHeight w:val="517"/>
        </w:trPr>
        <w:tc>
          <w:tcPr>
            <w:tcW w:w="1852" w:type="pct"/>
            <w:tcBorders>
              <w:top w:val="single" w:sz="4" w:space="0" w:color="auto"/>
              <w:bottom w:val="single" w:sz="4" w:space="0" w:color="auto"/>
            </w:tcBorders>
          </w:tcPr>
          <w:p w14:paraId="0AD16645" w14:textId="77777777" w:rsidR="00F94269" w:rsidRPr="000A7C8B" w:rsidRDefault="00F94269" w:rsidP="005F13D0">
            <w:pPr>
              <w:pStyle w:val="Tablecontent"/>
              <w:spacing w:line="240" w:lineRule="auto"/>
              <w:rPr>
                <w:b/>
                <w:bCs w:val="0"/>
                <w:sz w:val="24"/>
                <w:szCs w:val="24"/>
                <w:lang w:val="en-GB"/>
              </w:rPr>
            </w:pPr>
            <w:r w:rsidRPr="000A7C8B">
              <w:rPr>
                <w:b/>
                <w:bCs w:val="0"/>
                <w:sz w:val="24"/>
                <w:szCs w:val="24"/>
                <w:lang w:val="en-GB"/>
              </w:rPr>
              <w:t>Component</w:t>
            </w:r>
          </w:p>
        </w:tc>
        <w:tc>
          <w:tcPr>
            <w:tcW w:w="1026" w:type="pct"/>
            <w:tcBorders>
              <w:top w:val="single" w:sz="4" w:space="0" w:color="auto"/>
              <w:bottom w:val="single" w:sz="4" w:space="0" w:color="auto"/>
            </w:tcBorders>
          </w:tcPr>
          <w:p w14:paraId="1E4D2668" w14:textId="77777777" w:rsidR="00F94269" w:rsidRPr="000A7C8B" w:rsidRDefault="00F94269" w:rsidP="005F13D0">
            <w:pPr>
              <w:pStyle w:val="Tablecontent"/>
              <w:spacing w:line="240" w:lineRule="auto"/>
              <w:rPr>
                <w:b/>
                <w:bCs w:val="0"/>
                <w:sz w:val="24"/>
                <w:szCs w:val="24"/>
                <w:lang w:val="en-GB"/>
              </w:rPr>
            </w:pPr>
            <w:r w:rsidRPr="000A7C8B">
              <w:rPr>
                <w:b/>
                <w:bCs w:val="0"/>
                <w:sz w:val="24"/>
                <w:szCs w:val="24"/>
                <w:lang w:val="en-GB"/>
              </w:rPr>
              <w:t>Bovine</w:t>
            </w:r>
          </w:p>
        </w:tc>
        <w:tc>
          <w:tcPr>
            <w:tcW w:w="1021" w:type="pct"/>
            <w:tcBorders>
              <w:top w:val="single" w:sz="4" w:space="0" w:color="auto"/>
              <w:bottom w:val="single" w:sz="4" w:space="0" w:color="auto"/>
            </w:tcBorders>
          </w:tcPr>
          <w:p w14:paraId="10C7263F" w14:textId="77777777" w:rsidR="00F94269" w:rsidRPr="000A7C8B" w:rsidRDefault="00F94269" w:rsidP="005F13D0">
            <w:pPr>
              <w:pStyle w:val="Tablecontent"/>
              <w:spacing w:line="240" w:lineRule="auto"/>
              <w:rPr>
                <w:b/>
                <w:bCs w:val="0"/>
                <w:sz w:val="24"/>
                <w:szCs w:val="24"/>
                <w:lang w:val="en-GB"/>
              </w:rPr>
            </w:pPr>
            <w:r w:rsidRPr="000A7C8B">
              <w:rPr>
                <w:b/>
                <w:bCs w:val="0"/>
                <w:sz w:val="24"/>
                <w:szCs w:val="24"/>
                <w:lang w:val="en-GB"/>
              </w:rPr>
              <w:t>Caprine</w:t>
            </w:r>
          </w:p>
        </w:tc>
        <w:tc>
          <w:tcPr>
            <w:tcW w:w="1101" w:type="pct"/>
            <w:tcBorders>
              <w:top w:val="single" w:sz="4" w:space="0" w:color="auto"/>
              <w:bottom w:val="single" w:sz="4" w:space="0" w:color="auto"/>
            </w:tcBorders>
          </w:tcPr>
          <w:p w14:paraId="4312F6C9" w14:textId="77777777" w:rsidR="00F94269" w:rsidRPr="000A7C8B" w:rsidRDefault="00F94269" w:rsidP="005F13D0">
            <w:pPr>
              <w:pStyle w:val="Tablecontent"/>
              <w:spacing w:line="240" w:lineRule="auto"/>
              <w:rPr>
                <w:b/>
                <w:bCs w:val="0"/>
                <w:sz w:val="24"/>
                <w:szCs w:val="24"/>
                <w:lang w:val="en-GB"/>
              </w:rPr>
            </w:pPr>
            <w:r w:rsidRPr="000A7C8B">
              <w:rPr>
                <w:b/>
                <w:bCs w:val="0"/>
                <w:sz w:val="24"/>
                <w:szCs w:val="24"/>
                <w:lang w:val="en-GB"/>
              </w:rPr>
              <w:t>Ovine</w:t>
            </w:r>
          </w:p>
        </w:tc>
      </w:tr>
      <w:tr w:rsidR="00F94269" w:rsidRPr="000A7C8B" w14:paraId="01B18C72" w14:textId="77777777" w:rsidTr="005F13D0">
        <w:trPr>
          <w:trHeight w:val="517"/>
        </w:trPr>
        <w:tc>
          <w:tcPr>
            <w:tcW w:w="1852" w:type="pct"/>
            <w:tcBorders>
              <w:top w:val="single" w:sz="4" w:space="0" w:color="auto"/>
            </w:tcBorders>
          </w:tcPr>
          <w:p w14:paraId="0B40E872" w14:textId="77777777" w:rsidR="00F94269" w:rsidRPr="000A7C8B" w:rsidRDefault="00F94269" w:rsidP="005F13D0">
            <w:pPr>
              <w:pStyle w:val="Tablecontent"/>
              <w:spacing w:line="240" w:lineRule="auto"/>
              <w:rPr>
                <w:sz w:val="24"/>
                <w:szCs w:val="24"/>
                <w:lang w:val="en-GB"/>
              </w:rPr>
            </w:pPr>
            <w:r w:rsidRPr="000A7C8B">
              <w:rPr>
                <w:sz w:val="24"/>
                <w:szCs w:val="24"/>
                <w:lang w:val="en-GB"/>
              </w:rPr>
              <w:t xml:space="preserve">Dry matter </w:t>
            </w:r>
          </w:p>
        </w:tc>
        <w:tc>
          <w:tcPr>
            <w:tcW w:w="1026" w:type="pct"/>
            <w:tcBorders>
              <w:top w:val="single" w:sz="4" w:space="0" w:color="auto"/>
            </w:tcBorders>
          </w:tcPr>
          <w:p w14:paraId="54221B61" w14:textId="77777777" w:rsidR="00F94269" w:rsidRPr="000A7C8B" w:rsidRDefault="00F94269" w:rsidP="005F13D0">
            <w:pPr>
              <w:pStyle w:val="Tablecontent"/>
              <w:spacing w:line="240" w:lineRule="auto"/>
              <w:rPr>
                <w:sz w:val="24"/>
                <w:szCs w:val="24"/>
                <w:lang w:val="en-GB"/>
              </w:rPr>
            </w:pPr>
            <w:r w:rsidRPr="000A7C8B">
              <w:rPr>
                <w:sz w:val="24"/>
                <w:szCs w:val="24"/>
                <w:lang w:val="en-GB"/>
              </w:rPr>
              <w:t>13.1 ± 0.11</w:t>
            </w:r>
            <w:r w:rsidRPr="000A7C8B">
              <w:rPr>
                <w:sz w:val="24"/>
                <w:szCs w:val="24"/>
                <w:vertAlign w:val="superscript"/>
                <w:lang w:val="en-GB"/>
              </w:rPr>
              <w:t>b</w:t>
            </w:r>
          </w:p>
        </w:tc>
        <w:tc>
          <w:tcPr>
            <w:tcW w:w="1021" w:type="pct"/>
            <w:tcBorders>
              <w:top w:val="single" w:sz="4" w:space="0" w:color="auto"/>
            </w:tcBorders>
          </w:tcPr>
          <w:p w14:paraId="3B813A65" w14:textId="77777777" w:rsidR="00F94269" w:rsidRPr="000A7C8B" w:rsidRDefault="00F94269" w:rsidP="005F13D0">
            <w:pPr>
              <w:pStyle w:val="Tablecontent"/>
              <w:spacing w:line="240" w:lineRule="auto"/>
              <w:rPr>
                <w:sz w:val="24"/>
                <w:szCs w:val="24"/>
                <w:lang w:val="en-GB"/>
              </w:rPr>
            </w:pPr>
            <w:r w:rsidRPr="000A7C8B">
              <w:rPr>
                <w:sz w:val="24"/>
                <w:szCs w:val="24"/>
                <w:lang w:val="en-GB"/>
              </w:rPr>
              <w:t>11.23 ± 0.17</w:t>
            </w:r>
            <w:r w:rsidRPr="000A7C8B">
              <w:rPr>
                <w:sz w:val="24"/>
                <w:szCs w:val="24"/>
                <w:vertAlign w:val="superscript"/>
                <w:lang w:val="en-GB"/>
              </w:rPr>
              <w:t>c</w:t>
            </w:r>
          </w:p>
        </w:tc>
        <w:tc>
          <w:tcPr>
            <w:tcW w:w="1101" w:type="pct"/>
            <w:tcBorders>
              <w:top w:val="single" w:sz="4" w:space="0" w:color="auto"/>
            </w:tcBorders>
          </w:tcPr>
          <w:p w14:paraId="67AA0C95" w14:textId="77777777" w:rsidR="00F94269" w:rsidRPr="000A7C8B" w:rsidRDefault="00F94269" w:rsidP="005F13D0">
            <w:pPr>
              <w:pStyle w:val="Tablecontent"/>
              <w:spacing w:line="240" w:lineRule="auto"/>
              <w:rPr>
                <w:sz w:val="24"/>
                <w:szCs w:val="24"/>
                <w:lang w:val="en-GB"/>
              </w:rPr>
            </w:pPr>
            <w:r w:rsidRPr="000A7C8B">
              <w:rPr>
                <w:sz w:val="24"/>
                <w:szCs w:val="24"/>
                <w:lang w:val="en-GB"/>
              </w:rPr>
              <w:t>17.6 ± 0.05</w:t>
            </w:r>
            <w:r w:rsidRPr="000A7C8B">
              <w:rPr>
                <w:sz w:val="24"/>
                <w:szCs w:val="24"/>
                <w:vertAlign w:val="superscript"/>
                <w:lang w:val="en-GB"/>
              </w:rPr>
              <w:t>a</w:t>
            </w:r>
          </w:p>
        </w:tc>
      </w:tr>
      <w:tr w:rsidR="00F94269" w:rsidRPr="000A7C8B" w14:paraId="223A6BF2" w14:textId="77777777" w:rsidTr="005F13D0">
        <w:trPr>
          <w:trHeight w:val="518"/>
        </w:trPr>
        <w:tc>
          <w:tcPr>
            <w:tcW w:w="1852" w:type="pct"/>
          </w:tcPr>
          <w:p w14:paraId="13659C80" w14:textId="77777777" w:rsidR="00F94269" w:rsidRPr="000A7C8B" w:rsidRDefault="00F94269" w:rsidP="005F13D0">
            <w:pPr>
              <w:pStyle w:val="Tablecontent"/>
              <w:spacing w:line="240" w:lineRule="auto"/>
              <w:rPr>
                <w:sz w:val="24"/>
                <w:szCs w:val="24"/>
                <w:lang w:val="en-GB"/>
              </w:rPr>
            </w:pPr>
            <w:r w:rsidRPr="000A7C8B">
              <w:rPr>
                <w:sz w:val="24"/>
                <w:szCs w:val="24"/>
                <w:lang w:val="en-GB"/>
              </w:rPr>
              <w:t xml:space="preserve">Protein </w:t>
            </w:r>
          </w:p>
        </w:tc>
        <w:tc>
          <w:tcPr>
            <w:tcW w:w="1026" w:type="pct"/>
          </w:tcPr>
          <w:p w14:paraId="3C319EFD" w14:textId="77777777" w:rsidR="00F94269" w:rsidRPr="000A7C8B" w:rsidRDefault="00F94269" w:rsidP="005F13D0">
            <w:pPr>
              <w:pStyle w:val="Tablecontent"/>
              <w:spacing w:line="240" w:lineRule="auto"/>
              <w:rPr>
                <w:sz w:val="24"/>
                <w:szCs w:val="24"/>
                <w:lang w:val="en-GB"/>
              </w:rPr>
            </w:pPr>
            <w:r w:rsidRPr="000A7C8B">
              <w:rPr>
                <w:sz w:val="24"/>
                <w:szCs w:val="24"/>
                <w:lang w:val="en-GB"/>
              </w:rPr>
              <w:t>3.61 ± 0.04</w:t>
            </w:r>
            <w:r w:rsidRPr="000A7C8B">
              <w:rPr>
                <w:sz w:val="24"/>
                <w:szCs w:val="24"/>
                <w:vertAlign w:val="superscript"/>
                <w:lang w:val="en-GB"/>
              </w:rPr>
              <w:t>b</w:t>
            </w:r>
          </w:p>
        </w:tc>
        <w:tc>
          <w:tcPr>
            <w:tcW w:w="1021" w:type="pct"/>
          </w:tcPr>
          <w:p w14:paraId="56AD1B23" w14:textId="77777777" w:rsidR="00F94269" w:rsidRPr="000A7C8B" w:rsidRDefault="00F94269" w:rsidP="005F13D0">
            <w:pPr>
              <w:pStyle w:val="Tablecontent"/>
              <w:spacing w:line="240" w:lineRule="auto"/>
              <w:rPr>
                <w:sz w:val="24"/>
                <w:szCs w:val="24"/>
                <w:lang w:val="en-GB"/>
              </w:rPr>
            </w:pPr>
            <w:r w:rsidRPr="000A7C8B">
              <w:rPr>
                <w:sz w:val="24"/>
                <w:szCs w:val="24"/>
                <w:lang w:val="en-GB"/>
              </w:rPr>
              <w:t>3.16 ± 0.06</w:t>
            </w:r>
            <w:r w:rsidRPr="000A7C8B">
              <w:rPr>
                <w:sz w:val="24"/>
                <w:szCs w:val="24"/>
                <w:vertAlign w:val="superscript"/>
                <w:lang w:val="en-GB"/>
              </w:rPr>
              <w:t>c</w:t>
            </w:r>
          </w:p>
        </w:tc>
        <w:tc>
          <w:tcPr>
            <w:tcW w:w="1101" w:type="pct"/>
          </w:tcPr>
          <w:p w14:paraId="49F6F5A4" w14:textId="77777777" w:rsidR="00F94269" w:rsidRPr="000A7C8B" w:rsidRDefault="00F94269" w:rsidP="005F13D0">
            <w:pPr>
              <w:pStyle w:val="Tablecontent"/>
              <w:spacing w:line="240" w:lineRule="auto"/>
              <w:rPr>
                <w:sz w:val="24"/>
                <w:szCs w:val="24"/>
                <w:lang w:val="en-GB"/>
              </w:rPr>
            </w:pPr>
            <w:r w:rsidRPr="000A7C8B">
              <w:rPr>
                <w:sz w:val="24"/>
                <w:szCs w:val="24"/>
                <w:lang w:val="en-GB"/>
              </w:rPr>
              <w:t>6.27 ± 0.04</w:t>
            </w:r>
            <w:r w:rsidRPr="000A7C8B">
              <w:rPr>
                <w:sz w:val="24"/>
                <w:szCs w:val="24"/>
                <w:vertAlign w:val="superscript"/>
                <w:lang w:val="en-GB"/>
              </w:rPr>
              <w:t>a</w:t>
            </w:r>
          </w:p>
        </w:tc>
      </w:tr>
      <w:tr w:rsidR="00F94269" w:rsidRPr="000A7C8B" w14:paraId="59162226" w14:textId="77777777" w:rsidTr="005F13D0">
        <w:trPr>
          <w:trHeight w:val="517"/>
        </w:trPr>
        <w:tc>
          <w:tcPr>
            <w:tcW w:w="1852" w:type="pct"/>
          </w:tcPr>
          <w:p w14:paraId="364BF4D0" w14:textId="77777777" w:rsidR="00F94269" w:rsidRPr="000A7C8B" w:rsidRDefault="00F94269" w:rsidP="005F13D0">
            <w:pPr>
              <w:pStyle w:val="Tablecontent"/>
              <w:spacing w:line="240" w:lineRule="auto"/>
              <w:rPr>
                <w:sz w:val="24"/>
                <w:szCs w:val="24"/>
                <w:lang w:val="en-GB"/>
              </w:rPr>
            </w:pPr>
            <w:r w:rsidRPr="000A7C8B">
              <w:rPr>
                <w:sz w:val="24"/>
                <w:szCs w:val="24"/>
                <w:lang w:val="en-GB"/>
              </w:rPr>
              <w:t xml:space="preserve">Fat </w:t>
            </w:r>
          </w:p>
        </w:tc>
        <w:tc>
          <w:tcPr>
            <w:tcW w:w="1026" w:type="pct"/>
          </w:tcPr>
          <w:p w14:paraId="1AFB977F" w14:textId="77777777" w:rsidR="00F94269" w:rsidRPr="000A7C8B" w:rsidRDefault="00F94269" w:rsidP="005F13D0">
            <w:pPr>
              <w:pStyle w:val="Tablecontent"/>
              <w:spacing w:line="240" w:lineRule="auto"/>
              <w:rPr>
                <w:sz w:val="24"/>
                <w:szCs w:val="24"/>
                <w:lang w:val="en-GB"/>
              </w:rPr>
            </w:pPr>
            <w:r w:rsidRPr="000A7C8B">
              <w:rPr>
                <w:sz w:val="24"/>
                <w:szCs w:val="24"/>
                <w:lang w:val="en-GB"/>
              </w:rPr>
              <w:t>4.06 ± 0.15</w:t>
            </w:r>
            <w:r w:rsidRPr="000A7C8B">
              <w:rPr>
                <w:sz w:val="24"/>
                <w:szCs w:val="24"/>
                <w:vertAlign w:val="superscript"/>
                <w:lang w:val="en-GB"/>
              </w:rPr>
              <w:t>b</w:t>
            </w:r>
          </w:p>
        </w:tc>
        <w:tc>
          <w:tcPr>
            <w:tcW w:w="1021" w:type="pct"/>
          </w:tcPr>
          <w:p w14:paraId="40EFA500" w14:textId="77777777" w:rsidR="00F94269" w:rsidRPr="000A7C8B" w:rsidRDefault="00F94269" w:rsidP="005F13D0">
            <w:pPr>
              <w:pStyle w:val="Tablecontent"/>
              <w:spacing w:line="240" w:lineRule="auto"/>
              <w:rPr>
                <w:sz w:val="24"/>
                <w:szCs w:val="24"/>
                <w:lang w:val="en-GB"/>
              </w:rPr>
            </w:pPr>
            <w:r w:rsidRPr="000A7C8B">
              <w:rPr>
                <w:sz w:val="24"/>
                <w:szCs w:val="24"/>
                <w:lang w:val="en-GB"/>
              </w:rPr>
              <w:t>3.22 ± 0.1</w:t>
            </w:r>
            <w:r w:rsidRPr="000A7C8B">
              <w:rPr>
                <w:sz w:val="24"/>
                <w:szCs w:val="24"/>
                <w:vertAlign w:val="superscript"/>
                <w:lang w:val="en-GB"/>
              </w:rPr>
              <w:t>c</w:t>
            </w:r>
          </w:p>
        </w:tc>
        <w:tc>
          <w:tcPr>
            <w:tcW w:w="1101" w:type="pct"/>
          </w:tcPr>
          <w:p w14:paraId="4499BDE0" w14:textId="77777777" w:rsidR="00F94269" w:rsidRPr="000A7C8B" w:rsidRDefault="00F94269" w:rsidP="005F13D0">
            <w:pPr>
              <w:pStyle w:val="Tablecontent"/>
              <w:spacing w:line="240" w:lineRule="auto"/>
              <w:rPr>
                <w:sz w:val="24"/>
                <w:szCs w:val="24"/>
                <w:lang w:val="en-GB"/>
              </w:rPr>
            </w:pPr>
            <w:r w:rsidRPr="000A7C8B">
              <w:rPr>
                <w:sz w:val="24"/>
                <w:szCs w:val="24"/>
                <w:lang w:val="en-GB"/>
              </w:rPr>
              <w:t>6.31 ± 0.05</w:t>
            </w:r>
            <w:r w:rsidRPr="000A7C8B">
              <w:rPr>
                <w:sz w:val="24"/>
                <w:szCs w:val="24"/>
                <w:vertAlign w:val="superscript"/>
                <w:lang w:val="en-GB"/>
              </w:rPr>
              <w:t>a</w:t>
            </w:r>
          </w:p>
        </w:tc>
      </w:tr>
      <w:tr w:rsidR="00F94269" w:rsidRPr="000A7C8B" w14:paraId="5C53AC98" w14:textId="77777777" w:rsidTr="005F13D0">
        <w:trPr>
          <w:trHeight w:val="517"/>
        </w:trPr>
        <w:tc>
          <w:tcPr>
            <w:tcW w:w="1852" w:type="pct"/>
          </w:tcPr>
          <w:p w14:paraId="4128FB99" w14:textId="77777777" w:rsidR="00F94269" w:rsidRPr="000A7C8B" w:rsidRDefault="00F94269" w:rsidP="005F13D0">
            <w:pPr>
              <w:pStyle w:val="Tablecontent"/>
              <w:spacing w:line="240" w:lineRule="auto"/>
              <w:rPr>
                <w:sz w:val="24"/>
                <w:szCs w:val="24"/>
                <w:lang w:val="en-GB"/>
              </w:rPr>
            </w:pPr>
            <w:r w:rsidRPr="000A7C8B">
              <w:rPr>
                <w:sz w:val="24"/>
                <w:szCs w:val="24"/>
                <w:lang w:val="en-GB"/>
              </w:rPr>
              <w:t xml:space="preserve">Lactose </w:t>
            </w:r>
          </w:p>
        </w:tc>
        <w:tc>
          <w:tcPr>
            <w:tcW w:w="1026" w:type="pct"/>
          </w:tcPr>
          <w:p w14:paraId="5C48F6B8" w14:textId="77777777" w:rsidR="00F94269" w:rsidRPr="000A7C8B" w:rsidRDefault="00F94269" w:rsidP="005F13D0">
            <w:pPr>
              <w:pStyle w:val="Tablecontent"/>
              <w:spacing w:line="240" w:lineRule="auto"/>
              <w:rPr>
                <w:sz w:val="24"/>
                <w:szCs w:val="24"/>
                <w:lang w:val="en-GB"/>
              </w:rPr>
            </w:pPr>
            <w:r w:rsidRPr="000A7C8B">
              <w:rPr>
                <w:sz w:val="24"/>
                <w:szCs w:val="24"/>
                <w:lang w:val="en-GB"/>
              </w:rPr>
              <w:t>4.56 ± 0.05</w:t>
            </w:r>
            <w:r w:rsidRPr="000A7C8B">
              <w:rPr>
                <w:sz w:val="24"/>
                <w:szCs w:val="24"/>
                <w:vertAlign w:val="superscript"/>
                <w:lang w:val="en-GB"/>
              </w:rPr>
              <w:t>a</w:t>
            </w:r>
          </w:p>
        </w:tc>
        <w:tc>
          <w:tcPr>
            <w:tcW w:w="1021" w:type="pct"/>
          </w:tcPr>
          <w:p w14:paraId="762DDE63" w14:textId="77777777" w:rsidR="00F94269" w:rsidRPr="000A7C8B" w:rsidRDefault="00F94269" w:rsidP="005F13D0">
            <w:pPr>
              <w:pStyle w:val="Tablecontent"/>
              <w:spacing w:line="240" w:lineRule="auto"/>
              <w:rPr>
                <w:sz w:val="24"/>
                <w:szCs w:val="24"/>
                <w:lang w:val="en-GB"/>
              </w:rPr>
            </w:pPr>
            <w:r w:rsidRPr="000A7C8B">
              <w:rPr>
                <w:sz w:val="24"/>
                <w:szCs w:val="24"/>
                <w:lang w:val="en-GB"/>
              </w:rPr>
              <w:t>3.91 ± 0.04</w:t>
            </w:r>
            <w:r w:rsidRPr="000A7C8B">
              <w:rPr>
                <w:sz w:val="24"/>
                <w:szCs w:val="24"/>
                <w:vertAlign w:val="superscript"/>
                <w:lang w:val="en-GB"/>
              </w:rPr>
              <w:t>c</w:t>
            </w:r>
          </w:p>
        </w:tc>
        <w:tc>
          <w:tcPr>
            <w:tcW w:w="1101" w:type="pct"/>
          </w:tcPr>
          <w:p w14:paraId="58B96B3B" w14:textId="77777777" w:rsidR="00F94269" w:rsidRPr="000A7C8B" w:rsidRDefault="00F94269" w:rsidP="005F13D0">
            <w:pPr>
              <w:pStyle w:val="Tablecontent"/>
              <w:spacing w:line="240" w:lineRule="auto"/>
              <w:rPr>
                <w:sz w:val="24"/>
                <w:szCs w:val="24"/>
                <w:lang w:val="en-GB"/>
              </w:rPr>
            </w:pPr>
            <w:r w:rsidRPr="000A7C8B">
              <w:rPr>
                <w:sz w:val="24"/>
                <w:szCs w:val="24"/>
                <w:lang w:val="en-GB"/>
              </w:rPr>
              <w:t>4.16 ± 0.03</w:t>
            </w:r>
            <w:r w:rsidRPr="000A7C8B">
              <w:rPr>
                <w:sz w:val="24"/>
                <w:szCs w:val="24"/>
                <w:vertAlign w:val="superscript"/>
                <w:lang w:val="en-GB"/>
              </w:rPr>
              <w:t>b</w:t>
            </w:r>
          </w:p>
        </w:tc>
      </w:tr>
      <w:tr w:rsidR="00F94269" w:rsidRPr="000A7C8B" w14:paraId="713EB884" w14:textId="77777777" w:rsidTr="005F13D0">
        <w:trPr>
          <w:trHeight w:val="518"/>
        </w:trPr>
        <w:tc>
          <w:tcPr>
            <w:tcW w:w="1852" w:type="pct"/>
          </w:tcPr>
          <w:p w14:paraId="11112E38" w14:textId="77777777" w:rsidR="00F94269" w:rsidRPr="000A7C8B" w:rsidRDefault="00F94269" w:rsidP="005F13D0">
            <w:pPr>
              <w:pStyle w:val="Tablecontent"/>
              <w:spacing w:line="240" w:lineRule="auto"/>
              <w:rPr>
                <w:sz w:val="24"/>
                <w:szCs w:val="24"/>
                <w:lang w:val="en-GB"/>
              </w:rPr>
            </w:pPr>
            <w:r w:rsidRPr="000A7C8B">
              <w:rPr>
                <w:sz w:val="24"/>
                <w:szCs w:val="24"/>
                <w:lang w:val="en-GB"/>
              </w:rPr>
              <w:t xml:space="preserve">Gross energy </w:t>
            </w:r>
          </w:p>
        </w:tc>
        <w:tc>
          <w:tcPr>
            <w:tcW w:w="1026" w:type="pct"/>
          </w:tcPr>
          <w:p w14:paraId="5B26DC81" w14:textId="77777777" w:rsidR="00F94269" w:rsidRPr="000A7C8B" w:rsidRDefault="00F94269" w:rsidP="005F13D0">
            <w:pPr>
              <w:pStyle w:val="Tablecontent"/>
              <w:spacing w:line="240" w:lineRule="auto"/>
              <w:rPr>
                <w:sz w:val="24"/>
                <w:szCs w:val="24"/>
                <w:lang w:val="en-GB"/>
              </w:rPr>
            </w:pPr>
            <w:r w:rsidRPr="000A7C8B">
              <w:rPr>
                <w:sz w:val="24"/>
                <w:szCs w:val="24"/>
                <w:lang w:val="en-GB"/>
              </w:rPr>
              <w:t>75.80 ± 1.05</w:t>
            </w:r>
            <w:r w:rsidRPr="000A7C8B">
              <w:rPr>
                <w:sz w:val="24"/>
                <w:szCs w:val="24"/>
                <w:vertAlign w:val="superscript"/>
                <w:lang w:val="en-GB"/>
              </w:rPr>
              <w:t>b</w:t>
            </w:r>
          </w:p>
        </w:tc>
        <w:tc>
          <w:tcPr>
            <w:tcW w:w="1021" w:type="pct"/>
          </w:tcPr>
          <w:p w14:paraId="7CE6299C" w14:textId="77777777" w:rsidR="00F94269" w:rsidRPr="000A7C8B" w:rsidRDefault="00F94269" w:rsidP="005F13D0">
            <w:pPr>
              <w:pStyle w:val="Tablecontent"/>
              <w:spacing w:line="240" w:lineRule="auto"/>
              <w:rPr>
                <w:sz w:val="24"/>
                <w:szCs w:val="24"/>
                <w:lang w:val="en-GB"/>
              </w:rPr>
            </w:pPr>
            <w:r w:rsidRPr="000A7C8B">
              <w:rPr>
                <w:sz w:val="24"/>
                <w:szCs w:val="24"/>
                <w:lang w:val="en-GB"/>
              </w:rPr>
              <w:t>61.11 ± 0.7</w:t>
            </w:r>
            <w:r w:rsidRPr="000A7C8B">
              <w:rPr>
                <w:sz w:val="24"/>
                <w:szCs w:val="24"/>
                <w:vertAlign w:val="superscript"/>
                <w:lang w:val="en-GB"/>
              </w:rPr>
              <w:t>c</w:t>
            </w:r>
          </w:p>
        </w:tc>
        <w:tc>
          <w:tcPr>
            <w:tcW w:w="1101" w:type="pct"/>
          </w:tcPr>
          <w:p w14:paraId="24D74354" w14:textId="77777777" w:rsidR="00F94269" w:rsidRPr="000A7C8B" w:rsidRDefault="00F94269" w:rsidP="005F13D0">
            <w:pPr>
              <w:pStyle w:val="Tablecontent"/>
              <w:spacing w:line="240" w:lineRule="auto"/>
              <w:rPr>
                <w:sz w:val="24"/>
                <w:szCs w:val="24"/>
                <w:lang w:val="en-GB"/>
              </w:rPr>
            </w:pPr>
            <w:r w:rsidRPr="000A7C8B">
              <w:rPr>
                <w:sz w:val="24"/>
                <w:szCs w:val="24"/>
                <w:lang w:val="en-GB"/>
              </w:rPr>
              <w:t>107.50 ± 0.15</w:t>
            </w:r>
            <w:r w:rsidRPr="000A7C8B">
              <w:rPr>
                <w:sz w:val="24"/>
                <w:szCs w:val="24"/>
                <w:vertAlign w:val="superscript"/>
                <w:lang w:val="en-GB"/>
              </w:rPr>
              <w:t>a</w:t>
            </w:r>
          </w:p>
        </w:tc>
      </w:tr>
    </w:tbl>
    <w:p w14:paraId="41DC682D" w14:textId="5FE2AEDF" w:rsidR="00101A62" w:rsidRDefault="00F94269" w:rsidP="00E330E6">
      <w:pPr>
        <w:pStyle w:val="Footnotes"/>
      </w:pPr>
      <w:r w:rsidRPr="00A07701">
        <w:rPr>
          <w:vertAlign w:val="superscript"/>
        </w:rPr>
        <w:t>a-</w:t>
      </w:r>
      <w:proofErr w:type="spellStart"/>
      <w:r w:rsidRPr="00A07701">
        <w:rPr>
          <w:vertAlign w:val="superscript"/>
        </w:rPr>
        <w:t>c</w:t>
      </w:r>
      <w:r w:rsidRPr="00A07701">
        <w:t>Values</w:t>
      </w:r>
      <w:proofErr w:type="spellEnd"/>
      <w:r w:rsidRPr="00A07701">
        <w:t xml:space="preserve"> with different superscript letters in the same row differ significantly (P &lt; 0.05). Data were analysed via one-way analysis of variance with post-hoc Fisher’s Least Significant Difference. *Values are represented as mean ± standard error of the mean of three different batches of milk.</w:t>
      </w:r>
    </w:p>
    <w:p w14:paraId="518E6C6F" w14:textId="74DD3D3B" w:rsidR="008945F5" w:rsidRPr="00101A62" w:rsidRDefault="00101A62" w:rsidP="00101A62">
      <w:pPr>
        <w:spacing w:before="0" w:after="200" w:line="276" w:lineRule="auto"/>
        <w:rPr>
          <w:rFonts w:cs="Times New Roman"/>
          <w:i/>
          <w:iCs/>
          <w:sz w:val="22"/>
        </w:rPr>
      </w:pPr>
      <w:r>
        <w:br w:type="page"/>
      </w:r>
    </w:p>
    <w:p w14:paraId="0A14CA9E" w14:textId="6D479D46" w:rsidR="000471AF" w:rsidRDefault="005B07FF" w:rsidP="00A16210">
      <w:pPr>
        <w:pStyle w:val="Heading2"/>
      </w:pPr>
      <w:r w:rsidRPr="0001436A">
        <w:lastRenderedPageBreak/>
        <w:t>Supplementary</w:t>
      </w:r>
      <w:r w:rsidRPr="001549D3">
        <w:t xml:space="preserve"> </w:t>
      </w:r>
      <w:r>
        <w:t>Figure</w:t>
      </w:r>
    </w:p>
    <w:p w14:paraId="6F696DC1" w14:textId="1FD4C291" w:rsidR="008945F5" w:rsidRDefault="003632A7" w:rsidP="008945F5">
      <w:r>
        <w:rPr>
          <w:noProof/>
        </w:rPr>
        <w:drawing>
          <wp:inline distT="0" distB="0" distL="0" distR="0" wp14:anchorId="40390599" wp14:editId="4E386862">
            <wp:extent cx="6762115" cy="3857625"/>
            <wp:effectExtent l="0" t="0" r="635" b="9525"/>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8" cstate="print">
                      <a:extLst>
                        <a:ext uri="{28A0092B-C50C-407E-A947-70E740481C1C}">
                          <a14:useLocalDpi xmlns:a14="http://schemas.microsoft.com/office/drawing/2010/main" val="0"/>
                        </a:ext>
                      </a:extLst>
                    </a:blip>
                    <a:srcRect b="18504"/>
                    <a:stretch/>
                  </pic:blipFill>
                  <pic:spPr bwMode="auto">
                    <a:xfrm>
                      <a:off x="0" y="0"/>
                      <a:ext cx="6797037" cy="3877547"/>
                    </a:xfrm>
                    <a:prstGeom prst="rect">
                      <a:avLst/>
                    </a:prstGeom>
                    <a:ln>
                      <a:noFill/>
                    </a:ln>
                    <a:extLst>
                      <a:ext uri="{53640926-AAD7-44D8-BBD7-CCE9431645EC}">
                        <a14:shadowObscured xmlns:a14="http://schemas.microsoft.com/office/drawing/2010/main"/>
                      </a:ext>
                    </a:extLst>
                  </pic:spPr>
                </pic:pic>
              </a:graphicData>
            </a:graphic>
          </wp:inline>
        </w:drawing>
      </w:r>
    </w:p>
    <w:p w14:paraId="51A46850" w14:textId="76D41DC5" w:rsidR="008945F5" w:rsidRDefault="00A25709" w:rsidP="008945F5">
      <w:r w:rsidRPr="00A34FE8">
        <w:rPr>
          <w:b/>
          <w:bCs/>
        </w:rPr>
        <w:t xml:space="preserve">Figure </w:t>
      </w:r>
      <w:r>
        <w:rPr>
          <w:b/>
          <w:bCs/>
        </w:rPr>
        <w:t>S</w:t>
      </w:r>
      <w:r w:rsidRPr="00A34FE8">
        <w:rPr>
          <w:b/>
          <w:bCs/>
        </w:rPr>
        <w:t>1</w:t>
      </w:r>
      <w:r>
        <w:rPr>
          <w:b/>
          <w:bCs/>
        </w:rPr>
        <w:t xml:space="preserve"> </w:t>
      </w:r>
      <w:r w:rsidRPr="00317EE2">
        <w:t xml:space="preserve">Overview of </w:t>
      </w:r>
      <w:r w:rsidR="00317EE2" w:rsidRPr="00317EE2">
        <w:t xml:space="preserve">the </w:t>
      </w:r>
      <w:r w:rsidR="00317EE2" w:rsidRPr="00317EE2">
        <w:rPr>
          <w:i/>
          <w:iCs/>
        </w:rPr>
        <w:t xml:space="preserve">in vivo </w:t>
      </w:r>
      <w:r w:rsidR="00317EE2" w:rsidRPr="00317EE2">
        <w:t>pig study</w:t>
      </w:r>
      <w:r w:rsidR="00676E79">
        <w:t xml:space="preserve">. PND, postnatal day. Figure created with </w:t>
      </w:r>
      <w:r w:rsidR="00676E79" w:rsidRPr="00BE3433">
        <w:rPr>
          <w:u w:val="single"/>
        </w:rPr>
        <w:t>biorender.com</w:t>
      </w:r>
      <w:r w:rsidR="00676E79">
        <w:t xml:space="preserve"> </w:t>
      </w:r>
    </w:p>
    <w:p w14:paraId="38E1D28B" w14:textId="100FC627" w:rsidR="00101A62" w:rsidRDefault="00101A62" w:rsidP="008945F5"/>
    <w:p w14:paraId="48317200" w14:textId="77777777" w:rsidR="00101A62" w:rsidRDefault="00101A62">
      <w:pPr>
        <w:spacing w:before="0" w:after="200" w:line="276" w:lineRule="auto"/>
      </w:pPr>
      <w:r>
        <w:br w:type="page"/>
      </w:r>
    </w:p>
    <w:p w14:paraId="4660F124" w14:textId="42E6164D" w:rsidR="008945F5" w:rsidRDefault="00101A62" w:rsidP="008945F5">
      <w:r>
        <w:rPr>
          <w:b/>
          <w:noProof/>
        </w:rPr>
        <w:drawing>
          <wp:inline distT="0" distB="0" distL="0" distR="0" wp14:anchorId="0FF2699C" wp14:editId="71C1595C">
            <wp:extent cx="6208395" cy="3822829"/>
            <wp:effectExtent l="0" t="0" r="1905" b="635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08395" cy="3822829"/>
                    </a:xfrm>
                    <a:prstGeom prst="rect">
                      <a:avLst/>
                    </a:prstGeom>
                  </pic:spPr>
                </pic:pic>
              </a:graphicData>
            </a:graphic>
          </wp:inline>
        </w:drawing>
      </w:r>
    </w:p>
    <w:p w14:paraId="4CC0A411" w14:textId="7B1F2B1C" w:rsidR="00101A62" w:rsidRDefault="00101A62" w:rsidP="00101A62">
      <w:r w:rsidRPr="00A34FE8">
        <w:rPr>
          <w:b/>
          <w:bCs/>
        </w:rPr>
        <w:t xml:space="preserve">Figure </w:t>
      </w:r>
      <w:r>
        <w:rPr>
          <w:b/>
          <w:bCs/>
        </w:rPr>
        <w:t>S</w:t>
      </w:r>
      <w:r>
        <w:rPr>
          <w:b/>
          <w:bCs/>
        </w:rPr>
        <w:t>2</w:t>
      </w:r>
      <w:r>
        <w:t xml:space="preserve"> </w:t>
      </w:r>
      <w:r w:rsidRPr="00606679">
        <w:t>Hotelling T2 plot showing potential outlier among the brain tissue samples of the pigs exclusively fed with bovine, caprine or ovine milk for 15 days. The red and orange dotted line represent the 99% and 95% confidence intervals. A T2 value larger than the 99% confidence indicates that the sample is far away from other samples, and the probability of it belonging to the same class as other samples is lower than 1 %, hence an outlier.</w:t>
      </w:r>
    </w:p>
    <w:p w14:paraId="04CCB511" w14:textId="15630448" w:rsidR="00101A62" w:rsidRDefault="00101A62">
      <w:pPr>
        <w:spacing w:before="0" w:after="200" w:line="276" w:lineRule="auto"/>
      </w:pPr>
      <w:r>
        <w:br w:type="page"/>
      </w:r>
    </w:p>
    <w:p w14:paraId="12A80B69" w14:textId="55585B3E" w:rsidR="008945F5" w:rsidRPr="008945F5" w:rsidRDefault="00101A62" w:rsidP="008945F5">
      <w:r>
        <w:rPr>
          <w:noProof/>
        </w:rPr>
        <w:drawing>
          <wp:inline distT="0" distB="0" distL="0" distR="0" wp14:anchorId="39B135C3" wp14:editId="5E684451">
            <wp:extent cx="6028690" cy="8613140"/>
            <wp:effectExtent l="0" t="0" r="0" b="0"/>
            <wp:docPr id="9" name="Picture 9"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028690" cy="8613140"/>
                    </a:xfrm>
                    <a:prstGeom prst="rect">
                      <a:avLst/>
                    </a:prstGeom>
                  </pic:spPr>
                </pic:pic>
              </a:graphicData>
            </a:graphic>
          </wp:inline>
        </w:drawing>
      </w:r>
    </w:p>
    <w:p w14:paraId="2C6A4D61" w14:textId="77997632" w:rsidR="00BC1A3B" w:rsidRDefault="00BC1A3B" w:rsidP="00654E8F">
      <w:pPr>
        <w:spacing w:before="240"/>
      </w:pPr>
    </w:p>
    <w:p w14:paraId="7B65BC41" w14:textId="5FC105CA" w:rsidR="00DE23E8" w:rsidRPr="001549D3" w:rsidRDefault="00A34FE8" w:rsidP="00927381">
      <w:r w:rsidRPr="00A34FE8">
        <w:rPr>
          <w:b/>
          <w:bCs/>
        </w:rPr>
        <w:lastRenderedPageBreak/>
        <w:t xml:space="preserve">Figure </w:t>
      </w:r>
      <w:r w:rsidR="00F811AE">
        <w:rPr>
          <w:b/>
          <w:bCs/>
        </w:rPr>
        <w:t>S</w:t>
      </w:r>
      <w:r w:rsidR="00101A62">
        <w:rPr>
          <w:b/>
          <w:bCs/>
        </w:rPr>
        <w:t>3</w:t>
      </w:r>
      <w:r>
        <w:t xml:space="preserve"> </w:t>
      </w:r>
      <w:r w:rsidRPr="00A34FE8">
        <w:t>Heatmap showing hierarchical clustering of significantly expressed genes between the hippocampus, prefrontal cortex, and striatum tissue samples of piglets fed milk from ovine, bovine, or caprine species. Heatmap colour indicates normalised (Z score) mRNA counts scaled across rows. The intensity of red colour denotes the number of standard deviations above the mean (increased gene expression levels) and intensity of green colour denotes the number of standard deviations below the mean (decreased gene expression levels). HIP, hippocampus; PFC, prefrontal cortex; STR, striatum.</w:t>
      </w:r>
    </w:p>
    <w:sectPr w:rsidR="00DE23E8" w:rsidRPr="001549D3" w:rsidSect="0093429D">
      <w:headerReference w:type="even" r:id="rId11"/>
      <w:footerReference w:type="even" r:id="rId12"/>
      <w:footerReference w:type="default" r:id="rId13"/>
      <w:headerReference w:type="first" r:id="rId14"/>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07A1E" w14:textId="77777777" w:rsidR="0035604F" w:rsidRDefault="0035604F" w:rsidP="00117666">
      <w:pPr>
        <w:spacing w:after="0"/>
      </w:pPr>
      <w:r>
        <w:separator/>
      </w:r>
    </w:p>
  </w:endnote>
  <w:endnote w:type="continuationSeparator" w:id="0">
    <w:p w14:paraId="553BD9EA" w14:textId="77777777" w:rsidR="0035604F" w:rsidRDefault="0035604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7C8B" w14:textId="77777777" w:rsidR="0035604F" w:rsidRDefault="0035604F" w:rsidP="00117666">
      <w:pPr>
        <w:spacing w:after="0"/>
      </w:pPr>
      <w:r>
        <w:separator/>
      </w:r>
    </w:p>
  </w:footnote>
  <w:footnote w:type="continuationSeparator" w:id="0">
    <w:p w14:paraId="4A8FFD3B" w14:textId="77777777" w:rsidR="0035604F" w:rsidRDefault="0035604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eastAsia="en-GB"/>
      </w:rPr>
      <w:drawing>
        <wp:inline distT="0" distB="0" distL="0" distR="0" wp14:anchorId="07D26A56" wp14:editId="2E460F0E">
          <wp:extent cx="1382534" cy="497091"/>
          <wp:effectExtent l="0" t="0" r="0" b="0"/>
          <wp:docPr id="5" name="Picture 5"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A174E77"/>
    <w:multiLevelType w:val="hybridMultilevel"/>
    <w:tmpl w:val="B8E48EE2"/>
    <w:lvl w:ilvl="0" w:tplc="2B9E9FBE">
      <w:start w:val="2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A4E8F"/>
    <w:multiLevelType w:val="hybridMultilevel"/>
    <w:tmpl w:val="7C8CA97A"/>
    <w:lvl w:ilvl="0" w:tplc="601A3BF4">
      <w:start w:val="23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62342201">
    <w:abstractNumId w:val="0"/>
  </w:num>
  <w:num w:numId="2" w16cid:durableId="146167205">
    <w:abstractNumId w:val="6"/>
  </w:num>
  <w:num w:numId="3" w16cid:durableId="2022970754">
    <w:abstractNumId w:val="1"/>
  </w:num>
  <w:num w:numId="4" w16cid:durableId="42681640">
    <w:abstractNumId w:val="7"/>
  </w:num>
  <w:num w:numId="5" w16cid:durableId="1356268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2915657">
    <w:abstractNumId w:val="3"/>
  </w:num>
  <w:num w:numId="7" w16cid:durableId="1397166255">
    <w:abstractNumId w:val="8"/>
  </w:num>
  <w:num w:numId="8" w16cid:durableId="212926838">
    <w:abstractNumId w:val="8"/>
  </w:num>
  <w:num w:numId="9" w16cid:durableId="406997580">
    <w:abstractNumId w:val="8"/>
  </w:num>
  <w:num w:numId="10" w16cid:durableId="329260919">
    <w:abstractNumId w:val="8"/>
  </w:num>
  <w:num w:numId="11" w16cid:durableId="1659263221">
    <w:abstractNumId w:val="8"/>
  </w:num>
  <w:num w:numId="12" w16cid:durableId="1172258271">
    <w:abstractNumId w:val="8"/>
  </w:num>
  <w:num w:numId="13" w16cid:durableId="1337149230">
    <w:abstractNumId w:val="3"/>
  </w:num>
  <w:num w:numId="14" w16cid:durableId="1139834745">
    <w:abstractNumId w:val="2"/>
  </w:num>
  <w:num w:numId="15" w16cid:durableId="1933392070">
    <w:abstractNumId w:val="2"/>
  </w:num>
  <w:num w:numId="16" w16cid:durableId="1514108355">
    <w:abstractNumId w:val="2"/>
  </w:num>
  <w:num w:numId="17" w16cid:durableId="1127241558">
    <w:abstractNumId w:val="2"/>
  </w:num>
  <w:num w:numId="18" w16cid:durableId="1920165717">
    <w:abstractNumId w:val="2"/>
  </w:num>
  <w:num w:numId="19" w16cid:durableId="1080835956">
    <w:abstractNumId w:val="2"/>
  </w:num>
  <w:num w:numId="20" w16cid:durableId="1231423092">
    <w:abstractNumId w:val="5"/>
  </w:num>
  <w:num w:numId="21" w16cid:durableId="1747073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429E8"/>
    <w:rsid w:val="000471AF"/>
    <w:rsid w:val="00052A14"/>
    <w:rsid w:val="000556D1"/>
    <w:rsid w:val="00077D53"/>
    <w:rsid w:val="00096374"/>
    <w:rsid w:val="000A7C8B"/>
    <w:rsid w:val="000C5388"/>
    <w:rsid w:val="000F2740"/>
    <w:rsid w:val="00101A62"/>
    <w:rsid w:val="00105FD9"/>
    <w:rsid w:val="00117666"/>
    <w:rsid w:val="001403AF"/>
    <w:rsid w:val="00143335"/>
    <w:rsid w:val="001549D3"/>
    <w:rsid w:val="00160065"/>
    <w:rsid w:val="00177D84"/>
    <w:rsid w:val="00184828"/>
    <w:rsid w:val="00190420"/>
    <w:rsid w:val="001B766B"/>
    <w:rsid w:val="00267D18"/>
    <w:rsid w:val="00274347"/>
    <w:rsid w:val="002868E2"/>
    <w:rsid w:val="002869C3"/>
    <w:rsid w:val="002936E4"/>
    <w:rsid w:val="002B4A57"/>
    <w:rsid w:val="002C74CA"/>
    <w:rsid w:val="002E562B"/>
    <w:rsid w:val="003123F4"/>
    <w:rsid w:val="00313685"/>
    <w:rsid w:val="0031377A"/>
    <w:rsid w:val="003141D1"/>
    <w:rsid w:val="00317EE2"/>
    <w:rsid w:val="003328ED"/>
    <w:rsid w:val="003544FB"/>
    <w:rsid w:val="0035604F"/>
    <w:rsid w:val="003624E7"/>
    <w:rsid w:val="003632A7"/>
    <w:rsid w:val="003A745F"/>
    <w:rsid w:val="003D2F2D"/>
    <w:rsid w:val="003D525C"/>
    <w:rsid w:val="00401590"/>
    <w:rsid w:val="004118A0"/>
    <w:rsid w:val="00447801"/>
    <w:rsid w:val="00452E9C"/>
    <w:rsid w:val="004602B0"/>
    <w:rsid w:val="00467CAD"/>
    <w:rsid w:val="004735C8"/>
    <w:rsid w:val="004947A6"/>
    <w:rsid w:val="004961FF"/>
    <w:rsid w:val="004C2738"/>
    <w:rsid w:val="00502B12"/>
    <w:rsid w:val="00517A89"/>
    <w:rsid w:val="005250F2"/>
    <w:rsid w:val="00556000"/>
    <w:rsid w:val="00583EDD"/>
    <w:rsid w:val="00593EEA"/>
    <w:rsid w:val="005A5EEE"/>
    <w:rsid w:val="005B07FF"/>
    <w:rsid w:val="005B5814"/>
    <w:rsid w:val="005C1FAE"/>
    <w:rsid w:val="005C7EEF"/>
    <w:rsid w:val="005F33AE"/>
    <w:rsid w:val="00602229"/>
    <w:rsid w:val="00606679"/>
    <w:rsid w:val="00616C22"/>
    <w:rsid w:val="006243A2"/>
    <w:rsid w:val="006375C7"/>
    <w:rsid w:val="00654E8F"/>
    <w:rsid w:val="00654F0A"/>
    <w:rsid w:val="00660D05"/>
    <w:rsid w:val="00676E79"/>
    <w:rsid w:val="006820B1"/>
    <w:rsid w:val="00683E89"/>
    <w:rsid w:val="006A1098"/>
    <w:rsid w:val="006B7D14"/>
    <w:rsid w:val="006D7B5A"/>
    <w:rsid w:val="006F580D"/>
    <w:rsid w:val="00701727"/>
    <w:rsid w:val="0070566C"/>
    <w:rsid w:val="00714C50"/>
    <w:rsid w:val="00725A7D"/>
    <w:rsid w:val="00730044"/>
    <w:rsid w:val="007468B2"/>
    <w:rsid w:val="007501BE"/>
    <w:rsid w:val="0077005A"/>
    <w:rsid w:val="0077755C"/>
    <w:rsid w:val="00783AE9"/>
    <w:rsid w:val="00790BB3"/>
    <w:rsid w:val="007B245E"/>
    <w:rsid w:val="007C206C"/>
    <w:rsid w:val="008146EF"/>
    <w:rsid w:val="00817DD6"/>
    <w:rsid w:val="0083759F"/>
    <w:rsid w:val="00846A27"/>
    <w:rsid w:val="008738D2"/>
    <w:rsid w:val="00877365"/>
    <w:rsid w:val="00882C7A"/>
    <w:rsid w:val="00885156"/>
    <w:rsid w:val="008869F6"/>
    <w:rsid w:val="008945F5"/>
    <w:rsid w:val="008C79CA"/>
    <w:rsid w:val="009151AA"/>
    <w:rsid w:val="00927381"/>
    <w:rsid w:val="0093429D"/>
    <w:rsid w:val="00934AD9"/>
    <w:rsid w:val="00943573"/>
    <w:rsid w:val="0094698E"/>
    <w:rsid w:val="00955BBC"/>
    <w:rsid w:val="00964134"/>
    <w:rsid w:val="00970F7D"/>
    <w:rsid w:val="00994A3D"/>
    <w:rsid w:val="009C2B12"/>
    <w:rsid w:val="00A16210"/>
    <w:rsid w:val="00A174D9"/>
    <w:rsid w:val="00A25709"/>
    <w:rsid w:val="00A34FE8"/>
    <w:rsid w:val="00AA4D24"/>
    <w:rsid w:val="00AB6715"/>
    <w:rsid w:val="00AB7345"/>
    <w:rsid w:val="00B1671E"/>
    <w:rsid w:val="00B22117"/>
    <w:rsid w:val="00B25D46"/>
    <w:rsid w:val="00B25EB8"/>
    <w:rsid w:val="00B31BEB"/>
    <w:rsid w:val="00B37F4D"/>
    <w:rsid w:val="00B528D4"/>
    <w:rsid w:val="00B67693"/>
    <w:rsid w:val="00BA1718"/>
    <w:rsid w:val="00BB6A02"/>
    <w:rsid w:val="00BC1A3B"/>
    <w:rsid w:val="00BC7C86"/>
    <w:rsid w:val="00BE3433"/>
    <w:rsid w:val="00BF552B"/>
    <w:rsid w:val="00C52A7B"/>
    <w:rsid w:val="00C56BAF"/>
    <w:rsid w:val="00C679AA"/>
    <w:rsid w:val="00C75972"/>
    <w:rsid w:val="00CD066B"/>
    <w:rsid w:val="00CD226A"/>
    <w:rsid w:val="00CE4FEE"/>
    <w:rsid w:val="00D060CF"/>
    <w:rsid w:val="00D115F2"/>
    <w:rsid w:val="00D23913"/>
    <w:rsid w:val="00D7493E"/>
    <w:rsid w:val="00D94A6F"/>
    <w:rsid w:val="00D96847"/>
    <w:rsid w:val="00DB59C3"/>
    <w:rsid w:val="00DC259A"/>
    <w:rsid w:val="00DE23E8"/>
    <w:rsid w:val="00DE66F9"/>
    <w:rsid w:val="00DF4F08"/>
    <w:rsid w:val="00E330E6"/>
    <w:rsid w:val="00E40111"/>
    <w:rsid w:val="00E50B79"/>
    <w:rsid w:val="00E52377"/>
    <w:rsid w:val="00E537AD"/>
    <w:rsid w:val="00E53F04"/>
    <w:rsid w:val="00E6225D"/>
    <w:rsid w:val="00E64E17"/>
    <w:rsid w:val="00E866C9"/>
    <w:rsid w:val="00E93269"/>
    <w:rsid w:val="00EA1A72"/>
    <w:rsid w:val="00EA3D3C"/>
    <w:rsid w:val="00EC090A"/>
    <w:rsid w:val="00EC4975"/>
    <w:rsid w:val="00ED20B5"/>
    <w:rsid w:val="00EE14AD"/>
    <w:rsid w:val="00EE70F0"/>
    <w:rsid w:val="00F46900"/>
    <w:rsid w:val="00F52CB9"/>
    <w:rsid w:val="00F61D89"/>
    <w:rsid w:val="00F65090"/>
    <w:rsid w:val="00F75311"/>
    <w:rsid w:val="00F811AE"/>
    <w:rsid w:val="00F94269"/>
    <w:rsid w:val="00FD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lang w:val="en-GB"/>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table" w:customStyle="1" w:styleId="TableGrid1">
    <w:name w:val="Table Grid1"/>
    <w:basedOn w:val="TableNormal"/>
    <w:next w:val="TableGrid"/>
    <w:uiPriority w:val="39"/>
    <w:rsid w:val="005C1F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
    <w:name w:val="Table content"/>
    <w:basedOn w:val="Normal"/>
    <w:link w:val="TablecontentChar"/>
    <w:qFormat/>
    <w:rsid w:val="005C1FAE"/>
    <w:pPr>
      <w:spacing w:before="0" w:after="200" w:line="360" w:lineRule="auto"/>
      <w:jc w:val="both"/>
    </w:pPr>
    <w:rPr>
      <w:rFonts w:cs="Times New Roman"/>
      <w:bCs/>
      <w:sz w:val="22"/>
      <w:lang w:val="en-NZ"/>
    </w:rPr>
  </w:style>
  <w:style w:type="character" w:customStyle="1" w:styleId="TablecontentChar">
    <w:name w:val="Table content Char"/>
    <w:basedOn w:val="DefaultParagraphFont"/>
    <w:link w:val="Tablecontent"/>
    <w:rsid w:val="005C1FAE"/>
    <w:rPr>
      <w:rFonts w:ascii="Times New Roman" w:hAnsi="Times New Roman" w:cs="Times New Roman"/>
      <w:bCs/>
      <w:lang w:val="en-NZ"/>
    </w:rPr>
  </w:style>
  <w:style w:type="paragraph" w:customStyle="1" w:styleId="Footnotes">
    <w:name w:val="Footnotes"/>
    <w:basedOn w:val="Normal"/>
    <w:link w:val="FootnotesChar"/>
    <w:qFormat/>
    <w:rsid w:val="005C1FAE"/>
    <w:pPr>
      <w:spacing w:before="0" w:after="200"/>
      <w:jc w:val="both"/>
    </w:pPr>
    <w:rPr>
      <w:rFonts w:cs="Times New Roman"/>
      <w:i/>
      <w:iCs/>
      <w:sz w:val="22"/>
    </w:rPr>
  </w:style>
  <w:style w:type="character" w:customStyle="1" w:styleId="FootnotesChar">
    <w:name w:val="Footnotes Char"/>
    <w:basedOn w:val="DefaultParagraphFont"/>
    <w:link w:val="Footnotes"/>
    <w:rsid w:val="005C1FAE"/>
    <w:rPr>
      <w:rFonts w:ascii="Times New Roman" w:hAnsi="Times New Roman" w:cs="Times New Roman"/>
      <w:i/>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755">
      <w:bodyDiv w:val="1"/>
      <w:marLeft w:val="0"/>
      <w:marRight w:val="0"/>
      <w:marTop w:val="0"/>
      <w:marBottom w:val="0"/>
      <w:divBdr>
        <w:top w:val="none" w:sz="0" w:space="0" w:color="auto"/>
        <w:left w:val="none" w:sz="0" w:space="0" w:color="auto"/>
        <w:bottom w:val="none" w:sz="0" w:space="0" w:color="auto"/>
        <w:right w:val="none" w:sz="0" w:space="0" w:color="auto"/>
      </w:divBdr>
    </w:div>
    <w:div w:id="161554896">
      <w:bodyDiv w:val="1"/>
      <w:marLeft w:val="0"/>
      <w:marRight w:val="0"/>
      <w:marTop w:val="0"/>
      <w:marBottom w:val="0"/>
      <w:divBdr>
        <w:top w:val="none" w:sz="0" w:space="0" w:color="auto"/>
        <w:left w:val="none" w:sz="0" w:space="0" w:color="auto"/>
        <w:bottom w:val="none" w:sz="0" w:space="0" w:color="auto"/>
        <w:right w:val="none" w:sz="0" w:space="0" w:color="auto"/>
      </w:divBdr>
    </w:div>
    <w:div w:id="263615667">
      <w:bodyDiv w:val="1"/>
      <w:marLeft w:val="0"/>
      <w:marRight w:val="0"/>
      <w:marTop w:val="0"/>
      <w:marBottom w:val="0"/>
      <w:divBdr>
        <w:top w:val="none" w:sz="0" w:space="0" w:color="auto"/>
        <w:left w:val="none" w:sz="0" w:space="0" w:color="auto"/>
        <w:bottom w:val="none" w:sz="0" w:space="0" w:color="auto"/>
        <w:right w:val="none" w:sz="0" w:space="0" w:color="auto"/>
      </w:divBdr>
    </w:div>
    <w:div w:id="311257576">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71736871">
      <w:bodyDiv w:val="1"/>
      <w:marLeft w:val="0"/>
      <w:marRight w:val="0"/>
      <w:marTop w:val="0"/>
      <w:marBottom w:val="0"/>
      <w:divBdr>
        <w:top w:val="none" w:sz="0" w:space="0" w:color="auto"/>
        <w:left w:val="none" w:sz="0" w:space="0" w:color="auto"/>
        <w:bottom w:val="none" w:sz="0" w:space="0" w:color="auto"/>
        <w:right w:val="none" w:sz="0" w:space="0" w:color="auto"/>
      </w:divBdr>
    </w:div>
    <w:div w:id="707342979">
      <w:bodyDiv w:val="1"/>
      <w:marLeft w:val="0"/>
      <w:marRight w:val="0"/>
      <w:marTop w:val="0"/>
      <w:marBottom w:val="0"/>
      <w:divBdr>
        <w:top w:val="none" w:sz="0" w:space="0" w:color="auto"/>
        <w:left w:val="none" w:sz="0" w:space="0" w:color="auto"/>
        <w:bottom w:val="none" w:sz="0" w:space="0" w:color="auto"/>
        <w:right w:val="none" w:sz="0" w:space="0" w:color="auto"/>
      </w:divBdr>
    </w:div>
    <w:div w:id="969018274">
      <w:bodyDiv w:val="1"/>
      <w:marLeft w:val="0"/>
      <w:marRight w:val="0"/>
      <w:marTop w:val="0"/>
      <w:marBottom w:val="0"/>
      <w:divBdr>
        <w:top w:val="none" w:sz="0" w:space="0" w:color="auto"/>
        <w:left w:val="none" w:sz="0" w:space="0" w:color="auto"/>
        <w:bottom w:val="none" w:sz="0" w:space="0" w:color="auto"/>
        <w:right w:val="none" w:sz="0" w:space="0" w:color="auto"/>
      </w:divBdr>
    </w:div>
    <w:div w:id="1080562554">
      <w:bodyDiv w:val="1"/>
      <w:marLeft w:val="0"/>
      <w:marRight w:val="0"/>
      <w:marTop w:val="0"/>
      <w:marBottom w:val="0"/>
      <w:divBdr>
        <w:top w:val="none" w:sz="0" w:space="0" w:color="auto"/>
        <w:left w:val="none" w:sz="0" w:space="0" w:color="auto"/>
        <w:bottom w:val="none" w:sz="0" w:space="0" w:color="auto"/>
        <w:right w:val="none" w:sz="0" w:space="0" w:color="auto"/>
      </w:divBdr>
    </w:div>
    <w:div w:id="1137719037">
      <w:bodyDiv w:val="1"/>
      <w:marLeft w:val="0"/>
      <w:marRight w:val="0"/>
      <w:marTop w:val="0"/>
      <w:marBottom w:val="0"/>
      <w:divBdr>
        <w:top w:val="none" w:sz="0" w:space="0" w:color="auto"/>
        <w:left w:val="none" w:sz="0" w:space="0" w:color="auto"/>
        <w:bottom w:val="none" w:sz="0" w:space="0" w:color="auto"/>
        <w:right w:val="none" w:sz="0" w:space="0" w:color="auto"/>
      </w:divBdr>
    </w:div>
    <w:div w:id="1308127123">
      <w:bodyDiv w:val="1"/>
      <w:marLeft w:val="0"/>
      <w:marRight w:val="0"/>
      <w:marTop w:val="0"/>
      <w:marBottom w:val="0"/>
      <w:divBdr>
        <w:top w:val="none" w:sz="0" w:space="0" w:color="auto"/>
        <w:left w:val="none" w:sz="0" w:space="0" w:color="auto"/>
        <w:bottom w:val="none" w:sz="0" w:space="0" w:color="auto"/>
        <w:right w:val="none" w:sz="0" w:space="0" w:color="auto"/>
      </w:divBdr>
    </w:div>
    <w:div w:id="1388138732">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705788430">
      <w:bodyDiv w:val="1"/>
      <w:marLeft w:val="0"/>
      <w:marRight w:val="0"/>
      <w:marTop w:val="0"/>
      <w:marBottom w:val="0"/>
      <w:divBdr>
        <w:top w:val="none" w:sz="0" w:space="0" w:color="auto"/>
        <w:left w:val="none" w:sz="0" w:space="0" w:color="auto"/>
        <w:bottom w:val="none" w:sz="0" w:space="0" w:color="auto"/>
        <w:right w:val="none" w:sz="0" w:space="0" w:color="auto"/>
      </w:divBdr>
    </w:div>
    <w:div w:id="1706447112">
      <w:bodyDiv w:val="1"/>
      <w:marLeft w:val="0"/>
      <w:marRight w:val="0"/>
      <w:marTop w:val="0"/>
      <w:marBottom w:val="0"/>
      <w:divBdr>
        <w:top w:val="none" w:sz="0" w:space="0" w:color="auto"/>
        <w:left w:val="none" w:sz="0" w:space="0" w:color="auto"/>
        <w:bottom w:val="none" w:sz="0" w:space="0" w:color="auto"/>
        <w:right w:val="none" w:sz="0" w:space="0" w:color="auto"/>
      </w:divBdr>
    </w:div>
    <w:div w:id="1795176255">
      <w:bodyDiv w:val="1"/>
      <w:marLeft w:val="0"/>
      <w:marRight w:val="0"/>
      <w:marTop w:val="0"/>
      <w:marBottom w:val="0"/>
      <w:divBdr>
        <w:top w:val="none" w:sz="0" w:space="0" w:color="auto"/>
        <w:left w:val="none" w:sz="0" w:space="0" w:color="auto"/>
        <w:bottom w:val="none" w:sz="0" w:space="0" w:color="auto"/>
        <w:right w:val="none" w:sz="0" w:space="0" w:color="auto"/>
      </w:divBdr>
    </w:div>
    <w:div w:id="1894658266">
      <w:bodyDiv w:val="1"/>
      <w:marLeft w:val="0"/>
      <w:marRight w:val="0"/>
      <w:marTop w:val="0"/>
      <w:marBottom w:val="0"/>
      <w:divBdr>
        <w:top w:val="none" w:sz="0" w:space="0" w:color="auto"/>
        <w:left w:val="none" w:sz="0" w:space="0" w:color="auto"/>
        <w:bottom w:val="none" w:sz="0" w:space="0" w:color="auto"/>
        <w:right w:val="none" w:sz="0" w:space="0" w:color="auto"/>
      </w:divBdr>
    </w:div>
    <w:div w:id="2132627645">
      <w:bodyDiv w:val="1"/>
      <w:marLeft w:val="0"/>
      <w:marRight w:val="0"/>
      <w:marTop w:val="0"/>
      <w:marBottom w:val="0"/>
      <w:divBdr>
        <w:top w:val="none" w:sz="0" w:space="0" w:color="auto"/>
        <w:left w:val="none" w:sz="0" w:space="0" w:color="auto"/>
        <w:bottom w:val="none" w:sz="0" w:space="0" w:color="auto"/>
        <w:right w:val="none" w:sz="0" w:space="0" w:color="auto"/>
      </w:divBdr>
    </w:div>
    <w:div w:id="21349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199</TotalTime>
  <Pages>5</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Ankita Jena</cp:lastModifiedBy>
  <cp:revision>107</cp:revision>
  <cp:lastPrinted>2022-06-15T04:27:00Z</cp:lastPrinted>
  <dcterms:created xsi:type="dcterms:W3CDTF">2018-11-23T08:58:00Z</dcterms:created>
  <dcterms:modified xsi:type="dcterms:W3CDTF">2022-06-16T21:05:00Z</dcterms:modified>
</cp:coreProperties>
</file>