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375B" w14:textId="2842AFEC" w:rsidR="002C3242" w:rsidRPr="00156A30" w:rsidRDefault="002C3242" w:rsidP="00156A30">
      <w:pPr>
        <w:spacing w:before="0" w:after="0"/>
        <w:jc w:val="both"/>
        <w:rPr>
          <w:rFonts w:cs="Times New Roman"/>
          <w:b/>
          <w:bCs/>
          <w:sz w:val="20"/>
          <w:szCs w:val="20"/>
        </w:rPr>
      </w:pPr>
      <w:r w:rsidRPr="00156A30">
        <w:rPr>
          <w:rFonts w:cs="Times New Roman"/>
          <w:b/>
          <w:bCs/>
          <w:sz w:val="20"/>
          <w:szCs w:val="20"/>
        </w:rPr>
        <w:t xml:space="preserve">Table S1. </w:t>
      </w:r>
      <w:r w:rsidR="00156A30" w:rsidRPr="00156A30">
        <w:rPr>
          <w:rFonts w:cs="Times New Roman"/>
          <w:b/>
          <w:bCs/>
          <w:sz w:val="20"/>
          <w:szCs w:val="20"/>
        </w:rPr>
        <w:t>Definitions of major adverse events within 30 days after surgery</w:t>
      </w:r>
      <w:r w:rsidRPr="00156A30">
        <w:rPr>
          <w:rFonts w:cs="Times New Roman"/>
          <w:b/>
          <w:bCs/>
          <w:sz w:val="20"/>
          <w:szCs w:val="20"/>
        </w:rPr>
        <w:t xml:space="preserve"> </w:t>
      </w:r>
      <w:r w:rsidR="00156A30" w:rsidRPr="00156A30">
        <w:rPr>
          <w:rFonts w:cs="Times New Roman"/>
          <w:b/>
          <w:bCs/>
          <w:sz w:val="20"/>
          <w:szCs w:val="20"/>
        </w:rPr>
        <w:t>according to</w:t>
      </w:r>
      <w:r w:rsidRPr="00156A30">
        <w:rPr>
          <w:rFonts w:cs="Times New Roman"/>
          <w:b/>
          <w:bCs/>
          <w:sz w:val="20"/>
          <w:szCs w:val="20"/>
        </w:rPr>
        <w:t xml:space="preserve"> </w:t>
      </w:r>
      <w:r w:rsidR="009A0F85" w:rsidRPr="00156A30">
        <w:rPr>
          <w:rFonts w:cs="Times New Roman"/>
          <w:b/>
          <w:bCs/>
          <w:sz w:val="20"/>
          <w:szCs w:val="20"/>
        </w:rPr>
        <w:t>the ACS NSQIP</w:t>
      </w:r>
    </w:p>
    <w:tbl>
      <w:tblPr>
        <w:tblStyle w:val="a7"/>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80"/>
      </w:tblGrid>
      <w:tr w:rsidR="002C3242" w:rsidRPr="00156A30" w14:paraId="75242CB1" w14:textId="77777777" w:rsidTr="003961D1">
        <w:tc>
          <w:tcPr>
            <w:tcW w:w="1560" w:type="dxa"/>
            <w:tcBorders>
              <w:top w:val="single" w:sz="4" w:space="0" w:color="auto"/>
              <w:bottom w:val="single" w:sz="4" w:space="0" w:color="auto"/>
            </w:tcBorders>
          </w:tcPr>
          <w:p w14:paraId="283D85C3" w14:textId="77777777" w:rsidR="002C3242" w:rsidRPr="00156A30" w:rsidRDefault="002C3242" w:rsidP="00156A30">
            <w:pPr>
              <w:spacing w:before="0" w:after="0"/>
              <w:rPr>
                <w:rFonts w:cs="Times New Roman"/>
                <w:b/>
                <w:bCs/>
                <w:sz w:val="20"/>
                <w:szCs w:val="20"/>
              </w:rPr>
            </w:pPr>
            <w:r w:rsidRPr="00156A30">
              <w:rPr>
                <w:rFonts w:cs="Times New Roman"/>
                <w:b/>
                <w:bCs/>
                <w:sz w:val="20"/>
                <w:szCs w:val="20"/>
              </w:rPr>
              <w:t>Event</w:t>
            </w:r>
          </w:p>
        </w:tc>
        <w:tc>
          <w:tcPr>
            <w:tcW w:w="8080" w:type="dxa"/>
            <w:tcBorders>
              <w:top w:val="single" w:sz="4" w:space="0" w:color="auto"/>
              <w:bottom w:val="single" w:sz="4" w:space="0" w:color="auto"/>
            </w:tcBorders>
          </w:tcPr>
          <w:p w14:paraId="5B4159F0" w14:textId="77777777" w:rsidR="002C3242" w:rsidRPr="00156A30" w:rsidRDefault="002C3242" w:rsidP="00156A30">
            <w:pPr>
              <w:spacing w:before="0" w:after="0"/>
              <w:jc w:val="both"/>
              <w:rPr>
                <w:rFonts w:cs="Times New Roman"/>
                <w:b/>
                <w:bCs/>
                <w:sz w:val="20"/>
                <w:szCs w:val="20"/>
              </w:rPr>
            </w:pPr>
            <w:r w:rsidRPr="00156A30">
              <w:rPr>
                <w:rFonts w:cs="Times New Roman"/>
                <w:b/>
                <w:bCs/>
                <w:sz w:val="20"/>
                <w:szCs w:val="20"/>
              </w:rPr>
              <w:t>Definition</w:t>
            </w:r>
          </w:p>
        </w:tc>
      </w:tr>
      <w:tr w:rsidR="007D7312" w:rsidRPr="00156A30" w14:paraId="20FCD60B" w14:textId="77777777" w:rsidTr="003961D1">
        <w:tc>
          <w:tcPr>
            <w:tcW w:w="1560" w:type="dxa"/>
            <w:tcBorders>
              <w:top w:val="dotted" w:sz="4" w:space="0" w:color="auto"/>
              <w:bottom w:val="dotted" w:sz="4" w:space="0" w:color="auto"/>
            </w:tcBorders>
          </w:tcPr>
          <w:p w14:paraId="76B57524" w14:textId="0A8BB80E" w:rsidR="007D7312" w:rsidRPr="00156A30" w:rsidRDefault="007D7312" w:rsidP="00156A30">
            <w:pPr>
              <w:spacing w:before="0" w:after="0"/>
              <w:rPr>
                <w:rFonts w:cs="Times New Roman"/>
                <w:sz w:val="20"/>
                <w:szCs w:val="20"/>
              </w:rPr>
            </w:pPr>
            <w:r w:rsidRPr="00156A30">
              <w:rPr>
                <w:rFonts w:cs="Times New Roman"/>
                <w:sz w:val="20"/>
                <w:szCs w:val="20"/>
              </w:rPr>
              <w:t>Myocardial infarction</w:t>
            </w:r>
          </w:p>
        </w:tc>
        <w:tc>
          <w:tcPr>
            <w:tcW w:w="8080" w:type="dxa"/>
            <w:tcBorders>
              <w:top w:val="dotted" w:sz="4" w:space="0" w:color="auto"/>
              <w:bottom w:val="dotted" w:sz="4" w:space="0" w:color="auto"/>
            </w:tcBorders>
            <w:vAlign w:val="center"/>
          </w:tcPr>
          <w:p w14:paraId="21BB140C" w14:textId="712F950E" w:rsidR="00583282" w:rsidRPr="00156A30" w:rsidRDefault="00583282" w:rsidP="00156A30">
            <w:pPr>
              <w:spacing w:before="0" w:after="0"/>
              <w:jc w:val="both"/>
              <w:rPr>
                <w:rFonts w:cs="Times New Roman"/>
                <w:sz w:val="20"/>
                <w:szCs w:val="20"/>
              </w:rPr>
            </w:pPr>
            <w:r w:rsidRPr="00156A30">
              <w:rPr>
                <w:rFonts w:cs="Times New Roman"/>
                <w:sz w:val="20"/>
                <w:szCs w:val="20"/>
              </w:rPr>
              <w:t xml:space="preserve">An acute myocardial infarction which occurs intraoperatively or within 30 days following surgery as manifested by one of the following: </w:t>
            </w:r>
            <w:r w:rsidR="00F30047" w:rsidRPr="00156A30">
              <w:rPr>
                <w:rFonts w:cs="Times New Roman"/>
                <w:sz w:val="20"/>
                <w:szCs w:val="20"/>
              </w:rPr>
              <w:t xml:space="preserve">1. </w:t>
            </w:r>
            <w:r w:rsidRPr="00156A30">
              <w:rPr>
                <w:rFonts w:cs="Times New Roman"/>
                <w:sz w:val="20"/>
                <w:szCs w:val="20"/>
              </w:rPr>
              <w:t>Documentation of ECG changes indicative of acute MI (one or more of the following): -ST elevation &gt;1 mm in two or more contiguous leads</w:t>
            </w:r>
            <w:r w:rsidR="00F30047" w:rsidRPr="00156A30">
              <w:rPr>
                <w:rFonts w:cs="Times New Roman"/>
                <w:sz w:val="20"/>
                <w:szCs w:val="20"/>
              </w:rPr>
              <w:t xml:space="preserve">; </w:t>
            </w:r>
            <w:r w:rsidRPr="00156A30">
              <w:rPr>
                <w:rFonts w:cs="Times New Roman"/>
                <w:sz w:val="20"/>
                <w:szCs w:val="20"/>
              </w:rPr>
              <w:t>-New left bundle branch</w:t>
            </w:r>
            <w:r w:rsidR="00F30047" w:rsidRPr="00156A30">
              <w:rPr>
                <w:rFonts w:cs="Times New Roman"/>
                <w:sz w:val="20"/>
                <w:szCs w:val="20"/>
              </w:rPr>
              <w:t xml:space="preserve">; </w:t>
            </w:r>
            <w:r w:rsidRPr="00156A30">
              <w:rPr>
                <w:rFonts w:cs="Times New Roman"/>
                <w:sz w:val="20"/>
                <w:szCs w:val="20"/>
              </w:rPr>
              <w:t>-New q-wave in two of more contiguous leads</w:t>
            </w:r>
            <w:r w:rsidR="00F30047" w:rsidRPr="00156A30">
              <w:rPr>
                <w:rFonts w:cs="Times New Roman"/>
                <w:sz w:val="20"/>
                <w:szCs w:val="20"/>
              </w:rPr>
              <w:t xml:space="preserve">. 2. </w:t>
            </w:r>
            <w:r w:rsidRPr="00156A30">
              <w:rPr>
                <w:rFonts w:cs="Times New Roman"/>
                <w:sz w:val="20"/>
                <w:szCs w:val="20"/>
              </w:rPr>
              <w:t>New elevation in troponin greater than 3 times upper level of the reference range in the setting of suspected myocardial ischemia</w:t>
            </w:r>
            <w:r w:rsidR="00D56310">
              <w:rPr>
                <w:rFonts w:cs="Times New Roman"/>
                <w:sz w:val="20"/>
                <w:szCs w:val="20"/>
              </w:rPr>
              <w:t>.</w:t>
            </w:r>
          </w:p>
        </w:tc>
      </w:tr>
      <w:tr w:rsidR="007D7312" w:rsidRPr="00156A30" w14:paraId="5E806DAE" w14:textId="77777777" w:rsidTr="003961D1">
        <w:tc>
          <w:tcPr>
            <w:tcW w:w="1560" w:type="dxa"/>
            <w:tcBorders>
              <w:top w:val="dotted" w:sz="4" w:space="0" w:color="auto"/>
              <w:bottom w:val="dotted" w:sz="4" w:space="0" w:color="auto"/>
            </w:tcBorders>
          </w:tcPr>
          <w:p w14:paraId="01E7B914" w14:textId="77777777" w:rsidR="007D7312" w:rsidRPr="00156A30" w:rsidRDefault="007D7312" w:rsidP="00156A30">
            <w:pPr>
              <w:spacing w:before="0" w:after="0"/>
              <w:rPr>
                <w:rFonts w:cs="Times New Roman"/>
                <w:sz w:val="20"/>
                <w:szCs w:val="20"/>
              </w:rPr>
            </w:pPr>
            <w:r w:rsidRPr="00156A30">
              <w:rPr>
                <w:rFonts w:cs="Times New Roman"/>
                <w:sz w:val="20"/>
                <w:szCs w:val="20"/>
              </w:rPr>
              <w:t>Cardiac arrest</w:t>
            </w:r>
          </w:p>
        </w:tc>
        <w:tc>
          <w:tcPr>
            <w:tcW w:w="8080" w:type="dxa"/>
            <w:tcBorders>
              <w:top w:val="dotted" w:sz="4" w:space="0" w:color="auto"/>
              <w:bottom w:val="dotted" w:sz="4" w:space="0" w:color="auto"/>
            </w:tcBorders>
          </w:tcPr>
          <w:p w14:paraId="31B3EC63" w14:textId="7803C9F1" w:rsidR="00583282" w:rsidRPr="00156A30" w:rsidRDefault="00583282" w:rsidP="00156A30">
            <w:pPr>
              <w:spacing w:before="0" w:after="0"/>
              <w:jc w:val="both"/>
              <w:rPr>
                <w:rFonts w:cs="Times New Roman"/>
                <w:sz w:val="20"/>
                <w:szCs w:val="20"/>
              </w:rPr>
            </w:pPr>
            <w:r w:rsidRPr="00156A30">
              <w:rPr>
                <w:rFonts w:cs="Times New Roman"/>
                <w:sz w:val="20"/>
                <w:szCs w:val="20"/>
              </w:rPr>
              <w:t>The absence of cardiac rhythm or presence of chaotic cardiac rhythm, intraoperatively or within 30 days following surgery, which results in a cardiac arrest requiring the initiation of CPR</w:t>
            </w:r>
            <w:r w:rsidR="00A50E58" w:rsidRPr="00156A30">
              <w:rPr>
                <w:rFonts w:cs="Times New Roman"/>
                <w:sz w:val="20"/>
                <w:szCs w:val="20"/>
              </w:rPr>
              <w:t xml:space="preserve">, </w:t>
            </w:r>
            <w:r w:rsidRPr="00156A30">
              <w:rPr>
                <w:rFonts w:cs="Times New Roman"/>
                <w:sz w:val="20"/>
                <w:szCs w:val="20"/>
              </w:rPr>
              <w:t>which includes chest compressions.</w:t>
            </w:r>
            <w:r w:rsidR="00F61463" w:rsidRPr="00156A30">
              <w:rPr>
                <w:rFonts w:cs="Times New Roman"/>
                <w:sz w:val="20"/>
                <w:szCs w:val="20"/>
                <w:lang w:eastAsia="zh-CN"/>
              </w:rPr>
              <w:t xml:space="preserve"> </w:t>
            </w:r>
            <w:r w:rsidRPr="00156A30">
              <w:rPr>
                <w:rFonts w:cs="Times New Roman"/>
                <w:sz w:val="20"/>
                <w:szCs w:val="20"/>
              </w:rPr>
              <w:t xml:space="preserve">Patients are included who are in a pulseless VT or </w:t>
            </w:r>
            <w:proofErr w:type="spellStart"/>
            <w:r w:rsidRPr="00156A30">
              <w:rPr>
                <w:rFonts w:cs="Times New Roman"/>
                <w:sz w:val="20"/>
                <w:szCs w:val="20"/>
              </w:rPr>
              <w:t>Vfib</w:t>
            </w:r>
            <w:proofErr w:type="spellEnd"/>
            <w:r w:rsidRPr="00156A30">
              <w:rPr>
                <w:rFonts w:cs="Times New Roman"/>
                <w:sz w:val="20"/>
                <w:szCs w:val="20"/>
              </w:rPr>
              <w:t xml:space="preserve"> in which defibrillation is</w:t>
            </w:r>
            <w:r w:rsidR="00A50E58" w:rsidRPr="00156A30">
              <w:rPr>
                <w:rFonts w:cs="Times New Roman"/>
                <w:sz w:val="20"/>
                <w:szCs w:val="20"/>
              </w:rPr>
              <w:t xml:space="preserve"> </w:t>
            </w:r>
            <w:r w:rsidRPr="00156A30">
              <w:rPr>
                <w:rFonts w:cs="Times New Roman"/>
                <w:sz w:val="20"/>
                <w:szCs w:val="20"/>
              </w:rPr>
              <w:t>performed and PEA arrests requiring chest compressions. Patients with</w:t>
            </w:r>
            <w:r w:rsidR="00F61463" w:rsidRPr="00156A30">
              <w:rPr>
                <w:rFonts w:cs="Times New Roman"/>
                <w:sz w:val="20"/>
                <w:szCs w:val="20"/>
                <w:lang w:eastAsia="zh-CN"/>
              </w:rPr>
              <w:t xml:space="preserve"> </w:t>
            </w:r>
            <w:r w:rsidRPr="00156A30">
              <w:rPr>
                <w:rFonts w:cs="Times New Roman"/>
                <w:sz w:val="20"/>
                <w:szCs w:val="20"/>
              </w:rPr>
              <w:t>AICD that fire but the patient</w:t>
            </w:r>
            <w:r w:rsidR="00F61463" w:rsidRPr="00156A30">
              <w:rPr>
                <w:rFonts w:cs="Times New Roman"/>
                <w:sz w:val="20"/>
                <w:szCs w:val="20"/>
              </w:rPr>
              <w:t xml:space="preserve"> </w:t>
            </w:r>
            <w:r w:rsidRPr="00156A30">
              <w:rPr>
                <w:rFonts w:cs="Times New Roman"/>
                <w:sz w:val="20"/>
                <w:szCs w:val="20"/>
              </w:rPr>
              <w:t xml:space="preserve">has no loss of consciousness </w:t>
            </w:r>
            <w:r w:rsidR="00A53FD5">
              <w:rPr>
                <w:rFonts w:cs="Times New Roman"/>
                <w:sz w:val="20"/>
                <w:szCs w:val="20"/>
              </w:rPr>
              <w:t>are</w:t>
            </w:r>
            <w:r w:rsidRPr="00156A30">
              <w:rPr>
                <w:rFonts w:cs="Times New Roman"/>
                <w:sz w:val="20"/>
                <w:szCs w:val="20"/>
              </w:rPr>
              <w:t xml:space="preserve"> excluded</w:t>
            </w:r>
            <w:r w:rsidR="00F61463" w:rsidRPr="00156A30">
              <w:rPr>
                <w:rFonts w:cs="Times New Roman"/>
                <w:sz w:val="20"/>
                <w:szCs w:val="20"/>
              </w:rPr>
              <w:t>.</w:t>
            </w:r>
          </w:p>
        </w:tc>
      </w:tr>
      <w:tr w:rsidR="007D7312" w:rsidRPr="00156A30" w14:paraId="16971834" w14:textId="77777777" w:rsidTr="003961D1">
        <w:tc>
          <w:tcPr>
            <w:tcW w:w="1560" w:type="dxa"/>
            <w:tcBorders>
              <w:top w:val="dotted" w:sz="4" w:space="0" w:color="auto"/>
              <w:bottom w:val="dotted" w:sz="4" w:space="0" w:color="auto"/>
            </w:tcBorders>
          </w:tcPr>
          <w:p w14:paraId="7FFC8346" w14:textId="274754E2" w:rsidR="007D7312" w:rsidRPr="00156A30" w:rsidRDefault="000F61C7" w:rsidP="00156A30">
            <w:pPr>
              <w:spacing w:before="0" w:after="0"/>
              <w:rPr>
                <w:rFonts w:cs="Times New Roman"/>
                <w:sz w:val="20"/>
                <w:szCs w:val="20"/>
              </w:rPr>
            </w:pPr>
            <w:r>
              <w:rPr>
                <w:rFonts w:cs="Times New Roman"/>
                <w:sz w:val="20"/>
                <w:szCs w:val="20"/>
                <w:lang w:eastAsia="zh-CN"/>
              </w:rPr>
              <w:t>C</w:t>
            </w:r>
            <w:r w:rsidRPr="00156A30">
              <w:rPr>
                <w:rFonts w:cs="Times New Roman"/>
                <w:sz w:val="20"/>
                <w:szCs w:val="20"/>
                <w:lang w:eastAsia="zh-CN"/>
              </w:rPr>
              <w:t>erebrovascular accident</w:t>
            </w:r>
          </w:p>
        </w:tc>
        <w:tc>
          <w:tcPr>
            <w:tcW w:w="8080" w:type="dxa"/>
            <w:tcBorders>
              <w:top w:val="dotted" w:sz="4" w:space="0" w:color="auto"/>
              <w:bottom w:val="dotted" w:sz="4" w:space="0" w:color="auto"/>
            </w:tcBorders>
          </w:tcPr>
          <w:p w14:paraId="1545172F" w14:textId="7F3D6F6A" w:rsidR="007D7312" w:rsidRPr="00156A30" w:rsidRDefault="00777D13" w:rsidP="00156A30">
            <w:pPr>
              <w:spacing w:before="0" w:after="0"/>
              <w:jc w:val="both"/>
              <w:rPr>
                <w:rFonts w:cs="Times New Roman"/>
                <w:sz w:val="20"/>
                <w:szCs w:val="20"/>
              </w:rPr>
            </w:pPr>
            <w:r w:rsidRPr="00156A30">
              <w:rPr>
                <w:rFonts w:cs="Times New Roman"/>
                <w:sz w:val="20"/>
                <w:szCs w:val="20"/>
              </w:rPr>
              <w:t>Patient develops an embolic, thrombotic, or hemorrhagic vascular accident or stroke with motor, sensory, or cognitive dysfunction (e.g., hemiplegia, hemiparesis, aphasia, sensory deficit, impaired memory) that persists for 24 or more hours. If a specific time frame for the dysfunction is not documented in the medical record, but there is a diagnosis of a stroke, assign the occurrence, unless documentation specifically states that the motor, sensory, or cognitive dysfunction resolved</w:t>
            </w:r>
            <w:r w:rsidR="00A53FD5">
              <w:rPr>
                <w:rFonts w:cs="Times New Roman"/>
                <w:sz w:val="20"/>
                <w:szCs w:val="20"/>
              </w:rPr>
              <w:t>.</w:t>
            </w:r>
          </w:p>
        </w:tc>
      </w:tr>
      <w:tr w:rsidR="007D7312" w:rsidRPr="00156A30" w14:paraId="42F03FB4" w14:textId="77777777" w:rsidTr="003961D1">
        <w:tc>
          <w:tcPr>
            <w:tcW w:w="1560" w:type="dxa"/>
            <w:tcBorders>
              <w:top w:val="dotted" w:sz="4" w:space="0" w:color="auto"/>
              <w:bottom w:val="dotted" w:sz="4" w:space="0" w:color="auto"/>
            </w:tcBorders>
          </w:tcPr>
          <w:p w14:paraId="3D884A39" w14:textId="77777777" w:rsidR="007D7312" w:rsidRPr="00156A30" w:rsidRDefault="007D7312" w:rsidP="00156A30">
            <w:pPr>
              <w:spacing w:before="0" w:after="0"/>
              <w:rPr>
                <w:rFonts w:cs="Times New Roman"/>
                <w:sz w:val="20"/>
                <w:szCs w:val="20"/>
              </w:rPr>
            </w:pPr>
            <w:r w:rsidRPr="00156A30">
              <w:rPr>
                <w:rFonts w:cs="Times New Roman"/>
                <w:sz w:val="20"/>
                <w:szCs w:val="20"/>
              </w:rPr>
              <w:t>Coma</w:t>
            </w:r>
          </w:p>
        </w:tc>
        <w:tc>
          <w:tcPr>
            <w:tcW w:w="8080" w:type="dxa"/>
            <w:tcBorders>
              <w:top w:val="dotted" w:sz="4" w:space="0" w:color="auto"/>
              <w:bottom w:val="dotted" w:sz="4" w:space="0" w:color="auto"/>
            </w:tcBorders>
          </w:tcPr>
          <w:p w14:paraId="3094438D" w14:textId="1A323F88" w:rsidR="007D7312" w:rsidRPr="00156A30" w:rsidRDefault="00F30047" w:rsidP="00156A30">
            <w:pPr>
              <w:spacing w:before="0" w:after="0"/>
              <w:jc w:val="both"/>
              <w:rPr>
                <w:rFonts w:cs="Times New Roman"/>
                <w:sz w:val="20"/>
                <w:szCs w:val="20"/>
              </w:rPr>
            </w:pPr>
            <w:r w:rsidRPr="00156A30">
              <w:rPr>
                <w:rFonts w:cs="Times New Roman"/>
                <w:sz w:val="20"/>
                <w:szCs w:val="20"/>
              </w:rPr>
              <w:t xml:space="preserve">Patient is unconscious, or postures to painful stimuli, or is unresponsive to all stimuli (exclude transient disorientation or psychosis) for </w:t>
            </w:r>
            <w:r w:rsidR="00A53FD5">
              <w:rPr>
                <w:rFonts w:cs="Times New Roman"/>
                <w:sz w:val="20"/>
                <w:szCs w:val="20"/>
              </w:rPr>
              <w:t>&gt;</w:t>
            </w:r>
            <w:r w:rsidRPr="00156A30">
              <w:rPr>
                <w:rFonts w:cs="Times New Roman"/>
                <w:sz w:val="20"/>
                <w:szCs w:val="20"/>
              </w:rPr>
              <w:t xml:space="preserve">24 hours. Drug-induced coma (e.g., Propofol drips) are </w:t>
            </w:r>
            <w:r w:rsidR="00A53FD5">
              <w:rPr>
                <w:rFonts w:cs="Times New Roman"/>
                <w:sz w:val="20"/>
                <w:szCs w:val="20"/>
              </w:rPr>
              <w:t>excluded</w:t>
            </w:r>
            <w:r w:rsidRPr="00156A30">
              <w:rPr>
                <w:rFonts w:cs="Times New Roman"/>
                <w:sz w:val="20"/>
                <w:szCs w:val="20"/>
              </w:rPr>
              <w:t>.</w:t>
            </w:r>
          </w:p>
        </w:tc>
      </w:tr>
      <w:tr w:rsidR="007D7312" w:rsidRPr="00156A30" w14:paraId="3BE0BB5D" w14:textId="77777777" w:rsidTr="003961D1">
        <w:tc>
          <w:tcPr>
            <w:tcW w:w="1560" w:type="dxa"/>
            <w:tcBorders>
              <w:top w:val="dotted" w:sz="4" w:space="0" w:color="auto"/>
              <w:bottom w:val="dotted" w:sz="4" w:space="0" w:color="auto"/>
            </w:tcBorders>
          </w:tcPr>
          <w:p w14:paraId="7EA4A139" w14:textId="11E2857B" w:rsidR="007D7312" w:rsidRPr="00156A30" w:rsidRDefault="0045096A" w:rsidP="00156A30">
            <w:pPr>
              <w:spacing w:before="0" w:after="0"/>
              <w:rPr>
                <w:rFonts w:cs="Times New Roman"/>
                <w:sz w:val="20"/>
                <w:szCs w:val="20"/>
              </w:rPr>
            </w:pPr>
            <w:r w:rsidRPr="00156A30">
              <w:rPr>
                <w:rFonts w:cs="Times New Roman"/>
                <w:sz w:val="20"/>
                <w:szCs w:val="20"/>
              </w:rPr>
              <w:t>Acute r</w:t>
            </w:r>
            <w:r w:rsidR="007D7312" w:rsidRPr="00156A30">
              <w:rPr>
                <w:rFonts w:cs="Times New Roman"/>
                <w:sz w:val="20"/>
                <w:szCs w:val="20"/>
              </w:rPr>
              <w:t>enal failure</w:t>
            </w:r>
          </w:p>
        </w:tc>
        <w:tc>
          <w:tcPr>
            <w:tcW w:w="8080" w:type="dxa"/>
            <w:tcBorders>
              <w:top w:val="dotted" w:sz="4" w:space="0" w:color="auto"/>
              <w:bottom w:val="dotted" w:sz="4" w:space="0" w:color="auto"/>
            </w:tcBorders>
          </w:tcPr>
          <w:p w14:paraId="0CC9FC4D" w14:textId="171BC84A" w:rsidR="007D7312" w:rsidRPr="00156A30" w:rsidRDefault="0045096A" w:rsidP="00156A30">
            <w:pPr>
              <w:spacing w:before="0" w:after="0"/>
              <w:jc w:val="both"/>
              <w:rPr>
                <w:rFonts w:cs="Times New Roman"/>
                <w:sz w:val="20"/>
                <w:szCs w:val="20"/>
              </w:rPr>
            </w:pPr>
            <w:r w:rsidRPr="00156A30">
              <w:rPr>
                <w:rFonts w:cs="Times New Roman"/>
                <w:sz w:val="20"/>
                <w:szCs w:val="20"/>
              </w:rPr>
              <w:t>A patient without dialysis preoperatively has worsening renal dysfunction postoperatively requiring hemodialysis, peritoneal dialysis, hemofiltration, hemodiafiltration, or ultrafiltration.</w:t>
            </w:r>
            <w:r w:rsidRPr="00156A30">
              <w:rPr>
                <w:rFonts w:cs="Times New Roman"/>
                <w:sz w:val="20"/>
                <w:szCs w:val="20"/>
                <w:lang w:eastAsia="zh-CN"/>
              </w:rPr>
              <w:t xml:space="preserve"> </w:t>
            </w:r>
            <w:r w:rsidRPr="00156A30">
              <w:rPr>
                <w:rFonts w:cs="Times New Roman"/>
                <w:sz w:val="20"/>
                <w:szCs w:val="20"/>
              </w:rPr>
              <w:t>Placement of a dialysis catheter is indicative of the need for dialysis, if used within 48 hours of placement</w:t>
            </w:r>
            <w:r w:rsidR="00EE5625">
              <w:rPr>
                <w:rFonts w:cs="Times New Roman"/>
                <w:sz w:val="20"/>
                <w:szCs w:val="20"/>
              </w:rPr>
              <w:t>.</w:t>
            </w:r>
          </w:p>
        </w:tc>
      </w:tr>
      <w:tr w:rsidR="00F30047" w:rsidRPr="00156A30" w14:paraId="7AA097C3" w14:textId="77777777" w:rsidTr="003961D1">
        <w:tc>
          <w:tcPr>
            <w:tcW w:w="1560" w:type="dxa"/>
            <w:tcBorders>
              <w:top w:val="dotted" w:sz="4" w:space="0" w:color="auto"/>
              <w:bottom w:val="dotted" w:sz="4" w:space="0" w:color="auto"/>
            </w:tcBorders>
          </w:tcPr>
          <w:p w14:paraId="23DC9AA6" w14:textId="04915988" w:rsidR="00F30047" w:rsidRPr="00156A30" w:rsidRDefault="00F30047" w:rsidP="00156A30">
            <w:pPr>
              <w:spacing w:before="0" w:after="0"/>
              <w:rPr>
                <w:rFonts w:cs="Times New Roman"/>
                <w:sz w:val="20"/>
                <w:szCs w:val="20"/>
              </w:rPr>
            </w:pPr>
            <w:r w:rsidRPr="00156A30">
              <w:rPr>
                <w:rFonts w:eastAsia="等线" w:cs="Times New Roman"/>
                <w:sz w:val="20"/>
                <w:szCs w:val="20"/>
                <w:lang w:eastAsia="zh-CN"/>
              </w:rPr>
              <w:t>Pulmonary embolism</w:t>
            </w:r>
          </w:p>
        </w:tc>
        <w:tc>
          <w:tcPr>
            <w:tcW w:w="8080" w:type="dxa"/>
            <w:tcBorders>
              <w:top w:val="dotted" w:sz="4" w:space="0" w:color="auto"/>
              <w:bottom w:val="dotted" w:sz="4" w:space="0" w:color="auto"/>
            </w:tcBorders>
          </w:tcPr>
          <w:p w14:paraId="61259A62" w14:textId="1EFEA2DB" w:rsidR="00F30047" w:rsidRPr="00156A30" w:rsidRDefault="00305FE6" w:rsidP="00156A30">
            <w:pPr>
              <w:spacing w:before="0" w:after="0"/>
              <w:jc w:val="both"/>
              <w:rPr>
                <w:rFonts w:cs="Times New Roman"/>
                <w:sz w:val="20"/>
                <w:szCs w:val="20"/>
              </w:rPr>
            </w:pPr>
            <w:r w:rsidRPr="00156A30">
              <w:rPr>
                <w:rFonts w:cs="Times New Roman"/>
                <w:sz w:val="20"/>
                <w:szCs w:val="20"/>
              </w:rPr>
              <w:t xml:space="preserve">Lodging of a blood clot in the pulmonary artery with subsequent obstruction of blood supply to the lung parenchyma. The identification of a new blood clot in a pulmonary artery causing obstruction (complete or partial) of the blood supply to the lungs. A pulmonary embolism must be noted within 30 days after the principal operative procedure AND the following criteria, A AND B below: A. New diagnosis of a new blood clot in a pulmonary artery AND B. The patient has a V-Q scan interpreted as high probability of pulmonary embolism or a positive CT exam, TEE, pulmonary arteriogram, CT angiogram, or any other definitive imaging modality (including direct pathology examination such as autopsy. </w:t>
            </w:r>
          </w:p>
        </w:tc>
      </w:tr>
      <w:tr w:rsidR="007D7312" w:rsidRPr="00156A30" w14:paraId="5F853603" w14:textId="77777777" w:rsidTr="003961D1">
        <w:tc>
          <w:tcPr>
            <w:tcW w:w="1560" w:type="dxa"/>
            <w:tcBorders>
              <w:top w:val="dotted" w:sz="4" w:space="0" w:color="auto"/>
              <w:bottom w:val="dotted" w:sz="4" w:space="0" w:color="auto"/>
            </w:tcBorders>
          </w:tcPr>
          <w:p w14:paraId="42F95A8F" w14:textId="77777777" w:rsidR="007D7312" w:rsidRPr="00156A30" w:rsidRDefault="007D7312" w:rsidP="00156A30">
            <w:pPr>
              <w:spacing w:before="0" w:after="0"/>
              <w:rPr>
                <w:rFonts w:cs="Times New Roman"/>
                <w:sz w:val="20"/>
                <w:szCs w:val="20"/>
              </w:rPr>
            </w:pPr>
            <w:r w:rsidRPr="00156A30">
              <w:rPr>
                <w:rFonts w:cs="Times New Roman"/>
                <w:sz w:val="20"/>
                <w:szCs w:val="20"/>
              </w:rPr>
              <w:t>Sepsis</w:t>
            </w:r>
          </w:p>
        </w:tc>
        <w:tc>
          <w:tcPr>
            <w:tcW w:w="8080" w:type="dxa"/>
            <w:tcBorders>
              <w:top w:val="dotted" w:sz="4" w:space="0" w:color="auto"/>
              <w:bottom w:val="dotted" w:sz="4" w:space="0" w:color="auto"/>
            </w:tcBorders>
          </w:tcPr>
          <w:p w14:paraId="7313F404" w14:textId="1C7C3051" w:rsidR="007D7312" w:rsidRPr="00156A30" w:rsidRDefault="005F5956" w:rsidP="00156A30">
            <w:pPr>
              <w:spacing w:before="0" w:after="0"/>
              <w:jc w:val="both"/>
              <w:rPr>
                <w:rFonts w:cs="Times New Roman"/>
                <w:sz w:val="20"/>
                <w:szCs w:val="20"/>
              </w:rPr>
            </w:pPr>
            <w:r w:rsidRPr="00156A30">
              <w:rPr>
                <w:rFonts w:cs="Times New Roman"/>
                <w:sz w:val="20"/>
                <w:szCs w:val="20"/>
              </w:rPr>
              <w:t>Sepsis is the systemic response to infection. Report this variable if the</w:t>
            </w:r>
            <w:r w:rsidRPr="00156A30">
              <w:rPr>
                <w:rFonts w:cs="Times New Roman"/>
                <w:sz w:val="20"/>
                <w:szCs w:val="20"/>
                <w:lang w:eastAsia="zh-CN"/>
              </w:rPr>
              <w:t xml:space="preserve"> </w:t>
            </w:r>
            <w:r w:rsidRPr="00156A30">
              <w:rPr>
                <w:rFonts w:cs="Times New Roman"/>
                <w:sz w:val="20"/>
                <w:szCs w:val="20"/>
              </w:rPr>
              <w:t>patient has two of the following clinical signs and symptoms of SIRS:</w:t>
            </w:r>
            <w:r w:rsidRPr="00156A30">
              <w:rPr>
                <w:rFonts w:cs="Times New Roman"/>
                <w:sz w:val="20"/>
                <w:szCs w:val="20"/>
                <w:lang w:eastAsia="zh-CN"/>
              </w:rPr>
              <w:t xml:space="preserve"> </w:t>
            </w:r>
            <w:r w:rsidR="003B2CFF">
              <w:rPr>
                <w:rFonts w:cs="Times New Roman"/>
                <w:sz w:val="20"/>
                <w:szCs w:val="20"/>
              </w:rPr>
              <w:t>-</w:t>
            </w:r>
            <w:r w:rsidRPr="00156A30">
              <w:rPr>
                <w:rFonts w:cs="Times New Roman"/>
                <w:sz w:val="20"/>
                <w:szCs w:val="20"/>
              </w:rPr>
              <w:t xml:space="preserve">Temp &gt;38 </w:t>
            </w:r>
            <w:r w:rsidRPr="00156A30">
              <w:rPr>
                <w:rFonts w:cs="Times New Roman"/>
                <w:sz w:val="20"/>
                <w:szCs w:val="20"/>
                <w:lang w:eastAsia="zh-CN"/>
              </w:rPr>
              <w:t>℃</w:t>
            </w:r>
            <w:r w:rsidRPr="00156A30">
              <w:rPr>
                <w:rFonts w:cs="Times New Roman"/>
                <w:sz w:val="20"/>
                <w:szCs w:val="20"/>
              </w:rPr>
              <w:t xml:space="preserve"> or &lt;36 </w:t>
            </w:r>
            <w:r w:rsidRPr="00156A30">
              <w:rPr>
                <w:rFonts w:cs="Times New Roman"/>
                <w:sz w:val="20"/>
                <w:szCs w:val="20"/>
                <w:lang w:eastAsia="zh-CN"/>
              </w:rPr>
              <w:t xml:space="preserve">℃; </w:t>
            </w:r>
            <w:r w:rsidR="003B2CFF">
              <w:rPr>
                <w:rFonts w:cs="Times New Roman"/>
                <w:sz w:val="20"/>
                <w:szCs w:val="20"/>
              </w:rPr>
              <w:t>-Heart rate</w:t>
            </w:r>
            <w:r w:rsidRPr="00156A30">
              <w:rPr>
                <w:rFonts w:cs="Times New Roman"/>
                <w:sz w:val="20"/>
                <w:szCs w:val="20"/>
              </w:rPr>
              <w:t xml:space="preserve"> &gt;90 bpm; </w:t>
            </w:r>
            <w:r w:rsidR="003B2CFF">
              <w:rPr>
                <w:rFonts w:cs="Times New Roman"/>
                <w:sz w:val="20"/>
                <w:szCs w:val="20"/>
              </w:rPr>
              <w:t>-Respiratory rate</w:t>
            </w:r>
            <w:r w:rsidRPr="00156A30">
              <w:rPr>
                <w:rFonts w:cs="Times New Roman"/>
                <w:sz w:val="20"/>
                <w:szCs w:val="20"/>
              </w:rPr>
              <w:t xml:space="preserve"> &gt;20 breaths/min or PaCO</w:t>
            </w:r>
            <w:r w:rsidRPr="00156A30">
              <w:rPr>
                <w:rFonts w:cs="Times New Roman"/>
                <w:sz w:val="20"/>
                <w:szCs w:val="20"/>
                <w:vertAlign w:val="subscript"/>
              </w:rPr>
              <w:t>2</w:t>
            </w:r>
            <w:r w:rsidRPr="00156A30">
              <w:rPr>
                <w:rFonts w:cs="Times New Roman"/>
                <w:sz w:val="20"/>
                <w:szCs w:val="20"/>
              </w:rPr>
              <w:t xml:space="preserve"> &lt;32 mmHg; </w:t>
            </w:r>
            <w:r w:rsidR="003B2CFF">
              <w:rPr>
                <w:rFonts w:cs="Times New Roman"/>
                <w:sz w:val="20"/>
                <w:szCs w:val="20"/>
              </w:rPr>
              <w:t>-While blood cells</w:t>
            </w:r>
            <w:r w:rsidRPr="00156A30">
              <w:rPr>
                <w:rFonts w:cs="Times New Roman"/>
                <w:sz w:val="20"/>
                <w:szCs w:val="20"/>
              </w:rPr>
              <w:t xml:space="preserve"> &gt;12000 cell/mm</w:t>
            </w:r>
            <w:r w:rsidRPr="00156A30">
              <w:rPr>
                <w:rFonts w:cs="Times New Roman"/>
                <w:sz w:val="20"/>
                <w:szCs w:val="20"/>
                <w:vertAlign w:val="superscript"/>
              </w:rPr>
              <w:t>3</w:t>
            </w:r>
            <w:r w:rsidRPr="00156A30">
              <w:rPr>
                <w:rFonts w:cs="Times New Roman"/>
                <w:sz w:val="20"/>
                <w:szCs w:val="20"/>
              </w:rPr>
              <w:t>, &lt;4000 cells/mm</w:t>
            </w:r>
            <w:r w:rsidRPr="00156A30">
              <w:rPr>
                <w:rFonts w:cs="Times New Roman"/>
                <w:sz w:val="20"/>
                <w:szCs w:val="20"/>
                <w:vertAlign w:val="superscript"/>
              </w:rPr>
              <w:t>3</w:t>
            </w:r>
            <w:r w:rsidRPr="00156A30">
              <w:rPr>
                <w:rFonts w:cs="Times New Roman"/>
                <w:sz w:val="20"/>
                <w:szCs w:val="20"/>
              </w:rPr>
              <w:t xml:space="preserve">, or &gt;10% immature (band) forms; </w:t>
            </w:r>
            <w:r w:rsidR="003B2CFF">
              <w:rPr>
                <w:rFonts w:cs="Times New Roman"/>
                <w:sz w:val="20"/>
                <w:szCs w:val="20"/>
              </w:rPr>
              <w:t>-</w:t>
            </w:r>
            <w:r w:rsidRPr="00156A30">
              <w:rPr>
                <w:rFonts w:cs="Times New Roman"/>
                <w:sz w:val="20"/>
                <w:szCs w:val="20"/>
              </w:rPr>
              <w:t>Anion gap acidosis defined by either: [Na + K] – [Cl + HCO</w:t>
            </w:r>
            <w:r w:rsidRPr="00156A30">
              <w:rPr>
                <w:rFonts w:cs="Times New Roman"/>
                <w:sz w:val="20"/>
                <w:szCs w:val="20"/>
                <w:vertAlign w:val="subscript"/>
              </w:rPr>
              <w:t>3</w:t>
            </w:r>
            <w:r w:rsidRPr="00156A30">
              <w:rPr>
                <w:rFonts w:cs="Times New Roman"/>
                <w:sz w:val="20"/>
                <w:szCs w:val="20"/>
              </w:rPr>
              <w:t xml:space="preserve"> (or serum CO</w:t>
            </w:r>
            <w:r w:rsidRPr="00156A30">
              <w:rPr>
                <w:rFonts w:cs="Times New Roman"/>
                <w:sz w:val="20"/>
                <w:szCs w:val="20"/>
                <w:vertAlign w:val="subscript"/>
              </w:rPr>
              <w:t>2</w:t>
            </w:r>
            <w:r w:rsidRPr="00156A30">
              <w:rPr>
                <w:rFonts w:cs="Times New Roman"/>
                <w:sz w:val="20"/>
                <w:szCs w:val="20"/>
              </w:rPr>
              <w:t>)] &gt;16 or Na – [Cl + HCO</w:t>
            </w:r>
            <w:r w:rsidRPr="00156A30">
              <w:rPr>
                <w:rFonts w:cs="Times New Roman"/>
                <w:sz w:val="20"/>
                <w:szCs w:val="20"/>
                <w:vertAlign w:val="subscript"/>
              </w:rPr>
              <w:t xml:space="preserve">3 </w:t>
            </w:r>
            <w:r w:rsidRPr="00156A30">
              <w:rPr>
                <w:rFonts w:cs="Times New Roman"/>
                <w:sz w:val="20"/>
                <w:szCs w:val="20"/>
              </w:rPr>
              <w:t>(or serum CO</w:t>
            </w:r>
            <w:r w:rsidRPr="00156A30">
              <w:rPr>
                <w:rFonts w:cs="Times New Roman"/>
                <w:sz w:val="20"/>
                <w:szCs w:val="20"/>
                <w:vertAlign w:val="subscript"/>
              </w:rPr>
              <w:t>2</w:t>
            </w:r>
            <w:r w:rsidRPr="00156A30">
              <w:rPr>
                <w:rFonts w:cs="Times New Roman"/>
                <w:sz w:val="20"/>
                <w:szCs w:val="20"/>
              </w:rPr>
              <w:t>)] &gt;12. And either A or B below:</w:t>
            </w:r>
            <w:r w:rsidRPr="00156A30">
              <w:rPr>
                <w:rFonts w:cs="Times New Roman"/>
                <w:sz w:val="20"/>
                <w:szCs w:val="20"/>
                <w:lang w:eastAsia="zh-CN"/>
              </w:rPr>
              <w:t xml:space="preserve"> </w:t>
            </w:r>
            <w:r w:rsidRPr="00156A30">
              <w:rPr>
                <w:rFonts w:cs="Times New Roman"/>
                <w:sz w:val="20"/>
                <w:szCs w:val="20"/>
              </w:rPr>
              <w:t>A. One of the following:</w:t>
            </w:r>
            <w:r w:rsidRPr="00156A30">
              <w:rPr>
                <w:rFonts w:cs="Times New Roman"/>
                <w:sz w:val="20"/>
                <w:szCs w:val="20"/>
                <w:lang w:eastAsia="zh-CN"/>
              </w:rPr>
              <w:t xml:space="preserve"> </w:t>
            </w:r>
            <w:r w:rsidR="003B2CFF">
              <w:rPr>
                <w:rFonts w:cs="Times New Roman"/>
                <w:sz w:val="20"/>
                <w:szCs w:val="20"/>
              </w:rPr>
              <w:t>-</w:t>
            </w:r>
            <w:r w:rsidRPr="00156A30">
              <w:rPr>
                <w:rFonts w:cs="Times New Roman"/>
                <w:sz w:val="20"/>
                <w:szCs w:val="20"/>
              </w:rPr>
              <w:t>positive blood culture</w:t>
            </w:r>
            <w:r w:rsidRPr="00156A30">
              <w:rPr>
                <w:rFonts w:cs="Times New Roman"/>
                <w:sz w:val="20"/>
                <w:szCs w:val="20"/>
                <w:lang w:eastAsia="zh-CN"/>
              </w:rPr>
              <w:t xml:space="preserve">; </w:t>
            </w:r>
            <w:r w:rsidR="003B2CFF">
              <w:rPr>
                <w:rFonts w:cs="Times New Roman"/>
                <w:sz w:val="20"/>
                <w:szCs w:val="20"/>
              </w:rPr>
              <w:t>-</w:t>
            </w:r>
            <w:r w:rsidRPr="00156A30">
              <w:rPr>
                <w:rFonts w:cs="Times New Roman"/>
                <w:sz w:val="20"/>
                <w:szCs w:val="20"/>
              </w:rPr>
              <w:t>clinical documentation of purulence or positive culture from any site for which</w:t>
            </w:r>
            <w:r w:rsidR="00DE0164" w:rsidRPr="00156A30">
              <w:rPr>
                <w:rFonts w:cs="Times New Roman"/>
                <w:sz w:val="20"/>
                <w:szCs w:val="20"/>
              </w:rPr>
              <w:t xml:space="preserve"> </w:t>
            </w:r>
            <w:r w:rsidRPr="00156A30">
              <w:rPr>
                <w:rFonts w:cs="Times New Roman"/>
                <w:sz w:val="20"/>
                <w:szCs w:val="20"/>
              </w:rPr>
              <w:t>there is documentation noting the site as the acute cause of sepsis</w:t>
            </w:r>
            <w:r w:rsidR="00DE0164" w:rsidRPr="00156A30">
              <w:rPr>
                <w:rFonts w:cs="Times New Roman"/>
                <w:sz w:val="20"/>
                <w:szCs w:val="20"/>
              </w:rPr>
              <w:t xml:space="preserve">. B. The patient must meet SIRS criteria within 48 hours after the Principal Operative Procedure AND One of the following findings during the Principal Operative Procedure: </w:t>
            </w:r>
            <w:r w:rsidR="003B2CFF">
              <w:rPr>
                <w:rFonts w:cs="Times New Roman"/>
                <w:sz w:val="20"/>
                <w:szCs w:val="20"/>
              </w:rPr>
              <w:t>-</w:t>
            </w:r>
            <w:r w:rsidR="00DE0164" w:rsidRPr="00156A30">
              <w:rPr>
                <w:rFonts w:cs="Times New Roman"/>
                <w:sz w:val="20"/>
                <w:szCs w:val="20"/>
              </w:rPr>
              <w:t xml:space="preserve">Confirmed infarcted bowel requiring resection; </w:t>
            </w:r>
            <w:r w:rsidR="003B2CFF">
              <w:rPr>
                <w:rFonts w:cs="Times New Roman"/>
                <w:sz w:val="20"/>
                <w:szCs w:val="20"/>
              </w:rPr>
              <w:t>-</w:t>
            </w:r>
            <w:r w:rsidR="00DE0164" w:rsidRPr="00156A30">
              <w:rPr>
                <w:rFonts w:cs="Times New Roman"/>
                <w:sz w:val="20"/>
                <w:szCs w:val="20"/>
              </w:rPr>
              <w:t xml:space="preserve">Purulence in the operative site; </w:t>
            </w:r>
            <w:r w:rsidR="003B2CFF">
              <w:rPr>
                <w:rFonts w:cs="Times New Roman"/>
                <w:sz w:val="20"/>
                <w:szCs w:val="20"/>
              </w:rPr>
              <w:t>-</w:t>
            </w:r>
            <w:r w:rsidR="00DE0164" w:rsidRPr="00156A30">
              <w:rPr>
                <w:rFonts w:cs="Times New Roman"/>
                <w:sz w:val="20"/>
                <w:szCs w:val="20"/>
              </w:rPr>
              <w:t xml:space="preserve">Enteric contents in the operative site, or </w:t>
            </w:r>
            <w:r w:rsidR="003B2CFF">
              <w:rPr>
                <w:rFonts w:cs="Times New Roman"/>
                <w:sz w:val="20"/>
                <w:szCs w:val="20"/>
              </w:rPr>
              <w:t>-</w:t>
            </w:r>
            <w:r w:rsidR="00DE0164" w:rsidRPr="00156A30">
              <w:rPr>
                <w:rFonts w:cs="Times New Roman"/>
                <w:sz w:val="20"/>
                <w:szCs w:val="20"/>
              </w:rPr>
              <w:t>Positive intra-operative cultures.</w:t>
            </w:r>
          </w:p>
        </w:tc>
      </w:tr>
      <w:tr w:rsidR="006C3166" w:rsidRPr="00156A30" w14:paraId="48C11FE6" w14:textId="77777777" w:rsidTr="003961D1">
        <w:tc>
          <w:tcPr>
            <w:tcW w:w="1560" w:type="dxa"/>
            <w:tcBorders>
              <w:top w:val="dotted" w:sz="4" w:space="0" w:color="auto"/>
              <w:bottom w:val="dotted" w:sz="4" w:space="0" w:color="auto"/>
            </w:tcBorders>
          </w:tcPr>
          <w:p w14:paraId="51DA55B5" w14:textId="2A47AA3B" w:rsidR="006C3166" w:rsidRPr="00156A30" w:rsidRDefault="005F5956" w:rsidP="00156A30">
            <w:pPr>
              <w:spacing w:before="0" w:after="0"/>
              <w:rPr>
                <w:rFonts w:cs="Times New Roman"/>
                <w:sz w:val="20"/>
                <w:szCs w:val="20"/>
                <w:lang w:eastAsia="zh-CN"/>
              </w:rPr>
            </w:pPr>
            <w:r w:rsidRPr="00156A30">
              <w:rPr>
                <w:rFonts w:cs="Times New Roman"/>
                <w:sz w:val="20"/>
                <w:szCs w:val="20"/>
                <w:lang w:eastAsia="zh-CN"/>
              </w:rPr>
              <w:lastRenderedPageBreak/>
              <w:t>Septic shock</w:t>
            </w:r>
          </w:p>
        </w:tc>
        <w:tc>
          <w:tcPr>
            <w:tcW w:w="8080" w:type="dxa"/>
            <w:tcBorders>
              <w:top w:val="dotted" w:sz="4" w:space="0" w:color="auto"/>
              <w:bottom w:val="dotted" w:sz="4" w:space="0" w:color="auto"/>
            </w:tcBorders>
          </w:tcPr>
          <w:p w14:paraId="4016E0F6" w14:textId="3989F46E" w:rsidR="006C3166" w:rsidRPr="00156A30" w:rsidRDefault="00DE0164" w:rsidP="00156A30">
            <w:pPr>
              <w:spacing w:before="0" w:after="0"/>
              <w:jc w:val="both"/>
              <w:rPr>
                <w:rFonts w:cs="Times New Roman"/>
                <w:sz w:val="20"/>
                <w:szCs w:val="20"/>
              </w:rPr>
            </w:pPr>
            <w:r w:rsidRPr="00156A30">
              <w:rPr>
                <w:rFonts w:cs="Times New Roman"/>
                <w:sz w:val="20"/>
                <w:szCs w:val="20"/>
              </w:rPr>
              <w:t xml:space="preserve">Sepsis is considered severe when it is associated with organ and/or circulatory dysfunction. Report this variable if the patient has sepsis AND documented organ and/or circulatory dysfunction. Examples of organ dysfunction include: oliguria, acute alteration in mental status, acute respiratory distress. Examples of circulatory dysfunction include: hypotension, requirement of inotropic or vasopressor agents. Septic Shock is assigned when it appears to be related to Sepsis and not a Cardiogenic or Hypovolemic etiology. </w:t>
            </w:r>
          </w:p>
        </w:tc>
      </w:tr>
      <w:tr w:rsidR="00F30047" w:rsidRPr="00156A30" w14:paraId="17AC0B1A" w14:textId="77777777" w:rsidTr="003961D1">
        <w:tc>
          <w:tcPr>
            <w:tcW w:w="1560" w:type="dxa"/>
            <w:tcBorders>
              <w:top w:val="dotted" w:sz="4" w:space="0" w:color="auto"/>
              <w:bottom w:val="dotted" w:sz="4" w:space="0" w:color="auto"/>
            </w:tcBorders>
          </w:tcPr>
          <w:p w14:paraId="1B71FB0D" w14:textId="3A383885" w:rsidR="00F30047" w:rsidRPr="00156A30" w:rsidRDefault="00F30047" w:rsidP="00156A30">
            <w:pPr>
              <w:spacing w:before="0" w:after="0"/>
              <w:rPr>
                <w:rFonts w:cs="Times New Roman"/>
                <w:sz w:val="20"/>
                <w:szCs w:val="20"/>
              </w:rPr>
            </w:pPr>
            <w:r w:rsidRPr="00156A30">
              <w:rPr>
                <w:rFonts w:eastAsia="等线" w:cs="Times New Roman"/>
                <w:sz w:val="20"/>
                <w:szCs w:val="20"/>
                <w:lang w:eastAsia="zh-CN"/>
              </w:rPr>
              <w:t>Deep neck space infection</w:t>
            </w:r>
          </w:p>
        </w:tc>
        <w:tc>
          <w:tcPr>
            <w:tcW w:w="8080" w:type="dxa"/>
            <w:tcBorders>
              <w:top w:val="dotted" w:sz="4" w:space="0" w:color="auto"/>
              <w:bottom w:val="dotted" w:sz="4" w:space="0" w:color="auto"/>
            </w:tcBorders>
          </w:tcPr>
          <w:p w14:paraId="7EB8EEBF" w14:textId="07C8BD3B" w:rsidR="00F30047" w:rsidRPr="00156A30" w:rsidRDefault="00977C7C" w:rsidP="00156A30">
            <w:pPr>
              <w:spacing w:before="0" w:after="0"/>
              <w:jc w:val="both"/>
              <w:rPr>
                <w:rFonts w:cs="Times New Roman"/>
                <w:sz w:val="20"/>
                <w:szCs w:val="20"/>
              </w:rPr>
            </w:pPr>
            <w:r w:rsidRPr="00156A30">
              <w:rPr>
                <w:rFonts w:cs="Times New Roman"/>
                <w:sz w:val="20"/>
                <w:szCs w:val="20"/>
              </w:rPr>
              <w:t>An infection that occurs within 30 days after the operation and the infection appears to be related to the operation and infection involved deep soft tissues (e.g., fascial and muscle layers) of the incision and at least one of the following: -Purulent drainage from the deep incision but not from the organ/space component of the surgical site</w:t>
            </w:r>
            <w:r w:rsidR="00E509EE">
              <w:rPr>
                <w:rFonts w:cs="Times New Roman"/>
                <w:sz w:val="20"/>
                <w:szCs w:val="20"/>
              </w:rPr>
              <w:t>;</w:t>
            </w:r>
            <w:r w:rsidRPr="00156A30">
              <w:rPr>
                <w:rFonts w:cs="Times New Roman"/>
                <w:sz w:val="20"/>
                <w:szCs w:val="20"/>
              </w:rPr>
              <w:t xml:space="preserve"> -A deep incision spontaneously dehisces or is deliberately opened by a surgeon when the patient has at least one of the following signs or symptoms: fever (&gt;38 </w:t>
            </w:r>
            <w:r w:rsidR="00E509EE" w:rsidRPr="00156A30">
              <w:rPr>
                <w:rFonts w:cs="Times New Roman"/>
                <w:sz w:val="20"/>
                <w:szCs w:val="20"/>
                <w:lang w:eastAsia="zh-CN"/>
              </w:rPr>
              <w:t>℃</w:t>
            </w:r>
            <w:r w:rsidRPr="00156A30">
              <w:rPr>
                <w:rFonts w:cs="Times New Roman"/>
                <w:sz w:val="20"/>
                <w:szCs w:val="20"/>
              </w:rPr>
              <w:t>), localized pain, or tenderness, unless site is culture-negative</w:t>
            </w:r>
            <w:r w:rsidR="00E509EE">
              <w:rPr>
                <w:rFonts w:cs="Times New Roman"/>
                <w:sz w:val="20"/>
                <w:szCs w:val="20"/>
              </w:rPr>
              <w:t>;</w:t>
            </w:r>
            <w:r w:rsidRPr="00156A30">
              <w:rPr>
                <w:rFonts w:cs="Times New Roman"/>
                <w:sz w:val="20"/>
                <w:szCs w:val="20"/>
              </w:rPr>
              <w:t xml:space="preserve"> -An abscess or other evidence of infection involving the deep incision is found on direct examination, during reoperation, or by histopathologic or radiologic examination</w:t>
            </w:r>
            <w:r w:rsidR="00E509EE">
              <w:rPr>
                <w:rFonts w:cs="Times New Roman"/>
                <w:sz w:val="20"/>
                <w:szCs w:val="20"/>
              </w:rPr>
              <w:t>;</w:t>
            </w:r>
            <w:r w:rsidRPr="00156A30">
              <w:rPr>
                <w:rFonts w:cs="Times New Roman"/>
                <w:sz w:val="20"/>
                <w:szCs w:val="20"/>
              </w:rPr>
              <w:t xml:space="preserve"> -Diagnosis of a deep space </w:t>
            </w:r>
            <w:r w:rsidRPr="00156A30">
              <w:rPr>
                <w:rFonts w:eastAsia="等线" w:cs="Times New Roman"/>
                <w:sz w:val="20"/>
                <w:szCs w:val="20"/>
                <w:lang w:eastAsia="zh-CN"/>
              </w:rPr>
              <w:t>infection</w:t>
            </w:r>
            <w:r w:rsidRPr="00156A30">
              <w:rPr>
                <w:rFonts w:cs="Times New Roman"/>
                <w:sz w:val="20"/>
                <w:szCs w:val="20"/>
              </w:rPr>
              <w:t xml:space="preserve"> by a surgeon or attending physician.</w:t>
            </w:r>
          </w:p>
        </w:tc>
      </w:tr>
      <w:tr w:rsidR="007D7312" w:rsidRPr="00156A30" w14:paraId="648952EF" w14:textId="77777777" w:rsidTr="003961D1">
        <w:trPr>
          <w:trHeight w:val="287"/>
        </w:trPr>
        <w:tc>
          <w:tcPr>
            <w:tcW w:w="1560" w:type="dxa"/>
            <w:tcBorders>
              <w:top w:val="dotted" w:sz="4" w:space="0" w:color="auto"/>
              <w:bottom w:val="dotted" w:sz="4" w:space="0" w:color="auto"/>
            </w:tcBorders>
          </w:tcPr>
          <w:p w14:paraId="530BA697" w14:textId="77777777" w:rsidR="007D7312" w:rsidRPr="00156A30" w:rsidRDefault="007D7312" w:rsidP="00156A30">
            <w:pPr>
              <w:spacing w:before="0" w:after="0"/>
              <w:rPr>
                <w:rFonts w:cs="Times New Roman"/>
                <w:sz w:val="20"/>
                <w:szCs w:val="20"/>
              </w:rPr>
            </w:pPr>
            <w:r w:rsidRPr="00156A30">
              <w:rPr>
                <w:rFonts w:cs="Times New Roman"/>
                <w:sz w:val="20"/>
                <w:szCs w:val="20"/>
              </w:rPr>
              <w:t>Reintubation</w:t>
            </w:r>
          </w:p>
        </w:tc>
        <w:tc>
          <w:tcPr>
            <w:tcW w:w="8080" w:type="dxa"/>
            <w:tcBorders>
              <w:top w:val="dotted" w:sz="4" w:space="0" w:color="auto"/>
              <w:bottom w:val="dotted" w:sz="4" w:space="0" w:color="auto"/>
            </w:tcBorders>
          </w:tcPr>
          <w:p w14:paraId="0102D3F0" w14:textId="7857D4C1" w:rsidR="007D7312" w:rsidRPr="00156A30" w:rsidRDefault="00977C7C" w:rsidP="00156A30">
            <w:pPr>
              <w:spacing w:before="0" w:after="0"/>
              <w:jc w:val="both"/>
              <w:rPr>
                <w:rFonts w:cs="Times New Roman"/>
                <w:sz w:val="20"/>
                <w:szCs w:val="20"/>
              </w:rPr>
            </w:pPr>
            <w:r w:rsidRPr="00156A30">
              <w:rPr>
                <w:rFonts w:cs="Times New Roman"/>
                <w:sz w:val="20"/>
                <w:szCs w:val="20"/>
              </w:rPr>
              <w:t xml:space="preserve">Patient requires placement of an endotracheal tube or other similar breathing tube (Laryngeal Mask Airway, nasotracheal tube, </w:t>
            </w:r>
            <w:proofErr w:type="spellStart"/>
            <w:r w:rsidRPr="00156A30">
              <w:rPr>
                <w:rFonts w:cs="Times New Roman"/>
                <w:sz w:val="20"/>
                <w:szCs w:val="20"/>
              </w:rPr>
              <w:t>etc</w:t>
            </w:r>
            <w:proofErr w:type="spellEnd"/>
            <w:r w:rsidRPr="00156A30">
              <w:rPr>
                <w:rFonts w:cs="Times New Roman"/>
                <w:sz w:val="20"/>
                <w:szCs w:val="20"/>
              </w:rPr>
              <w:t>) and ventilator support intraoperatively or within 30 days following surgery which is not intended or planned.</w:t>
            </w:r>
          </w:p>
        </w:tc>
      </w:tr>
      <w:tr w:rsidR="007D7312" w:rsidRPr="00156A30" w14:paraId="158FC396" w14:textId="77777777" w:rsidTr="003961D1">
        <w:tc>
          <w:tcPr>
            <w:tcW w:w="1560" w:type="dxa"/>
            <w:tcBorders>
              <w:top w:val="dotted" w:sz="4" w:space="0" w:color="auto"/>
              <w:bottom w:val="dotted" w:sz="4" w:space="0" w:color="auto"/>
            </w:tcBorders>
          </w:tcPr>
          <w:p w14:paraId="033F963C" w14:textId="77777777" w:rsidR="007D7312" w:rsidRPr="00156A30" w:rsidRDefault="007D7312" w:rsidP="00156A30">
            <w:pPr>
              <w:spacing w:before="0" w:after="0"/>
              <w:rPr>
                <w:rFonts w:cs="Times New Roman"/>
                <w:sz w:val="20"/>
                <w:szCs w:val="20"/>
              </w:rPr>
            </w:pPr>
            <w:r w:rsidRPr="00156A30">
              <w:rPr>
                <w:rFonts w:cs="Times New Roman"/>
                <w:sz w:val="20"/>
                <w:szCs w:val="20"/>
              </w:rPr>
              <w:t>Reoperation</w:t>
            </w:r>
          </w:p>
        </w:tc>
        <w:tc>
          <w:tcPr>
            <w:tcW w:w="8080" w:type="dxa"/>
            <w:tcBorders>
              <w:top w:val="dotted" w:sz="4" w:space="0" w:color="auto"/>
              <w:bottom w:val="dotted" w:sz="4" w:space="0" w:color="auto"/>
            </w:tcBorders>
          </w:tcPr>
          <w:p w14:paraId="397340F5" w14:textId="70AC2B33" w:rsidR="00737A59" w:rsidRPr="00156A30" w:rsidRDefault="00737A59" w:rsidP="00156A30">
            <w:pPr>
              <w:spacing w:before="0" w:after="0"/>
              <w:jc w:val="both"/>
              <w:rPr>
                <w:rFonts w:cs="Times New Roman"/>
                <w:sz w:val="20"/>
                <w:szCs w:val="20"/>
              </w:rPr>
            </w:pPr>
            <w:r w:rsidRPr="00156A30">
              <w:rPr>
                <w:rFonts w:cs="Times New Roman"/>
                <w:sz w:val="20"/>
                <w:szCs w:val="20"/>
              </w:rPr>
              <w:t xml:space="preserve">Patient has an unplanned return to the operating room for a surgical procedure related to either the index or concurrent procedure performed. This return must be within the 30-day postoperative period. The return to the operating room may occur at any hospital or surgical facility. This definition is not meant to capture patients who go back to the operating room within 30 days for a follow-up procedure based on the pathology results from the index or concurrent procedure. </w:t>
            </w:r>
          </w:p>
        </w:tc>
      </w:tr>
      <w:tr w:rsidR="00F30047" w:rsidRPr="00156A30" w14:paraId="2AE1B252" w14:textId="77777777" w:rsidTr="003961D1">
        <w:tc>
          <w:tcPr>
            <w:tcW w:w="1560" w:type="dxa"/>
            <w:tcBorders>
              <w:top w:val="dotted" w:sz="4" w:space="0" w:color="auto"/>
              <w:bottom w:val="dotted" w:sz="4" w:space="0" w:color="auto"/>
            </w:tcBorders>
          </w:tcPr>
          <w:p w14:paraId="4FFA510D" w14:textId="77777777" w:rsidR="00F30047" w:rsidRPr="00156A30" w:rsidRDefault="00F30047" w:rsidP="00156A30">
            <w:pPr>
              <w:spacing w:before="0" w:after="0"/>
              <w:rPr>
                <w:rFonts w:cs="Times New Roman"/>
                <w:sz w:val="20"/>
                <w:szCs w:val="20"/>
              </w:rPr>
            </w:pPr>
            <w:r w:rsidRPr="00156A30">
              <w:rPr>
                <w:rFonts w:cs="Times New Roman"/>
                <w:sz w:val="20"/>
                <w:szCs w:val="20"/>
              </w:rPr>
              <w:t>Blood transfusion</w:t>
            </w:r>
          </w:p>
        </w:tc>
        <w:tc>
          <w:tcPr>
            <w:tcW w:w="8080" w:type="dxa"/>
            <w:tcBorders>
              <w:top w:val="dotted" w:sz="4" w:space="0" w:color="auto"/>
              <w:bottom w:val="dotted" w:sz="4" w:space="0" w:color="auto"/>
            </w:tcBorders>
          </w:tcPr>
          <w:p w14:paraId="51043E95" w14:textId="10EE4122" w:rsidR="004261D4" w:rsidRPr="00156A30" w:rsidRDefault="004261D4" w:rsidP="00156A30">
            <w:pPr>
              <w:spacing w:before="0" w:after="0"/>
              <w:jc w:val="both"/>
              <w:rPr>
                <w:rFonts w:cs="Times New Roman"/>
                <w:sz w:val="20"/>
                <w:szCs w:val="20"/>
              </w:rPr>
            </w:pPr>
            <w:r w:rsidRPr="00156A30">
              <w:rPr>
                <w:rFonts w:cs="Times New Roman"/>
                <w:sz w:val="20"/>
                <w:szCs w:val="20"/>
              </w:rPr>
              <w:t xml:space="preserve">At least 1 unit of packed or whole red blood cells given from the surgical start time up to and including 72 hours postoperatively. If the patient receives shed blood, autologous blood, cell saver blood or </w:t>
            </w:r>
            <w:proofErr w:type="spellStart"/>
            <w:r w:rsidRPr="00156A30">
              <w:rPr>
                <w:rFonts w:cs="Times New Roman"/>
                <w:sz w:val="20"/>
                <w:szCs w:val="20"/>
              </w:rPr>
              <w:t>pleurovac</w:t>
            </w:r>
            <w:proofErr w:type="spellEnd"/>
            <w:r w:rsidRPr="00156A30">
              <w:rPr>
                <w:rFonts w:cs="Times New Roman"/>
                <w:sz w:val="20"/>
                <w:szCs w:val="20"/>
              </w:rPr>
              <w:t xml:space="preserve"> postoperatively, count this blood in terms of equivalent units. For a cell saver, every 500 ml's of fluid will equal 1 unit of packed cells. If there are less than 250 ml of cell saver, round down and report as 0 units. If there are 250 ml or more of cell saver, round up to 1 unit. The blood may be given for any reason. If greater than 200 units, enter 200 units. </w:t>
            </w:r>
          </w:p>
        </w:tc>
      </w:tr>
      <w:tr w:rsidR="004261D4" w:rsidRPr="00156A30" w14:paraId="7160D152" w14:textId="77777777" w:rsidTr="003961D1">
        <w:tc>
          <w:tcPr>
            <w:tcW w:w="1560" w:type="dxa"/>
            <w:tcBorders>
              <w:top w:val="dotted" w:sz="4" w:space="0" w:color="auto"/>
              <w:bottom w:val="single" w:sz="4" w:space="0" w:color="auto"/>
            </w:tcBorders>
          </w:tcPr>
          <w:p w14:paraId="62BF7B13" w14:textId="09A13BE7" w:rsidR="004261D4" w:rsidRPr="00156A30" w:rsidRDefault="004261D4" w:rsidP="00156A30">
            <w:pPr>
              <w:spacing w:before="0" w:after="0"/>
              <w:rPr>
                <w:rFonts w:cs="Times New Roman"/>
                <w:sz w:val="20"/>
                <w:szCs w:val="20"/>
              </w:rPr>
            </w:pPr>
            <w:r w:rsidRPr="00156A30">
              <w:rPr>
                <w:rFonts w:cs="Times New Roman"/>
                <w:sz w:val="20"/>
                <w:szCs w:val="20"/>
              </w:rPr>
              <w:t>Failure to wean off ventilator</w:t>
            </w:r>
          </w:p>
        </w:tc>
        <w:tc>
          <w:tcPr>
            <w:tcW w:w="8080" w:type="dxa"/>
            <w:tcBorders>
              <w:top w:val="dotted" w:sz="4" w:space="0" w:color="auto"/>
              <w:bottom w:val="single" w:sz="4" w:space="0" w:color="auto"/>
            </w:tcBorders>
          </w:tcPr>
          <w:p w14:paraId="66E16EB4" w14:textId="7A068335" w:rsidR="004261D4" w:rsidRPr="00156A30" w:rsidRDefault="004261D4" w:rsidP="00156A30">
            <w:pPr>
              <w:spacing w:before="0" w:after="0"/>
              <w:jc w:val="both"/>
              <w:rPr>
                <w:rFonts w:cs="Times New Roman"/>
                <w:sz w:val="20"/>
                <w:szCs w:val="20"/>
              </w:rPr>
            </w:pPr>
            <w:r w:rsidRPr="00156A30">
              <w:rPr>
                <w:rFonts w:cs="Times New Roman"/>
                <w:sz w:val="20"/>
                <w:szCs w:val="20"/>
              </w:rPr>
              <w:t xml:space="preserve">Total duration of ventilator-assisted respirations during postoperative hospitalization </w:t>
            </w:r>
            <w:r w:rsidR="00156A30">
              <w:rPr>
                <w:rFonts w:cs="Times New Roman"/>
                <w:sz w:val="20"/>
                <w:szCs w:val="20"/>
              </w:rPr>
              <w:t>&gt;</w:t>
            </w:r>
            <w:r w:rsidRPr="00156A30">
              <w:rPr>
                <w:rFonts w:cs="Times New Roman"/>
                <w:sz w:val="20"/>
                <w:szCs w:val="20"/>
              </w:rPr>
              <w:t>48 hours. This can occur at any time during the 30-day period postoperatively. This time assessment is cumulative, not necessarily consecutive. Ventilator-assisted respirations can be via endotracheal tube, nasotracheal tube, or tracheostomy tube.</w:t>
            </w:r>
          </w:p>
        </w:tc>
      </w:tr>
    </w:tbl>
    <w:p w14:paraId="466E8254" w14:textId="004593A8" w:rsidR="0045096A" w:rsidRPr="00156A30" w:rsidRDefault="00156A30" w:rsidP="00156A30">
      <w:pPr>
        <w:spacing w:before="0" w:after="0"/>
        <w:jc w:val="both"/>
        <w:rPr>
          <w:rFonts w:cs="Times New Roman"/>
          <w:sz w:val="20"/>
          <w:szCs w:val="20"/>
          <w:lang w:eastAsia="zh-CN"/>
        </w:rPr>
      </w:pPr>
      <w:r w:rsidRPr="00156A30">
        <w:rPr>
          <w:rFonts w:cs="Times New Roman"/>
          <w:sz w:val="20"/>
          <w:szCs w:val="20"/>
        </w:rPr>
        <w:t xml:space="preserve">ACS NSQIP, </w:t>
      </w:r>
      <w:r w:rsidR="00155FB3">
        <w:rPr>
          <w:rFonts w:cs="Times New Roman"/>
          <w:sz w:val="20"/>
          <w:szCs w:val="20"/>
        </w:rPr>
        <w:t xml:space="preserve">the </w:t>
      </w:r>
      <w:r w:rsidRPr="00156A30">
        <w:rPr>
          <w:rFonts w:cs="Times New Roman"/>
          <w:sz w:val="20"/>
          <w:szCs w:val="20"/>
        </w:rPr>
        <w:t>National Surgical Quality Improvement Program from the American College of Surgeons</w:t>
      </w:r>
      <w:r>
        <w:rPr>
          <w:rFonts w:cs="Times New Roman"/>
          <w:sz w:val="20"/>
          <w:szCs w:val="20"/>
        </w:rPr>
        <w:t xml:space="preserve">; </w:t>
      </w:r>
      <w:r w:rsidR="00764F2B" w:rsidRPr="00156A30">
        <w:rPr>
          <w:rFonts w:cs="Times New Roman"/>
          <w:sz w:val="20"/>
          <w:szCs w:val="20"/>
        </w:rPr>
        <w:t>SIRS, Systemic Inflammatory Response Syndrome</w:t>
      </w:r>
      <w:r>
        <w:rPr>
          <w:rFonts w:cs="Times New Roman"/>
          <w:sz w:val="20"/>
          <w:szCs w:val="20"/>
        </w:rPr>
        <w:t xml:space="preserve">; </w:t>
      </w:r>
      <w:r w:rsidR="00A50E58" w:rsidRPr="00156A30">
        <w:rPr>
          <w:rFonts w:cs="Times New Roman"/>
          <w:sz w:val="20"/>
          <w:szCs w:val="20"/>
        </w:rPr>
        <w:t>VT, ventricular tachycardia</w:t>
      </w:r>
      <w:r>
        <w:rPr>
          <w:rFonts w:cs="Times New Roman"/>
          <w:sz w:val="20"/>
          <w:szCs w:val="20"/>
        </w:rPr>
        <w:t xml:space="preserve">; </w:t>
      </w:r>
      <w:proofErr w:type="spellStart"/>
      <w:r w:rsidR="00A50E58" w:rsidRPr="00156A30">
        <w:rPr>
          <w:rFonts w:cs="Times New Roman"/>
          <w:sz w:val="20"/>
          <w:szCs w:val="20"/>
        </w:rPr>
        <w:t>Vfib</w:t>
      </w:r>
      <w:proofErr w:type="spellEnd"/>
      <w:r w:rsidR="00A50E58" w:rsidRPr="00156A30">
        <w:rPr>
          <w:rFonts w:cs="Times New Roman"/>
          <w:sz w:val="20"/>
          <w:szCs w:val="20"/>
        </w:rPr>
        <w:t>, ventricular fibrillation</w:t>
      </w:r>
      <w:r>
        <w:rPr>
          <w:rFonts w:cs="Times New Roman"/>
          <w:sz w:val="20"/>
          <w:szCs w:val="20"/>
        </w:rPr>
        <w:t xml:space="preserve">; </w:t>
      </w:r>
      <w:r w:rsidR="00A50E58" w:rsidRPr="00156A30">
        <w:rPr>
          <w:rFonts w:cs="Times New Roman"/>
          <w:sz w:val="20"/>
          <w:szCs w:val="20"/>
          <w:lang w:eastAsia="zh-CN"/>
        </w:rPr>
        <w:t>CPR, cardiopulmonary resuscitation</w:t>
      </w:r>
      <w:r>
        <w:rPr>
          <w:rFonts w:cs="Times New Roman"/>
          <w:sz w:val="20"/>
          <w:szCs w:val="20"/>
          <w:lang w:eastAsia="zh-CN"/>
        </w:rPr>
        <w:t xml:space="preserve">; </w:t>
      </w:r>
      <w:r w:rsidR="00F61463" w:rsidRPr="00156A30">
        <w:rPr>
          <w:rFonts w:cs="Times New Roman"/>
          <w:sz w:val="20"/>
          <w:szCs w:val="20"/>
          <w:lang w:eastAsia="zh-CN"/>
        </w:rPr>
        <w:t>PEA, pulseless electrical activity</w:t>
      </w:r>
      <w:r>
        <w:rPr>
          <w:rFonts w:cs="Times New Roman"/>
          <w:sz w:val="20"/>
          <w:szCs w:val="20"/>
          <w:lang w:eastAsia="zh-CN"/>
        </w:rPr>
        <w:t xml:space="preserve">; </w:t>
      </w:r>
      <w:r w:rsidR="00F61463" w:rsidRPr="00156A30">
        <w:rPr>
          <w:rFonts w:cs="Times New Roman"/>
          <w:sz w:val="20"/>
          <w:szCs w:val="20"/>
          <w:lang w:eastAsia="zh-CN"/>
        </w:rPr>
        <w:t xml:space="preserve">AICD, </w:t>
      </w:r>
      <w:r w:rsidR="00F61463" w:rsidRPr="00156A30">
        <w:rPr>
          <w:rFonts w:cs="Times New Roman"/>
          <w:sz w:val="20"/>
          <w:szCs w:val="20"/>
        </w:rPr>
        <w:t>automatic implantable cardioverter defibrillator</w:t>
      </w:r>
      <w:r>
        <w:rPr>
          <w:rFonts w:cs="Times New Roman"/>
          <w:sz w:val="20"/>
          <w:szCs w:val="20"/>
        </w:rPr>
        <w:t xml:space="preserve">; </w:t>
      </w:r>
      <w:r w:rsidR="0045096A" w:rsidRPr="00156A30">
        <w:rPr>
          <w:rFonts w:cs="Times New Roman"/>
          <w:sz w:val="20"/>
          <w:szCs w:val="20"/>
          <w:lang w:eastAsia="zh-CN"/>
        </w:rPr>
        <w:t>TEE, trans-esophageal echocardiography</w:t>
      </w:r>
      <w:r>
        <w:rPr>
          <w:rFonts w:cs="Times New Roman"/>
          <w:sz w:val="20"/>
          <w:szCs w:val="20"/>
          <w:lang w:eastAsia="zh-CN"/>
        </w:rPr>
        <w:t xml:space="preserve">; </w:t>
      </w:r>
      <w:r w:rsidR="0045096A" w:rsidRPr="00156A30">
        <w:rPr>
          <w:rFonts w:cs="Times New Roman"/>
          <w:sz w:val="20"/>
          <w:szCs w:val="20"/>
          <w:lang w:eastAsia="zh-CN"/>
        </w:rPr>
        <w:t>CT, computed tomography</w:t>
      </w:r>
      <w:r>
        <w:rPr>
          <w:rFonts w:cs="Times New Roman"/>
          <w:sz w:val="20"/>
          <w:szCs w:val="20"/>
          <w:lang w:eastAsia="zh-CN"/>
        </w:rPr>
        <w:t>.</w:t>
      </w:r>
    </w:p>
    <w:sectPr w:rsidR="0045096A" w:rsidRPr="00156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0545" w14:textId="77777777" w:rsidR="00DF6E31" w:rsidRDefault="00DF6E31" w:rsidP="002C3242">
      <w:pPr>
        <w:spacing w:before="0" w:after="0"/>
      </w:pPr>
      <w:r>
        <w:separator/>
      </w:r>
    </w:p>
  </w:endnote>
  <w:endnote w:type="continuationSeparator" w:id="0">
    <w:p w14:paraId="57B00BC8" w14:textId="77777777" w:rsidR="00DF6E31" w:rsidRDefault="00DF6E31" w:rsidP="002C32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9856" w14:textId="77777777" w:rsidR="00DF6E31" w:rsidRDefault="00DF6E31" w:rsidP="002C3242">
      <w:pPr>
        <w:spacing w:before="0" w:after="0"/>
      </w:pPr>
      <w:r>
        <w:separator/>
      </w:r>
    </w:p>
  </w:footnote>
  <w:footnote w:type="continuationSeparator" w:id="0">
    <w:p w14:paraId="6A1E91A5" w14:textId="77777777" w:rsidR="00DF6E31" w:rsidRDefault="00DF6E31" w:rsidP="002C324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7E"/>
    <w:rsid w:val="0004621C"/>
    <w:rsid w:val="0005721D"/>
    <w:rsid w:val="000F61C7"/>
    <w:rsid w:val="00150BAD"/>
    <w:rsid w:val="00155FB3"/>
    <w:rsid w:val="00156A30"/>
    <w:rsid w:val="00167B01"/>
    <w:rsid w:val="001C08B2"/>
    <w:rsid w:val="001E698F"/>
    <w:rsid w:val="002C3242"/>
    <w:rsid w:val="00305FE6"/>
    <w:rsid w:val="00373B2B"/>
    <w:rsid w:val="003928DA"/>
    <w:rsid w:val="003961D1"/>
    <w:rsid w:val="003B2CFF"/>
    <w:rsid w:val="004261D4"/>
    <w:rsid w:val="0043586C"/>
    <w:rsid w:val="0045096A"/>
    <w:rsid w:val="004C7693"/>
    <w:rsid w:val="00527E58"/>
    <w:rsid w:val="00583282"/>
    <w:rsid w:val="005F5956"/>
    <w:rsid w:val="006C3166"/>
    <w:rsid w:val="00711654"/>
    <w:rsid w:val="00737A59"/>
    <w:rsid w:val="00764F2B"/>
    <w:rsid w:val="00777D13"/>
    <w:rsid w:val="007B1AD4"/>
    <w:rsid w:val="007D7312"/>
    <w:rsid w:val="00935799"/>
    <w:rsid w:val="00977C7C"/>
    <w:rsid w:val="009A0F85"/>
    <w:rsid w:val="00A50E58"/>
    <w:rsid w:val="00A53FD5"/>
    <w:rsid w:val="00B41874"/>
    <w:rsid w:val="00CD227E"/>
    <w:rsid w:val="00D56310"/>
    <w:rsid w:val="00DE0164"/>
    <w:rsid w:val="00DF6E31"/>
    <w:rsid w:val="00E02B37"/>
    <w:rsid w:val="00E228C0"/>
    <w:rsid w:val="00E509EE"/>
    <w:rsid w:val="00EE5625"/>
    <w:rsid w:val="00F30047"/>
    <w:rsid w:val="00F61463"/>
    <w:rsid w:val="00F80C99"/>
    <w:rsid w:val="00FD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B762A"/>
  <w15:chartTrackingRefBased/>
  <w15:docId w15:val="{BDE6558E-9207-4F03-A1ED-BF3C7C29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宋体" w:hAnsi="Book Antiqua"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242"/>
    <w:pPr>
      <w:spacing w:before="120" w:after="240"/>
    </w:pPr>
    <w:rPr>
      <w:rFonts w:ascii="Times New Roman" w:eastAsiaTheme="minorEastAsia" w:hAnsi="Times New Roman"/>
      <w:kern w:val="0"/>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242"/>
    <w:pPr>
      <w:widowControl w:val="0"/>
      <w:pBdr>
        <w:bottom w:val="single" w:sz="6" w:space="1" w:color="auto"/>
      </w:pBdr>
      <w:tabs>
        <w:tab w:val="center" w:pos="4153"/>
        <w:tab w:val="right" w:pos="8306"/>
      </w:tabs>
      <w:snapToGrid w:val="0"/>
      <w:spacing w:before="0" w:after="0"/>
      <w:jc w:val="center"/>
    </w:pPr>
    <w:rPr>
      <w:rFonts w:ascii="Book Antiqua" w:eastAsia="宋体" w:hAnsi="Book Antiqua"/>
      <w:kern w:val="2"/>
      <w:sz w:val="18"/>
      <w:szCs w:val="18"/>
      <w:lang w:eastAsia="zh-CN"/>
    </w:rPr>
  </w:style>
  <w:style w:type="character" w:customStyle="1" w:styleId="a4">
    <w:name w:val="页眉 字符"/>
    <w:basedOn w:val="a0"/>
    <w:link w:val="a3"/>
    <w:uiPriority w:val="99"/>
    <w:rsid w:val="002C3242"/>
    <w:rPr>
      <w:sz w:val="18"/>
      <w:szCs w:val="18"/>
    </w:rPr>
  </w:style>
  <w:style w:type="paragraph" w:styleId="a5">
    <w:name w:val="footer"/>
    <w:basedOn w:val="a"/>
    <w:link w:val="a6"/>
    <w:uiPriority w:val="99"/>
    <w:unhideWhenUsed/>
    <w:rsid w:val="002C3242"/>
    <w:pPr>
      <w:widowControl w:val="0"/>
      <w:tabs>
        <w:tab w:val="center" w:pos="4153"/>
        <w:tab w:val="right" w:pos="8306"/>
      </w:tabs>
      <w:snapToGrid w:val="0"/>
      <w:spacing w:before="0" w:after="0"/>
    </w:pPr>
    <w:rPr>
      <w:rFonts w:ascii="Book Antiqua" w:eastAsia="宋体" w:hAnsi="Book Antiqua"/>
      <w:kern w:val="2"/>
      <w:sz w:val="18"/>
      <w:szCs w:val="18"/>
      <w:lang w:eastAsia="zh-CN"/>
    </w:rPr>
  </w:style>
  <w:style w:type="character" w:customStyle="1" w:styleId="a6">
    <w:name w:val="页脚 字符"/>
    <w:basedOn w:val="a0"/>
    <w:link w:val="a5"/>
    <w:uiPriority w:val="99"/>
    <w:rsid w:val="002C3242"/>
    <w:rPr>
      <w:sz w:val="18"/>
      <w:szCs w:val="18"/>
    </w:rPr>
  </w:style>
  <w:style w:type="character" w:customStyle="1" w:styleId="EndNoteBibliography">
    <w:name w:val="EndNote Bibliography 字符"/>
    <w:basedOn w:val="a0"/>
    <w:link w:val="EndNoteBibliography0"/>
    <w:locked/>
    <w:rsid w:val="002C3242"/>
    <w:rPr>
      <w:rFonts w:ascii="Calibri" w:hAnsi="Calibri" w:cs="Calibri"/>
      <w:noProof/>
      <w:sz w:val="20"/>
    </w:rPr>
  </w:style>
  <w:style w:type="paragraph" w:customStyle="1" w:styleId="EndNoteBibliography0">
    <w:name w:val="EndNote Bibliography"/>
    <w:basedOn w:val="a"/>
    <w:link w:val="EndNoteBibliography"/>
    <w:rsid w:val="002C3242"/>
    <w:pPr>
      <w:widowControl w:val="0"/>
      <w:spacing w:before="0" w:after="0"/>
      <w:jc w:val="both"/>
    </w:pPr>
    <w:rPr>
      <w:rFonts w:ascii="Calibri" w:eastAsia="宋体" w:hAnsi="Calibri" w:cs="Calibri"/>
      <w:noProof/>
      <w:kern w:val="2"/>
      <w:sz w:val="20"/>
      <w:szCs w:val="24"/>
      <w:lang w:eastAsia="zh-CN"/>
    </w:rPr>
  </w:style>
  <w:style w:type="table" w:styleId="a7">
    <w:name w:val="Table Grid"/>
    <w:basedOn w:val="a1"/>
    <w:uiPriority w:val="39"/>
    <w:rsid w:val="002C3242"/>
    <w:rPr>
      <w:rFonts w:asciiTheme="majorHAnsi" w:eastAsia="Times New Roman" w:hAnsiTheme="majorHAns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9147">
      <w:bodyDiv w:val="1"/>
      <w:marLeft w:val="0"/>
      <w:marRight w:val="0"/>
      <w:marTop w:val="0"/>
      <w:marBottom w:val="0"/>
      <w:divBdr>
        <w:top w:val="none" w:sz="0" w:space="0" w:color="auto"/>
        <w:left w:val="none" w:sz="0" w:space="0" w:color="auto"/>
        <w:bottom w:val="none" w:sz="0" w:space="0" w:color="auto"/>
        <w:right w:val="none" w:sz="0" w:space="0" w:color="auto"/>
      </w:divBdr>
    </w:div>
    <w:div w:id="92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27</cp:revision>
  <dcterms:created xsi:type="dcterms:W3CDTF">2022-05-03T10:37:00Z</dcterms:created>
  <dcterms:modified xsi:type="dcterms:W3CDTF">2022-05-06T05:52:00Z</dcterms:modified>
</cp:coreProperties>
</file>