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EB69" w14:textId="0A1999DA" w:rsidR="00CC1E19" w:rsidRPr="004E5D1E" w:rsidRDefault="00CC1E19" w:rsidP="00985968">
      <w:pPr>
        <w:jc w:val="center"/>
        <w:rPr>
          <w:rFonts w:ascii="Arial" w:eastAsia="Arial" w:hAnsi="Arial" w:cs="Arial"/>
          <w:b/>
          <w:bCs/>
          <w:color w:val="000000" w:themeColor="text1"/>
          <w:sz w:val="40"/>
          <w:szCs w:val="40"/>
        </w:rPr>
      </w:pPr>
      <w:r w:rsidRPr="004E5D1E">
        <w:rPr>
          <w:rFonts w:ascii="Arial" w:eastAsia="Arial" w:hAnsi="Arial" w:cs="Arial"/>
          <w:b/>
          <w:bCs/>
          <w:color w:val="000000" w:themeColor="text1"/>
          <w:sz w:val="40"/>
          <w:szCs w:val="40"/>
        </w:rPr>
        <w:t>Supplementa</w:t>
      </w:r>
      <w:r w:rsidR="00985968" w:rsidRPr="004E5D1E">
        <w:rPr>
          <w:rFonts w:ascii="Arial" w:eastAsia="Arial" w:hAnsi="Arial" w:cs="Arial"/>
          <w:b/>
          <w:bCs/>
          <w:color w:val="000000" w:themeColor="text1"/>
          <w:sz w:val="40"/>
          <w:szCs w:val="40"/>
        </w:rPr>
        <w:t>ry</w:t>
      </w:r>
      <w:r w:rsidRPr="004E5D1E">
        <w:rPr>
          <w:rFonts w:ascii="Arial" w:eastAsia="Arial" w:hAnsi="Arial" w:cs="Arial"/>
          <w:b/>
          <w:bCs/>
          <w:color w:val="000000" w:themeColor="text1"/>
          <w:sz w:val="40"/>
          <w:szCs w:val="40"/>
        </w:rPr>
        <w:t xml:space="preserve"> Material</w:t>
      </w:r>
    </w:p>
    <w:p w14:paraId="3FF97D2E" w14:textId="1804F1DE" w:rsidR="00985968" w:rsidRDefault="00985968" w:rsidP="00985968">
      <w:pPr>
        <w:rPr>
          <w:rFonts w:ascii="Times New Roman" w:eastAsia="Arial" w:hAnsi="Times New Roman" w:cs="Times New Roman"/>
          <w:b/>
          <w:bCs/>
          <w:color w:val="000000" w:themeColor="text1"/>
          <w:sz w:val="24"/>
          <w:szCs w:val="24"/>
        </w:rPr>
      </w:pPr>
      <w:r w:rsidRPr="006C6B65">
        <w:rPr>
          <w:rFonts w:ascii="Times New Roman" w:eastAsia="Arial" w:hAnsi="Times New Roman" w:cs="Times New Roman"/>
          <w:b/>
          <w:bCs/>
          <w:color w:val="000000" w:themeColor="text1"/>
          <w:sz w:val="24"/>
          <w:szCs w:val="24"/>
        </w:rPr>
        <w:t>Supplemental Methods</w:t>
      </w:r>
    </w:p>
    <w:p w14:paraId="10BF978F" w14:textId="676DED0C" w:rsidR="00D2216B" w:rsidRDefault="00D2216B" w:rsidP="00985968">
      <w:pPr>
        <w:rPr>
          <w:rFonts w:ascii="Times New Roman" w:eastAsia="Arial" w:hAnsi="Times New Roman" w:cs="Times New Roman"/>
          <w:i/>
          <w:iCs/>
          <w:color w:val="000000" w:themeColor="text1"/>
          <w:sz w:val="24"/>
          <w:szCs w:val="24"/>
        </w:rPr>
      </w:pPr>
      <w:r>
        <w:rPr>
          <w:rFonts w:ascii="Times New Roman" w:eastAsia="Arial" w:hAnsi="Times New Roman" w:cs="Times New Roman"/>
          <w:i/>
          <w:iCs/>
          <w:color w:val="000000" w:themeColor="text1"/>
          <w:sz w:val="24"/>
          <w:szCs w:val="24"/>
        </w:rPr>
        <w:t xml:space="preserve">Whole exome Sequencing &amp; Processing </w:t>
      </w:r>
    </w:p>
    <w:p w14:paraId="7F2BE1A9" w14:textId="5125D644" w:rsidR="00D2216B" w:rsidRPr="00D2216B" w:rsidRDefault="00D2216B" w:rsidP="00D2216B">
      <w:pPr>
        <w:spacing w:line="240" w:lineRule="auto"/>
        <w:rPr>
          <w:rFonts w:ascii="Times New Roman" w:eastAsia="Arial" w:hAnsi="Times New Roman" w:cs="Times New Roman"/>
          <w:color w:val="000000" w:themeColor="text1"/>
          <w:sz w:val="24"/>
          <w:szCs w:val="24"/>
        </w:rPr>
      </w:pPr>
      <w:r>
        <w:rPr>
          <w:rFonts w:ascii="Arial" w:eastAsia="Arial" w:hAnsi="Arial" w:cs="Arial"/>
          <w:color w:val="000000" w:themeColor="text1"/>
          <w:sz w:val="21"/>
          <w:szCs w:val="21"/>
        </w:rPr>
        <w:t>WES</w:t>
      </w:r>
      <w:r w:rsidRPr="00F40035">
        <w:rPr>
          <w:rFonts w:ascii="Arial" w:eastAsia="Arial" w:hAnsi="Arial" w:cs="Arial"/>
          <w:color w:val="000000" w:themeColor="text1"/>
          <w:sz w:val="21"/>
          <w:szCs w:val="21"/>
        </w:rPr>
        <w:t xml:space="preserve"> was performed by the Broad Institute of Harvard and the Massachusetts Institute of Technology (Cambridge, MA)</w:t>
      </w:r>
      <w:r>
        <w:rPr>
          <w:rFonts w:ascii="Arial" w:eastAsia="Arial" w:hAnsi="Arial" w:cs="Arial"/>
          <w:color w:val="000000" w:themeColor="text1"/>
          <w:sz w:val="21"/>
          <w:szCs w:val="21"/>
        </w:rPr>
        <w:fldChar w:fldCharType="begin"/>
      </w:r>
      <w:r w:rsidR="008D014C">
        <w:rPr>
          <w:rFonts w:ascii="Arial" w:eastAsia="Arial" w:hAnsi="Arial" w:cs="Arial"/>
          <w:color w:val="000000" w:themeColor="text1"/>
          <w:sz w:val="21"/>
          <w:szCs w:val="21"/>
        </w:rPr>
        <w:instrText xml:space="preserve"> ADDIN ZOTERO_ITEM CSL_CITATION {"citationID":"yYEHdrbN","properties":{"formattedCitation":"\\super 1\\nosupersub{}","plainCitation":"1","noteIndex":0},"citationItems":[{"id":378,"uris":["http://zotero.org/users/local/04OJRdjF/items/WLFKJ9Q8"],"itemData":{"id":378,"type":"article-journal","abstract":"Abstract\n            \n              Psychogenic nonepileptic seizures (PNES) are diagnosed in approximately 30% of patients referred to tertiary care epilepsy centers. Little is known about the molecular pathology of PNES, much less about possible underlying genetic factors. We generated whole-exome sequencing and whole-genome genotyping data to identify rare, pathogenic (P) or likely pathogenic (LP) variants in 102 individuals with PNES and 448 individuals with focal (FE) or generalized (GE) epilepsy. Variants were classified for all individuals based on the ACMG-AMP 2015 guidelines. For research purposes only, we considered genes associated with neurological or psychiatric disorders as candidate genes for PNES. We observe in this first genetic investigation of PNES that six (5.88%) individuals with PNES without coexistent epilepsy carry P/LP variants (deletions at 10q11.22-q11.23, 10q23.1-q23.2, distal 16p11.2, and 17p13.3, and nonsynonymous variants in\n              NSD1\n              and\n              GABRA5\n              ). Notably, the burden of P/LP variants among the individuals with PNES was similar and not significantly different to the burden observed in the individuals with FE (3.05%) or GE (1.82%) (PNES vs. FE vs. GE (3 × 2 χ\n              2\n              ),\n              P\n               = 0.30; PNES vs. epilepsy (2 × 2 χ\n              2\n              ),\n              P\n               = 0.14). The presence of variants in genes associated with monogenic forms of neurological and psychiatric disorders in individuals with PNES shows that genetic factors are likely to play a role in PNES or its comorbidities in a subset of individuals. Future large-scale genetic research studies are needed to further corroborate these interesting findings in PNES.","container-title":"Scientific Reports","DOI":"10.1038/s41598-020-72101-8","ISSN":"2045-2322","issue":"1","journalAbbreviation":"Sci Rep","language":"en","page":"15205","source":"DOI.org (Crossref)","title":"Neurological disorder-associated genetic variants in individuals with psychogenic nonepileptic seizures","volume":"10","author":[{"family":"Leu","given":"Costin"},{"family":"Bautista","given":"Jocelyn F."},{"family":"Sudarsanam","given":"Monica"},{"family":"Niestroj","given":"Lisa-Marie"},{"family":"Stefanski","given":"Arthur"},{"family":"Ferguson","given":"Lisa"},{"family":"Daly","given":"Mark J."},{"family":"Jehi","given":"Lara"},{"family":"Najm","given":"Imad M."},{"family":"Busch","given":"Robyn M."},{"family":"Lal","given":"Dennis"}],"issued":{"date-parts":[["2020",12]]}}}],"schema":"https://github.com/citation-style-language/schema/raw/master/csl-citation.json"} </w:instrText>
      </w:r>
      <w:r>
        <w:rPr>
          <w:rFonts w:ascii="Arial" w:eastAsia="Arial" w:hAnsi="Arial" w:cs="Arial"/>
          <w:color w:val="000000" w:themeColor="text1"/>
          <w:sz w:val="21"/>
          <w:szCs w:val="21"/>
        </w:rPr>
        <w:fldChar w:fldCharType="separate"/>
      </w:r>
      <w:r w:rsidR="008D014C" w:rsidRPr="008D014C">
        <w:rPr>
          <w:rFonts w:ascii="Arial" w:hAnsi="Arial" w:cs="Arial"/>
          <w:color w:val="000000"/>
          <w:sz w:val="21"/>
          <w:vertAlign w:val="superscript"/>
        </w:rPr>
        <w:t>1</w:t>
      </w:r>
      <w:r>
        <w:rPr>
          <w:rFonts w:ascii="Arial" w:eastAsia="Arial" w:hAnsi="Arial" w:cs="Arial"/>
          <w:color w:val="000000" w:themeColor="text1"/>
          <w:sz w:val="21"/>
          <w:szCs w:val="21"/>
        </w:rPr>
        <w:fldChar w:fldCharType="end"/>
      </w:r>
      <w:r>
        <w:rPr>
          <w:rFonts w:ascii="Arial" w:eastAsia="Arial" w:hAnsi="Arial" w:cs="Arial"/>
          <w:color w:val="000000" w:themeColor="text1"/>
          <w:sz w:val="21"/>
          <w:szCs w:val="21"/>
        </w:rPr>
        <w:t xml:space="preserve">. </w:t>
      </w:r>
      <w:r w:rsidRPr="0057297D">
        <w:rPr>
          <w:rFonts w:ascii="Times New Roman" w:eastAsia="Arial" w:hAnsi="Times New Roman" w:cs="Times New Roman"/>
          <w:color w:val="000000" w:themeColor="text1"/>
          <w:sz w:val="24"/>
          <w:szCs w:val="24"/>
        </w:rPr>
        <w:t xml:space="preserve">Exome capture was performed on blood samples from 106 patients using Illumina </w:t>
      </w:r>
      <w:proofErr w:type="spellStart"/>
      <w:r w:rsidRPr="0057297D">
        <w:rPr>
          <w:rFonts w:ascii="Times New Roman" w:eastAsia="Arial" w:hAnsi="Times New Roman" w:cs="Times New Roman"/>
          <w:color w:val="000000" w:themeColor="text1"/>
          <w:sz w:val="24"/>
          <w:szCs w:val="24"/>
        </w:rPr>
        <w:t>Nextera</w:t>
      </w:r>
      <w:proofErr w:type="spellEnd"/>
      <w:r w:rsidRPr="0057297D">
        <w:rPr>
          <w:rFonts w:ascii="Times New Roman" w:eastAsia="Arial" w:hAnsi="Times New Roman" w:cs="Times New Roman"/>
          <w:color w:val="000000" w:themeColor="text1"/>
          <w:sz w:val="24"/>
          <w:szCs w:val="24"/>
        </w:rPr>
        <w:t xml:space="preserve"> Rapid Capture Exomes enrichment kit. </w:t>
      </w:r>
      <w:proofErr w:type="gramStart"/>
      <w:r w:rsidRPr="0057297D">
        <w:rPr>
          <w:rFonts w:ascii="Times New Roman" w:eastAsia="Arial" w:hAnsi="Times New Roman" w:cs="Times New Roman"/>
          <w:color w:val="000000" w:themeColor="text1"/>
          <w:sz w:val="24"/>
          <w:szCs w:val="24"/>
        </w:rPr>
        <w:t>Paired-end</w:t>
      </w:r>
      <w:proofErr w:type="gramEnd"/>
      <w:r w:rsidRPr="0057297D">
        <w:rPr>
          <w:rFonts w:ascii="Times New Roman" w:eastAsia="Arial" w:hAnsi="Times New Roman" w:cs="Times New Roman"/>
          <w:color w:val="000000" w:themeColor="text1"/>
          <w:sz w:val="24"/>
          <w:szCs w:val="24"/>
        </w:rPr>
        <w:t xml:space="preserve"> reads (151 bp) were sequenced on the Illumina </w:t>
      </w:r>
      <w:proofErr w:type="spellStart"/>
      <w:r w:rsidRPr="0057297D">
        <w:rPr>
          <w:rFonts w:ascii="Times New Roman" w:eastAsia="Arial" w:hAnsi="Times New Roman" w:cs="Times New Roman"/>
          <w:color w:val="000000" w:themeColor="text1"/>
          <w:sz w:val="24"/>
          <w:szCs w:val="24"/>
        </w:rPr>
        <w:t>HiSeq</w:t>
      </w:r>
      <w:proofErr w:type="spellEnd"/>
      <w:r w:rsidRPr="0057297D">
        <w:rPr>
          <w:rFonts w:ascii="Times New Roman" w:eastAsia="Arial" w:hAnsi="Times New Roman" w:cs="Times New Roman"/>
          <w:color w:val="000000" w:themeColor="text1"/>
          <w:sz w:val="24"/>
          <w:szCs w:val="24"/>
        </w:rPr>
        <w:t xml:space="preserve"> 4,000. BAM files were then generated and aligned to the GRCh37 human reference genome before undergoing quality control measures using the Picard data-processing pipeline (https://broadinstitute.github.io/picard/)</w:t>
      </w:r>
      <w:r w:rsidRPr="0057297D">
        <w:rPr>
          <w:rFonts w:ascii="Times New Roman" w:eastAsia="Arial" w:hAnsi="Times New Roman" w:cs="Times New Roman"/>
          <w:color w:val="000000" w:themeColor="text1"/>
          <w:sz w:val="24"/>
          <w:szCs w:val="24"/>
        </w:rPr>
        <w:fldChar w:fldCharType="begin"/>
      </w:r>
      <w:r w:rsidR="008D014C">
        <w:rPr>
          <w:rFonts w:ascii="Times New Roman" w:eastAsia="Arial" w:hAnsi="Times New Roman" w:cs="Times New Roman"/>
          <w:color w:val="000000" w:themeColor="text1"/>
          <w:sz w:val="24"/>
          <w:szCs w:val="24"/>
        </w:rPr>
        <w:instrText xml:space="preserve"> ADDIN ZOTERO_ITEM CSL_CITATION {"citationID":"pZNmVZlq","properties":{"formattedCitation":"\\super 2\\nosupersub{}","plainCitation":"2","noteIndex":0},"citationItems":[{"id":295,"uris":["http://zotero.org/users/local/04OJRdjF/items/53GUJKJY"],"itemData":{"id":295,"type":"book","publisher":"Broad Institute","title":"Picard","URL":"http://broadinstitute.github.io/picard","accessed":{"date-parts":[["2020",9,16]]}}}],"schema":"https://github.com/citation-style-language/schema/raw/master/csl-citation.json"} </w:instrText>
      </w:r>
      <w:r w:rsidRPr="0057297D">
        <w:rPr>
          <w:rFonts w:ascii="Times New Roman" w:eastAsia="Arial" w:hAnsi="Times New Roman" w:cs="Times New Roman"/>
          <w:color w:val="000000" w:themeColor="text1"/>
          <w:sz w:val="24"/>
          <w:szCs w:val="24"/>
        </w:rPr>
        <w:fldChar w:fldCharType="separate"/>
      </w:r>
      <w:r w:rsidR="008D014C" w:rsidRPr="008D014C">
        <w:rPr>
          <w:rFonts w:ascii="Times New Roman" w:hAnsi="Times New Roman" w:cs="Times New Roman"/>
          <w:color w:val="000000"/>
          <w:sz w:val="24"/>
          <w:vertAlign w:val="superscript"/>
        </w:rPr>
        <w:t>2</w:t>
      </w:r>
      <w:r w:rsidRPr="0057297D">
        <w:rPr>
          <w:rFonts w:ascii="Times New Roman" w:eastAsia="Arial" w:hAnsi="Times New Roman" w:cs="Times New Roman"/>
          <w:color w:val="000000" w:themeColor="text1"/>
          <w:sz w:val="24"/>
          <w:szCs w:val="24"/>
        </w:rPr>
        <w:fldChar w:fldCharType="end"/>
      </w:r>
      <w:r w:rsidRPr="0057297D">
        <w:rPr>
          <w:rFonts w:ascii="Times New Roman" w:eastAsia="Arial" w:hAnsi="Times New Roman" w:cs="Times New Roman"/>
          <w:color w:val="000000" w:themeColor="text1"/>
          <w:sz w:val="24"/>
          <w:szCs w:val="24"/>
        </w:rPr>
        <w:t>. SNPs were called using the genomic analysis toolkit (GATK) with the resulting data stored in variant call format (VCF)</w:t>
      </w:r>
      <w:r w:rsidRPr="0057297D">
        <w:rPr>
          <w:rFonts w:ascii="Times New Roman" w:eastAsia="Arial" w:hAnsi="Times New Roman" w:cs="Times New Roman"/>
          <w:color w:val="000000" w:themeColor="text1"/>
          <w:sz w:val="24"/>
          <w:szCs w:val="24"/>
        </w:rPr>
        <w:fldChar w:fldCharType="begin"/>
      </w:r>
      <w:r w:rsidR="008D014C">
        <w:rPr>
          <w:rFonts w:ascii="Times New Roman" w:eastAsia="Arial" w:hAnsi="Times New Roman" w:cs="Times New Roman"/>
          <w:color w:val="000000" w:themeColor="text1"/>
          <w:sz w:val="24"/>
          <w:szCs w:val="24"/>
        </w:rPr>
        <w:instrText xml:space="preserve"> ADDIN ZOTERO_ITEM CSL_CITATION {"citationID":"wMg7MA3S","properties":{"formattedCitation":"\\super 3\\nosupersub{}","plainCitation":"3","noteIndex":0},"citationItems":[{"id":296,"uris":["http://zotero.org/users/local/04OJRdjF/items/C2ITVL8Y"],"itemData":{"id":296,"type":"article-journal","abstract":"Next-generation DNA sequencing (NGS) projects, such as the 1000 Genomes Project, are already revolutionizing our understanding of genetic variation among individuals. However, the massive data sets generated by NGS—the 1000 Genome pilot alone includes nearly five terabases—make writing feature-rich, efficient, and robust analysis tools difficult for even computationally sophisticated individuals. Indeed, many professionals are limited in the scope and the ease with which they can answer scientific questions by the complexity of accessing and manipulating the data produced by these machines. Here, we discuss our Genome Analysis Toolkit (GATK), a structured programming framework designed to ease the development of efficient and robust analysis tools for next-generation DNA sequencers using the functional programming philosophy of MapReduce. The GATK provides a small but rich set of data access patterns that encompass the majority of analysis tool needs. Separating specific analysis calculations from common data management infrastructure enables us to optimize the GATK framework for correctness, stability, and CPU and memory efficiency and to enable distributed and shared memory parallelization. We highlight the capabilities of the GATK by describing the implementation and application of robust, scale-tolerant tools like coverage calculators and single nucleotide polymorphism (SNP) calling. We conclude that the GATK programming framework enables developers and analysts to quickly and easily write efficient and robust NGS tools, many of which have already been incorporated into large-scale sequencing projects like the 1000 Genomes Project and The Cancer Genome Atlas.","container-title":"Genome Research","DOI":"10.1101/gr.107524.110","ISSN":"1088-9051","issue":"9","journalAbbreviation":"Genome Res.","language":"en","page":"1297-1303","source":"DOI.org (Crossref)","title":"The Genome Analysis Toolkit: A MapReduce framework for analyzing next-generation DNA sequencing data","title-short":"The Genome Analysis Toolkit","volume":"20","author":[{"family":"McKenna","given":"Aaron"},{"family":"Hanna","given":"Matthew"},{"family":"Banks","given":"Eric"},{"family":"Sivachenko","given":"Andrey"},{"family":"Cibulskis","given":"Kristian"},{"family":"Kernytsky","given":"Andrew"},{"family":"Garimella","given":"Kiran"},{"family":"Altshuler","given":"David"},{"family":"Gabriel","given":"Stacey"},{"family":"Daly","given":"Mark"},{"family":"DePristo","given":"Mark A."}],"issued":{"date-parts":[["2010",9]]}}}],"schema":"https://github.com/citation-style-language/schema/raw/master/csl-citation.json"} </w:instrText>
      </w:r>
      <w:r w:rsidRPr="0057297D">
        <w:rPr>
          <w:rFonts w:ascii="Times New Roman" w:eastAsia="Arial" w:hAnsi="Times New Roman" w:cs="Times New Roman"/>
          <w:color w:val="000000" w:themeColor="text1"/>
          <w:sz w:val="24"/>
          <w:szCs w:val="24"/>
        </w:rPr>
        <w:fldChar w:fldCharType="separate"/>
      </w:r>
      <w:r w:rsidR="008D014C" w:rsidRPr="008D014C">
        <w:rPr>
          <w:rFonts w:ascii="Times New Roman" w:hAnsi="Times New Roman" w:cs="Times New Roman"/>
          <w:color w:val="000000"/>
          <w:sz w:val="24"/>
          <w:vertAlign w:val="superscript"/>
        </w:rPr>
        <w:t>3</w:t>
      </w:r>
      <w:r w:rsidRPr="0057297D">
        <w:rPr>
          <w:rFonts w:ascii="Times New Roman" w:eastAsia="Arial" w:hAnsi="Times New Roman" w:cs="Times New Roman"/>
          <w:color w:val="000000" w:themeColor="text1"/>
          <w:sz w:val="24"/>
          <w:szCs w:val="24"/>
        </w:rPr>
        <w:fldChar w:fldCharType="end"/>
      </w:r>
      <w:r w:rsidRPr="0057297D">
        <w:rPr>
          <w:rFonts w:ascii="Times New Roman" w:eastAsia="Arial" w:hAnsi="Times New Roman" w:cs="Times New Roman"/>
          <w:color w:val="000000" w:themeColor="text1"/>
          <w:sz w:val="24"/>
          <w:szCs w:val="24"/>
        </w:rPr>
        <w:t xml:space="preserve">. </w:t>
      </w:r>
      <w:r w:rsidRPr="006D7FA5">
        <w:rPr>
          <w:rFonts w:eastAsia="Arial"/>
          <w:color w:val="000000" w:themeColor="text1"/>
        </w:rPr>
        <w:t>VCF files were than used to extract SNPs of interest for this study in our cohort of 106 patients.</w:t>
      </w:r>
      <w:r>
        <w:rPr>
          <w:rFonts w:eastAsia="Arial"/>
          <w:color w:val="000000" w:themeColor="text1"/>
        </w:rPr>
        <w:t xml:space="preserve"> </w:t>
      </w:r>
    </w:p>
    <w:p w14:paraId="0F842D4C" w14:textId="77777777" w:rsidR="00985968" w:rsidRPr="006C6B65" w:rsidRDefault="00985968" w:rsidP="00985968">
      <w:pPr>
        <w:rPr>
          <w:rFonts w:ascii="Times New Roman" w:eastAsia="Arial" w:hAnsi="Times New Roman" w:cs="Times New Roman"/>
          <w:i/>
          <w:iCs/>
          <w:color w:val="000000" w:themeColor="text1"/>
          <w:sz w:val="24"/>
          <w:szCs w:val="24"/>
        </w:rPr>
      </w:pPr>
      <w:r w:rsidRPr="006C6B65">
        <w:rPr>
          <w:rFonts w:ascii="Times New Roman" w:eastAsia="Arial" w:hAnsi="Times New Roman" w:cs="Times New Roman"/>
          <w:i/>
          <w:iCs/>
          <w:color w:val="000000" w:themeColor="text1"/>
          <w:sz w:val="24"/>
          <w:szCs w:val="24"/>
        </w:rPr>
        <w:t>mRNA Sequencing &amp; Processing</w:t>
      </w:r>
    </w:p>
    <w:p w14:paraId="5CCA7C12" w14:textId="77777777" w:rsidR="00985968" w:rsidRPr="006C6B65" w:rsidRDefault="00985968" w:rsidP="00985968">
      <w:pPr>
        <w:rPr>
          <w:rFonts w:ascii="Times New Roman" w:eastAsia="Arial" w:hAnsi="Times New Roman" w:cs="Times New Roman"/>
          <w:i/>
          <w:iCs/>
          <w:color w:val="000000" w:themeColor="text1"/>
          <w:sz w:val="24"/>
          <w:szCs w:val="24"/>
          <w:u w:val="single"/>
        </w:rPr>
      </w:pPr>
      <w:r w:rsidRPr="006C6B65">
        <w:rPr>
          <w:rFonts w:ascii="Times New Roman" w:eastAsia="Arial" w:hAnsi="Times New Roman" w:cs="Times New Roman"/>
          <w:color w:val="000000" w:themeColor="text1"/>
          <w:sz w:val="24"/>
          <w:szCs w:val="24"/>
        </w:rPr>
        <w:t xml:space="preserve">Brain tissue was collected from 135 patients at the time of resection and homogenized in 1 mL </w:t>
      </w:r>
      <w:proofErr w:type="spellStart"/>
      <w:r w:rsidRPr="006C6B65">
        <w:rPr>
          <w:rFonts w:ascii="Times New Roman" w:eastAsia="Arial" w:hAnsi="Times New Roman" w:cs="Times New Roman"/>
          <w:color w:val="000000" w:themeColor="text1"/>
          <w:sz w:val="24"/>
          <w:szCs w:val="24"/>
        </w:rPr>
        <w:t>Trizol</w:t>
      </w:r>
      <w:proofErr w:type="spellEnd"/>
      <w:r w:rsidRPr="006C6B65">
        <w:rPr>
          <w:rFonts w:ascii="Times New Roman" w:eastAsia="Arial" w:hAnsi="Times New Roman" w:cs="Times New Roman"/>
          <w:color w:val="000000" w:themeColor="text1"/>
          <w:sz w:val="24"/>
          <w:szCs w:val="24"/>
        </w:rPr>
        <w:t xml:space="preserve"> (Life Technologies) and </w:t>
      </w:r>
      <w:proofErr w:type="spellStart"/>
      <w:r w:rsidRPr="006C6B65">
        <w:rPr>
          <w:rFonts w:ascii="Times New Roman" w:eastAsia="Arial" w:hAnsi="Times New Roman" w:cs="Times New Roman"/>
          <w:color w:val="000000" w:themeColor="text1"/>
          <w:sz w:val="24"/>
          <w:szCs w:val="24"/>
        </w:rPr>
        <w:t>TissueLyser</w:t>
      </w:r>
      <w:proofErr w:type="spellEnd"/>
      <w:r w:rsidRPr="006C6B65">
        <w:rPr>
          <w:rFonts w:ascii="Times New Roman" w:eastAsia="Arial" w:hAnsi="Times New Roman" w:cs="Times New Roman"/>
          <w:color w:val="000000" w:themeColor="text1"/>
          <w:sz w:val="24"/>
          <w:szCs w:val="24"/>
        </w:rPr>
        <w:t xml:space="preserve"> II (Qiagen). Blood samples were collected from 74 patients. Total RNA was extracted from tissue or blood using </w:t>
      </w:r>
      <w:proofErr w:type="spellStart"/>
      <w:r w:rsidRPr="006C6B65">
        <w:rPr>
          <w:rFonts w:ascii="Times New Roman" w:eastAsia="Arial" w:hAnsi="Times New Roman" w:cs="Times New Roman"/>
          <w:color w:val="000000" w:themeColor="text1"/>
          <w:sz w:val="24"/>
          <w:szCs w:val="24"/>
        </w:rPr>
        <w:t>Trizol</w:t>
      </w:r>
      <w:proofErr w:type="spellEnd"/>
      <w:r w:rsidRPr="006C6B65">
        <w:rPr>
          <w:rFonts w:ascii="Times New Roman" w:eastAsia="Arial" w:hAnsi="Times New Roman" w:cs="Times New Roman"/>
          <w:color w:val="000000" w:themeColor="text1"/>
          <w:sz w:val="24"/>
          <w:szCs w:val="24"/>
        </w:rPr>
        <w:t xml:space="preserve"> and the </w:t>
      </w:r>
      <w:proofErr w:type="spellStart"/>
      <w:r w:rsidRPr="006C6B65">
        <w:rPr>
          <w:rFonts w:ascii="Times New Roman" w:eastAsia="Arial" w:hAnsi="Times New Roman" w:cs="Times New Roman"/>
          <w:color w:val="000000" w:themeColor="text1"/>
          <w:sz w:val="24"/>
          <w:szCs w:val="24"/>
        </w:rPr>
        <w:t>Ambion</w:t>
      </w:r>
      <w:proofErr w:type="spellEnd"/>
      <w:r w:rsidRPr="006C6B65">
        <w:rPr>
          <w:rFonts w:ascii="Times New Roman" w:eastAsia="Arial" w:hAnsi="Times New Roman" w:cs="Times New Roman"/>
          <w:color w:val="000000" w:themeColor="text1"/>
          <w:sz w:val="24"/>
          <w:szCs w:val="24"/>
        </w:rPr>
        <w:t xml:space="preserve"> </w:t>
      </w:r>
      <w:proofErr w:type="spellStart"/>
      <w:r w:rsidRPr="006C6B65">
        <w:rPr>
          <w:rFonts w:ascii="Times New Roman" w:eastAsia="Arial" w:hAnsi="Times New Roman" w:cs="Times New Roman"/>
          <w:color w:val="000000" w:themeColor="text1"/>
          <w:sz w:val="24"/>
          <w:szCs w:val="24"/>
        </w:rPr>
        <w:t>PureLink</w:t>
      </w:r>
      <w:proofErr w:type="spellEnd"/>
      <w:r w:rsidRPr="006C6B65">
        <w:rPr>
          <w:rFonts w:ascii="Times New Roman" w:eastAsia="Arial" w:hAnsi="Times New Roman" w:cs="Times New Roman"/>
          <w:color w:val="000000" w:themeColor="text1"/>
          <w:sz w:val="24"/>
          <w:szCs w:val="24"/>
        </w:rPr>
        <w:t xml:space="preserve"> RNA Mini Kit (Life Technologies) for RNA cleanup and DNase treatment. RNeasy Lipid Tissue Kit (Qiagen) was used to extract RNA (total RNA and small RNAs). RNA quality was assessed using a 2100 Bioanalyzer (Agilent Technologies) with </w:t>
      </w:r>
      <w:proofErr w:type="gramStart"/>
      <w:r w:rsidRPr="006C6B65">
        <w:rPr>
          <w:rFonts w:ascii="Times New Roman" w:eastAsia="Arial" w:hAnsi="Times New Roman" w:cs="Times New Roman"/>
          <w:color w:val="000000" w:themeColor="text1"/>
          <w:sz w:val="24"/>
          <w:szCs w:val="24"/>
        </w:rPr>
        <w:t>a</w:t>
      </w:r>
      <w:proofErr w:type="gramEnd"/>
      <w:r w:rsidRPr="006C6B65">
        <w:rPr>
          <w:rFonts w:ascii="Times New Roman" w:eastAsia="Arial" w:hAnsi="Times New Roman" w:cs="Times New Roman"/>
          <w:color w:val="000000" w:themeColor="text1"/>
          <w:sz w:val="24"/>
          <w:szCs w:val="24"/>
        </w:rPr>
        <w:t xml:space="preserve"> RNA integrity number (RIN) score cutoff of 7.</w:t>
      </w:r>
    </w:p>
    <w:p w14:paraId="5F06B8F8" w14:textId="10B194D8" w:rsidR="00985968" w:rsidRPr="006C6B65" w:rsidRDefault="00985968" w:rsidP="00985968">
      <w:pPr>
        <w:rPr>
          <w:rFonts w:ascii="Times New Roman" w:eastAsia="Arial" w:hAnsi="Times New Roman" w:cs="Times New Roman"/>
          <w:i/>
          <w:iCs/>
          <w:color w:val="000000" w:themeColor="text1"/>
          <w:sz w:val="24"/>
          <w:szCs w:val="24"/>
          <w:u w:val="single"/>
        </w:rPr>
      </w:pPr>
      <w:proofErr w:type="spellStart"/>
      <w:r w:rsidRPr="006C6B65">
        <w:rPr>
          <w:rFonts w:ascii="Times New Roman" w:eastAsia="Arial" w:hAnsi="Times New Roman" w:cs="Times New Roman"/>
          <w:color w:val="000000" w:themeColor="text1"/>
          <w:sz w:val="24"/>
          <w:szCs w:val="24"/>
        </w:rPr>
        <w:t>TruSeq</w:t>
      </w:r>
      <w:proofErr w:type="spellEnd"/>
      <w:r w:rsidRPr="006C6B65">
        <w:rPr>
          <w:rFonts w:ascii="Times New Roman" w:eastAsia="Arial" w:hAnsi="Times New Roman" w:cs="Times New Roman"/>
          <w:color w:val="000000" w:themeColor="text1"/>
          <w:sz w:val="24"/>
          <w:szCs w:val="24"/>
        </w:rPr>
        <w:t xml:space="preserve"> Stranded Total RNA kit (Illumina) was used for library preparation and sequencing was performed using the Illumina </w:t>
      </w:r>
      <w:proofErr w:type="spellStart"/>
      <w:r w:rsidRPr="006C6B65">
        <w:rPr>
          <w:rFonts w:ascii="Times New Roman" w:eastAsia="Arial" w:hAnsi="Times New Roman" w:cs="Times New Roman"/>
          <w:color w:val="000000" w:themeColor="text1"/>
          <w:sz w:val="24"/>
          <w:szCs w:val="24"/>
        </w:rPr>
        <w:t>HiSeq</w:t>
      </w:r>
      <w:proofErr w:type="spellEnd"/>
      <w:r w:rsidRPr="006C6B65">
        <w:rPr>
          <w:rFonts w:ascii="Times New Roman" w:eastAsia="Arial" w:hAnsi="Times New Roman" w:cs="Times New Roman"/>
          <w:color w:val="000000" w:themeColor="text1"/>
          <w:sz w:val="24"/>
          <w:szCs w:val="24"/>
        </w:rPr>
        <w:t xml:space="preserve"> 2000 platform (100 base pairs, </w:t>
      </w:r>
      <w:proofErr w:type="gramStart"/>
      <w:r w:rsidRPr="006C6B65">
        <w:rPr>
          <w:rFonts w:ascii="Times New Roman" w:eastAsia="Arial" w:hAnsi="Times New Roman" w:cs="Times New Roman"/>
          <w:color w:val="000000" w:themeColor="text1"/>
          <w:sz w:val="24"/>
          <w:szCs w:val="24"/>
        </w:rPr>
        <w:t>paired-end</w:t>
      </w:r>
      <w:proofErr w:type="gramEnd"/>
      <w:r w:rsidRPr="006C6B65">
        <w:rPr>
          <w:rFonts w:ascii="Times New Roman" w:eastAsia="Arial" w:hAnsi="Times New Roman" w:cs="Times New Roman"/>
          <w:color w:val="000000" w:themeColor="text1"/>
          <w:sz w:val="24"/>
          <w:szCs w:val="24"/>
        </w:rPr>
        <w:t>) at the Genomics Core of the Lerner Research Institute at Cleveland Clinic (Cleveland, OH). Quality control, read filtering, and adapter trimming were performed using fastp</w:t>
      </w:r>
      <w:r w:rsidR="00D06C71">
        <w:rPr>
          <w:rFonts w:ascii="Times New Roman" w:eastAsia="Arial" w:hAnsi="Times New Roman" w:cs="Times New Roman"/>
          <w:color w:val="000000" w:themeColor="text1"/>
          <w:sz w:val="24"/>
          <w:szCs w:val="24"/>
        </w:rPr>
        <w:fldChar w:fldCharType="begin"/>
      </w:r>
      <w:r w:rsidR="00D06C71">
        <w:rPr>
          <w:rFonts w:ascii="Times New Roman" w:eastAsia="Arial" w:hAnsi="Times New Roman" w:cs="Times New Roman"/>
          <w:color w:val="000000" w:themeColor="text1"/>
          <w:sz w:val="24"/>
          <w:szCs w:val="24"/>
        </w:rPr>
        <w:instrText xml:space="preserve"> ADDIN ZOTERO_ITEM CSL_CITATION {"citationID":"iD8sfkNE","properties":{"formattedCitation":"\\super 4\\nosupersub{}","plainCitation":"4","noteIndex":0},"citationItems":[{"id":327,"uris":["http://zotero.org/users/local/04OJRdjF/items/KZAYBC7F"],"itemData":{"id":327,"type":"article-journal","container-title":"Bioinformatics","DOI":"10.1093/bioinformatics/bty560","ISSN":"1367-4803, 1460-2059","issue":"17","language":"en","page":"i884-i890","source":"DOI.org (Crossref)","title":"fastp: an ultra-fast all-in-one FASTQ preprocessor","title-short":"fastp","volume":"34","author":[{"family":"Chen","given":"Shifu"},{"family":"Zhou","given":"Yanqing"},{"family":"Chen","given":"Yaru"},{"family":"Gu","given":"Jia"}],"issued":{"date-parts":[["2018",9,1]]}}}],"schema":"https://github.com/citation-style-language/schema/raw/master/csl-citation.json"} </w:instrText>
      </w:r>
      <w:r w:rsidR="00D06C71">
        <w:rPr>
          <w:rFonts w:ascii="Times New Roman" w:eastAsia="Arial" w:hAnsi="Times New Roman" w:cs="Times New Roman"/>
          <w:color w:val="000000" w:themeColor="text1"/>
          <w:sz w:val="24"/>
          <w:szCs w:val="24"/>
        </w:rPr>
        <w:fldChar w:fldCharType="separate"/>
      </w:r>
      <w:r w:rsidR="00D06C71" w:rsidRPr="00D06C71">
        <w:rPr>
          <w:rFonts w:ascii="Times New Roman" w:hAnsi="Times New Roman" w:cs="Times New Roman"/>
          <w:color w:val="000000"/>
          <w:sz w:val="24"/>
          <w:vertAlign w:val="superscript"/>
        </w:rPr>
        <w:t>4</w:t>
      </w:r>
      <w:r w:rsidR="00D06C71">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and transcriptome quantification was performed using Salmon v0.14.</w:t>
      </w:r>
      <w:r w:rsidR="00D06C71">
        <w:rPr>
          <w:rFonts w:ascii="Times New Roman" w:eastAsia="Arial" w:hAnsi="Times New Roman" w:cs="Times New Roman"/>
          <w:color w:val="000000" w:themeColor="text1"/>
          <w:sz w:val="24"/>
          <w:szCs w:val="24"/>
        </w:rPr>
        <w:t>1</w:t>
      </w:r>
      <w:r w:rsidR="006D7FA5">
        <w:rPr>
          <w:rFonts w:ascii="Times New Roman" w:eastAsia="Arial" w:hAnsi="Times New Roman" w:cs="Times New Roman"/>
          <w:color w:val="000000" w:themeColor="text1"/>
          <w:sz w:val="24"/>
          <w:szCs w:val="24"/>
        </w:rPr>
        <w:fldChar w:fldCharType="begin"/>
      </w:r>
      <w:r w:rsidR="006D7FA5">
        <w:rPr>
          <w:rFonts w:ascii="Times New Roman" w:eastAsia="Arial" w:hAnsi="Times New Roman" w:cs="Times New Roman"/>
          <w:color w:val="000000" w:themeColor="text1"/>
          <w:sz w:val="24"/>
          <w:szCs w:val="24"/>
        </w:rPr>
        <w:instrText xml:space="preserve"> ADDIN ZOTERO_ITEM CSL_CITATION {"citationID":"wpmWVl6G","properties":{"formattedCitation":"\\super 5\\nosupersub{}","plainCitation":"5","noteIndex":0},"citationItems":[{"id":402,"uris":["http://zotero.org/users/local/04OJRdjF/items/IJ7BV4BP"],"itemData":{"id":402,"type":"article-journal","container-title":"Nature Methods","DOI":"10.1038/nmeth.4197","ISSN":"1548-7091, 1548-7105","issue":"4","journalAbbreviation":"Nat Methods","language":"en","page":"417-419","source":"DOI.org (Crossref)","title":"Salmon provides fast and bias-aware quantification of transcript expression","volume":"14","author":[{"family":"Patro","given":"Rob"},{"family":"Duggal","given":"Geet"},{"family":"Love","given":"Michael I"},{"family":"Irizarry","given":"Rafael A"},{"family":"Kingsford","given":"Carl"}],"issued":{"date-parts":[["2017",4]]}}}],"schema":"https://github.com/citation-style-language/schema/raw/master/csl-citation.json"} </w:instrText>
      </w:r>
      <w:r w:rsidR="006D7FA5">
        <w:rPr>
          <w:rFonts w:ascii="Times New Roman" w:eastAsia="Arial" w:hAnsi="Times New Roman" w:cs="Times New Roman"/>
          <w:color w:val="000000" w:themeColor="text1"/>
          <w:sz w:val="24"/>
          <w:szCs w:val="24"/>
        </w:rPr>
        <w:fldChar w:fldCharType="separate"/>
      </w:r>
      <w:r w:rsidR="006D7FA5" w:rsidRPr="006D7FA5">
        <w:rPr>
          <w:rFonts w:ascii="Times New Roman" w:hAnsi="Times New Roman" w:cs="Times New Roman"/>
          <w:color w:val="000000"/>
          <w:sz w:val="24"/>
          <w:vertAlign w:val="superscript"/>
        </w:rPr>
        <w:t>5</w:t>
      </w:r>
      <w:r w:rsidR="006D7FA5">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xml:space="preserve"> to align to the hg38 human genome using annotations from Gencode</w:t>
      </w:r>
      <w:r w:rsidR="006D7FA5">
        <w:rPr>
          <w:rFonts w:ascii="Times New Roman" w:eastAsia="Arial" w:hAnsi="Times New Roman" w:cs="Times New Roman"/>
          <w:color w:val="000000" w:themeColor="text1"/>
          <w:sz w:val="24"/>
          <w:szCs w:val="24"/>
        </w:rPr>
        <w:fldChar w:fldCharType="begin"/>
      </w:r>
      <w:r w:rsidR="006D7FA5">
        <w:rPr>
          <w:rFonts w:ascii="Times New Roman" w:eastAsia="Arial" w:hAnsi="Times New Roman" w:cs="Times New Roman"/>
          <w:color w:val="000000" w:themeColor="text1"/>
          <w:sz w:val="24"/>
          <w:szCs w:val="24"/>
        </w:rPr>
        <w:instrText xml:space="preserve"> ADDIN ZOTERO_ITEM CSL_CITATION {"citationID":"3WdpvjnZ","properties":{"formattedCitation":"\\super 6\\nosupersub{}","plainCitation":"6","noteIndex":0},"citationItems":[{"id":404,"uris":["http://zotero.org/users/local/04OJRdjF/items/7EL2TQQH"],"itemData":{"id":404,"type":"article-journal","container-title":"Nucleic Acids Research","DOI":"10.1093/nar/gky955","ISSN":"0305-1048, 1362-4962","issue":"D1","language":"en","page":"D766-D773","source":"DOI.org (Crossref)","title":"GENCODE reference annotation for the human and mouse genomes","volume":"47","author":[{"family":"Frankish","given":"Adam"},{"family":"Diekhans","given":"Mark"},{"family":"Ferreira","given":"Anne-Maud"},{"family":"Johnson","given":"Rory"},{"family":"Jungreis","given":"Irwin"},{"family":"Loveland","given":"Jane"},{"family":"Mudge","given":"Jonathan M"},{"family":"Sisu","given":"Cristina"},{"family":"Wright","given":"James"},{"family":"Armstrong","given":"Joel"},{"family":"Barnes","given":"If"},{"family":"Berry","given":"Andrew"},{"family":"Bignell","given":"Alexandra"},{"family":"Carbonell Sala","given":"Silvia"},{"family":"Chrast","given":"Jacqueline"},{"family":"Cunningham","given":"Fiona"},{"family":"Di Domenico","given":"Tomás"},{"family":"Donaldson","given":"Sarah"},{"family":"Fiddes","given":"Ian T"},{"family":"García Girón","given":"Carlos"},{"family":"Gonzalez","given":"Jose Manuel"},{"family":"Grego","given":"Tiago"},{"family":"Hardy","given":"Matthew"},{"family":"Hourlier","given":"Thibaut"},{"family":"Hunt","given":"Toby"},{"family":"Izuogu","given":"Osagie G"},{"family":"Lagarde","given":"Julien"},{"family":"Martin","given":"Fergal J"},{"family":"Martínez","given":"Laura"},{"family":"Mohanan","given":"Shamika"},{"family":"Muir","given":"Paul"},{"family":"Navarro","given":"Fabio C P"},{"family":"Parker","given":"Anne"},{"family":"Pei","given":"Baikang"},{"family":"Pozo","given":"Fernando"},{"family":"Ruffier","given":"Magali"},{"family":"Schmitt","given":"Bianca M"},{"family":"Stapleton","given":"Eloise"},{"family":"Suner","given":"Marie-Marthe"},{"family":"Sycheva","given":"Irina"},{"family":"Uszczynska-Ratajczak","given":"Barbara"},{"family":"Xu","given":"Jinuri"},{"family":"Yates","given":"Andrew"},{"family":"Zerbino","given":"Daniel"},{"family":"Zhang","given":"Yan"},{"family":"Aken","given":"Bronwen"},{"family":"Choudhary","given":"Jyoti S"},{"family":"Gerstein","given":"Mark"},{"family":"Guigó","given":"Roderic"},{"family":"Hubbard","given":"Tim J P"},{"family":"Kellis","given":"Manolis"},{"family":"Paten","given":"Benedict"},{"family":"Reymond","given":"Alexandre"},{"family":"Tress","given":"Michael L"},{"family":"Flicek","given":"Paul"}],"issued":{"date-parts":[["2019",1,8]]}}}],"schema":"https://github.com/citation-style-language/schema/raw/master/csl-citation.json"} </w:instrText>
      </w:r>
      <w:r w:rsidR="006D7FA5">
        <w:rPr>
          <w:rFonts w:ascii="Times New Roman" w:eastAsia="Arial" w:hAnsi="Times New Roman" w:cs="Times New Roman"/>
          <w:color w:val="000000" w:themeColor="text1"/>
          <w:sz w:val="24"/>
          <w:szCs w:val="24"/>
        </w:rPr>
        <w:fldChar w:fldCharType="separate"/>
      </w:r>
      <w:r w:rsidR="006D7FA5" w:rsidRPr="006D7FA5">
        <w:rPr>
          <w:rFonts w:ascii="Times New Roman" w:hAnsi="Times New Roman" w:cs="Times New Roman"/>
          <w:color w:val="000000"/>
          <w:sz w:val="24"/>
          <w:vertAlign w:val="superscript"/>
        </w:rPr>
        <w:t>6</w:t>
      </w:r>
      <w:r w:rsidR="006D7FA5">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Raw counts were obtained and merged with tximport</w:t>
      </w:r>
      <w:r w:rsidR="006D7FA5">
        <w:rPr>
          <w:rFonts w:ascii="Times New Roman" w:eastAsia="Arial" w:hAnsi="Times New Roman" w:cs="Times New Roman"/>
          <w:color w:val="000000" w:themeColor="text1"/>
          <w:sz w:val="24"/>
          <w:szCs w:val="24"/>
        </w:rPr>
        <w:fldChar w:fldCharType="begin"/>
      </w:r>
      <w:r w:rsidR="006D7FA5">
        <w:rPr>
          <w:rFonts w:ascii="Times New Roman" w:eastAsia="Arial" w:hAnsi="Times New Roman" w:cs="Times New Roman"/>
          <w:color w:val="000000" w:themeColor="text1"/>
          <w:sz w:val="24"/>
          <w:szCs w:val="24"/>
        </w:rPr>
        <w:instrText xml:space="preserve"> ADDIN ZOTERO_ITEM CSL_CITATION {"citationID":"jNr7nYnv","properties":{"formattedCitation":"\\super 7\\nosupersub{}","plainCitation":"7","noteIndex":0},"citationItems":[{"id":406,"uris":["http://zotero.org/users/local/04OJRdjF/items/SYI832PK"],"itemData":{"id":406,"type":"article-journal","abstract":"High-throughput sequencing of cDNA (RNA-seq) is used extensively to characterize the transcriptome of cells. Many transcriptomic studies aim at comparing either abundance levels or the transcriptome composition between given conditions, and as a first step, the sequencing reads must be used as the basis for abundance quantification of transcriptomic features of interest, such as genes or transcripts. Several different quantification approaches have been proposed, ranging from simple counting of reads that overlap given genomic regions to more complex estimation of underlying transcript abundances. In this paper, we show that gene-level abundance estimates and statistical inference offer advantages over transcript-level analyses, in terms of performance and interpretability. We also illustrate that while the presence of differential isoform usage can lead to inflated false discovery rates in differential expression analyses on simple count matrices and transcript-level abundance estimates improve the performance in simulated data, the difference is relatively minor in several real data sets. Finally, we provide an R package (\n              tximport\n              ) to help users integrate transcript-level abundance estimates from common quantification pipelines into count-based statistical inference engines.","container-title":"F1000Research","DOI":"10.12688/f1000research.7563.1","ISSN":"2046-1402","journalAbbreviation":"F1000Res","language":"en","page":"1521","source":"DOI.org (Crossref)","title":"Differential analyses for RNA-seq: transcript-level estimates improve gene-level inferences","title-short":"Differential analyses for RNA-seq","volume":"4","author":[{"family":"Soneson","given":"Charlotte"},{"family":"Love","given":"Michael I."},{"family":"Robinson","given":"Mark D."}],"issued":{"date-parts":[["2015",12,30]]}}}],"schema":"https://github.com/citation-style-language/schema/raw/master/csl-citation.json"} </w:instrText>
      </w:r>
      <w:r w:rsidR="006D7FA5">
        <w:rPr>
          <w:rFonts w:ascii="Times New Roman" w:eastAsia="Arial" w:hAnsi="Times New Roman" w:cs="Times New Roman"/>
          <w:color w:val="000000" w:themeColor="text1"/>
          <w:sz w:val="24"/>
          <w:szCs w:val="24"/>
        </w:rPr>
        <w:fldChar w:fldCharType="separate"/>
      </w:r>
      <w:r w:rsidR="006D7FA5" w:rsidRPr="006D7FA5">
        <w:rPr>
          <w:rFonts w:ascii="Times New Roman" w:hAnsi="Times New Roman" w:cs="Times New Roman"/>
          <w:color w:val="000000"/>
          <w:sz w:val="24"/>
          <w:vertAlign w:val="superscript"/>
        </w:rPr>
        <w:t>7</w:t>
      </w:r>
      <w:r w:rsidR="006D7FA5">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xml:space="preserve"> and saved as count and transcript length files as well as length scaled TPM files.</w:t>
      </w:r>
    </w:p>
    <w:p w14:paraId="1FF2FAA8" w14:textId="06679BBA" w:rsidR="00985968" w:rsidRPr="006C6B65" w:rsidRDefault="00985968" w:rsidP="00985968">
      <w:pPr>
        <w:rPr>
          <w:rFonts w:ascii="Times New Roman" w:eastAsia="Arial" w:hAnsi="Times New Roman" w:cs="Times New Roman"/>
          <w:color w:val="000000" w:themeColor="text1"/>
          <w:sz w:val="24"/>
          <w:szCs w:val="24"/>
        </w:rPr>
      </w:pPr>
      <w:r w:rsidRPr="006C6B65">
        <w:rPr>
          <w:rFonts w:ascii="Times New Roman" w:eastAsia="Arial" w:hAnsi="Times New Roman" w:cs="Times New Roman"/>
          <w:color w:val="000000" w:themeColor="text1"/>
          <w:sz w:val="24"/>
          <w:szCs w:val="24"/>
        </w:rPr>
        <w:t xml:space="preserve">Versioned </w:t>
      </w:r>
      <w:proofErr w:type="spellStart"/>
      <w:r w:rsidRPr="006C6B65">
        <w:rPr>
          <w:rFonts w:ascii="Times New Roman" w:eastAsia="Arial" w:hAnsi="Times New Roman" w:cs="Times New Roman"/>
          <w:color w:val="000000" w:themeColor="text1"/>
          <w:sz w:val="24"/>
          <w:szCs w:val="24"/>
        </w:rPr>
        <w:t>Ensembl</w:t>
      </w:r>
      <w:proofErr w:type="spellEnd"/>
      <w:r w:rsidRPr="006C6B65">
        <w:rPr>
          <w:rFonts w:ascii="Times New Roman" w:eastAsia="Arial" w:hAnsi="Times New Roman" w:cs="Times New Roman"/>
          <w:color w:val="000000" w:themeColor="text1"/>
          <w:sz w:val="24"/>
          <w:szCs w:val="24"/>
        </w:rPr>
        <w:t xml:space="preserve"> gene IDs from TPM-normalized counts for tissue (n = 135) and blood mRNA (n=74) were converted to their corresponding HUGO Gene Nomenclature Committee (HGNC) gene names using biomaRt</w:t>
      </w:r>
      <w:r w:rsidR="006D7FA5">
        <w:rPr>
          <w:rFonts w:ascii="Times New Roman" w:eastAsia="Arial" w:hAnsi="Times New Roman" w:cs="Times New Roman"/>
          <w:color w:val="000000" w:themeColor="text1"/>
          <w:sz w:val="24"/>
          <w:szCs w:val="24"/>
        </w:rPr>
        <w:fldChar w:fldCharType="begin"/>
      </w:r>
      <w:r w:rsidR="006D7FA5">
        <w:rPr>
          <w:rFonts w:ascii="Times New Roman" w:eastAsia="Arial" w:hAnsi="Times New Roman" w:cs="Times New Roman"/>
          <w:color w:val="000000" w:themeColor="text1"/>
          <w:sz w:val="24"/>
          <w:szCs w:val="24"/>
        </w:rPr>
        <w:instrText xml:space="preserve"> ADDIN ZOTERO_ITEM CSL_CITATION {"citationID":"RBc15fbo","properties":{"formattedCitation":"\\super 8,9\\nosupersub{}","plainCitation":"8,9","noteIndex":0},"citationItems":[{"id":329,"uris":["http://zotero.org/users/local/04OJRdjF/items/37H3TZ5X"],"itemData":{"id":329,"type":"article-journal","container-title":"Nature Protocols","DOI":"10.1038/nprot.2009.97","ISSN":"1754-2189, 1750-2799","issue":"8","journalAbbreviation":"Nat Protoc","language":"en","page":"1184-1191","source":"DOI.org (Crossref)","title":"Mapping identifiers for the integration of genomic datasets with the R/Bioconductor package biomaRt","volume":"4","author":[{"family":"Durinck","given":"Steffen"},{"family":"Spellman","given":"Paul T"},{"family":"Birney","given":"Ewan"},{"family":"Huber","given":"Wolfgang"}],"issued":{"date-parts":[["2009",8]]}}},{"id":331,"uris":["http://zotero.org/users/local/04OJRdjF/items/NXJPGMXP"],"itemData":{"id":331,"type":"article-journal","container-title":"Bioinformatics","DOI":"10.1093/bioinformatics/bti525","ISSN":"1367-4803, 1460-2059","issue":"16","journalAbbreviation":"Bioinformatics","language":"en","page":"3439-3440","source":"DOI.org (Crossref)","title":"BioMart and Bioconductor: a powerful link between biological databases and microarray data analysis","title-short":"BioMart and Bioconductor","volume":"21","author":[{"family":"Durinck","given":"S."},{"family":"Moreau","given":"Y."},{"family":"Kasprzyk","given":"A."},{"family":"Davis","given":"S."},{"family":"De Moor","given":"B."},{"family":"Brazma","given":"A."},{"family":"Huber","given":"W."}],"issued":{"date-parts":[["2005",8,15]]}}}],"schema":"https://github.com/citation-style-language/schema/raw/master/csl-citation.json"} </w:instrText>
      </w:r>
      <w:r w:rsidR="006D7FA5">
        <w:rPr>
          <w:rFonts w:ascii="Times New Roman" w:eastAsia="Arial" w:hAnsi="Times New Roman" w:cs="Times New Roman"/>
          <w:color w:val="000000" w:themeColor="text1"/>
          <w:sz w:val="24"/>
          <w:szCs w:val="24"/>
        </w:rPr>
        <w:fldChar w:fldCharType="separate"/>
      </w:r>
      <w:r w:rsidR="006D7FA5" w:rsidRPr="006D7FA5">
        <w:rPr>
          <w:rFonts w:ascii="Times New Roman" w:hAnsi="Times New Roman" w:cs="Times New Roman"/>
          <w:color w:val="000000"/>
          <w:sz w:val="24"/>
          <w:vertAlign w:val="superscript"/>
        </w:rPr>
        <w:t>8,9</w:t>
      </w:r>
      <w:r w:rsidR="006D7FA5">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xml:space="preserve">. To reduce the overall number of genes tested for analyses, normalized counts were summed up for each gene as multiple </w:t>
      </w:r>
      <w:proofErr w:type="spellStart"/>
      <w:r w:rsidRPr="006C6B65">
        <w:rPr>
          <w:rFonts w:ascii="Times New Roman" w:eastAsia="Arial" w:hAnsi="Times New Roman" w:cs="Times New Roman"/>
          <w:color w:val="000000" w:themeColor="text1"/>
          <w:sz w:val="24"/>
          <w:szCs w:val="24"/>
        </w:rPr>
        <w:t>Ensembl</w:t>
      </w:r>
      <w:proofErr w:type="spellEnd"/>
      <w:r w:rsidRPr="006C6B65">
        <w:rPr>
          <w:rFonts w:ascii="Times New Roman" w:eastAsia="Arial" w:hAnsi="Times New Roman" w:cs="Times New Roman"/>
          <w:color w:val="000000" w:themeColor="text1"/>
          <w:sz w:val="24"/>
          <w:szCs w:val="24"/>
        </w:rPr>
        <w:t xml:space="preserve"> IDs mapped to the same gene,</w:t>
      </w:r>
    </w:p>
    <w:p w14:paraId="4786BC79" w14:textId="4C58641E" w:rsidR="00985968" w:rsidRPr="006C6B65" w:rsidRDefault="00985968" w:rsidP="00985968">
      <w:pPr>
        <w:rPr>
          <w:rFonts w:ascii="Times New Roman" w:eastAsia="Arial" w:hAnsi="Times New Roman" w:cs="Times New Roman"/>
          <w:i/>
          <w:iCs/>
          <w:color w:val="000000" w:themeColor="text1"/>
          <w:sz w:val="24"/>
          <w:szCs w:val="24"/>
        </w:rPr>
      </w:pPr>
      <w:r w:rsidRPr="006C6B65">
        <w:rPr>
          <w:rFonts w:ascii="Times New Roman" w:eastAsia="Arial" w:hAnsi="Times New Roman" w:cs="Times New Roman"/>
          <w:i/>
          <w:iCs/>
          <w:color w:val="000000" w:themeColor="text1"/>
          <w:sz w:val="24"/>
          <w:szCs w:val="24"/>
        </w:rPr>
        <w:t>microRNA Sequencing &amp; Processing</w:t>
      </w:r>
    </w:p>
    <w:p w14:paraId="7605AE4F" w14:textId="16AB9F45" w:rsidR="00B97E9E" w:rsidRPr="006C6B65" w:rsidRDefault="00B97E9E" w:rsidP="00985968">
      <w:pPr>
        <w:rPr>
          <w:rFonts w:ascii="Times New Roman" w:eastAsia="Arial" w:hAnsi="Times New Roman" w:cs="Times New Roman"/>
          <w:color w:val="000000" w:themeColor="text1"/>
          <w:sz w:val="24"/>
          <w:szCs w:val="24"/>
        </w:rPr>
      </w:pPr>
      <w:r w:rsidRPr="006C6B65">
        <w:rPr>
          <w:rFonts w:ascii="Times New Roman" w:eastAsia="Arial" w:hAnsi="Times New Roman" w:cs="Times New Roman"/>
          <w:color w:val="000000" w:themeColor="text1"/>
          <w:sz w:val="24"/>
          <w:szCs w:val="24"/>
        </w:rPr>
        <w:t xml:space="preserve">The NEXTFLEX Small RNA-Seq Kit v3 (PerkinElmer) was used to prepare sequencing libraries for miRNA. Libraries were sequenced using the Illumina </w:t>
      </w:r>
      <w:proofErr w:type="spellStart"/>
      <w:r w:rsidRPr="006C6B65">
        <w:rPr>
          <w:rFonts w:ascii="Times New Roman" w:eastAsia="Arial" w:hAnsi="Times New Roman" w:cs="Times New Roman"/>
          <w:color w:val="000000" w:themeColor="text1"/>
          <w:sz w:val="24"/>
          <w:szCs w:val="24"/>
        </w:rPr>
        <w:t>NovaSeq</w:t>
      </w:r>
      <w:proofErr w:type="spellEnd"/>
      <w:r w:rsidRPr="006C6B65">
        <w:rPr>
          <w:rFonts w:ascii="Times New Roman" w:eastAsia="Arial" w:hAnsi="Times New Roman" w:cs="Times New Roman"/>
          <w:color w:val="000000" w:themeColor="text1"/>
          <w:sz w:val="24"/>
          <w:szCs w:val="24"/>
        </w:rPr>
        <w:t xml:space="preserve"> 6000 platform (100 base pairs, </w:t>
      </w:r>
      <w:proofErr w:type="gramStart"/>
      <w:r w:rsidRPr="006C6B65">
        <w:rPr>
          <w:rFonts w:ascii="Times New Roman" w:eastAsia="Arial" w:hAnsi="Times New Roman" w:cs="Times New Roman"/>
          <w:color w:val="000000" w:themeColor="text1"/>
          <w:sz w:val="24"/>
          <w:szCs w:val="24"/>
        </w:rPr>
        <w:t>single-end</w:t>
      </w:r>
      <w:proofErr w:type="gramEnd"/>
      <w:r w:rsidRPr="006C6B65">
        <w:rPr>
          <w:rFonts w:ascii="Times New Roman" w:eastAsia="Arial" w:hAnsi="Times New Roman" w:cs="Times New Roman"/>
          <w:color w:val="000000" w:themeColor="text1"/>
          <w:sz w:val="24"/>
          <w:szCs w:val="24"/>
        </w:rPr>
        <w:t>) at the Genomics Core of the Lerner Research Institute at Cleveland Clinic (Cleveland, OH). Raw FASTQ files underwent quality read assessments using FASTQC v.0.11.8</w:t>
      </w:r>
      <w:r w:rsidR="006D7FA5">
        <w:rPr>
          <w:rFonts w:ascii="Times New Roman" w:eastAsia="Arial" w:hAnsi="Times New Roman" w:cs="Times New Roman"/>
          <w:color w:val="000000" w:themeColor="text1"/>
          <w:sz w:val="24"/>
          <w:szCs w:val="24"/>
        </w:rPr>
        <w:fldChar w:fldCharType="begin"/>
      </w:r>
      <w:r w:rsidR="006D7FA5">
        <w:rPr>
          <w:rFonts w:ascii="Times New Roman" w:eastAsia="Arial" w:hAnsi="Times New Roman" w:cs="Times New Roman"/>
          <w:color w:val="000000" w:themeColor="text1"/>
          <w:sz w:val="24"/>
          <w:szCs w:val="24"/>
        </w:rPr>
        <w:instrText xml:space="preserve"> ADDIN ZOTERO_ITEM CSL_CITATION {"citationID":"3XmcnpTH","properties":{"formattedCitation":"\\super 10\\nosupersub{}","plainCitation":"10","noteIndex":0},"citationItems":[{"id":335,"uris":["http://zotero.org/users/local/04OJRdjF/items/43IPXWI7"],"itemData":{"id":335,"type":"book","title":"FASTQC. A Quality Control Tool for High Throughput Sequence Data","URL":"http://www.bioinformatics.babraham.ac.uk/projects/fastqc/","author":[{"family":"Andrews","given":"S"}],"issued":{"date-parts":[["2010"]]}}}],"schema":"https://github.com/citation-style-language/schema/raw/master/csl-citation.json"} </w:instrText>
      </w:r>
      <w:r w:rsidR="006D7FA5">
        <w:rPr>
          <w:rFonts w:ascii="Times New Roman" w:eastAsia="Arial" w:hAnsi="Times New Roman" w:cs="Times New Roman"/>
          <w:color w:val="000000" w:themeColor="text1"/>
          <w:sz w:val="24"/>
          <w:szCs w:val="24"/>
        </w:rPr>
        <w:fldChar w:fldCharType="separate"/>
      </w:r>
      <w:r w:rsidR="006D7FA5" w:rsidRPr="006D7FA5">
        <w:rPr>
          <w:rFonts w:ascii="Times New Roman" w:hAnsi="Times New Roman" w:cs="Times New Roman"/>
          <w:color w:val="000000"/>
          <w:sz w:val="24"/>
          <w:vertAlign w:val="superscript"/>
        </w:rPr>
        <w:t>10</w:t>
      </w:r>
      <w:r w:rsidR="006D7FA5">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xml:space="preserve">. The </w:t>
      </w:r>
      <w:proofErr w:type="spellStart"/>
      <w:r w:rsidRPr="006C6B65">
        <w:rPr>
          <w:rFonts w:ascii="Times New Roman" w:eastAsia="Arial" w:hAnsi="Times New Roman" w:cs="Times New Roman"/>
          <w:color w:val="000000" w:themeColor="text1"/>
          <w:sz w:val="24"/>
          <w:szCs w:val="24"/>
        </w:rPr>
        <w:t>nf</w:t>
      </w:r>
      <w:proofErr w:type="spellEnd"/>
      <w:r w:rsidRPr="006C6B65">
        <w:rPr>
          <w:rFonts w:ascii="Times New Roman" w:eastAsia="Arial" w:hAnsi="Times New Roman" w:cs="Times New Roman"/>
          <w:color w:val="000000" w:themeColor="text1"/>
          <w:sz w:val="24"/>
          <w:szCs w:val="24"/>
        </w:rPr>
        <w:t xml:space="preserve">-core </w:t>
      </w:r>
      <w:proofErr w:type="spellStart"/>
      <w:r w:rsidRPr="006C6B65">
        <w:rPr>
          <w:rFonts w:ascii="Times New Roman" w:eastAsia="Arial" w:hAnsi="Times New Roman" w:cs="Times New Roman"/>
          <w:color w:val="000000" w:themeColor="text1"/>
          <w:sz w:val="24"/>
          <w:szCs w:val="24"/>
        </w:rPr>
        <w:t>smrnaseq</w:t>
      </w:r>
      <w:proofErr w:type="spellEnd"/>
      <w:r w:rsidRPr="006C6B65">
        <w:rPr>
          <w:rFonts w:ascii="Times New Roman" w:eastAsia="Arial" w:hAnsi="Times New Roman" w:cs="Times New Roman"/>
          <w:color w:val="000000" w:themeColor="text1"/>
          <w:sz w:val="24"/>
          <w:szCs w:val="24"/>
        </w:rPr>
        <w:t xml:space="preserve"> workflow revision v1.0.0</w:t>
      </w:r>
      <w:r w:rsidR="006D7FA5">
        <w:rPr>
          <w:rFonts w:ascii="Times New Roman" w:eastAsia="Arial" w:hAnsi="Times New Roman" w:cs="Times New Roman"/>
          <w:color w:val="000000" w:themeColor="text1"/>
          <w:sz w:val="24"/>
          <w:szCs w:val="24"/>
        </w:rPr>
        <w:fldChar w:fldCharType="begin"/>
      </w:r>
      <w:r w:rsidR="00A4431F">
        <w:rPr>
          <w:rFonts w:ascii="Times New Roman" w:eastAsia="Arial" w:hAnsi="Times New Roman" w:cs="Times New Roman"/>
          <w:color w:val="000000" w:themeColor="text1"/>
          <w:sz w:val="24"/>
          <w:szCs w:val="24"/>
        </w:rPr>
        <w:instrText xml:space="preserve"> ADDIN ZOTERO_ITEM CSL_CITATION {"citationID":"0VLS4eLo","properties":{"formattedCitation":"\\super 11\\nosupersub{}","plainCitation":"11","noteIndex":0},"citationItems":[{"id":333,"uris":["http://zotero.org/users/local/04OJRdjF/items/BXHQUZ29"],"itemData":{"id":333,"type":"report","abstract":"Abstract\n          \n            The standardization, portability, and reproducibility of analysis pipelines is a renowned problem within the bioinformatics community. Most pipelines are designed for execution on-premise, and the associated software dependencies are tightly coupled with the local compute environment. This leads to poor pipeline portability and reproducibility of the ensuing results - both of which are fundamental requirements for the validation of scientific findings. Here, we introduce\n            nf-core\n            : a framework that provides a community-driven, peer-reviewed platform for the development of best practice analysis pipelines written in Nextflow. Key obstacles in pipeline development such as portability, reproducibility, scalability and unified parallelism are inherently addressed by all\n            nf-core\n            pipelines. We are also continually developing a suite of tools that assist in the creation and development of both new and existing pipelines. Our primary goal is to provide a platform for high-quality, reproducible bioinformatics pipelines that can be utilized across various institutions and research facilities.","genre":"preprint","language":"en","note":"DOI: 10.1101/610741","publisher":"Bioinformatics","source":"DOI.org (Crossref)","title":"&lt;i&gt;nf-core&lt;/i&gt; : Community curated bioinformatics pipelines","title-short":"&lt;i&gt;nf-core&lt;/i&gt;","URL":"http://biorxiv.org/lookup/doi/10.1101/610741","author":[{"family":"Ewels","given":"Philip A"},{"family":"Peltzer","given":"Alexander"},{"family":"Fillinger","given":"Sven"},{"family":"Alneberg","given":"Johannes"},{"family":"Patel","given":"Harshil"},{"family":"Wilm","given":"Andreas"},{"family":"Garcia","given":"Maxime Ulysse"},{"family":"Di Tommaso","given":"Paolo"},{"family":"Nahnsen","given":"Sven"}],"accessed":{"date-parts":[["2022",2,8]]},"issued":{"date-parts":[["2019",4,16]]}}}],"schema":"https://github.com/citation-style-language/schema/raw/master/csl-citation.json"} </w:instrText>
      </w:r>
      <w:r w:rsidR="006D7FA5">
        <w:rPr>
          <w:rFonts w:ascii="Times New Roman" w:eastAsia="Arial" w:hAnsi="Times New Roman" w:cs="Times New Roman"/>
          <w:color w:val="000000" w:themeColor="text1"/>
          <w:sz w:val="24"/>
          <w:szCs w:val="24"/>
        </w:rPr>
        <w:fldChar w:fldCharType="separate"/>
      </w:r>
      <w:r w:rsidR="00A4431F" w:rsidRPr="00A4431F">
        <w:rPr>
          <w:rFonts w:ascii="Times New Roman" w:hAnsi="Times New Roman" w:cs="Times New Roman"/>
          <w:color w:val="000000"/>
          <w:sz w:val="24"/>
          <w:vertAlign w:val="superscript"/>
        </w:rPr>
        <w:t>11</w:t>
      </w:r>
      <w:r w:rsidR="006D7FA5">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xml:space="preserve"> was used including quality trimming with Trim Galore v0.6.3</w:t>
      </w:r>
      <w:r w:rsidR="00A4431F">
        <w:rPr>
          <w:rFonts w:ascii="Times New Roman" w:eastAsia="Arial" w:hAnsi="Times New Roman" w:cs="Times New Roman"/>
          <w:color w:val="000000" w:themeColor="text1"/>
          <w:sz w:val="24"/>
          <w:szCs w:val="24"/>
        </w:rPr>
        <w:fldChar w:fldCharType="begin"/>
      </w:r>
      <w:r w:rsidR="00A4431F">
        <w:rPr>
          <w:rFonts w:ascii="Times New Roman" w:eastAsia="Arial" w:hAnsi="Times New Roman" w:cs="Times New Roman"/>
          <w:color w:val="000000" w:themeColor="text1"/>
          <w:sz w:val="24"/>
          <w:szCs w:val="24"/>
        </w:rPr>
        <w:instrText xml:space="preserve"> ADDIN ZOTERO_ITEM CSL_CITATION {"citationID":"qMW4QaA9","properties":{"formattedCitation":"\\super 12\\nosupersub{}","plainCitation":"12","noteIndex":0},"citationItems":[{"id":336,"uris":["http://zotero.org/users/local/04OJRdjF/items/Q534JGGD"],"itemData":{"id":336,"type":"book","title":"Trim Galore","URL":"https://github.com/FelixKrueger/TrimGalore","author":[{"family":"Krueger","given":"Felix"}],"accessed":{"date-parts":[["2020",9,16]]}}}],"schema":"https://github.com/citation-style-language/schema/raw/master/csl-citation.json"} </w:instrText>
      </w:r>
      <w:r w:rsidR="00A4431F">
        <w:rPr>
          <w:rFonts w:ascii="Times New Roman" w:eastAsia="Arial" w:hAnsi="Times New Roman" w:cs="Times New Roman"/>
          <w:color w:val="000000" w:themeColor="text1"/>
          <w:sz w:val="24"/>
          <w:szCs w:val="24"/>
        </w:rPr>
        <w:fldChar w:fldCharType="separate"/>
      </w:r>
      <w:r w:rsidR="00A4431F" w:rsidRPr="00A4431F">
        <w:rPr>
          <w:rFonts w:ascii="Times New Roman" w:hAnsi="Times New Roman" w:cs="Times New Roman"/>
          <w:color w:val="000000"/>
          <w:sz w:val="24"/>
          <w:vertAlign w:val="superscript"/>
        </w:rPr>
        <w:t>12</w:t>
      </w:r>
      <w:r w:rsidR="00A4431F">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xml:space="preserve"> and alignment to miRbase was performed using Bowtie 1 </w:t>
      </w:r>
      <w:r w:rsidRPr="006C6B65">
        <w:rPr>
          <w:rFonts w:ascii="Times New Roman" w:eastAsia="Arial" w:hAnsi="Times New Roman" w:cs="Times New Roman"/>
          <w:color w:val="000000" w:themeColor="text1"/>
          <w:sz w:val="24"/>
          <w:szCs w:val="24"/>
        </w:rPr>
        <w:lastRenderedPageBreak/>
        <w:t>v1.2.2</w:t>
      </w:r>
      <w:r w:rsidR="00A4431F">
        <w:rPr>
          <w:rFonts w:ascii="Times New Roman" w:eastAsia="Arial" w:hAnsi="Times New Roman" w:cs="Times New Roman"/>
          <w:color w:val="000000" w:themeColor="text1"/>
          <w:sz w:val="24"/>
          <w:szCs w:val="24"/>
        </w:rPr>
        <w:fldChar w:fldCharType="begin"/>
      </w:r>
      <w:r w:rsidR="00A4431F">
        <w:rPr>
          <w:rFonts w:ascii="Times New Roman" w:eastAsia="Arial" w:hAnsi="Times New Roman" w:cs="Times New Roman"/>
          <w:color w:val="000000" w:themeColor="text1"/>
          <w:sz w:val="24"/>
          <w:szCs w:val="24"/>
        </w:rPr>
        <w:instrText xml:space="preserve"> ADDIN ZOTERO_ITEM CSL_CITATION {"citationID":"heskleg7","properties":{"formattedCitation":"\\super 13\\nosupersub{}","plainCitation":"13","noteIndex":0},"citationItems":[{"id":337,"uris":["http://zotero.org/users/local/04OJRdjF/items/E5CANB6G"],"itemData":{"id":337,"type":"article-journal","container-title":"Nature Methods","DOI":"10.1038/nmeth.1923","ISSN":"1548-7091, 1548-7105","issue":"4","journalAbbreviation":"Nat Methods","language":"en","page":"357-359","source":"DOI.org (Crossref)","title":"Fast gapped-read alignment with Bowtie 2","volume":"9","author":[{"family":"Langmead","given":"Ben"},{"family":"Salzberg","given":"Steven L"}],"issued":{"date-parts":[["2012",4]]}}}],"schema":"https://github.com/citation-style-language/schema/raw/master/csl-citation.json"} </w:instrText>
      </w:r>
      <w:r w:rsidR="00A4431F">
        <w:rPr>
          <w:rFonts w:ascii="Times New Roman" w:eastAsia="Arial" w:hAnsi="Times New Roman" w:cs="Times New Roman"/>
          <w:color w:val="000000" w:themeColor="text1"/>
          <w:sz w:val="24"/>
          <w:szCs w:val="24"/>
        </w:rPr>
        <w:fldChar w:fldCharType="separate"/>
      </w:r>
      <w:r w:rsidR="00A4431F" w:rsidRPr="00A4431F">
        <w:rPr>
          <w:rFonts w:ascii="Times New Roman" w:hAnsi="Times New Roman" w:cs="Times New Roman"/>
          <w:color w:val="000000"/>
          <w:sz w:val="24"/>
          <w:vertAlign w:val="superscript"/>
        </w:rPr>
        <w:t>13</w:t>
      </w:r>
      <w:r w:rsidR="00A4431F">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 xml:space="preserve"> to mature miRNA sequences or stem-loop miRNA sequences (hairpin miRNA). Aligned BAM files were sorted, and counts were then calculated using </w:t>
      </w:r>
      <w:proofErr w:type="spellStart"/>
      <w:r w:rsidRPr="006C6B65">
        <w:rPr>
          <w:rFonts w:ascii="Times New Roman" w:eastAsia="Arial" w:hAnsi="Times New Roman" w:cs="Times New Roman"/>
          <w:i/>
          <w:iCs/>
          <w:color w:val="000000" w:themeColor="text1"/>
          <w:sz w:val="24"/>
          <w:szCs w:val="24"/>
        </w:rPr>
        <w:t>idxstats</w:t>
      </w:r>
      <w:proofErr w:type="spellEnd"/>
      <w:r w:rsidRPr="006C6B65">
        <w:rPr>
          <w:rFonts w:ascii="Times New Roman" w:eastAsia="Arial" w:hAnsi="Times New Roman" w:cs="Times New Roman"/>
          <w:color w:val="000000" w:themeColor="text1"/>
          <w:sz w:val="24"/>
          <w:szCs w:val="24"/>
        </w:rPr>
        <w:t xml:space="preserve"> from </w:t>
      </w:r>
      <w:proofErr w:type="spellStart"/>
      <w:r w:rsidRPr="006C6B65">
        <w:rPr>
          <w:rFonts w:ascii="Times New Roman" w:eastAsia="Arial" w:hAnsi="Times New Roman" w:cs="Times New Roman"/>
          <w:color w:val="000000" w:themeColor="text1"/>
          <w:sz w:val="24"/>
          <w:szCs w:val="24"/>
        </w:rPr>
        <w:t>SAMtools</w:t>
      </w:r>
      <w:proofErr w:type="spellEnd"/>
      <w:r w:rsidRPr="006C6B65">
        <w:rPr>
          <w:rFonts w:ascii="Times New Roman" w:eastAsia="Arial" w:hAnsi="Times New Roman" w:cs="Times New Roman"/>
          <w:color w:val="000000" w:themeColor="text1"/>
          <w:sz w:val="24"/>
          <w:szCs w:val="24"/>
        </w:rPr>
        <w:t xml:space="preserve"> v1.9</w:t>
      </w:r>
      <w:r w:rsidR="00A4431F">
        <w:rPr>
          <w:rFonts w:ascii="Times New Roman" w:eastAsia="Arial" w:hAnsi="Times New Roman" w:cs="Times New Roman"/>
          <w:color w:val="000000" w:themeColor="text1"/>
          <w:sz w:val="24"/>
          <w:szCs w:val="24"/>
        </w:rPr>
        <w:fldChar w:fldCharType="begin"/>
      </w:r>
      <w:r w:rsidR="00A4431F">
        <w:rPr>
          <w:rFonts w:ascii="Times New Roman" w:eastAsia="Arial" w:hAnsi="Times New Roman" w:cs="Times New Roman"/>
          <w:color w:val="000000" w:themeColor="text1"/>
          <w:sz w:val="24"/>
          <w:szCs w:val="24"/>
        </w:rPr>
        <w:instrText xml:space="preserve"> ADDIN ZOTERO_ITEM CSL_CITATION {"citationID":"kMrl2bIx","properties":{"formattedCitation":"\\super 14\\nosupersub{}","plainCitation":"14","noteIndex":0},"citationItems":[{"id":339,"uris":["http://zotero.org/users/local/04OJRdjF/items/5CJXKT4H"],"itemData":{"id":339,"type":"article-journal","container-title":"Bioinformatics","DOI":"10.1093/bioinformatics/btp352","ISSN":"1367-4803, 1460-2059","issue":"16","journalAbbreviation":"Bioinformatics","language":"en","page":"2078-2079","source":"DOI.org (Crossref)","title":"The Sequence Alignment/Map format and SAMtools","volume":"25","author":[{"family":"Li","given":"H."},{"family":"Handsaker","given":"B."},{"family":"Wysoker","given":"A."},{"family":"Fennell","given":"T."},{"family":"Ruan","given":"J."},{"family":"Homer","given":"N."},{"family":"Marth","given":"G."},{"family":"Abecasis","given":"G."},{"family":"Durbin","given":"R."},{"literal":"1000 Genome Project Data Processing Subgroup"}],"issued":{"date-parts":[["2009",8,15]]}}}],"schema":"https://github.com/citation-style-language/schema/raw/master/csl-citation.json"} </w:instrText>
      </w:r>
      <w:r w:rsidR="00A4431F">
        <w:rPr>
          <w:rFonts w:ascii="Times New Roman" w:eastAsia="Arial" w:hAnsi="Times New Roman" w:cs="Times New Roman"/>
          <w:color w:val="000000" w:themeColor="text1"/>
          <w:sz w:val="24"/>
          <w:szCs w:val="24"/>
        </w:rPr>
        <w:fldChar w:fldCharType="separate"/>
      </w:r>
      <w:r w:rsidR="00A4431F" w:rsidRPr="00A4431F">
        <w:rPr>
          <w:rFonts w:ascii="Times New Roman" w:hAnsi="Times New Roman" w:cs="Times New Roman"/>
          <w:color w:val="000000"/>
          <w:sz w:val="24"/>
          <w:vertAlign w:val="superscript"/>
        </w:rPr>
        <w:t>14</w:t>
      </w:r>
      <w:r w:rsidR="00A4431F">
        <w:rPr>
          <w:rFonts w:ascii="Times New Roman" w:eastAsia="Arial" w:hAnsi="Times New Roman" w:cs="Times New Roman"/>
          <w:color w:val="000000" w:themeColor="text1"/>
          <w:sz w:val="24"/>
          <w:szCs w:val="24"/>
        </w:rPr>
        <w:fldChar w:fldCharType="end"/>
      </w:r>
      <w:r w:rsidRPr="006C6B65">
        <w:rPr>
          <w:rFonts w:ascii="Times New Roman" w:eastAsia="Arial" w:hAnsi="Times New Roman" w:cs="Times New Roman"/>
          <w:color w:val="000000" w:themeColor="text1"/>
          <w:sz w:val="24"/>
          <w:szCs w:val="24"/>
        </w:rPr>
        <w:t>.</w:t>
      </w:r>
    </w:p>
    <w:p w14:paraId="16F945B3" w14:textId="77777777" w:rsidR="00985968" w:rsidRPr="006C6B65" w:rsidRDefault="00985968" w:rsidP="00985968">
      <w:pPr>
        <w:rPr>
          <w:rFonts w:ascii="Times New Roman" w:eastAsia="Arial" w:hAnsi="Times New Roman" w:cs="Times New Roman"/>
          <w:i/>
          <w:iCs/>
          <w:color w:val="000000" w:themeColor="text1"/>
          <w:sz w:val="24"/>
          <w:szCs w:val="24"/>
        </w:rPr>
      </w:pPr>
      <w:r w:rsidRPr="006C6B65">
        <w:rPr>
          <w:rFonts w:ascii="Times New Roman" w:eastAsia="Arial" w:hAnsi="Times New Roman" w:cs="Times New Roman"/>
          <w:i/>
          <w:iCs/>
          <w:color w:val="000000" w:themeColor="text1"/>
          <w:sz w:val="24"/>
          <w:szCs w:val="24"/>
        </w:rPr>
        <w:t>Antiseizure Medications vs. Seizure Outcome</w:t>
      </w:r>
    </w:p>
    <w:p w14:paraId="73F3B266" w14:textId="1B33C833" w:rsidR="00985968" w:rsidRPr="006C6B65" w:rsidRDefault="00985968" w:rsidP="00985968">
      <w:pPr>
        <w:rPr>
          <w:rFonts w:ascii="Times New Roman" w:eastAsia="Arial" w:hAnsi="Times New Roman" w:cs="Times New Roman"/>
          <w:color w:val="000000" w:themeColor="text1"/>
          <w:sz w:val="24"/>
          <w:szCs w:val="24"/>
        </w:rPr>
      </w:pPr>
      <w:r w:rsidRPr="006C6B65">
        <w:rPr>
          <w:rFonts w:ascii="Times New Roman" w:eastAsia="Arial" w:hAnsi="Times New Roman" w:cs="Times New Roman"/>
          <w:color w:val="000000" w:themeColor="text1"/>
          <w:sz w:val="24"/>
          <w:szCs w:val="24"/>
        </w:rPr>
        <w:t xml:space="preserve">Given the known association between </w:t>
      </w:r>
      <w:r w:rsidRPr="006C6B65">
        <w:rPr>
          <w:rFonts w:ascii="Times New Roman" w:eastAsia="Arial" w:hAnsi="Times New Roman" w:cs="Times New Roman"/>
          <w:i/>
          <w:iCs/>
          <w:color w:val="000000" w:themeColor="text1"/>
          <w:sz w:val="24"/>
          <w:szCs w:val="24"/>
        </w:rPr>
        <w:t>ABCB1</w:t>
      </w:r>
      <w:r w:rsidRPr="006C6B65">
        <w:rPr>
          <w:rFonts w:ascii="Times New Roman" w:eastAsia="Arial" w:hAnsi="Times New Roman" w:cs="Times New Roman"/>
          <w:color w:val="000000" w:themeColor="text1"/>
          <w:sz w:val="24"/>
          <w:szCs w:val="24"/>
        </w:rPr>
        <w:t xml:space="preserve">, its protein product, P-glycoprotein, and ASMs, a Fisher’s exact test was used to determine if any associations existed between any of the 14 ASMs (lamotrigine, oxcarbazepine, topiramate, levetiracetam, </w:t>
      </w:r>
      <w:proofErr w:type="spellStart"/>
      <w:r w:rsidRPr="006C6B65">
        <w:rPr>
          <w:rFonts w:ascii="Times New Roman" w:eastAsia="Arial" w:hAnsi="Times New Roman" w:cs="Times New Roman"/>
          <w:color w:val="000000" w:themeColor="text1"/>
          <w:sz w:val="24"/>
          <w:szCs w:val="24"/>
        </w:rPr>
        <w:t>lacosamide</w:t>
      </w:r>
      <w:proofErr w:type="spellEnd"/>
      <w:r w:rsidRPr="006C6B65">
        <w:rPr>
          <w:rFonts w:ascii="Times New Roman" w:eastAsia="Arial" w:hAnsi="Times New Roman" w:cs="Times New Roman"/>
          <w:color w:val="000000" w:themeColor="text1"/>
          <w:sz w:val="24"/>
          <w:szCs w:val="24"/>
        </w:rPr>
        <w:t xml:space="preserve">, clonazepam, phenytoin, valproate, </w:t>
      </w:r>
      <w:proofErr w:type="spellStart"/>
      <w:r w:rsidRPr="006C6B65">
        <w:rPr>
          <w:rFonts w:ascii="Times New Roman" w:eastAsia="Arial" w:hAnsi="Times New Roman" w:cs="Times New Roman"/>
          <w:color w:val="000000" w:themeColor="text1"/>
          <w:sz w:val="24"/>
          <w:szCs w:val="24"/>
        </w:rPr>
        <w:t>eslicarbazepine</w:t>
      </w:r>
      <w:proofErr w:type="spellEnd"/>
      <w:r w:rsidRPr="006C6B65">
        <w:rPr>
          <w:rFonts w:ascii="Times New Roman" w:eastAsia="Arial" w:hAnsi="Times New Roman" w:cs="Times New Roman"/>
          <w:color w:val="000000" w:themeColor="text1"/>
          <w:sz w:val="24"/>
          <w:szCs w:val="24"/>
        </w:rPr>
        <w:t xml:space="preserve">, phenobarbital, </w:t>
      </w:r>
      <w:proofErr w:type="spellStart"/>
      <w:r w:rsidRPr="006C6B65">
        <w:rPr>
          <w:rFonts w:ascii="Times New Roman" w:eastAsia="Arial" w:hAnsi="Times New Roman" w:cs="Times New Roman"/>
          <w:color w:val="000000" w:themeColor="text1"/>
          <w:sz w:val="24"/>
          <w:szCs w:val="24"/>
        </w:rPr>
        <w:t>zonisamide</w:t>
      </w:r>
      <w:proofErr w:type="spellEnd"/>
      <w:r w:rsidRPr="006C6B65">
        <w:rPr>
          <w:rFonts w:ascii="Times New Roman" w:eastAsia="Arial" w:hAnsi="Times New Roman" w:cs="Times New Roman"/>
          <w:color w:val="000000" w:themeColor="text1"/>
          <w:sz w:val="24"/>
          <w:szCs w:val="24"/>
        </w:rPr>
        <w:t>, carbamazepine, lorazepam and ezogabine) used by our cohort and seizure outcome that could potentially confound the results of our SNP analyses. A threshold of FDR P &lt; .05 was used to determine statistical significance. Since the purpose of this analysis was to rule out confounding due to the presence of a particular ASM that may be affected by P-glycoprotein, we did not assess combinations of ASMs, dosage of ASMs, or blood levels of ASMs in this study.</w:t>
      </w:r>
    </w:p>
    <w:p w14:paraId="3BD11461" w14:textId="1EE2F427" w:rsidR="00985968" w:rsidRPr="006C6B65" w:rsidRDefault="00985968" w:rsidP="00985968">
      <w:pPr>
        <w:rPr>
          <w:rFonts w:ascii="Times New Roman" w:eastAsia="Arial" w:hAnsi="Times New Roman" w:cs="Times New Roman"/>
          <w:b/>
          <w:bCs/>
          <w:color w:val="000000" w:themeColor="text1"/>
          <w:sz w:val="24"/>
          <w:szCs w:val="24"/>
        </w:rPr>
      </w:pPr>
      <w:r w:rsidRPr="006C6B65">
        <w:rPr>
          <w:rFonts w:ascii="Times New Roman" w:eastAsia="Arial" w:hAnsi="Times New Roman" w:cs="Times New Roman"/>
          <w:b/>
          <w:bCs/>
          <w:color w:val="000000" w:themeColor="text1"/>
          <w:sz w:val="24"/>
          <w:szCs w:val="24"/>
        </w:rPr>
        <w:t>Supplemental Results</w:t>
      </w:r>
    </w:p>
    <w:p w14:paraId="5F07928C"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r w:rsidRPr="006C6B65">
        <w:rPr>
          <w:rFonts w:ascii="Times New Roman" w:hAnsi="Times New Roman" w:cs="Times New Roman"/>
          <w:noProof/>
          <w:color w:val="000000" w:themeColor="text1"/>
          <w:sz w:val="24"/>
          <w:szCs w:val="24"/>
          <w:shd w:val="clear" w:color="auto" w:fill="E6E6E6"/>
        </w:rPr>
        <w:drawing>
          <wp:inline distT="0" distB="0" distL="0" distR="0" wp14:anchorId="2FA9EF2E" wp14:editId="22628377">
            <wp:extent cx="6372125" cy="3605463"/>
            <wp:effectExtent l="0" t="0" r="3810" b="1905"/>
            <wp:docPr id="1397670961" name="Picture 139767096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70961" name="Picture 1397670961" descr="Diagram, timeline&#10;&#10;Description automatically generated"/>
                    <pic:cNvPicPr/>
                  </pic:nvPicPr>
                  <pic:blipFill rotWithShape="1">
                    <a:blip r:embed="rId7">
                      <a:extLst>
                        <a:ext uri="{28A0092B-C50C-407E-A947-70E740481C1C}">
                          <a14:useLocalDpi xmlns:a14="http://schemas.microsoft.com/office/drawing/2010/main" val="0"/>
                        </a:ext>
                      </a:extLst>
                    </a:blip>
                    <a:srcRect t="5368"/>
                    <a:stretch/>
                  </pic:blipFill>
                  <pic:spPr bwMode="auto">
                    <a:xfrm>
                      <a:off x="0" y="0"/>
                      <a:ext cx="6372225" cy="3605520"/>
                    </a:xfrm>
                    <a:prstGeom prst="rect">
                      <a:avLst/>
                    </a:prstGeom>
                    <a:ln>
                      <a:noFill/>
                    </a:ln>
                    <a:extLst>
                      <a:ext uri="{53640926-AAD7-44D8-BBD7-CCE9431645EC}">
                        <a14:shadowObscured xmlns:a14="http://schemas.microsoft.com/office/drawing/2010/main"/>
                      </a:ext>
                    </a:extLst>
                  </pic:spPr>
                </pic:pic>
              </a:graphicData>
            </a:graphic>
          </wp:inline>
        </w:drawing>
      </w:r>
      <w:r w:rsidRPr="006C6B65">
        <w:rPr>
          <w:rFonts w:ascii="Times New Roman" w:eastAsia="Times New Roman" w:hAnsi="Times New Roman" w:cs="Times New Roman"/>
          <w:i/>
          <w:iCs/>
          <w:color w:val="000000" w:themeColor="text1"/>
          <w:sz w:val="24"/>
          <w:szCs w:val="24"/>
        </w:rPr>
        <w:t>Figure 1: Anti-seizure medication (ASMs) versus post-operative seizure outcome analysis of the subset of patients that underwent whole-exome sequencing (N = 106). A Fisher’s exact test was used to determine if any of the 14 ASMs used by this cohort were significantly associated with seizure outcome (P &lt; .05). Light blue bars depict seizure- free patients, while dark green bars represent seizure-recurrent patients.</w:t>
      </w:r>
    </w:p>
    <w:p w14:paraId="408DDF5F"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p>
    <w:p w14:paraId="1DBF298A"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p>
    <w:p w14:paraId="49A9476F"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p>
    <w:p w14:paraId="7E263EEB"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p>
    <w:p w14:paraId="1C48B628"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p>
    <w:p w14:paraId="2C80EEE1"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p>
    <w:p w14:paraId="6958F91D" w14:textId="77777777" w:rsidR="00985968" w:rsidRPr="006C6B65" w:rsidRDefault="00985968" w:rsidP="00985968">
      <w:pPr>
        <w:ind w:left="1" w:hanging="1"/>
        <w:jc w:val="both"/>
        <w:rPr>
          <w:rFonts w:ascii="Times New Roman" w:eastAsia="Times New Roman" w:hAnsi="Times New Roman" w:cs="Times New Roman"/>
          <w:i/>
          <w:iCs/>
          <w:color w:val="000000" w:themeColor="text1"/>
          <w:sz w:val="24"/>
          <w:szCs w:val="24"/>
        </w:rPr>
      </w:pPr>
    </w:p>
    <w:p w14:paraId="1559C366" w14:textId="77777777" w:rsidR="00985968" w:rsidRPr="006C6B65" w:rsidRDefault="00985968" w:rsidP="00985968">
      <w:pPr>
        <w:spacing w:after="0"/>
        <w:rPr>
          <w:rFonts w:ascii="Times New Roman" w:eastAsia="Arial" w:hAnsi="Times New Roman" w:cs="Times New Roman"/>
          <w:i/>
          <w:iCs/>
          <w:color w:val="000000" w:themeColor="text1"/>
          <w:sz w:val="24"/>
          <w:szCs w:val="24"/>
        </w:rPr>
      </w:pPr>
      <w:r w:rsidRPr="006C6B65">
        <w:rPr>
          <w:rFonts w:ascii="Times New Roman" w:hAnsi="Times New Roman" w:cs="Times New Roman"/>
          <w:noProof/>
          <w:color w:val="000000" w:themeColor="text1"/>
          <w:sz w:val="24"/>
          <w:szCs w:val="24"/>
          <w:shd w:val="clear" w:color="auto" w:fill="E6E6E6"/>
        </w:rPr>
        <w:drawing>
          <wp:inline distT="0" distB="0" distL="0" distR="0" wp14:anchorId="114DAC50" wp14:editId="6BD83813">
            <wp:extent cx="6253786" cy="2488486"/>
            <wp:effectExtent l="0" t="0" r="0" b="0"/>
            <wp:docPr id="430146329" name="Picture 43014632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6329" name="Picture 430146329"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3786" cy="2488486"/>
                    </a:xfrm>
                    <a:prstGeom prst="rect">
                      <a:avLst/>
                    </a:prstGeom>
                  </pic:spPr>
                </pic:pic>
              </a:graphicData>
            </a:graphic>
          </wp:inline>
        </w:drawing>
      </w:r>
      <w:r w:rsidRPr="006C6B65">
        <w:rPr>
          <w:rFonts w:ascii="Times New Roman" w:eastAsia="Arial" w:hAnsi="Times New Roman" w:cs="Times New Roman"/>
          <w:i/>
          <w:iCs/>
          <w:color w:val="000000" w:themeColor="text1"/>
          <w:sz w:val="24"/>
          <w:szCs w:val="24"/>
        </w:rPr>
        <w:t>Figure 2: Meta-analysis of SNPs by surgical subtype. X-axis represents the odds ratio (OR) of post-operative seizure recurrence, with an odds ratio of 1.00 representing no increased or decreased odds of seizure recurrence. For each SNP, the number of samples within each surgical subgroup is given (N), OR, 95% confidence interval (95% CI), and P values are shown. A significance threshold of P &lt; .05 was used.</w:t>
      </w:r>
    </w:p>
    <w:p w14:paraId="00777BF9" w14:textId="1F839C8F" w:rsidR="00985968" w:rsidRPr="006C6B65" w:rsidRDefault="00985968">
      <w:pPr>
        <w:rPr>
          <w:rFonts w:ascii="Times New Roman" w:hAnsi="Times New Roman" w:cs="Times New Roman"/>
          <w:color w:val="000000" w:themeColor="text1"/>
          <w:sz w:val="24"/>
          <w:szCs w:val="24"/>
        </w:rPr>
      </w:pPr>
    </w:p>
    <w:p w14:paraId="548E78E6" w14:textId="7171D0BB" w:rsidR="004E5D1E" w:rsidRPr="006C6B65" w:rsidRDefault="004E5D1E" w:rsidP="004E5D1E">
      <w:pPr>
        <w:rPr>
          <w:rFonts w:ascii="Times New Roman" w:eastAsia="Arial" w:hAnsi="Times New Roman" w:cs="Times New Roman"/>
          <w:color w:val="000000" w:themeColor="text1"/>
          <w:sz w:val="24"/>
          <w:szCs w:val="24"/>
        </w:rPr>
      </w:pPr>
      <w:r w:rsidRPr="006C6B65">
        <w:rPr>
          <w:rFonts w:ascii="Times New Roman" w:eastAsia="Arial" w:hAnsi="Times New Roman" w:cs="Times New Roman"/>
          <w:color w:val="000000" w:themeColor="text1"/>
          <w:sz w:val="24"/>
          <w:szCs w:val="24"/>
        </w:rPr>
        <w:t xml:space="preserve">Patients with alternate alleles of </w:t>
      </w:r>
      <w:r w:rsidR="00A34622" w:rsidRPr="006C6B65">
        <w:rPr>
          <w:rFonts w:ascii="Times New Roman" w:eastAsia="Arial" w:hAnsi="Times New Roman" w:cs="Times New Roman"/>
          <w:color w:val="000000" w:themeColor="text1"/>
          <w:sz w:val="24"/>
          <w:szCs w:val="24"/>
        </w:rPr>
        <w:t xml:space="preserve">the </w:t>
      </w:r>
      <w:r w:rsidRPr="006C6B65">
        <w:rPr>
          <w:rFonts w:ascii="Times New Roman" w:eastAsia="Arial" w:hAnsi="Times New Roman" w:cs="Times New Roman"/>
          <w:color w:val="000000" w:themeColor="text1"/>
          <w:sz w:val="24"/>
          <w:szCs w:val="24"/>
        </w:rPr>
        <w:t xml:space="preserve">three </w:t>
      </w:r>
      <w:r w:rsidRPr="006C6B65">
        <w:rPr>
          <w:rFonts w:ascii="Times New Roman" w:eastAsia="Arial" w:hAnsi="Times New Roman" w:cs="Times New Roman"/>
          <w:i/>
          <w:iCs/>
          <w:color w:val="000000" w:themeColor="text1"/>
          <w:sz w:val="24"/>
          <w:szCs w:val="24"/>
        </w:rPr>
        <w:t>ABCB1</w:t>
      </w:r>
      <w:r w:rsidRPr="006C6B65">
        <w:rPr>
          <w:rFonts w:ascii="Times New Roman" w:eastAsia="Arial" w:hAnsi="Times New Roman" w:cs="Times New Roman"/>
          <w:color w:val="000000" w:themeColor="text1"/>
          <w:sz w:val="24"/>
          <w:szCs w:val="24"/>
        </w:rPr>
        <w:t xml:space="preserve"> SNPs within the temporal resection sub-group, had a significant reduction in the odds of seizure recurrence post-operatively. Patients with the C allele for rs10276036 were 64% less likely to have post-operative seizure recurrence (OR=0.46, 95% CI: [0.24-0.87], </w:t>
      </w:r>
      <w:r w:rsidRPr="006C6B65">
        <w:rPr>
          <w:rFonts w:ascii="Times New Roman" w:eastAsia="Arial" w:hAnsi="Times New Roman" w:cs="Times New Roman"/>
          <w:i/>
          <w:iCs/>
          <w:color w:val="000000" w:themeColor="text1"/>
          <w:sz w:val="24"/>
          <w:szCs w:val="24"/>
        </w:rPr>
        <w:t>P</w:t>
      </w:r>
      <w:r w:rsidRPr="006C6B65">
        <w:rPr>
          <w:rFonts w:ascii="Times New Roman" w:eastAsia="Arial" w:hAnsi="Times New Roman" w:cs="Times New Roman"/>
          <w:color w:val="000000" w:themeColor="text1"/>
          <w:sz w:val="24"/>
          <w:szCs w:val="24"/>
        </w:rPr>
        <w:t xml:space="preserve">=.017) while patients with the A allele for rs1128503 were 47% less likely to have post-operative seizure recurrence (OR=0.53, 95% CI: [0.288-0.99], </w:t>
      </w:r>
      <w:r w:rsidRPr="006C6B65">
        <w:rPr>
          <w:rFonts w:ascii="Times New Roman" w:eastAsia="Arial" w:hAnsi="Times New Roman" w:cs="Times New Roman"/>
          <w:i/>
          <w:iCs/>
          <w:color w:val="000000" w:themeColor="text1"/>
          <w:sz w:val="24"/>
          <w:szCs w:val="24"/>
        </w:rPr>
        <w:t>P</w:t>
      </w:r>
      <w:r w:rsidRPr="006C6B65">
        <w:rPr>
          <w:rFonts w:ascii="Times New Roman" w:eastAsia="Arial" w:hAnsi="Times New Roman" w:cs="Times New Roman"/>
          <w:color w:val="000000" w:themeColor="text1"/>
          <w:sz w:val="24"/>
          <w:szCs w:val="24"/>
        </w:rPr>
        <w:t xml:space="preserve"> = .046). Patients with the G allele for rs11975994 were 48% less likely to have seizure recurrence post-operatively (OR = 0.52, 95% CI: [0.28-0.96], P = .035) (Figure 2). Patients in the combined frontal and parietal resection sub-group had a reduction in the odds of seizure recurrence, however this reduction in the odds ratio failed to reach statistical significance for rs10276036 (P=.12), rs1128503 (P=.06), and rs11975994 (P=.06). Patients in the meta-analysis (all patients across surgery groups) had a significant reduction in odds of seizure recurrence for all three SNPs: rs10276036 (OR=0.44,95% CI: [0.25-0.78], P=.005), rs1128503 (OR=0.48,95% CI: [0.27-0.84], P=.009), and rs11975994 (OR=0.47,95% CI: [0.26-0.82], P=.007) (Figure 2). These results indicate that SNPs rs10276036, rs1128503, and rs11975994 are associated with post-operative seizure outcome and may be candidates for predictors of surgical outcomes.</w:t>
      </w:r>
    </w:p>
    <w:p w14:paraId="1719D1B3" w14:textId="5109CF1D" w:rsidR="004E5D1E" w:rsidRDefault="008E2583">
      <w:pPr>
        <w:rPr>
          <w:rFonts w:ascii="Times New Roman" w:hAnsi="Times New Roman" w:cs="Times New Roman"/>
          <w:b/>
          <w:bCs/>
          <w:color w:val="000000" w:themeColor="text1"/>
          <w:sz w:val="24"/>
          <w:szCs w:val="24"/>
        </w:rPr>
      </w:pPr>
      <w:r w:rsidRPr="006C6B65">
        <w:rPr>
          <w:rFonts w:ascii="Times New Roman" w:hAnsi="Times New Roman" w:cs="Times New Roman"/>
          <w:b/>
          <w:bCs/>
          <w:color w:val="000000" w:themeColor="text1"/>
          <w:sz w:val="24"/>
          <w:szCs w:val="24"/>
        </w:rPr>
        <w:lastRenderedPageBreak/>
        <w:t xml:space="preserve">References: </w:t>
      </w:r>
    </w:p>
    <w:p w14:paraId="2A6DA5F5" w14:textId="3A66D2D3" w:rsidR="00A4431F" w:rsidRPr="00A4431F" w:rsidRDefault="00A4431F" w:rsidP="00A4431F">
      <w:pPr>
        <w:pStyle w:val="Bibliography"/>
        <w:rPr>
          <w:rFonts w:ascii="Times New Roman" w:hAnsi="Times New Roman" w:cs="Times New Roman"/>
          <w:color w:val="000000"/>
          <w:sz w:val="24"/>
        </w:rPr>
      </w:pPr>
      <w:r>
        <w:rPr>
          <w:b/>
          <w:bCs/>
          <w:color w:val="000000" w:themeColor="text1"/>
          <w:sz w:val="24"/>
          <w:szCs w:val="24"/>
        </w:rPr>
        <w:fldChar w:fldCharType="begin"/>
      </w:r>
      <w:r>
        <w:rPr>
          <w:b/>
          <w:bCs/>
          <w:color w:val="000000" w:themeColor="text1"/>
          <w:sz w:val="24"/>
          <w:szCs w:val="24"/>
        </w:rPr>
        <w:instrText xml:space="preserve"> ADDIN ZOTERO_BIBL {"uncited":[],"omitted":[],"custom":[]} CSL_BIBLIOGRAPHY </w:instrText>
      </w:r>
      <w:r>
        <w:rPr>
          <w:b/>
          <w:bCs/>
          <w:color w:val="000000" w:themeColor="text1"/>
          <w:sz w:val="24"/>
          <w:szCs w:val="24"/>
        </w:rPr>
        <w:fldChar w:fldCharType="separate"/>
      </w:r>
      <w:r w:rsidRPr="00A4431F">
        <w:rPr>
          <w:rFonts w:ascii="Times New Roman" w:hAnsi="Times New Roman" w:cs="Times New Roman"/>
          <w:color w:val="000000"/>
          <w:sz w:val="24"/>
        </w:rPr>
        <w:t xml:space="preserve">1. </w:t>
      </w:r>
      <w:r w:rsidRPr="00A4431F">
        <w:rPr>
          <w:rFonts w:ascii="Times New Roman" w:hAnsi="Times New Roman" w:cs="Times New Roman"/>
          <w:color w:val="000000"/>
          <w:sz w:val="24"/>
        </w:rPr>
        <w:tab/>
        <w:t xml:space="preserve">Leu C, Bautista JF, </w:t>
      </w:r>
      <w:proofErr w:type="spellStart"/>
      <w:r w:rsidRPr="00A4431F">
        <w:rPr>
          <w:rFonts w:ascii="Times New Roman" w:hAnsi="Times New Roman" w:cs="Times New Roman"/>
          <w:color w:val="000000"/>
          <w:sz w:val="24"/>
        </w:rPr>
        <w:t>Sudarsanam</w:t>
      </w:r>
      <w:proofErr w:type="spellEnd"/>
      <w:r w:rsidRPr="00A4431F">
        <w:rPr>
          <w:rFonts w:ascii="Times New Roman" w:hAnsi="Times New Roman" w:cs="Times New Roman"/>
          <w:color w:val="000000"/>
          <w:sz w:val="24"/>
        </w:rPr>
        <w:t xml:space="preserve"> M, </w:t>
      </w:r>
      <w:proofErr w:type="spellStart"/>
      <w:r w:rsidR="00787D6A">
        <w:rPr>
          <w:rFonts w:ascii="Times New Roman" w:hAnsi="Times New Roman" w:cs="Times New Roman"/>
          <w:color w:val="000000"/>
          <w:sz w:val="24"/>
        </w:rPr>
        <w:t>Niestroj</w:t>
      </w:r>
      <w:proofErr w:type="spellEnd"/>
      <w:r w:rsidR="00787D6A">
        <w:rPr>
          <w:rFonts w:ascii="Times New Roman" w:hAnsi="Times New Roman" w:cs="Times New Roman"/>
          <w:color w:val="000000"/>
          <w:sz w:val="24"/>
        </w:rPr>
        <w:t xml:space="preserve"> LM, </w:t>
      </w:r>
      <w:proofErr w:type="spellStart"/>
      <w:r w:rsidR="00787D6A">
        <w:rPr>
          <w:rFonts w:ascii="Times New Roman" w:hAnsi="Times New Roman" w:cs="Times New Roman"/>
          <w:color w:val="000000"/>
          <w:sz w:val="24"/>
        </w:rPr>
        <w:t>Stefanski</w:t>
      </w:r>
      <w:proofErr w:type="spellEnd"/>
      <w:r w:rsidR="00787D6A">
        <w:rPr>
          <w:rFonts w:ascii="Times New Roman" w:hAnsi="Times New Roman" w:cs="Times New Roman"/>
          <w:color w:val="000000"/>
          <w:sz w:val="24"/>
        </w:rPr>
        <w:t xml:space="preserve"> A, Ferguson L, et al.</w:t>
      </w:r>
      <w:r w:rsidRPr="00A4431F">
        <w:rPr>
          <w:rFonts w:ascii="Times New Roman" w:hAnsi="Times New Roman" w:cs="Times New Roman"/>
          <w:color w:val="000000"/>
          <w:sz w:val="24"/>
        </w:rPr>
        <w:t xml:space="preserve"> Neurological disorder-associated genetic variants in individuals with psychogenic nonepileptic seizures. </w:t>
      </w:r>
      <w:r w:rsidRPr="00A4431F">
        <w:rPr>
          <w:rFonts w:ascii="Times New Roman" w:hAnsi="Times New Roman" w:cs="Times New Roman"/>
          <w:i/>
          <w:iCs/>
          <w:color w:val="000000"/>
          <w:sz w:val="24"/>
        </w:rPr>
        <w:t>Sci Rep</w:t>
      </w:r>
      <w:r w:rsidRPr="00A4431F">
        <w:rPr>
          <w:rFonts w:ascii="Times New Roman" w:hAnsi="Times New Roman" w:cs="Times New Roman"/>
          <w:color w:val="000000"/>
          <w:sz w:val="24"/>
        </w:rPr>
        <w:t>. 2020;10(1):15205. doi:10.1038/s41598-020-72101-8</w:t>
      </w:r>
    </w:p>
    <w:p w14:paraId="4B846D03"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2. </w:t>
      </w:r>
      <w:r w:rsidRPr="00A4431F">
        <w:rPr>
          <w:rFonts w:ascii="Times New Roman" w:hAnsi="Times New Roman" w:cs="Times New Roman"/>
          <w:color w:val="000000"/>
          <w:sz w:val="24"/>
        </w:rPr>
        <w:tab/>
      </w:r>
      <w:r w:rsidRPr="00A4431F">
        <w:rPr>
          <w:rFonts w:ascii="Times New Roman" w:hAnsi="Times New Roman" w:cs="Times New Roman"/>
          <w:i/>
          <w:iCs/>
          <w:color w:val="000000"/>
          <w:sz w:val="24"/>
        </w:rPr>
        <w:t>Picard</w:t>
      </w:r>
      <w:r w:rsidRPr="00A4431F">
        <w:rPr>
          <w:rFonts w:ascii="Times New Roman" w:hAnsi="Times New Roman" w:cs="Times New Roman"/>
          <w:color w:val="000000"/>
          <w:sz w:val="24"/>
        </w:rPr>
        <w:t>. Broad Institute Accessed September 16, 2020. http://broadinstitute.github.io/picard</w:t>
      </w:r>
    </w:p>
    <w:p w14:paraId="3256F118" w14:textId="371CDD25"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3. </w:t>
      </w:r>
      <w:r w:rsidRPr="00A4431F">
        <w:rPr>
          <w:rFonts w:ascii="Times New Roman" w:hAnsi="Times New Roman" w:cs="Times New Roman"/>
          <w:color w:val="000000"/>
          <w:sz w:val="24"/>
        </w:rPr>
        <w:tab/>
        <w:t xml:space="preserve">McKenna A, Hanna M, Banks E, </w:t>
      </w:r>
      <w:proofErr w:type="spellStart"/>
      <w:r w:rsidR="00787D6A">
        <w:rPr>
          <w:rFonts w:ascii="Times New Roman" w:hAnsi="Times New Roman" w:cs="Times New Roman"/>
          <w:color w:val="000000"/>
          <w:sz w:val="24"/>
        </w:rPr>
        <w:t>Sivachenko</w:t>
      </w:r>
      <w:proofErr w:type="spellEnd"/>
      <w:r w:rsidR="00787D6A">
        <w:rPr>
          <w:rFonts w:ascii="Times New Roman" w:hAnsi="Times New Roman" w:cs="Times New Roman"/>
          <w:color w:val="000000"/>
          <w:sz w:val="24"/>
        </w:rPr>
        <w:t xml:space="preserve"> A, </w:t>
      </w:r>
      <w:proofErr w:type="spellStart"/>
      <w:r w:rsidR="00787D6A">
        <w:rPr>
          <w:rFonts w:ascii="Times New Roman" w:hAnsi="Times New Roman" w:cs="Times New Roman"/>
          <w:color w:val="000000"/>
          <w:sz w:val="24"/>
        </w:rPr>
        <w:t>Cibulskis</w:t>
      </w:r>
      <w:proofErr w:type="spellEnd"/>
      <w:r w:rsidR="00787D6A">
        <w:rPr>
          <w:rFonts w:ascii="Times New Roman" w:hAnsi="Times New Roman" w:cs="Times New Roman"/>
          <w:color w:val="000000"/>
          <w:sz w:val="24"/>
        </w:rPr>
        <w:t xml:space="preserve"> K, </w:t>
      </w:r>
      <w:proofErr w:type="spellStart"/>
      <w:r w:rsidR="00787D6A">
        <w:rPr>
          <w:rFonts w:ascii="Times New Roman" w:hAnsi="Times New Roman" w:cs="Times New Roman"/>
          <w:color w:val="000000"/>
          <w:sz w:val="24"/>
        </w:rPr>
        <w:t>Kernytsky</w:t>
      </w:r>
      <w:proofErr w:type="spellEnd"/>
      <w:r w:rsidR="00787D6A">
        <w:rPr>
          <w:rFonts w:ascii="Times New Roman" w:hAnsi="Times New Roman" w:cs="Times New Roman"/>
          <w:color w:val="000000"/>
          <w:sz w:val="24"/>
        </w:rPr>
        <w:t xml:space="preserve"> A, </w:t>
      </w:r>
      <w:r w:rsidRPr="00A4431F">
        <w:rPr>
          <w:rFonts w:ascii="Times New Roman" w:hAnsi="Times New Roman" w:cs="Times New Roman"/>
          <w:color w:val="000000"/>
          <w:sz w:val="24"/>
        </w:rPr>
        <w:t xml:space="preserve">et al. The Genome Analysis Toolkit: A MapReduce framework for analyzing next-generation DNA sequencing data. </w:t>
      </w:r>
      <w:r w:rsidRPr="00A4431F">
        <w:rPr>
          <w:rFonts w:ascii="Times New Roman" w:hAnsi="Times New Roman" w:cs="Times New Roman"/>
          <w:i/>
          <w:iCs/>
          <w:color w:val="000000"/>
          <w:sz w:val="24"/>
        </w:rPr>
        <w:t>Genome Res</w:t>
      </w:r>
      <w:r w:rsidRPr="00A4431F">
        <w:rPr>
          <w:rFonts w:ascii="Times New Roman" w:hAnsi="Times New Roman" w:cs="Times New Roman"/>
          <w:color w:val="000000"/>
          <w:sz w:val="24"/>
        </w:rPr>
        <w:t>. 2010;20(9):1297-1303. doi:10.1101/gr.107524.110</w:t>
      </w:r>
    </w:p>
    <w:p w14:paraId="4C6BF9DD"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4. </w:t>
      </w:r>
      <w:r w:rsidRPr="00A4431F">
        <w:rPr>
          <w:rFonts w:ascii="Times New Roman" w:hAnsi="Times New Roman" w:cs="Times New Roman"/>
          <w:color w:val="000000"/>
          <w:sz w:val="24"/>
        </w:rPr>
        <w:tab/>
        <w:t xml:space="preserve">Chen S, Zhou Y, Chen Y, Gu J. fastp: an ultra-fast all-in-one FASTQ preprocessor. </w:t>
      </w:r>
      <w:r w:rsidRPr="00A4431F">
        <w:rPr>
          <w:rFonts w:ascii="Times New Roman" w:hAnsi="Times New Roman" w:cs="Times New Roman"/>
          <w:i/>
          <w:iCs/>
          <w:color w:val="000000"/>
          <w:sz w:val="24"/>
        </w:rPr>
        <w:t>Bioinformatics</w:t>
      </w:r>
      <w:r w:rsidRPr="00A4431F">
        <w:rPr>
          <w:rFonts w:ascii="Times New Roman" w:hAnsi="Times New Roman" w:cs="Times New Roman"/>
          <w:color w:val="000000"/>
          <w:sz w:val="24"/>
        </w:rPr>
        <w:t>. 2018;34(17):i884-i890. doi:10.1093/bioinformatics/bty560</w:t>
      </w:r>
    </w:p>
    <w:p w14:paraId="655D6C73"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5. </w:t>
      </w:r>
      <w:r w:rsidRPr="00A4431F">
        <w:rPr>
          <w:rFonts w:ascii="Times New Roman" w:hAnsi="Times New Roman" w:cs="Times New Roman"/>
          <w:color w:val="000000"/>
          <w:sz w:val="24"/>
        </w:rPr>
        <w:tab/>
        <w:t xml:space="preserve">Patro R, Duggal G, Love MI, Irizarry RA, Kingsford C. Salmon provides fast and bias-aware quantification of transcript expression. </w:t>
      </w:r>
      <w:r w:rsidRPr="00A4431F">
        <w:rPr>
          <w:rFonts w:ascii="Times New Roman" w:hAnsi="Times New Roman" w:cs="Times New Roman"/>
          <w:i/>
          <w:iCs/>
          <w:color w:val="000000"/>
          <w:sz w:val="24"/>
        </w:rPr>
        <w:t>Nat Methods</w:t>
      </w:r>
      <w:r w:rsidRPr="00A4431F">
        <w:rPr>
          <w:rFonts w:ascii="Times New Roman" w:hAnsi="Times New Roman" w:cs="Times New Roman"/>
          <w:color w:val="000000"/>
          <w:sz w:val="24"/>
        </w:rPr>
        <w:t>. 2017;14(4):417-419. doi:10.1038/nmeth.4197</w:t>
      </w:r>
    </w:p>
    <w:p w14:paraId="4C165776" w14:textId="1E7F466F"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6. </w:t>
      </w:r>
      <w:r w:rsidRPr="00A4431F">
        <w:rPr>
          <w:rFonts w:ascii="Times New Roman" w:hAnsi="Times New Roman" w:cs="Times New Roman"/>
          <w:color w:val="000000"/>
          <w:sz w:val="24"/>
        </w:rPr>
        <w:tab/>
        <w:t xml:space="preserve">Frankish A, Diekhans M, Ferreira AM, </w:t>
      </w:r>
      <w:r w:rsidR="00787D6A">
        <w:rPr>
          <w:rFonts w:ascii="Times New Roman" w:hAnsi="Times New Roman" w:cs="Times New Roman"/>
          <w:color w:val="000000"/>
          <w:sz w:val="24"/>
        </w:rPr>
        <w:t xml:space="preserve">Johnson R, Jungreis I, Loveland J, </w:t>
      </w:r>
      <w:r w:rsidRPr="00A4431F">
        <w:rPr>
          <w:rFonts w:ascii="Times New Roman" w:hAnsi="Times New Roman" w:cs="Times New Roman"/>
          <w:color w:val="000000"/>
          <w:sz w:val="24"/>
        </w:rPr>
        <w:t xml:space="preserve">et al. GENCODE reference annotation for the human and mouse genomes. </w:t>
      </w:r>
      <w:r w:rsidRPr="00A4431F">
        <w:rPr>
          <w:rFonts w:ascii="Times New Roman" w:hAnsi="Times New Roman" w:cs="Times New Roman"/>
          <w:i/>
          <w:iCs/>
          <w:color w:val="000000"/>
          <w:sz w:val="24"/>
        </w:rPr>
        <w:t>Nucleic Acids Res</w:t>
      </w:r>
      <w:r w:rsidRPr="00A4431F">
        <w:rPr>
          <w:rFonts w:ascii="Times New Roman" w:hAnsi="Times New Roman" w:cs="Times New Roman"/>
          <w:color w:val="000000"/>
          <w:sz w:val="24"/>
        </w:rPr>
        <w:t>. 2019;47(D1):D766-D773. doi:10.1093/nar/gky955</w:t>
      </w:r>
    </w:p>
    <w:p w14:paraId="102621FC"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7. </w:t>
      </w:r>
      <w:r w:rsidRPr="00A4431F">
        <w:rPr>
          <w:rFonts w:ascii="Times New Roman" w:hAnsi="Times New Roman" w:cs="Times New Roman"/>
          <w:color w:val="000000"/>
          <w:sz w:val="24"/>
        </w:rPr>
        <w:tab/>
        <w:t xml:space="preserve">Soneson C, Love MI, Robinson MD. Differential analyses for RNA-seq: transcript-level estimates improve gene-level inferences. </w:t>
      </w:r>
      <w:r w:rsidRPr="00A4431F">
        <w:rPr>
          <w:rFonts w:ascii="Times New Roman" w:hAnsi="Times New Roman" w:cs="Times New Roman"/>
          <w:i/>
          <w:iCs/>
          <w:color w:val="000000"/>
          <w:sz w:val="24"/>
        </w:rPr>
        <w:t>F1000Research</w:t>
      </w:r>
      <w:r w:rsidRPr="00A4431F">
        <w:rPr>
          <w:rFonts w:ascii="Times New Roman" w:hAnsi="Times New Roman" w:cs="Times New Roman"/>
          <w:color w:val="000000"/>
          <w:sz w:val="24"/>
        </w:rPr>
        <w:t>. 2015;4:1521. doi:10.12688/f1000research.7563.1</w:t>
      </w:r>
    </w:p>
    <w:p w14:paraId="21F28B67"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8. </w:t>
      </w:r>
      <w:r w:rsidRPr="00A4431F">
        <w:rPr>
          <w:rFonts w:ascii="Times New Roman" w:hAnsi="Times New Roman" w:cs="Times New Roman"/>
          <w:color w:val="000000"/>
          <w:sz w:val="24"/>
        </w:rPr>
        <w:tab/>
        <w:t xml:space="preserve">Durinck S, Spellman PT, Birney E, Huber W. Mapping identifiers for the integration of genomic datasets with the R/Bioconductor package biomaRt. </w:t>
      </w:r>
      <w:r w:rsidRPr="00A4431F">
        <w:rPr>
          <w:rFonts w:ascii="Times New Roman" w:hAnsi="Times New Roman" w:cs="Times New Roman"/>
          <w:i/>
          <w:iCs/>
          <w:color w:val="000000"/>
          <w:sz w:val="24"/>
        </w:rPr>
        <w:t>Nat Protoc</w:t>
      </w:r>
      <w:r w:rsidRPr="00A4431F">
        <w:rPr>
          <w:rFonts w:ascii="Times New Roman" w:hAnsi="Times New Roman" w:cs="Times New Roman"/>
          <w:color w:val="000000"/>
          <w:sz w:val="24"/>
        </w:rPr>
        <w:t>. 2009;4(8):1184-1191. doi:10.1038/nprot.2009.97</w:t>
      </w:r>
    </w:p>
    <w:p w14:paraId="70DAB380" w14:textId="55554F16"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9. </w:t>
      </w:r>
      <w:r w:rsidRPr="00A4431F">
        <w:rPr>
          <w:rFonts w:ascii="Times New Roman" w:hAnsi="Times New Roman" w:cs="Times New Roman"/>
          <w:color w:val="000000"/>
          <w:sz w:val="24"/>
        </w:rPr>
        <w:tab/>
        <w:t xml:space="preserve">Durinck S, Moreau Y, </w:t>
      </w:r>
      <w:proofErr w:type="spellStart"/>
      <w:r w:rsidRPr="00A4431F">
        <w:rPr>
          <w:rFonts w:ascii="Times New Roman" w:hAnsi="Times New Roman" w:cs="Times New Roman"/>
          <w:color w:val="000000"/>
          <w:sz w:val="24"/>
        </w:rPr>
        <w:t>Kasprzyk</w:t>
      </w:r>
      <w:proofErr w:type="spellEnd"/>
      <w:r w:rsidRPr="00A4431F">
        <w:rPr>
          <w:rFonts w:ascii="Times New Roman" w:hAnsi="Times New Roman" w:cs="Times New Roman"/>
          <w:color w:val="000000"/>
          <w:sz w:val="24"/>
        </w:rPr>
        <w:t xml:space="preserve"> A, </w:t>
      </w:r>
      <w:r w:rsidR="00787D6A">
        <w:rPr>
          <w:rFonts w:ascii="Times New Roman" w:hAnsi="Times New Roman" w:cs="Times New Roman"/>
          <w:color w:val="000000"/>
          <w:sz w:val="24"/>
        </w:rPr>
        <w:t xml:space="preserve">Davis S, De Moor B, </w:t>
      </w:r>
      <w:proofErr w:type="spellStart"/>
      <w:r w:rsidR="00787D6A">
        <w:rPr>
          <w:rFonts w:ascii="Times New Roman" w:hAnsi="Times New Roman" w:cs="Times New Roman"/>
          <w:color w:val="000000"/>
          <w:sz w:val="24"/>
        </w:rPr>
        <w:t>Brazma</w:t>
      </w:r>
      <w:proofErr w:type="spellEnd"/>
      <w:r w:rsidR="00787D6A">
        <w:rPr>
          <w:rFonts w:ascii="Times New Roman" w:hAnsi="Times New Roman" w:cs="Times New Roman"/>
          <w:color w:val="000000"/>
          <w:sz w:val="24"/>
        </w:rPr>
        <w:t xml:space="preserve"> A, </w:t>
      </w:r>
      <w:r w:rsidRPr="00A4431F">
        <w:rPr>
          <w:rFonts w:ascii="Times New Roman" w:hAnsi="Times New Roman" w:cs="Times New Roman"/>
          <w:color w:val="000000"/>
          <w:sz w:val="24"/>
        </w:rPr>
        <w:t xml:space="preserve">et al. BioMart and Bioconductor: a powerful link between biological databases and microarray data analysis. </w:t>
      </w:r>
      <w:r w:rsidRPr="00A4431F">
        <w:rPr>
          <w:rFonts w:ascii="Times New Roman" w:hAnsi="Times New Roman" w:cs="Times New Roman"/>
          <w:i/>
          <w:iCs/>
          <w:color w:val="000000"/>
          <w:sz w:val="24"/>
        </w:rPr>
        <w:t>Bioinformatics</w:t>
      </w:r>
      <w:r w:rsidRPr="00A4431F">
        <w:rPr>
          <w:rFonts w:ascii="Times New Roman" w:hAnsi="Times New Roman" w:cs="Times New Roman"/>
          <w:color w:val="000000"/>
          <w:sz w:val="24"/>
        </w:rPr>
        <w:t>. 2005;21(16):3439-3440. doi:10.1093/bioinformatics/bti525</w:t>
      </w:r>
    </w:p>
    <w:p w14:paraId="1125217A"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10. </w:t>
      </w:r>
      <w:r w:rsidRPr="00A4431F">
        <w:rPr>
          <w:rFonts w:ascii="Times New Roman" w:hAnsi="Times New Roman" w:cs="Times New Roman"/>
          <w:color w:val="000000"/>
          <w:sz w:val="24"/>
        </w:rPr>
        <w:tab/>
        <w:t xml:space="preserve">Andrews S. </w:t>
      </w:r>
      <w:r w:rsidRPr="00A4431F">
        <w:rPr>
          <w:rFonts w:ascii="Times New Roman" w:hAnsi="Times New Roman" w:cs="Times New Roman"/>
          <w:i/>
          <w:iCs/>
          <w:color w:val="000000"/>
          <w:sz w:val="24"/>
        </w:rPr>
        <w:t>FASTQC. A Quality Control Tool for High Throughput Sequence Data</w:t>
      </w:r>
      <w:r w:rsidRPr="00A4431F">
        <w:rPr>
          <w:rFonts w:ascii="Times New Roman" w:hAnsi="Times New Roman" w:cs="Times New Roman"/>
          <w:color w:val="000000"/>
          <w:sz w:val="24"/>
        </w:rPr>
        <w:t>.; 2010. http://www.bioinformatics.babraham.ac.uk/projects/fastqc/</w:t>
      </w:r>
    </w:p>
    <w:p w14:paraId="5881EF0E" w14:textId="317D573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11. </w:t>
      </w:r>
      <w:r w:rsidRPr="00A4431F">
        <w:rPr>
          <w:rFonts w:ascii="Times New Roman" w:hAnsi="Times New Roman" w:cs="Times New Roman"/>
          <w:color w:val="000000"/>
          <w:sz w:val="24"/>
        </w:rPr>
        <w:tab/>
        <w:t xml:space="preserve">Ewels PA, Peltzer A, </w:t>
      </w:r>
      <w:proofErr w:type="spellStart"/>
      <w:r w:rsidRPr="00A4431F">
        <w:rPr>
          <w:rFonts w:ascii="Times New Roman" w:hAnsi="Times New Roman" w:cs="Times New Roman"/>
          <w:color w:val="000000"/>
          <w:sz w:val="24"/>
        </w:rPr>
        <w:t>Fillinger</w:t>
      </w:r>
      <w:proofErr w:type="spellEnd"/>
      <w:r w:rsidRPr="00A4431F">
        <w:rPr>
          <w:rFonts w:ascii="Times New Roman" w:hAnsi="Times New Roman" w:cs="Times New Roman"/>
          <w:color w:val="000000"/>
          <w:sz w:val="24"/>
        </w:rPr>
        <w:t xml:space="preserve"> S, </w:t>
      </w:r>
      <w:proofErr w:type="spellStart"/>
      <w:r w:rsidR="00787D6A">
        <w:rPr>
          <w:rFonts w:ascii="Times New Roman" w:hAnsi="Times New Roman" w:cs="Times New Roman"/>
          <w:color w:val="000000"/>
          <w:sz w:val="24"/>
        </w:rPr>
        <w:t>Alneberg</w:t>
      </w:r>
      <w:proofErr w:type="spellEnd"/>
      <w:r w:rsidR="00787D6A">
        <w:rPr>
          <w:rFonts w:ascii="Times New Roman" w:hAnsi="Times New Roman" w:cs="Times New Roman"/>
          <w:color w:val="000000"/>
          <w:sz w:val="24"/>
        </w:rPr>
        <w:t xml:space="preserve"> J, Patel H, </w:t>
      </w:r>
      <w:proofErr w:type="spellStart"/>
      <w:r w:rsidR="00787D6A">
        <w:rPr>
          <w:rFonts w:ascii="Times New Roman" w:hAnsi="Times New Roman" w:cs="Times New Roman"/>
          <w:color w:val="000000"/>
          <w:sz w:val="24"/>
        </w:rPr>
        <w:t>Wilm</w:t>
      </w:r>
      <w:proofErr w:type="spellEnd"/>
      <w:r w:rsidR="00787D6A">
        <w:rPr>
          <w:rFonts w:ascii="Times New Roman" w:hAnsi="Times New Roman" w:cs="Times New Roman"/>
          <w:color w:val="000000"/>
          <w:sz w:val="24"/>
        </w:rPr>
        <w:t xml:space="preserve"> A, </w:t>
      </w:r>
      <w:r w:rsidRPr="00A4431F">
        <w:rPr>
          <w:rFonts w:ascii="Times New Roman" w:hAnsi="Times New Roman" w:cs="Times New Roman"/>
          <w:color w:val="000000"/>
          <w:sz w:val="24"/>
        </w:rPr>
        <w:t>et al. Nf-</w:t>
      </w:r>
      <w:proofErr w:type="gramStart"/>
      <w:r w:rsidRPr="00A4431F">
        <w:rPr>
          <w:rFonts w:ascii="Times New Roman" w:hAnsi="Times New Roman" w:cs="Times New Roman"/>
          <w:color w:val="000000"/>
          <w:sz w:val="24"/>
        </w:rPr>
        <w:t>Core</w:t>
      </w:r>
      <w:r w:rsidRPr="00A4431F">
        <w:rPr>
          <w:rFonts w:ascii="Times New Roman" w:hAnsi="Times New Roman" w:cs="Times New Roman"/>
          <w:i/>
          <w:iCs/>
          <w:color w:val="000000"/>
          <w:sz w:val="24"/>
        </w:rPr>
        <w:t> :</w:t>
      </w:r>
      <w:proofErr w:type="gramEnd"/>
      <w:r w:rsidRPr="00A4431F">
        <w:rPr>
          <w:rFonts w:ascii="Times New Roman" w:hAnsi="Times New Roman" w:cs="Times New Roman"/>
          <w:i/>
          <w:iCs/>
          <w:color w:val="000000"/>
          <w:sz w:val="24"/>
        </w:rPr>
        <w:t xml:space="preserve"> Community Curated Bioinformatics Pipelines</w:t>
      </w:r>
      <w:r w:rsidRPr="00A4431F">
        <w:rPr>
          <w:rFonts w:ascii="Times New Roman" w:hAnsi="Times New Roman" w:cs="Times New Roman"/>
          <w:color w:val="000000"/>
          <w:sz w:val="24"/>
        </w:rPr>
        <w:t>. Bioinformatics; 2019. doi:10.1101/610741</w:t>
      </w:r>
    </w:p>
    <w:p w14:paraId="0BBCCC99"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12. </w:t>
      </w:r>
      <w:r w:rsidRPr="00A4431F">
        <w:rPr>
          <w:rFonts w:ascii="Times New Roman" w:hAnsi="Times New Roman" w:cs="Times New Roman"/>
          <w:color w:val="000000"/>
          <w:sz w:val="24"/>
        </w:rPr>
        <w:tab/>
        <w:t xml:space="preserve">Krueger F. </w:t>
      </w:r>
      <w:r w:rsidRPr="00A4431F">
        <w:rPr>
          <w:rFonts w:ascii="Times New Roman" w:hAnsi="Times New Roman" w:cs="Times New Roman"/>
          <w:i/>
          <w:iCs/>
          <w:color w:val="000000"/>
          <w:sz w:val="24"/>
        </w:rPr>
        <w:t>Trim Galore</w:t>
      </w:r>
      <w:r w:rsidRPr="00A4431F">
        <w:rPr>
          <w:rFonts w:ascii="Times New Roman" w:hAnsi="Times New Roman" w:cs="Times New Roman"/>
          <w:color w:val="000000"/>
          <w:sz w:val="24"/>
        </w:rPr>
        <w:t>. Accessed September 16, 2020. https://github.com/FelixKrueger/TrimGalore</w:t>
      </w:r>
    </w:p>
    <w:p w14:paraId="6501BB42" w14:textId="77777777"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t xml:space="preserve">13. </w:t>
      </w:r>
      <w:r w:rsidRPr="00A4431F">
        <w:rPr>
          <w:rFonts w:ascii="Times New Roman" w:hAnsi="Times New Roman" w:cs="Times New Roman"/>
          <w:color w:val="000000"/>
          <w:sz w:val="24"/>
        </w:rPr>
        <w:tab/>
        <w:t xml:space="preserve">Langmead B, Salzberg SL. Fast gapped-read alignment with Bowtie 2. </w:t>
      </w:r>
      <w:r w:rsidRPr="00A4431F">
        <w:rPr>
          <w:rFonts w:ascii="Times New Roman" w:hAnsi="Times New Roman" w:cs="Times New Roman"/>
          <w:i/>
          <w:iCs/>
          <w:color w:val="000000"/>
          <w:sz w:val="24"/>
        </w:rPr>
        <w:t>Nat Methods</w:t>
      </w:r>
      <w:r w:rsidRPr="00A4431F">
        <w:rPr>
          <w:rFonts w:ascii="Times New Roman" w:hAnsi="Times New Roman" w:cs="Times New Roman"/>
          <w:color w:val="000000"/>
          <w:sz w:val="24"/>
        </w:rPr>
        <w:t>. 2012;9(4):357-359. doi:10.1038/nmeth.1923</w:t>
      </w:r>
    </w:p>
    <w:p w14:paraId="0E79BD3A" w14:textId="49FFD503" w:rsidR="00A4431F" w:rsidRPr="00A4431F" w:rsidRDefault="00A4431F" w:rsidP="00A4431F">
      <w:pPr>
        <w:pStyle w:val="Bibliography"/>
        <w:rPr>
          <w:rFonts w:ascii="Times New Roman" w:hAnsi="Times New Roman" w:cs="Times New Roman"/>
          <w:color w:val="000000"/>
          <w:sz w:val="24"/>
        </w:rPr>
      </w:pPr>
      <w:r w:rsidRPr="00A4431F">
        <w:rPr>
          <w:rFonts w:ascii="Times New Roman" w:hAnsi="Times New Roman" w:cs="Times New Roman"/>
          <w:color w:val="000000"/>
          <w:sz w:val="24"/>
        </w:rPr>
        <w:lastRenderedPageBreak/>
        <w:t xml:space="preserve">14. </w:t>
      </w:r>
      <w:r w:rsidRPr="00A4431F">
        <w:rPr>
          <w:rFonts w:ascii="Times New Roman" w:hAnsi="Times New Roman" w:cs="Times New Roman"/>
          <w:color w:val="000000"/>
          <w:sz w:val="24"/>
        </w:rPr>
        <w:tab/>
        <w:t xml:space="preserve">Li H, Handsaker B, </w:t>
      </w:r>
      <w:proofErr w:type="spellStart"/>
      <w:r w:rsidRPr="00A4431F">
        <w:rPr>
          <w:rFonts w:ascii="Times New Roman" w:hAnsi="Times New Roman" w:cs="Times New Roman"/>
          <w:color w:val="000000"/>
          <w:sz w:val="24"/>
        </w:rPr>
        <w:t>Wysoker</w:t>
      </w:r>
      <w:proofErr w:type="spellEnd"/>
      <w:r w:rsidRPr="00A4431F">
        <w:rPr>
          <w:rFonts w:ascii="Times New Roman" w:hAnsi="Times New Roman" w:cs="Times New Roman"/>
          <w:color w:val="000000"/>
          <w:sz w:val="24"/>
        </w:rPr>
        <w:t xml:space="preserve"> A, </w:t>
      </w:r>
      <w:r w:rsidR="00787D6A">
        <w:rPr>
          <w:rFonts w:ascii="Times New Roman" w:hAnsi="Times New Roman" w:cs="Times New Roman"/>
          <w:color w:val="000000"/>
          <w:sz w:val="24"/>
        </w:rPr>
        <w:t xml:space="preserve">Fennell T, </w:t>
      </w:r>
      <w:proofErr w:type="spellStart"/>
      <w:r w:rsidR="00787D6A">
        <w:rPr>
          <w:rFonts w:ascii="Times New Roman" w:hAnsi="Times New Roman" w:cs="Times New Roman"/>
          <w:color w:val="000000"/>
          <w:sz w:val="24"/>
        </w:rPr>
        <w:t>Ruan</w:t>
      </w:r>
      <w:proofErr w:type="spellEnd"/>
      <w:r w:rsidR="00787D6A">
        <w:rPr>
          <w:rFonts w:ascii="Times New Roman" w:hAnsi="Times New Roman" w:cs="Times New Roman"/>
          <w:color w:val="000000"/>
          <w:sz w:val="24"/>
        </w:rPr>
        <w:t xml:space="preserve"> J, Homer N, </w:t>
      </w:r>
      <w:r w:rsidRPr="00A4431F">
        <w:rPr>
          <w:rFonts w:ascii="Times New Roman" w:hAnsi="Times New Roman" w:cs="Times New Roman"/>
          <w:color w:val="000000"/>
          <w:sz w:val="24"/>
        </w:rPr>
        <w:t xml:space="preserve">et al. The Sequence Alignment/Map format and SAMtools. </w:t>
      </w:r>
      <w:r w:rsidRPr="00A4431F">
        <w:rPr>
          <w:rFonts w:ascii="Times New Roman" w:hAnsi="Times New Roman" w:cs="Times New Roman"/>
          <w:i/>
          <w:iCs/>
          <w:color w:val="000000"/>
          <w:sz w:val="24"/>
        </w:rPr>
        <w:t>Bioinformatics</w:t>
      </w:r>
      <w:r w:rsidRPr="00A4431F">
        <w:rPr>
          <w:rFonts w:ascii="Times New Roman" w:hAnsi="Times New Roman" w:cs="Times New Roman"/>
          <w:color w:val="000000"/>
          <w:sz w:val="24"/>
        </w:rPr>
        <w:t>. 2009;25(16):2078-2079. doi:10.1093/bioinformatics/btp352</w:t>
      </w:r>
    </w:p>
    <w:p w14:paraId="005B7C75" w14:textId="631F2006" w:rsidR="00A4431F" w:rsidRPr="006C6B65" w:rsidRDefault="00A4431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end"/>
      </w:r>
    </w:p>
    <w:p w14:paraId="0AC2C63D" w14:textId="77777777" w:rsidR="000F436E" w:rsidRPr="006C6B65" w:rsidRDefault="000F436E" w:rsidP="00403808">
      <w:pPr>
        <w:pStyle w:val="ListParagraph"/>
        <w:widowControl w:val="0"/>
        <w:tabs>
          <w:tab w:val="left" w:pos="1522"/>
        </w:tabs>
        <w:autoSpaceDE w:val="0"/>
        <w:autoSpaceDN w:val="0"/>
        <w:spacing w:before="40" w:after="0" w:line="256" w:lineRule="auto"/>
        <w:ind w:right="1826"/>
        <w:contextualSpacing w:val="0"/>
        <w:rPr>
          <w:rFonts w:ascii="Times New Roman" w:hAnsi="Times New Roman" w:cs="Times New Roman"/>
          <w:sz w:val="24"/>
          <w:szCs w:val="24"/>
        </w:rPr>
      </w:pPr>
    </w:p>
    <w:p w14:paraId="15C7EEA1" w14:textId="3B93FEE2" w:rsidR="008E2583" w:rsidRPr="006C6B65" w:rsidRDefault="008E2583" w:rsidP="00C55A26">
      <w:pPr>
        <w:ind w:left="360"/>
        <w:rPr>
          <w:rFonts w:ascii="Times New Roman" w:hAnsi="Times New Roman" w:cs="Times New Roman"/>
          <w:b/>
          <w:bCs/>
          <w:color w:val="000000" w:themeColor="text1"/>
          <w:sz w:val="24"/>
          <w:szCs w:val="24"/>
        </w:rPr>
      </w:pPr>
    </w:p>
    <w:sectPr w:rsidR="008E2583" w:rsidRPr="006C6B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9E7C" w14:textId="77777777" w:rsidR="001A67E8" w:rsidRDefault="001A67E8" w:rsidP="00043102">
      <w:pPr>
        <w:spacing w:after="0" w:line="240" w:lineRule="auto"/>
      </w:pPr>
      <w:r>
        <w:separator/>
      </w:r>
    </w:p>
  </w:endnote>
  <w:endnote w:type="continuationSeparator" w:id="0">
    <w:p w14:paraId="139947FA" w14:textId="77777777" w:rsidR="001A67E8" w:rsidRDefault="001A67E8" w:rsidP="0004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7DF9" w14:textId="77777777" w:rsidR="001A67E8" w:rsidRDefault="001A67E8" w:rsidP="00043102">
      <w:pPr>
        <w:spacing w:after="0" w:line="240" w:lineRule="auto"/>
      </w:pPr>
      <w:r>
        <w:separator/>
      </w:r>
    </w:p>
  </w:footnote>
  <w:footnote w:type="continuationSeparator" w:id="0">
    <w:p w14:paraId="2DBFA8E8" w14:textId="77777777" w:rsidR="001A67E8" w:rsidRDefault="001A67E8" w:rsidP="00043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57339"/>
    <w:multiLevelType w:val="hybridMultilevel"/>
    <w:tmpl w:val="4DECE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602AD"/>
    <w:multiLevelType w:val="hybridMultilevel"/>
    <w:tmpl w:val="FFFFFFFF"/>
    <w:lvl w:ilvl="0" w:tplc="D182F630">
      <w:start w:val="1"/>
      <w:numFmt w:val="decimal"/>
      <w:lvlText w:val="%1."/>
      <w:lvlJc w:val="left"/>
      <w:pPr>
        <w:ind w:left="720" w:hanging="360"/>
      </w:pPr>
    </w:lvl>
    <w:lvl w:ilvl="1" w:tplc="5822A552">
      <w:start w:val="1"/>
      <w:numFmt w:val="lowerLetter"/>
      <w:lvlText w:val="%2."/>
      <w:lvlJc w:val="left"/>
      <w:pPr>
        <w:ind w:left="1440" w:hanging="360"/>
      </w:pPr>
    </w:lvl>
    <w:lvl w:ilvl="2" w:tplc="BFC44AF4">
      <w:start w:val="1"/>
      <w:numFmt w:val="lowerRoman"/>
      <w:lvlText w:val="%3."/>
      <w:lvlJc w:val="right"/>
      <w:pPr>
        <w:ind w:left="2160" w:hanging="180"/>
      </w:pPr>
    </w:lvl>
    <w:lvl w:ilvl="3" w:tplc="E0BAFFAC">
      <w:start w:val="1"/>
      <w:numFmt w:val="decimal"/>
      <w:lvlText w:val="%4."/>
      <w:lvlJc w:val="left"/>
      <w:pPr>
        <w:ind w:left="2880" w:hanging="360"/>
      </w:pPr>
    </w:lvl>
    <w:lvl w:ilvl="4" w:tplc="0B10D1B2">
      <w:start w:val="1"/>
      <w:numFmt w:val="lowerLetter"/>
      <w:lvlText w:val="%5."/>
      <w:lvlJc w:val="left"/>
      <w:pPr>
        <w:ind w:left="3600" w:hanging="360"/>
      </w:pPr>
    </w:lvl>
    <w:lvl w:ilvl="5" w:tplc="11FC6F12">
      <w:start w:val="1"/>
      <w:numFmt w:val="lowerRoman"/>
      <w:lvlText w:val="%6."/>
      <w:lvlJc w:val="right"/>
      <w:pPr>
        <w:ind w:left="4320" w:hanging="180"/>
      </w:pPr>
    </w:lvl>
    <w:lvl w:ilvl="6" w:tplc="678CE0E2">
      <w:start w:val="1"/>
      <w:numFmt w:val="decimal"/>
      <w:lvlText w:val="%7."/>
      <w:lvlJc w:val="left"/>
      <w:pPr>
        <w:ind w:left="5040" w:hanging="360"/>
      </w:pPr>
    </w:lvl>
    <w:lvl w:ilvl="7" w:tplc="01A45C6A">
      <w:start w:val="1"/>
      <w:numFmt w:val="lowerLetter"/>
      <w:lvlText w:val="%8."/>
      <w:lvlJc w:val="left"/>
      <w:pPr>
        <w:ind w:left="5760" w:hanging="360"/>
      </w:pPr>
    </w:lvl>
    <w:lvl w:ilvl="8" w:tplc="B36E38B2">
      <w:start w:val="1"/>
      <w:numFmt w:val="lowerRoman"/>
      <w:lvlText w:val="%9."/>
      <w:lvlJc w:val="right"/>
      <w:pPr>
        <w:ind w:left="6480" w:hanging="180"/>
      </w:pPr>
    </w:lvl>
  </w:abstractNum>
  <w:abstractNum w:abstractNumId="2" w15:restartNumberingAfterBreak="0">
    <w:nsid w:val="68805699"/>
    <w:multiLevelType w:val="hybridMultilevel"/>
    <w:tmpl w:val="D6C2548C"/>
    <w:lvl w:ilvl="0" w:tplc="FFFFFFFF">
      <w:start w:val="1"/>
      <w:numFmt w:val="decimal"/>
      <w:lvlText w:val="%1."/>
      <w:lvlJc w:val="left"/>
      <w:pPr>
        <w:ind w:left="1521" w:hanging="382"/>
      </w:pPr>
      <w:rPr>
        <w:rFonts w:ascii="Arial" w:eastAsia="Arial" w:hAnsi="Arial" w:cs="Arial" w:hint="default"/>
        <w:b w:val="0"/>
        <w:bCs w:val="0"/>
        <w:i w:val="0"/>
        <w:iCs w:val="0"/>
        <w:spacing w:val="-2"/>
        <w:w w:val="91"/>
        <w:sz w:val="24"/>
        <w:szCs w:val="24"/>
        <w:lang w:val="en-US" w:eastAsia="en-US" w:bidi="ar-SA"/>
      </w:rPr>
    </w:lvl>
    <w:lvl w:ilvl="1" w:tplc="FFFFFFFF">
      <w:numFmt w:val="bullet"/>
      <w:lvlText w:val="•"/>
      <w:lvlJc w:val="left"/>
      <w:pPr>
        <w:ind w:left="2490" w:hanging="382"/>
      </w:pPr>
      <w:rPr>
        <w:rFonts w:hint="default"/>
        <w:lang w:val="en-US" w:eastAsia="en-US" w:bidi="ar-SA"/>
      </w:rPr>
    </w:lvl>
    <w:lvl w:ilvl="2" w:tplc="FFFFFFFF">
      <w:numFmt w:val="bullet"/>
      <w:lvlText w:val="•"/>
      <w:lvlJc w:val="left"/>
      <w:pPr>
        <w:ind w:left="3460" w:hanging="382"/>
      </w:pPr>
      <w:rPr>
        <w:rFonts w:hint="default"/>
        <w:lang w:val="en-US" w:eastAsia="en-US" w:bidi="ar-SA"/>
      </w:rPr>
    </w:lvl>
    <w:lvl w:ilvl="3" w:tplc="FFFFFFFF">
      <w:numFmt w:val="bullet"/>
      <w:lvlText w:val="•"/>
      <w:lvlJc w:val="left"/>
      <w:pPr>
        <w:ind w:left="4430" w:hanging="382"/>
      </w:pPr>
      <w:rPr>
        <w:rFonts w:hint="default"/>
        <w:lang w:val="en-US" w:eastAsia="en-US" w:bidi="ar-SA"/>
      </w:rPr>
    </w:lvl>
    <w:lvl w:ilvl="4" w:tplc="FFFFFFFF">
      <w:numFmt w:val="bullet"/>
      <w:lvlText w:val="•"/>
      <w:lvlJc w:val="left"/>
      <w:pPr>
        <w:ind w:left="5400" w:hanging="382"/>
      </w:pPr>
      <w:rPr>
        <w:rFonts w:hint="default"/>
        <w:lang w:val="en-US" w:eastAsia="en-US" w:bidi="ar-SA"/>
      </w:rPr>
    </w:lvl>
    <w:lvl w:ilvl="5" w:tplc="FFFFFFFF">
      <w:numFmt w:val="bullet"/>
      <w:lvlText w:val="•"/>
      <w:lvlJc w:val="left"/>
      <w:pPr>
        <w:ind w:left="6370" w:hanging="382"/>
      </w:pPr>
      <w:rPr>
        <w:rFonts w:hint="default"/>
        <w:lang w:val="en-US" w:eastAsia="en-US" w:bidi="ar-SA"/>
      </w:rPr>
    </w:lvl>
    <w:lvl w:ilvl="6" w:tplc="FFFFFFFF">
      <w:numFmt w:val="bullet"/>
      <w:lvlText w:val="•"/>
      <w:lvlJc w:val="left"/>
      <w:pPr>
        <w:ind w:left="7340" w:hanging="382"/>
      </w:pPr>
      <w:rPr>
        <w:rFonts w:hint="default"/>
        <w:lang w:val="en-US" w:eastAsia="en-US" w:bidi="ar-SA"/>
      </w:rPr>
    </w:lvl>
    <w:lvl w:ilvl="7" w:tplc="FFFFFFFF">
      <w:numFmt w:val="bullet"/>
      <w:lvlText w:val="•"/>
      <w:lvlJc w:val="left"/>
      <w:pPr>
        <w:ind w:left="8310" w:hanging="382"/>
      </w:pPr>
      <w:rPr>
        <w:rFonts w:hint="default"/>
        <w:lang w:val="en-US" w:eastAsia="en-US" w:bidi="ar-SA"/>
      </w:rPr>
    </w:lvl>
    <w:lvl w:ilvl="8" w:tplc="FFFFFFFF">
      <w:numFmt w:val="bullet"/>
      <w:lvlText w:val="•"/>
      <w:lvlJc w:val="left"/>
      <w:pPr>
        <w:ind w:left="9280" w:hanging="382"/>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19"/>
    <w:rsid w:val="00043102"/>
    <w:rsid w:val="000F436E"/>
    <w:rsid w:val="001A67E8"/>
    <w:rsid w:val="001E2234"/>
    <w:rsid w:val="002621FA"/>
    <w:rsid w:val="0028664F"/>
    <w:rsid w:val="003333FA"/>
    <w:rsid w:val="003F4B49"/>
    <w:rsid w:val="00403808"/>
    <w:rsid w:val="004E5D1E"/>
    <w:rsid w:val="005069B0"/>
    <w:rsid w:val="005C622E"/>
    <w:rsid w:val="005D767F"/>
    <w:rsid w:val="006C6B65"/>
    <w:rsid w:val="006D7FA5"/>
    <w:rsid w:val="0072209C"/>
    <w:rsid w:val="00756D71"/>
    <w:rsid w:val="00787D6A"/>
    <w:rsid w:val="007E363C"/>
    <w:rsid w:val="008D014C"/>
    <w:rsid w:val="008E2583"/>
    <w:rsid w:val="008E4BB5"/>
    <w:rsid w:val="00985968"/>
    <w:rsid w:val="009A64F6"/>
    <w:rsid w:val="00A34622"/>
    <w:rsid w:val="00A4431F"/>
    <w:rsid w:val="00B43485"/>
    <w:rsid w:val="00B97E9E"/>
    <w:rsid w:val="00BA6325"/>
    <w:rsid w:val="00C55A26"/>
    <w:rsid w:val="00CB4BBC"/>
    <w:rsid w:val="00CC1E19"/>
    <w:rsid w:val="00CE2009"/>
    <w:rsid w:val="00CE3DE4"/>
    <w:rsid w:val="00D05DD8"/>
    <w:rsid w:val="00D06C71"/>
    <w:rsid w:val="00D21697"/>
    <w:rsid w:val="00D2216B"/>
    <w:rsid w:val="00D221C4"/>
    <w:rsid w:val="00D266B6"/>
    <w:rsid w:val="00E62EE9"/>
    <w:rsid w:val="00E92ABB"/>
    <w:rsid w:val="00EC380B"/>
    <w:rsid w:val="00EE0B31"/>
    <w:rsid w:val="00F35989"/>
    <w:rsid w:val="00F52CA4"/>
    <w:rsid w:val="00F53E97"/>
    <w:rsid w:val="00F653A2"/>
    <w:rsid w:val="00F8208A"/>
    <w:rsid w:val="00F96A1C"/>
    <w:rsid w:val="00FA3C82"/>
    <w:rsid w:val="00FA647C"/>
    <w:rsid w:val="00FB6DDF"/>
    <w:rsid w:val="00FC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0C4FE"/>
  <w15:chartTrackingRefBased/>
  <w15:docId w15:val="{17837485-62F2-A34D-9604-D69D442F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1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1E19"/>
    <w:pPr>
      <w:ind w:left="720"/>
      <w:contextualSpacing/>
    </w:pPr>
  </w:style>
  <w:style w:type="character" w:styleId="CommentReference">
    <w:name w:val="annotation reference"/>
    <w:basedOn w:val="DefaultParagraphFont"/>
    <w:uiPriority w:val="99"/>
    <w:semiHidden/>
    <w:unhideWhenUsed/>
    <w:rsid w:val="00985968"/>
    <w:rPr>
      <w:sz w:val="16"/>
      <w:szCs w:val="16"/>
    </w:rPr>
  </w:style>
  <w:style w:type="paragraph" w:styleId="CommentText">
    <w:name w:val="annotation text"/>
    <w:basedOn w:val="Normal"/>
    <w:link w:val="CommentTextChar"/>
    <w:uiPriority w:val="99"/>
    <w:semiHidden/>
    <w:unhideWhenUsed/>
    <w:rsid w:val="004E5D1E"/>
    <w:pPr>
      <w:spacing w:line="240" w:lineRule="auto"/>
    </w:pPr>
    <w:rPr>
      <w:sz w:val="20"/>
      <w:szCs w:val="20"/>
    </w:rPr>
  </w:style>
  <w:style w:type="character" w:customStyle="1" w:styleId="CommentTextChar">
    <w:name w:val="Comment Text Char"/>
    <w:basedOn w:val="DefaultParagraphFont"/>
    <w:link w:val="CommentText"/>
    <w:uiPriority w:val="99"/>
    <w:semiHidden/>
    <w:rsid w:val="004E5D1E"/>
    <w:rPr>
      <w:sz w:val="20"/>
      <w:szCs w:val="20"/>
    </w:rPr>
  </w:style>
  <w:style w:type="paragraph" w:styleId="BalloonText">
    <w:name w:val="Balloon Text"/>
    <w:basedOn w:val="Normal"/>
    <w:link w:val="BalloonTextChar"/>
    <w:uiPriority w:val="99"/>
    <w:semiHidden/>
    <w:unhideWhenUsed/>
    <w:rsid w:val="00043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0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3102"/>
    <w:rPr>
      <w:b/>
      <w:bCs/>
    </w:rPr>
  </w:style>
  <w:style w:type="character" w:customStyle="1" w:styleId="CommentSubjectChar">
    <w:name w:val="Comment Subject Char"/>
    <w:basedOn w:val="CommentTextChar"/>
    <w:link w:val="CommentSubject"/>
    <w:uiPriority w:val="99"/>
    <w:semiHidden/>
    <w:rsid w:val="00043102"/>
    <w:rPr>
      <w:b/>
      <w:bCs/>
      <w:sz w:val="20"/>
      <w:szCs w:val="20"/>
    </w:rPr>
  </w:style>
  <w:style w:type="paragraph" w:styleId="Revision">
    <w:name w:val="Revision"/>
    <w:hidden/>
    <w:uiPriority w:val="99"/>
    <w:semiHidden/>
    <w:rsid w:val="008E4BB5"/>
    <w:rPr>
      <w:sz w:val="22"/>
      <w:szCs w:val="22"/>
    </w:rPr>
  </w:style>
  <w:style w:type="paragraph" w:styleId="Bibliography">
    <w:name w:val="Bibliography"/>
    <w:basedOn w:val="Normal"/>
    <w:next w:val="Normal"/>
    <w:uiPriority w:val="37"/>
    <w:unhideWhenUsed/>
    <w:rsid w:val="00A4431F"/>
    <w:pPr>
      <w:tabs>
        <w:tab w:val="left" w:pos="500"/>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Louis</dc:creator>
  <cp:keywords/>
  <dc:description/>
  <cp:lastModifiedBy>Shreya Louis</cp:lastModifiedBy>
  <cp:revision>11</cp:revision>
  <dcterms:created xsi:type="dcterms:W3CDTF">2022-05-09T17:03:00Z</dcterms:created>
  <dcterms:modified xsi:type="dcterms:W3CDTF">2022-08-29T22:51:00Z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zotero-version="6.0"&gt;&lt;session id="F7REQRFB"/&gt;&lt;style id="http://www.zotero.org/styles/american-medical-association"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ies>
</file>