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Table_ \* ARABIC </w:instrTex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>
        <w:rPr>
          <w:rFonts w:ascii="Times New Roman" w:hAnsi="Times New Roman" w:cs="Times New Roman"/>
          <w:sz w:val="21"/>
          <w:szCs w:val="21"/>
        </w:rPr>
        <w:t xml:space="preserve">  The optimal UPLC linear gradients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urine metabolomics</w:t>
      </w:r>
      <w:r>
        <w:rPr>
          <w:rFonts w:ascii="Times New Roman" w:hAnsi="Times New Roman" w:cs="Times New Roman"/>
          <w:sz w:val="21"/>
          <w:szCs w:val="21"/>
        </w:rPr>
        <w:t xml:space="preserve"> analysis</w:t>
      </w:r>
    </w:p>
    <w:tbl>
      <w:tblPr>
        <w:tblStyle w:val="20"/>
        <w:tblW w:w="4998" w:type="pct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253"/>
        <w:gridCol w:w="2471"/>
        <w:gridCol w:w="3010"/>
        <w:gridCol w:w="802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7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Time ( min )</w:t>
            </w:r>
          </w:p>
        </w:tc>
        <w:tc>
          <w:tcPr>
            <w:tcW w:w="1127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Flow rate (m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/min)</w:t>
            </w:r>
          </w:p>
        </w:tc>
        <w:tc>
          <w:tcPr>
            <w:tcW w:w="1236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ater with 0.1% formic acid</w:t>
            </w:r>
          </w:p>
        </w:tc>
        <w:tc>
          <w:tcPr>
            <w:tcW w:w="1506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cetonitrile with 0.1% formic acid</w:t>
            </w:r>
          </w:p>
        </w:tc>
        <w:tc>
          <w:tcPr>
            <w:tcW w:w="401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curve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op w:val="single" w:color="000000" w:themeColor="text1" w:sz="8" w:space="0"/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127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op w:val="single" w:color="000000" w:themeColor="text1" w:sz="8" w:space="0"/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</w:t>
            </w:r>
          </w:p>
        </w:tc>
        <w:tc>
          <w:tcPr>
            <w:tcW w:w="1506" w:type="pct"/>
            <w:tcBorders>
              <w:top w:val="single" w:color="000000" w:themeColor="text1" w:sz="8" w:space="0"/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01" w:type="pct"/>
            <w:tcBorders>
              <w:top w:val="single" w:color="000000" w:themeColor="text1" w:sz="8" w:space="0"/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27" w:type="pct"/>
            <w:tcBorders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</w:t>
            </w:r>
          </w:p>
        </w:tc>
        <w:tc>
          <w:tcPr>
            <w:tcW w:w="150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401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127" w:type="pct"/>
            <w:tcBorders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50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127" w:type="pct"/>
            <w:tcBorders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0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1127" w:type="pct"/>
            <w:tcBorders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4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127" w:type="pct"/>
            <w:tcBorders>
              <w:tl2br w:val="nil"/>
              <w:tr2bl w:val="nil"/>
            </w:tcBorders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0.4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06" w:type="pct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0"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01" w:type="pc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</w:tr>
    </w:tbl>
    <w:p>
      <w:pPr>
        <w:pStyle w:val="8"/>
        <w:keepNext/>
        <w:jc w:val="center"/>
        <w:outlineLvl w:val="0"/>
        <w:rPr>
          <w:rFonts w:ascii="Times New Roman" w:hAnsi="Times New Roman" w:cs="Times New Roman"/>
          <w:sz w:val="21"/>
          <w:szCs w:val="21"/>
        </w:rPr>
      </w:pPr>
    </w:p>
    <w:p>
      <w:pPr>
        <w:pStyle w:val="8"/>
        <w:keepNext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The optimal UPLC linear gradients of </w:t>
      </w:r>
      <w:r>
        <w:rPr>
          <w:rFonts w:hint="eastAsia" w:ascii="Times New Roman" w:hAnsi="Times New Roman" w:cs="Times New Roman"/>
          <w:sz w:val="21"/>
          <w:szCs w:val="21"/>
        </w:rPr>
        <w:t>component identification in vivo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20"/>
        <w:tblW w:w="4998" w:type="pct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244"/>
        <w:gridCol w:w="2510"/>
        <w:gridCol w:w="2974"/>
        <w:gridCol w:w="760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51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Time ( min )</w:t>
            </w:r>
          </w:p>
        </w:tc>
        <w:tc>
          <w:tcPr>
            <w:tcW w:w="1123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Flow rate (m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/min)</w:t>
            </w:r>
          </w:p>
        </w:tc>
        <w:tc>
          <w:tcPr>
            <w:tcW w:w="1256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ater with 0.1% formic acid</w:t>
            </w:r>
          </w:p>
        </w:tc>
        <w:tc>
          <w:tcPr>
            <w:tcW w:w="1488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cetonitrile with 0.1% formic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acid</w:t>
            </w:r>
          </w:p>
        </w:tc>
        <w:tc>
          <w:tcPr>
            <w:tcW w:w="380" w:type="pct"/>
            <w:tcBorders>
              <w:bottom w:val="single" w:color="000000" w:themeColor="text1" w:sz="8" w:space="0"/>
            </w:tcBorders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curve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123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88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80" w:type="pct"/>
            <w:tcBorders>
              <w:top w:val="single" w:color="000000" w:themeColor="text1" w:sz="8" w:space="0"/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23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88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80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123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88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80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1123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488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80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123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88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0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51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23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0.4</w:t>
            </w:r>
          </w:p>
        </w:tc>
        <w:tc>
          <w:tcPr>
            <w:tcW w:w="1256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88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80" w:type="pct"/>
            <w:tcBorders>
              <w:tl2br w:val="nil"/>
              <w:tr2bl w:val="nil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</w:t>
            </w:r>
          </w:p>
        </w:tc>
      </w:tr>
    </w:tbl>
    <w:p>
      <w:pPr>
        <w:spacing w:before="240"/>
      </w:pPr>
    </w:p>
    <w:p>
      <w:pPr>
        <w:spacing w:before="240"/>
      </w:pPr>
    </w:p>
    <w:p>
      <w:pPr>
        <w:spacing w:before="240"/>
      </w:pPr>
    </w:p>
    <w:p>
      <w:pPr>
        <w:spacing w:before="240"/>
      </w:pPr>
    </w:p>
    <w:p>
      <w:pPr>
        <w:spacing w:before="240"/>
      </w:pPr>
    </w:p>
    <w:p>
      <w:pPr>
        <w:spacing w:before="240"/>
      </w:pPr>
    </w:p>
    <w:p>
      <w:pPr>
        <w:spacing w:before="240"/>
        <w:sectPr>
          <w:headerReference r:id="rId6" w:type="first"/>
          <w:footerReference r:id="rId7" w:type="default"/>
          <w:headerReference r:id="rId5" w:type="even"/>
          <w:footerReference r:id="rId8" w:type="even"/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</w:p>
    <w:p>
      <w:pPr>
        <w:pStyle w:val="36"/>
        <w:adjustRightInd/>
        <w:snapToGrid/>
        <w:spacing w:line="300" w:lineRule="exact"/>
        <w:ind w:firstLine="0"/>
        <w:jc w:val="center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Potential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bio</w:t>
      </w:r>
      <w:r>
        <w:rPr>
          <w:rFonts w:ascii="Times New Roman" w:hAnsi="Times New Roman"/>
          <w:sz w:val="21"/>
          <w:szCs w:val="21"/>
        </w:rPr>
        <w:t>markers</w:t>
      </w:r>
      <w:r>
        <w:rPr>
          <w:rFonts w:hint="eastAsia" w:ascii="Times New Roman" w:hAnsi="Times New Roman"/>
          <w:sz w:val="21"/>
          <w:szCs w:val="21"/>
        </w:rPr>
        <w:t xml:space="preserve"> and m</w:t>
      </w:r>
      <w:r>
        <w:rPr>
          <w:rFonts w:ascii="Times New Roman" w:hAnsi="Times New Roman"/>
          <w:sz w:val="21"/>
          <w:szCs w:val="21"/>
        </w:rPr>
        <w:t>etabol</w:t>
      </w:r>
      <w:r>
        <w:rPr>
          <w:rFonts w:hint="eastAsia" w:ascii="Times New Roman" w:hAnsi="Times New Roman"/>
          <w:sz w:val="21"/>
          <w:szCs w:val="21"/>
        </w:rPr>
        <w:t>om</w:t>
      </w:r>
      <w:r>
        <w:rPr>
          <w:rFonts w:ascii="Times New Roman" w:hAnsi="Times New Roman"/>
          <w:sz w:val="21"/>
          <w:szCs w:val="21"/>
        </w:rPr>
        <w:t>ic pathway</w:t>
      </w:r>
      <w:r>
        <w:rPr>
          <w:rFonts w:hint="eastAsia"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z w:val="21"/>
          <w:szCs w:val="21"/>
        </w:rPr>
        <w:t>identiﬁed of PD model rats</w:t>
      </w:r>
      <w:r>
        <w:rPr>
          <w:rFonts w:hint="eastAsia" w:ascii="Times New Roman" w:hAnsi="Times New Roman"/>
          <w:sz w:val="21"/>
          <w:szCs w:val="21"/>
        </w:rPr>
        <w:t xml:space="preserve"> in ESI</w:t>
      </w:r>
      <w:r>
        <w:rPr>
          <w:rFonts w:hint="eastAsia" w:ascii="Times New Roman" w:hAnsi="Times New Roman"/>
          <w:sz w:val="21"/>
          <w:szCs w:val="21"/>
          <w:vertAlign w:val="superscript"/>
        </w:rPr>
        <w:t>-</w:t>
      </w:r>
      <w:r>
        <w:rPr>
          <w:rFonts w:hint="eastAsia" w:ascii="Times New Roman" w:hAnsi="Times New Roman"/>
          <w:sz w:val="21"/>
          <w:szCs w:val="21"/>
        </w:rPr>
        <w:t xml:space="preserve"> and ESI</w:t>
      </w:r>
      <w:r>
        <w:rPr>
          <w:rFonts w:hint="eastAsia" w:ascii="Times New Roman" w:hAnsi="Times New Roman"/>
          <w:sz w:val="21"/>
          <w:szCs w:val="21"/>
          <w:vertAlign w:val="superscript"/>
        </w:rPr>
        <w:t>+</w:t>
      </w:r>
      <w:r>
        <w:rPr>
          <w:rFonts w:hint="eastAsia" w:ascii="Times New Roman" w:hAnsi="Times New Roman"/>
          <w:sz w:val="21"/>
          <w:szCs w:val="21"/>
        </w:rPr>
        <w:t xml:space="preserve"> mode based on UPLC-MS</w:t>
      </w:r>
    </w:p>
    <w:tbl>
      <w:tblPr>
        <w:tblStyle w:val="19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754"/>
        <w:gridCol w:w="1079"/>
        <w:gridCol w:w="828"/>
        <w:gridCol w:w="1417"/>
        <w:gridCol w:w="3815"/>
        <w:gridCol w:w="2099"/>
        <w:gridCol w:w="783"/>
        <w:gridCol w:w="326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NO</w:t>
            </w:r>
          </w:p>
        </w:tc>
        <w:tc>
          <w:tcPr>
            <w:tcW w:w="72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Rt</w:t>
            </w:r>
          </w:p>
        </w:tc>
        <w:tc>
          <w:tcPr>
            <w:tcW w:w="1043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m/z</w:t>
            </w:r>
          </w:p>
        </w:tc>
        <w:tc>
          <w:tcPr>
            <w:tcW w:w="8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Mass Error (ppm)</w:t>
            </w:r>
          </w:p>
        </w:tc>
        <w:tc>
          <w:tcPr>
            <w:tcW w:w="137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Formula</w:t>
            </w:r>
          </w:p>
        </w:tc>
        <w:tc>
          <w:tcPr>
            <w:tcW w:w="368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Compound</w:t>
            </w:r>
          </w:p>
        </w:tc>
        <w:tc>
          <w:tcPr>
            <w:tcW w:w="202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Fragments</w:t>
            </w:r>
          </w:p>
        </w:tc>
        <w:tc>
          <w:tcPr>
            <w:tcW w:w="75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Trend</w:t>
            </w:r>
          </w:p>
        </w:tc>
        <w:tc>
          <w:tcPr>
            <w:tcW w:w="315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Metabolomic pathway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34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</w:t>
            </w:r>
          </w:p>
        </w:tc>
        <w:tc>
          <w:tcPr>
            <w:tcW w:w="1043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209.0303</w:t>
            </w:r>
          </w:p>
        </w:tc>
        <w:tc>
          <w:tcPr>
            <w:tcW w:w="800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371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3686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D-Saccharic acid</w:t>
            </w:r>
          </w:p>
        </w:tc>
        <w:tc>
          <w:tcPr>
            <w:tcW w:w="2028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85,59</w:t>
            </w:r>
          </w:p>
        </w:tc>
        <w:tc>
          <w:tcPr>
            <w:tcW w:w="757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Ascorbate and aldarate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146.0923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4-Guanidinobutyric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111,86,56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Arginine and proline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259.1653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2-Hydroxyacorenone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259,127,84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330.0597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Adenosine 3',5'-cyclic monophosphate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136,119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Purine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330.1301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Glycylprolylhydroxyproline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312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,270,211,115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218.1032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-0.5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Pantothenic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146,116,99,88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Pantothenate and CoA 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181.0505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4-Hydroxyphenylacetaldehyde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,135,134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Tyrosine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222.0771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N-Acetyl-L-tyrosine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,163,107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190.0537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N-Acetyl-L-methionine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,142,98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158.0820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-1.6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N-Isovaleroylglycine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,77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195.0628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3-Isopropenylpentanedioic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175,150,108,85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190.0498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Kynurenic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,144,116,89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326.0873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-2.3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 glucuronide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175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,150,113,108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212.0020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3-Indoxyl sulphate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,92,79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206.0456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2,8-Quinolinediol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,147,118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180.0652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Hippuric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,77,53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Phenylalanine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3.17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134.0607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N-Acetylarylamine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159.0660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-1.4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Pimelic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,97,95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197.0453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Syringic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,166,123,95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340.1025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6-Hydroxy-5-methoxyindole glucuronide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,164,122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Pentose and glucuronate interconversions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203.0925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cis-4-Hydroxycyclohexylacetic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,141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261.1338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Undecanedioic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243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,181,143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165.0553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Phenylacetaldehyde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119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,93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Phenylalanine metabolism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263.0896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Alanylglutamic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,203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369.1522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Galactosylhydroxylysine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351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,195,127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5.49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173.0817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Suberic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129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,111,109,83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209.0818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-0.8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β-Thujaplicin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204.0662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Indolelactic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158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130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,116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6.31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204.0661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N-Cinnamoylglycine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,130,103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187.0971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-2.3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Azelaic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169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,125,97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245.1390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(S)-9-Hydroxy-10-undecenoic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,209,165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239.1631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12-Hydroxydodecanoic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221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,123,91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273.1700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-2.9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11-Hydroxy-9-tridecenoic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,155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243.0770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-1.8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Indolylacryloylglycine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,168,142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221.0791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Serylalanine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,175,92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7.41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259.1181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-2.7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α-Carboxy-δ-decalactone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197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,101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7.73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201.1129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-1.5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Sebacic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,139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229.1442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,193,149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8.79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363.2159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-1.7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18-Hydroxycorticosterone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345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,247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Steroid hormone 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369.1720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-2.6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Epitestosterone sulfate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289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,271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8.99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314.2326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9-Decenoylcarnitine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,157,85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303.1644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-6.0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Neuromedin B (1-3)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243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,166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9.58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453.2836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Cholic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,112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6"/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↓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Primary bile acid 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466.3154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-1.7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Glycocholic acid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412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,337,319,145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Primary bile acid biosynthesis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9.72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299.1853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-4.2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8-Hydroxy-4(6)-lactarene-5,14-diol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281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,237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9.74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367.2107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-5.1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Prostaglandin G2</w:t>
            </w:r>
          </w:p>
        </w:tc>
        <w:tc>
          <w:tcPr>
            <w:tcW w:w="20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36"/>
              <w:adjustRightInd/>
              <w:snapToGrid/>
              <w:ind w:firstLine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349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,299,180</w:t>
            </w: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/>
              <w:snapToGrid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↑</w:t>
            </w:r>
          </w:p>
        </w:tc>
        <w:tc>
          <w:tcPr>
            <w:tcW w:w="3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Arachidonic acid metabolism</w:t>
            </w:r>
          </w:p>
        </w:tc>
      </w:tr>
    </w:tbl>
    <w:p>
      <w:pPr>
        <w:spacing w:before="240"/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↑Compared with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CON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 group, the level of metabolites in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MOD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 group were significantly ncreased（</w:t>
      </w:r>
      <w:r>
        <w:rPr>
          <w:rFonts w:hint="default" w:ascii="Times New Roman" w:hAnsi="Times New Roman" w:eastAsia="宋体" w:cs="Times New Roman"/>
          <w:i/>
          <w:iCs/>
          <w:color w:val="00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&lt;0.05 or </w:t>
      </w:r>
      <w:r>
        <w:rPr>
          <w:rFonts w:hint="default" w:ascii="Times New Roman" w:hAnsi="Times New Roman" w:eastAsia="宋体" w:cs="Times New Roman"/>
          <w:i/>
          <w:iCs/>
          <w:color w:val="00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&lt;0.01）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↓Compared with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CON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 group, the level of metabolites in 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  <w:lang w:val="en-US" w:eastAsia="zh-CN"/>
        </w:rPr>
        <w:t>MOD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 group were significantly reduced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 xml:space="preserve"> (</w:t>
      </w:r>
      <w:r>
        <w:rPr>
          <w:rFonts w:hint="default" w:ascii="Times New Roman" w:hAnsi="Times New Roman" w:eastAsia="宋体" w:cs="Times New Roman"/>
          <w:i/>
          <w:iCs/>
          <w:color w:val="00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 xml:space="preserve">&lt;0.05 or </w:t>
      </w:r>
      <w:r>
        <w:rPr>
          <w:rFonts w:hint="default" w:ascii="Times New Roman" w:hAnsi="Times New Roman" w:eastAsia="宋体" w:cs="Times New Roman"/>
          <w:i/>
          <w:iCs/>
          <w:color w:val="00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color w:val="000000"/>
          <w:sz w:val="18"/>
          <w:szCs w:val="18"/>
        </w:rPr>
        <w:t>&lt;0.01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)</w:t>
      </w:r>
    </w:p>
    <w:p>
      <w:pPr>
        <w:spacing w:before="240"/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hint="eastAsia" w:eastAsia="宋体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Characterization of components absorbed into blood from DSS in both positive and negative ion mode</w:t>
      </w:r>
    </w:p>
    <w:tbl>
      <w:tblPr>
        <w:tblStyle w:val="19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72"/>
        <w:gridCol w:w="1828"/>
        <w:gridCol w:w="2172"/>
        <w:gridCol w:w="1300"/>
        <w:gridCol w:w="1386"/>
        <w:gridCol w:w="3862"/>
        <w:gridCol w:w="18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Rt/min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Element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composition</w:t>
            </w:r>
          </w:p>
        </w:tc>
        <w:tc>
          <w:tcPr>
            <w:tcW w:w="626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Adducts</w:t>
            </w:r>
          </w:p>
        </w:tc>
        <w:tc>
          <w:tcPr>
            <w:tcW w:w="744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Compound Name</w:t>
            </w:r>
          </w:p>
        </w:tc>
        <w:tc>
          <w:tcPr>
            <w:tcW w:w="44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PPM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ESI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/ESI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vertAlign w:val="superscript"/>
              </w:rPr>
              <w:t>+</w:t>
            </w:r>
          </w:p>
        </w:tc>
        <w:tc>
          <w:tcPr>
            <w:tcW w:w="474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m/z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ESI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/ESI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vertAlign w:val="superscript"/>
              </w:rPr>
              <w:t>+</w:t>
            </w:r>
          </w:p>
        </w:tc>
        <w:tc>
          <w:tcPr>
            <w:tcW w:w="1323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MS/MS</w:t>
            </w:r>
          </w:p>
        </w:tc>
        <w:tc>
          <w:tcPr>
            <w:tcW w:w="643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Origin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Gentisic acid 5-O-glucoside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315.071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153.0177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,124.0184,109.0264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/AR/AMR/ASR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Cianidanol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291.0866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139.0398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,123.0413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/P/AMR/ASR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Chlorogenic acid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353.0870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191.0557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,135.0453,85.0289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/P/AMR/ASR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Jasminoside B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-0.7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369.1520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167.1076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,111.0794,93.0681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Albiflorin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-1.5/-2.1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525.1603/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481.1696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357.1206,121.0294/319.1172,197.0806,105.0312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4.0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M+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HCOO/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Paeoniflorin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2.3/-1.9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525.1604/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503.1519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479.1547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165.0551,121.0286/179.0694,151.0745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Ethyl gallate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197.045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169.0189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,140.0112,124.0157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/P/AMR/ASR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4.6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M+H-H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Ferulic acid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0.2/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-0.3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193.050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/177.0545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178.0277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,134.0381,133.0298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/149.0609,105.0315,77.0361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M+H-H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Senkyunolide I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207.1014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189.0936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,161.0965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M+H-H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Griffonilide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-4.1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151.038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105.0344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,77.0402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4-Hydroxy-3-(3-methylbut-2-enyl)benzoic acid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205.0870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161.0973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,131.0507,106.0424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/P/AR/ASR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3-N-butyl-4,5-dihydrophthalide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-0.2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193.122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175.1114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,137.058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M+H-H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Isovalerophenone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-3.0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145.100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130.0764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,115.0524,77.0370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/P/AMR/ASR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M+H-H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Atractylenolide III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231.13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185.1305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,161.0583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77.0375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Sedanolide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-0.8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195.137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149.1318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,125.0576,79.0534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Z-Ligustilide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-1.2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191.1064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173.0941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,155.0839,145.0985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Alisol C 23-acetate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2.7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551.332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529.3499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,469.3302,451.3188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M+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HCOO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Alisol A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-2.4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535.3628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395.2907,339.2697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Dehydrotumulosic acid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/—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483.347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439.3552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,423.3223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RPA/P/AMR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12.6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-H/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M+H-H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O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Poricoic acid A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-2.2/-0.4</w:t>
            </w:r>
          </w:p>
        </w:tc>
        <w:tc>
          <w:tcPr>
            <w:tcW w:w="474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497.3261/481.3310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423.2900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,379.3000/325.2124,307.2050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12.7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Alisol F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-1.6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511.3386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451.3169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,433.3036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14.0</w:t>
            </w: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Levistilide A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403.1874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381.2104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,191.1064,173.0949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/ASR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14.3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  <w:highlight w:val="none"/>
              </w:rPr>
              <w:t>M+Na</w:t>
            </w:r>
          </w:p>
        </w:tc>
        <w:tc>
          <w:tcPr>
            <w:tcW w:w="74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Alisol B acetate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4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537.3543</w:t>
            </w:r>
          </w:p>
        </w:tc>
        <w:tc>
          <w:tcPr>
            <w:tcW w:w="1323" w:type="pct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</w:rPr>
              <w:t>497.3633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,159.1179,121.0983</w:t>
            </w:r>
          </w:p>
        </w:tc>
        <w:tc>
          <w:tcPr>
            <w:tcW w:w="643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HAnsi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Note: ASR: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Angelicae Sinensis Radix</w:t>
      </w:r>
      <w:r>
        <w:rPr>
          <w:rFonts w:hint="eastAsia"/>
          <w:lang w:val="en-US" w:eastAsia="zh-CN"/>
        </w:rPr>
        <w:t>; RPA:</w:t>
      </w:r>
      <w:r>
        <w:rPr>
          <w:rFonts w:hint="eastAsia"/>
          <w:i w:val="0"/>
          <w:iCs w:val="0"/>
          <w:lang w:val="en-US" w:eastAsia="zh-CN"/>
        </w:rPr>
        <w:t>Radix Paeoniae Alba; RC:Chuanxiong Rhizoma</w:t>
      </w:r>
      <w:r>
        <w:rPr>
          <w:rFonts w:hint="eastAsia"/>
          <w:lang w:val="en-US" w:eastAsia="zh-CN"/>
        </w:rPr>
        <w:t>; AR:</w:t>
      </w:r>
      <w:r>
        <w:rPr>
          <w:rFonts w:hint="eastAsia"/>
          <w:i w:val="0"/>
          <w:iCs w:val="0"/>
          <w:lang w:val="en-US" w:eastAsia="zh-CN"/>
        </w:rPr>
        <w:t>Alismatis Rhizoma; P:Poria; AMR:Atractylodis Macrocephalae Rhizoma; ALL:A</w:t>
      </w:r>
      <w:r>
        <w:rPr>
          <w:rFonts w:hint="eastAsia"/>
          <w:lang w:val="en-US" w:eastAsia="zh-CN"/>
        </w:rPr>
        <w:t xml:space="preserve">SR, RPA, CR, AR, P, AMR; </w:t>
      </w:r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√</w:t>
      </w:r>
      <w:r>
        <w:rPr>
          <w:rFonts w:hint="eastAsia" w:ascii="Arial" w:hAnsi="Arial" w:cs="Arial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: </w:t>
      </w:r>
      <w:r>
        <w:rPr>
          <w:rFonts w:hint="eastAsia" w:cs="Times New Roman"/>
          <w:color w:val="000000"/>
          <w:sz w:val="21"/>
          <w:szCs w:val="21"/>
          <w:highlight w:val="none"/>
          <w:lang w:val="en-US" w:eastAsia="zh-CN"/>
        </w:rPr>
        <w:t xml:space="preserve">Serum </w:t>
      </w:r>
      <w:r>
        <w:rPr>
          <w:rFonts w:hint="eastAsia"/>
          <w:lang w:val="en-US" w:eastAsia="zh-CN"/>
        </w:rPr>
        <w:t>components.</w:t>
      </w:r>
    </w:p>
    <w:p>
      <w:pPr>
        <w:spacing w:before="240"/>
      </w:pPr>
    </w:p>
    <w:p>
      <w:pPr>
        <w:spacing w:before="240"/>
      </w:pPr>
    </w:p>
    <w:p>
      <w:pPr>
        <w:spacing w:before="240"/>
        <w:sectPr>
          <w:pgSz w:w="16838" w:h="11905" w:orient="landscape"/>
          <w:pgMar w:top="1140" w:right="1179" w:bottom="1140" w:left="1281" w:header="720" w:footer="720" w:gutter="0"/>
          <w:cols w:space="0" w:num="1"/>
          <w:titlePg/>
          <w:rtlGutter w:val="0"/>
          <w:docGrid w:linePitch="360" w:charSpace="0"/>
        </w:sectPr>
      </w:pPr>
    </w:p>
    <w:p>
      <w:pPr>
        <w:spacing w:before="240"/>
        <w:jc w:val="center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  <w:r>
        <w:rPr>
          <w:rFonts w:hint="eastAsia" w:eastAsia="宋体" w:cs="Times New Roman"/>
          <w:color w:val="000000"/>
          <w:szCs w:val="21"/>
          <w:lang w:val="en-US" w:eastAsia="zh-CN"/>
        </w:rPr>
        <w:t>T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he enrichment analysis of common target KEGG pathway 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 xml:space="preserve">based on the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false discovery r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ate</w:t>
      </w:r>
      <w:r>
        <w:rPr>
          <w:rFonts w:hint="eastAsia" w:eastAsia="宋体" w:cs="Times New Roman"/>
          <w:sz w:val="24"/>
          <w:szCs w:val="24"/>
          <w:highlight w:val="none"/>
          <w:lang w:val="en-US" w:eastAsia="zh-CN"/>
        </w:rPr>
        <w:t xml:space="preserve"> less than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.05</w:t>
      </w:r>
    </w:p>
    <w:tbl>
      <w:tblPr>
        <w:tblStyle w:val="20"/>
        <w:tblpPr w:leftFromText="180" w:rightFromText="180" w:vertAnchor="text" w:tblpXSpec="center" w:tblpY="162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4972"/>
        <w:gridCol w:w="131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term description</w:t>
            </w:r>
          </w:p>
        </w:tc>
        <w:tc>
          <w:tcPr>
            <w:tcW w:w="4972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matching proteins in your network (labels)</w:t>
            </w:r>
          </w:p>
        </w:tc>
        <w:tc>
          <w:tcPr>
            <w:tcW w:w="1712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false discovery rate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TNF signaling pathway</w:t>
            </w:r>
          </w:p>
        </w:tc>
        <w:tc>
          <w:tcPr>
            <w:tcW w:w="497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NFKB1,IL1B,PIK3CA,MMP14,PTGS2,TNF</w:t>
            </w:r>
          </w:p>
        </w:tc>
        <w:tc>
          <w:tcPr>
            <w:tcW w:w="171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1.19E-06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Estrogen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MMP2,PIK3CA,PGR,ESR2,BCL2,ESR1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2.55E-06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Prolactin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NFKB1,PIK3CA,ESR2,CYP17A1,ESR1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3.44E-06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NF-kappa B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NFKB1,IL1B,PTGS2,BCL2,TNF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1.58E-05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C-type lectin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NFKB1,IL1B,PIK3CA,PTGS2,TNF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1.58E-05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IL-17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NFKB1,IL1B,PTGS2,TNF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Toll-like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NFKB1,IL1B,PIK3CA,TNF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Prostate cancer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NFKB1,PIK3CA,AR,BCL2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Sphingolipid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NFKB1,PIK3CA,BCL2,TNF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Steroid hormone biosynthesis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CYP3A4,CYP17A1,CYP19A1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NOD-like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NFKB1,IL1B,BCL2,TNF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GnRH secretion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PIK3CA,CACNA1D,ESR2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Cortisol synthesis and secretion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CACNA1D,KCNK3,CYP17A1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Chemokine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NFKB1,PIK3CA,CCR1,JAK3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Adipocytokine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NFKB1,PPARA,TNF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CACNA1D,AVPR1A,PTGFR,CHRM5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cAMP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NFKB1,PIK3CA,CACNA1D,PPARA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Longevity regulating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NFKB1,PIK3CA,PPARG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GnRH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MMP2,CACNA1D,MMP14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Inflammatory mediator regulation of TRP channels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IL1B,PIK3CA,TRPV4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 cell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HIF-1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NFKB1,PIK3CA,BCL2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Neurotrophin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NFKB1,PIK3CA,BCL2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MAPK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NFKB1,IL1B,CACNA1D,TNF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Relaxin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MMP2,NFKB1,PIK3CA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Phospholipase D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PIK3CA,AVPR1A,PTGFR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PI3K-Akt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NFKB1,PIK3CA,BCL2,JAK3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JAK-STAT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PIK3CA,BCL2,JAK3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Transcriptional misregulation in cancer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NFKB1,PPARG,MEN1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VEGF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PIK3CA,PTGS2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Arachidonic acid metabolism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PTGS1,PTGS2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Cytosolic DNA-sensing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NFKB1,IL1B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 epsilon RI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RIG-I-like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NFKB1,TNF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PPARG,PPARA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 cell receptor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NFKB1,PIK3CA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Aldosterone synthesis and secretion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CACNA1D,KCNK3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Thyroid hormone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PIK3CA,ESR1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AMPK signaling pathway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PIK3CA,PPARG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Metabolic pathways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PIK3CA,CYP3A4,PTGS1,PTGS2,CYP17A1,CYP19A1</w:t>
            </w:r>
          </w:p>
        </w:tc>
        <w:tc>
          <w:tcPr>
            <w:tcW w:w="1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0.0433</w:t>
            </w:r>
          </w:p>
        </w:tc>
      </w:tr>
    </w:tbl>
    <w:p>
      <w:pPr>
        <w:spacing w:before="240"/>
        <w:rPr>
          <w:rFonts w:hint="default" w:eastAsia="宋体"/>
          <w:lang w:val="en-US" w:eastAsia="zh-CN"/>
        </w:rPr>
      </w:pPr>
    </w:p>
    <w:p>
      <w:pPr>
        <w:spacing w:before="240"/>
        <w:rPr>
          <w:rFonts w:hint="default" w:eastAsia="宋体"/>
          <w:lang w:val="en-US" w:eastAsia="zh-CN"/>
        </w:rPr>
      </w:pPr>
    </w:p>
    <w:p>
      <w:pPr>
        <w:spacing w:before="240"/>
        <w:jc w:val="center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6196965" cy="2324100"/>
            <wp:effectExtent l="0" t="0" r="13335" b="0"/>
            <wp:docPr id="3" name="图片 3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  <w:rPr>
          <w:rFonts w:hint="default" w:eastAsia="宋体"/>
          <w:lang w:val="en-US" w:eastAsia="zh-CN"/>
        </w:rPr>
        <w:sectPr>
          <w:pgSz w:w="12240" w:h="15840"/>
          <w:pgMar w:top="1138" w:right="1181" w:bottom="1138" w:left="1282" w:header="720" w:footer="720" w:gutter="0"/>
          <w:cols w:space="720" w:num="1"/>
          <w:titlePg/>
          <w:docGrid w:linePitch="360" w:charSpace="0"/>
        </w:sectPr>
      </w:pPr>
      <w:r>
        <w:rPr>
          <w:rFonts w:hint="eastAsia" w:eastAsia="宋体"/>
          <w:lang w:val="en-US" w:eastAsia="zh-CN"/>
        </w:rPr>
        <w:t xml:space="preserve">FIGURE S1 Chromatogram of alcohol extract from Danggui Shaoyao San. 1.Ferulic acid, 2. </w:t>
      </w:r>
      <w:r>
        <w:rPr>
          <w:rFonts w:hint="eastAsia" w:eastAsia="宋体" w:cs="Times New Roman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lisol A</w:t>
      </w:r>
      <w:r>
        <w:rPr>
          <w:rFonts w:hint="eastAsia" w:eastAsia="宋体"/>
          <w:lang w:val="en-US" w:eastAsia="zh-CN"/>
        </w:rPr>
        <w:t>, 3. Atractylenolide Ⅱ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6838" w:h="11905" w:orient="landscape"/>
      <w:pgMar w:top="1140" w:right="1179" w:bottom="1140" w:left="1281" w:header="720" w:footer="720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664.15pt;margin-top:529.7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Nzc3ZWViY2M1ZTMzODE0Nzk1NWU4YjJmYTkwYjMifQ==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3425FF4"/>
    <w:rsid w:val="04473600"/>
    <w:rsid w:val="045712B7"/>
    <w:rsid w:val="05D9545A"/>
    <w:rsid w:val="09F40097"/>
    <w:rsid w:val="0A4C1970"/>
    <w:rsid w:val="0A523C58"/>
    <w:rsid w:val="0BBB11E9"/>
    <w:rsid w:val="0CA664C1"/>
    <w:rsid w:val="0FD61CDB"/>
    <w:rsid w:val="11D2780E"/>
    <w:rsid w:val="13A97E33"/>
    <w:rsid w:val="14A42137"/>
    <w:rsid w:val="16557DFE"/>
    <w:rsid w:val="17B33546"/>
    <w:rsid w:val="182B5DEE"/>
    <w:rsid w:val="1959115C"/>
    <w:rsid w:val="1C052BBE"/>
    <w:rsid w:val="1FBE6A14"/>
    <w:rsid w:val="1FF24C50"/>
    <w:rsid w:val="20F77EFC"/>
    <w:rsid w:val="2BEF60C8"/>
    <w:rsid w:val="2CE90E48"/>
    <w:rsid w:val="2ECF6AAA"/>
    <w:rsid w:val="30861CF0"/>
    <w:rsid w:val="31B34678"/>
    <w:rsid w:val="36E26E8D"/>
    <w:rsid w:val="37D526F5"/>
    <w:rsid w:val="3A8A5A19"/>
    <w:rsid w:val="3C636521"/>
    <w:rsid w:val="3E497999"/>
    <w:rsid w:val="40C840CA"/>
    <w:rsid w:val="40CF7352"/>
    <w:rsid w:val="45D20210"/>
    <w:rsid w:val="46767E80"/>
    <w:rsid w:val="468B3DA5"/>
    <w:rsid w:val="488A4E52"/>
    <w:rsid w:val="48AE6D76"/>
    <w:rsid w:val="4AA06B93"/>
    <w:rsid w:val="4C7C718B"/>
    <w:rsid w:val="521E260E"/>
    <w:rsid w:val="53ED2205"/>
    <w:rsid w:val="59F111B9"/>
    <w:rsid w:val="5D697DC5"/>
    <w:rsid w:val="5DDD498E"/>
    <w:rsid w:val="5F8A1E93"/>
    <w:rsid w:val="67510A1F"/>
    <w:rsid w:val="69C831E7"/>
    <w:rsid w:val="72312642"/>
    <w:rsid w:val="73D6055F"/>
    <w:rsid w:val="73E01C2A"/>
    <w:rsid w:val="750D4B8A"/>
    <w:rsid w:val="79382F59"/>
    <w:rsid w:val="7A70182E"/>
    <w:rsid w:val="7E0B01EB"/>
    <w:rsid w:val="7FD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0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1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1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0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1">
    <w:name w:val="Balloon Text"/>
    <w:basedOn w:val="1"/>
    <w:link w:val="34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3">
    <w:name w:val="header"/>
    <w:basedOn w:val="1"/>
    <w:link w:val="42"/>
    <w:unhideWhenUsed/>
    <w:uiPriority w:val="99"/>
    <w:pPr>
      <w:tabs>
        <w:tab w:val="center" w:pos="4844"/>
        <w:tab w:val="right" w:pos="9689"/>
      </w:tabs>
    </w:pPr>
    <w:rPr>
      <w:b/>
    </w:rPr>
  </w:style>
  <w:style w:type="paragraph" w:styleId="14">
    <w:name w:val="Subtitle"/>
    <w:basedOn w:val="1"/>
    <w:next w:val="1"/>
    <w:link w:val="32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5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7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8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rFonts w:ascii="Times New Roman" w:hAnsi="Times New Roman"/>
      <w:b/>
      <w:bCs/>
    </w:rPr>
  </w:style>
  <w:style w:type="character" w:styleId="23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4">
    <w:name w:val="FollowedHyperlink"/>
    <w:basedOn w:val="2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1"/>
    <w:qFormat/>
    <w:uiPriority w:val="20"/>
    <w:rPr>
      <w:rFonts w:ascii="Times New Roman" w:hAnsi="Times New Roman"/>
      <w:i/>
      <w:iCs/>
    </w:rPr>
  </w:style>
  <w:style w:type="character" w:styleId="26">
    <w:name w:val="line number"/>
    <w:basedOn w:val="21"/>
    <w:semiHidden/>
    <w:unhideWhenUsed/>
    <w:qFormat/>
    <w:uiPriority w:val="99"/>
  </w:style>
  <w:style w:type="character" w:styleId="27">
    <w:name w:val="Hyperlink"/>
    <w:basedOn w:val="21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styleId="29">
    <w:name w:val="footnote reference"/>
    <w:basedOn w:val="21"/>
    <w:semiHidden/>
    <w:unhideWhenUsed/>
    <w:qFormat/>
    <w:uiPriority w:val="99"/>
    <w:rPr>
      <w:vertAlign w:val="superscript"/>
    </w:rPr>
  </w:style>
  <w:style w:type="character" w:customStyle="1" w:styleId="30">
    <w:name w:val="Heading 1 Char"/>
    <w:basedOn w:val="21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1">
    <w:name w:val="Heading 2 Char"/>
    <w:basedOn w:val="21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Subtitle Char"/>
    <w:basedOn w:val="21"/>
    <w:link w:val="14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3">
    <w:name w:val="Author List"/>
    <w:basedOn w:val="14"/>
    <w:next w:val="1"/>
    <w:qFormat/>
    <w:uiPriority w:val="1"/>
  </w:style>
  <w:style w:type="character" w:customStyle="1" w:styleId="34">
    <w:name w:val="Balloon Text Char"/>
    <w:basedOn w:val="21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Book Title"/>
    <w:basedOn w:val="21"/>
    <w:qFormat/>
    <w:uiPriority w:val="33"/>
    <w:rPr>
      <w:rFonts w:ascii="Times New Roman" w:hAnsi="Times New Roman"/>
      <w:b/>
      <w:bCs/>
      <w:i/>
      <w:iCs/>
      <w:spacing w:val="5"/>
    </w:rPr>
  </w:style>
  <w:style w:type="paragraph" w:styleId="36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37">
    <w:name w:val="Comment Text Char"/>
    <w:basedOn w:val="21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1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1"/>
    <w:link w:val="12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1"/>
    <w:link w:val="15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1"/>
    <w:link w:val="13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1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1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1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1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1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1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1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1"/>
    <w:link w:val="17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7"/>
    <w:next w:val="17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11</Pages>
  <Words>1179</Words>
  <Characters>8247</Characters>
  <Lines>11</Lines>
  <Paragraphs>3</Paragraphs>
  <TotalTime>0</TotalTime>
  <ScaleCrop>false</ScaleCrop>
  <LinksUpToDate>false</LinksUpToDate>
  <CharactersWithSpaces>8605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2018-11-23T08:58:00Z</dcterms:created>
  <dc:creator>Frontiers Media SA</dc:creator>
  <cp:lastModifiedBy>Xiong H</cp:lastModifiedBy>
  <cp:lastPrinted>2013-10-03T12:51:00Z</cp:lastPrinted>
  <dcterms:modified xsi:type="dcterms:W3CDTF">2022-06-10T03:26:55Z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7F882067B1C34804BCC99419AF798C34</vt:lpwstr>
  </property>
</Properties>
</file>