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47C90" w14:textId="072DBDC2" w:rsidR="002D1862" w:rsidRPr="001A4036" w:rsidRDefault="002D1862" w:rsidP="002D1862">
      <w:pPr>
        <w:jc w:val="center"/>
        <w:rPr>
          <w:rFonts w:eastAsia="Cambria" w:cs="Times New Roman"/>
          <w:b/>
          <w:szCs w:val="24"/>
        </w:rPr>
      </w:pPr>
      <w:bookmarkStart w:id="0" w:name="_Hlk114155687"/>
      <w:r w:rsidRPr="002F7A0B">
        <w:rPr>
          <w:rFonts w:eastAsia="Cambria" w:cs="Times New Roman"/>
          <w:b/>
          <w:szCs w:val="24"/>
        </w:rPr>
        <w:t>Supplementary</w:t>
      </w:r>
      <w:r>
        <w:rPr>
          <w:rFonts w:eastAsia="Cambria" w:cs="Times New Roman"/>
          <w:b/>
          <w:szCs w:val="24"/>
        </w:rPr>
        <w:t xml:space="preserve"> </w:t>
      </w:r>
      <w:r w:rsidR="001A4036" w:rsidRPr="001A4036">
        <w:rPr>
          <w:rFonts w:eastAsia="Cambria" w:cs="Times New Roman"/>
          <w:b/>
          <w:szCs w:val="24"/>
        </w:rPr>
        <w:t>materials</w:t>
      </w:r>
    </w:p>
    <w:bookmarkEnd w:id="0"/>
    <w:p w14:paraId="15692F9E" w14:textId="1BCDED8F" w:rsidR="002D1862" w:rsidRPr="002D1862" w:rsidRDefault="002F7A0B" w:rsidP="002D1862">
      <w:pPr>
        <w:pStyle w:val="2"/>
      </w:pPr>
      <w:r w:rsidRPr="008229C9">
        <w:t>Patients</w:t>
      </w:r>
    </w:p>
    <w:p w14:paraId="794698C5" w14:textId="77777777" w:rsidR="002F7A0B" w:rsidRPr="008229C9" w:rsidRDefault="002F7A0B" w:rsidP="002F7A0B">
      <w:r w:rsidRPr="008229C9">
        <w:t xml:space="preserve">The supraspinous and interspinous ligaments were obtained from patients with AS who underwent osteotomy and patients with common lumbar disc herniation who underwent posterior lumbar interbody fusion (PLIF) in the Department of </w:t>
      </w:r>
      <w:proofErr w:type="spellStart"/>
      <w:r w:rsidRPr="008229C9">
        <w:t>Orthopaedics</w:t>
      </w:r>
      <w:proofErr w:type="spellEnd"/>
      <w:r w:rsidRPr="008229C9">
        <w:t xml:space="preserve">, The First Affiliated Hospital of Chongqing Medical University from January 2022 to March 2022. Specimens were excised and transferred immediately to liquid nitrogen. All patients were notified, and all of them provided written informed consent. The study was conducted in accordance with the International Conference on Harmonization’s Good Clinical Practice Guidelines and the Declaration of Helsinki. All patients in the experimental groups were clearly diagnosed with AS according to the </w:t>
      </w:r>
      <w:proofErr w:type="spellStart"/>
      <w:r w:rsidRPr="008229C9">
        <w:t>axSpA</w:t>
      </w:r>
      <w:proofErr w:type="spellEnd"/>
      <w:r w:rsidRPr="008229C9">
        <w:t xml:space="preserve"> classification criteria of the Assessment of </w:t>
      </w:r>
      <w:proofErr w:type="spellStart"/>
      <w:r w:rsidRPr="008229C9">
        <w:t>SpondyloArthritis</w:t>
      </w:r>
      <w:proofErr w:type="spellEnd"/>
      <w:r w:rsidRPr="008229C9">
        <w:t xml:space="preserve"> International Society</w:t>
      </w:r>
      <w:r w:rsidRPr="008229C9" w:rsidDel="001772C0">
        <w:t xml:space="preserve"> </w:t>
      </w:r>
      <w:r w:rsidRPr="008229C9">
        <w:t>(ASAS) (2009). In contrast, all the patients in the control group were clearly diagnosed with common lumbar disc herniation. Clinical data were obtained from hospital records and pathology reports. The study protocol was approved by the Ethics Committee of the Affiliated Hospital of Chongqing Medical University (Approval Number: 2022-K55).</w:t>
      </w:r>
    </w:p>
    <w:p w14:paraId="245FC869" w14:textId="77777777" w:rsidR="002F7A0B" w:rsidRPr="008229C9" w:rsidRDefault="002F7A0B" w:rsidP="002F7A0B">
      <w:pPr>
        <w:pStyle w:val="2"/>
      </w:pPr>
      <w:r w:rsidRPr="008229C9">
        <w:t>Total RNA Extraction</w:t>
      </w:r>
    </w:p>
    <w:p w14:paraId="09982DF4" w14:textId="77777777" w:rsidR="002F7A0B" w:rsidRPr="008229C9" w:rsidRDefault="002F7A0B" w:rsidP="002F7A0B">
      <w:r w:rsidRPr="008229C9">
        <w:t>Total RNA was extracted from BC tissues using the UNIQ-10 column total RNA extraction kit (</w:t>
      </w:r>
      <w:proofErr w:type="spellStart"/>
      <w:r w:rsidRPr="008229C9">
        <w:t>Sangon</w:t>
      </w:r>
      <w:proofErr w:type="spellEnd"/>
      <w:r w:rsidRPr="008229C9">
        <w:t xml:space="preserve"> Biotech). A SMA4000 microspectrophotometer (</w:t>
      </w:r>
      <w:proofErr w:type="spellStart"/>
      <w:r w:rsidRPr="008229C9">
        <w:t>Merinton</w:t>
      </w:r>
      <w:proofErr w:type="spellEnd"/>
      <w:r w:rsidRPr="008229C9">
        <w:t xml:space="preserve"> Instrument, Inc) and DYY-6C electrophoresis instrument (</w:t>
      </w:r>
      <w:proofErr w:type="spellStart"/>
      <w:r w:rsidRPr="008229C9">
        <w:t>Liuyi</w:t>
      </w:r>
      <w:proofErr w:type="spellEnd"/>
      <w:r w:rsidRPr="008229C9">
        <w:t>. Beijing) were used to quantify and qualify the extracted total RNA, respectively.</w:t>
      </w:r>
    </w:p>
    <w:p w14:paraId="2E2799E5" w14:textId="77777777" w:rsidR="002F7A0B" w:rsidRPr="008229C9" w:rsidRDefault="002F7A0B" w:rsidP="002F7A0B">
      <w:pPr>
        <w:pStyle w:val="2"/>
      </w:pPr>
      <w:r w:rsidRPr="008229C9">
        <w:t xml:space="preserve">Reverse Transcription and Quantification with </w:t>
      </w:r>
      <w:proofErr w:type="spellStart"/>
      <w:r w:rsidRPr="008229C9">
        <w:t>qRT</w:t>
      </w:r>
      <w:proofErr w:type="spellEnd"/>
      <w:r w:rsidRPr="008229C9">
        <w:t>-PCR</w:t>
      </w:r>
    </w:p>
    <w:p w14:paraId="4047BF22" w14:textId="77777777" w:rsidR="002F7A0B" w:rsidRPr="008229C9" w:rsidRDefault="002F7A0B" w:rsidP="002F7A0B">
      <w:pPr>
        <w:rPr>
          <w:szCs w:val="24"/>
        </w:rPr>
      </w:pPr>
      <w:r w:rsidRPr="008229C9">
        <w:t>The concentrations of total RNA extracted from the supraspinous and interspinous ligaments of patients with AS ranged from 131.81 ng/</w:t>
      </w:r>
      <w:proofErr w:type="spellStart"/>
      <w:r w:rsidRPr="008229C9">
        <w:t>μl</w:t>
      </w:r>
      <w:proofErr w:type="spellEnd"/>
      <w:r w:rsidRPr="008229C9">
        <w:t xml:space="preserve"> to 1125.56 ng/</w:t>
      </w:r>
      <w:proofErr w:type="spellStart"/>
      <w:r w:rsidRPr="008229C9">
        <w:t>μl</w:t>
      </w:r>
      <w:proofErr w:type="spellEnd"/>
      <w:r w:rsidRPr="008229C9">
        <w:t>. RNA samples were reverse transcribed using the RR047A cDNA synthesis kit (</w:t>
      </w:r>
      <w:proofErr w:type="spellStart"/>
      <w:r w:rsidRPr="008229C9">
        <w:t>TaKaRa</w:t>
      </w:r>
      <w:proofErr w:type="spellEnd"/>
      <w:r w:rsidRPr="008229C9">
        <w:t xml:space="preserve">, China). Quantitative PCR of </w:t>
      </w:r>
      <w:r w:rsidRPr="008229C9">
        <w:rPr>
          <w:i/>
          <w:iCs/>
        </w:rPr>
        <w:t>CEP55</w:t>
      </w:r>
      <w:r w:rsidRPr="008229C9">
        <w:t xml:space="preserve">, </w:t>
      </w:r>
      <w:r w:rsidRPr="008229C9">
        <w:rPr>
          <w:i/>
          <w:iCs/>
        </w:rPr>
        <w:t>MTFR2</w:t>
      </w:r>
      <w:r w:rsidRPr="008229C9">
        <w:t xml:space="preserve">, and </w:t>
      </w:r>
      <w:r w:rsidRPr="008229C9">
        <w:rPr>
          <w:i/>
          <w:iCs/>
        </w:rPr>
        <w:t>PIMREG</w:t>
      </w:r>
      <w:r w:rsidRPr="008229C9">
        <w:t xml:space="preserve"> was performed using 2</w:t>
      </w:r>
      <w:r w:rsidRPr="008229C9">
        <w:rPr>
          <w:rFonts w:cs="Times New Roman"/>
        </w:rPr>
        <w:t>×</w:t>
      </w:r>
      <w:r w:rsidRPr="008229C9">
        <w:t xml:space="preserve"> SG Fast qPCR premix (High </w:t>
      </w:r>
      <w:proofErr w:type="spellStart"/>
      <w:r w:rsidRPr="008229C9">
        <w:t>Rox</w:t>
      </w:r>
      <w:proofErr w:type="spellEnd"/>
      <w:r w:rsidRPr="008229C9">
        <w:t xml:space="preserve">, B639273, BBI) and </w:t>
      </w:r>
      <w:proofErr w:type="spellStart"/>
      <w:r w:rsidRPr="008229C9">
        <w:t>StepOnePlus</w:t>
      </w:r>
      <w:proofErr w:type="spellEnd"/>
      <w:r w:rsidRPr="008229C9">
        <w:t xml:space="preserve"> Real-Time PCR system (ABI, Foster, CA, USA). </w:t>
      </w:r>
      <w:r w:rsidRPr="008229C9">
        <w:rPr>
          <w:i/>
          <w:iCs/>
        </w:rPr>
        <w:t>GAPDH</w:t>
      </w:r>
      <w:r w:rsidRPr="008229C9">
        <w:t xml:space="preserve"> was used as an internal control. Primers were designed using Prime 5.0; the sequences are as follows:</w:t>
      </w:r>
    </w:p>
    <w:p w14:paraId="1B7C4622" w14:textId="77777777" w:rsidR="002F7A0B" w:rsidRPr="008229C9" w:rsidRDefault="002F7A0B" w:rsidP="002F7A0B">
      <w:r w:rsidRPr="008229C9">
        <w:t>GAPDH-F: 5' TGGGTGAACCATGAAGT 3'</w:t>
      </w:r>
    </w:p>
    <w:p w14:paraId="099B4479" w14:textId="77777777" w:rsidR="002F7A0B" w:rsidRPr="008229C9" w:rsidRDefault="002F7A0B" w:rsidP="002F7A0B">
      <w:r w:rsidRPr="008229C9">
        <w:t>GAPDH-R: 5' TGAGTCCTTCCACGATACCAA 3'</w:t>
      </w:r>
    </w:p>
    <w:p w14:paraId="249E7953" w14:textId="77777777" w:rsidR="002F7A0B" w:rsidRPr="008229C9" w:rsidRDefault="002F7A0B" w:rsidP="002F7A0B">
      <w:r w:rsidRPr="008229C9">
        <w:t>DDIT3-F: 5' CCCAGCCACTCCCCATTATCC 3'</w:t>
      </w:r>
    </w:p>
    <w:p w14:paraId="6EA134CC" w14:textId="77777777" w:rsidR="002F7A0B" w:rsidRPr="008229C9" w:rsidRDefault="002F7A0B" w:rsidP="002F7A0B">
      <w:r w:rsidRPr="008229C9">
        <w:t>DDIT3-R: 5' TTCGGTCAATCAGAGCTCGG 3'</w:t>
      </w:r>
    </w:p>
    <w:p w14:paraId="39737989" w14:textId="77777777" w:rsidR="002F7A0B" w:rsidRPr="008229C9" w:rsidRDefault="002F7A0B" w:rsidP="002F7A0B">
      <w:r w:rsidRPr="008229C9">
        <w:t>HSPB1-F: 5' GACTGGTACCCGCATAGCC 3'</w:t>
      </w:r>
    </w:p>
    <w:p w14:paraId="1E0A4753" w14:textId="75B065EE" w:rsidR="002F7A0B" w:rsidRDefault="002F7A0B" w:rsidP="002F7A0B">
      <w:r w:rsidRPr="008229C9">
        <w:lastRenderedPageBreak/>
        <w:t>HSPB1-R: 5' GATTTTGCAGCTTCTGGGCC 3'</w:t>
      </w:r>
    </w:p>
    <w:p w14:paraId="0E7DC9F1" w14:textId="77777777" w:rsidR="004F654A" w:rsidRPr="008229C9" w:rsidRDefault="004F654A" w:rsidP="004F654A">
      <w:pPr>
        <w:pStyle w:val="2"/>
      </w:pPr>
      <w:r w:rsidRPr="008229C9">
        <w:t xml:space="preserve">Validation of the Expression of Key Genes using </w:t>
      </w:r>
      <w:proofErr w:type="spellStart"/>
      <w:r w:rsidRPr="008229C9">
        <w:t>qRT</w:t>
      </w:r>
      <w:proofErr w:type="spellEnd"/>
      <w:r w:rsidRPr="008229C9">
        <w:t>-PCR</w:t>
      </w:r>
    </w:p>
    <w:p w14:paraId="0AB8E923" w14:textId="77777777" w:rsidR="004F654A" w:rsidRPr="00957258" w:rsidRDefault="004F654A" w:rsidP="004F654A">
      <w:r w:rsidRPr="00957258">
        <w:t xml:space="preserve">The expression of DDIT3 and HSPB1 was assessed using </w:t>
      </w:r>
      <w:proofErr w:type="spellStart"/>
      <w:r w:rsidRPr="00957258">
        <w:t>qRT</w:t>
      </w:r>
      <w:proofErr w:type="spellEnd"/>
      <w:r w:rsidRPr="00957258">
        <w:t>-PCR. The expression of DDIT3 was significantly higher, whereas the expression of HSPB1 was significantly lower in AS samples than in the samples derived from patients with common lumbar disc herniation. It was also found that the expression of DDIT3 in the lower immunity score group were dramatically lower than that in the higher immunity score group.</w:t>
      </w:r>
    </w:p>
    <w:p w14:paraId="0B43542D" w14:textId="3100E770" w:rsidR="002F7A0B" w:rsidRDefault="002F7A0B" w:rsidP="002F7A0B"/>
    <w:p w14:paraId="0ABB8A29" w14:textId="62987527" w:rsidR="002F7A0B" w:rsidRPr="002F7A0B" w:rsidRDefault="002F7A0B" w:rsidP="002D1862">
      <w:pPr>
        <w:jc w:val="center"/>
        <w:rPr>
          <w:rFonts w:eastAsia="Cambria" w:cs="Times New Roman"/>
          <w:b/>
          <w:szCs w:val="24"/>
        </w:rPr>
      </w:pPr>
      <w:r w:rsidRPr="002F7A0B">
        <w:rPr>
          <w:rFonts w:eastAsia="Cambria" w:cs="Times New Roman"/>
          <w:b/>
          <w:szCs w:val="24"/>
        </w:rPr>
        <w:t>Supplementary figure</w:t>
      </w:r>
      <w:r w:rsidR="00210936">
        <w:rPr>
          <w:rFonts w:eastAsia="Cambria" w:cs="Times New Roman"/>
          <w:b/>
          <w:szCs w:val="24"/>
        </w:rPr>
        <w:t>1</w:t>
      </w:r>
    </w:p>
    <w:p w14:paraId="08297A75" w14:textId="3BD75BFB" w:rsidR="00762A03" w:rsidRDefault="002F7A0B">
      <w:r>
        <w:rPr>
          <w:noProof/>
        </w:rPr>
        <w:drawing>
          <wp:inline distT="0" distB="0" distL="0" distR="0" wp14:anchorId="3AD271D2" wp14:editId="5B5F64DD">
            <wp:extent cx="2219325" cy="25050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9325" cy="2505075"/>
                    </a:xfrm>
                    <a:prstGeom prst="rect">
                      <a:avLst/>
                    </a:prstGeom>
                    <a:noFill/>
                    <a:ln>
                      <a:noFill/>
                    </a:ln>
                  </pic:spPr>
                </pic:pic>
              </a:graphicData>
            </a:graphic>
          </wp:inline>
        </w:drawing>
      </w:r>
      <w:r>
        <w:rPr>
          <w:noProof/>
        </w:rPr>
        <w:drawing>
          <wp:inline distT="0" distB="0" distL="0" distR="0" wp14:anchorId="03B3E031" wp14:editId="54DA58ED">
            <wp:extent cx="2219325" cy="2514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2514600"/>
                    </a:xfrm>
                    <a:prstGeom prst="rect">
                      <a:avLst/>
                    </a:prstGeom>
                    <a:noFill/>
                    <a:ln>
                      <a:noFill/>
                    </a:ln>
                  </pic:spPr>
                </pic:pic>
              </a:graphicData>
            </a:graphic>
          </wp:inline>
        </w:drawing>
      </w:r>
    </w:p>
    <w:p w14:paraId="70DD526F" w14:textId="76DA6DDE" w:rsidR="002F7A0B" w:rsidRDefault="003027FC" w:rsidP="008D1D18">
      <w:pPr>
        <w:jc w:val="center"/>
      </w:pPr>
      <w:r>
        <w:t xml:space="preserve">The </w:t>
      </w:r>
      <w:r w:rsidR="008D1D18" w:rsidRPr="00957258">
        <w:t>expression of DDIT3</w:t>
      </w:r>
      <w:r>
        <w:t xml:space="preserve"> in the </w:t>
      </w:r>
      <w:r w:rsidRPr="00957258">
        <w:t>AS samples</w:t>
      </w:r>
      <w:r>
        <w:t xml:space="preserve"> and</w:t>
      </w:r>
      <w:r w:rsidRPr="003027FC">
        <w:t xml:space="preserve"> </w:t>
      </w:r>
      <w:r w:rsidRPr="00957258">
        <w:t>common lumbar disc herniation</w:t>
      </w:r>
    </w:p>
    <w:p w14:paraId="2FC106A8" w14:textId="34B5D682" w:rsidR="00417300" w:rsidRDefault="002F7A0B" w:rsidP="008D1D18">
      <w:pPr>
        <w:jc w:val="center"/>
      </w:pPr>
      <w:r>
        <w:rPr>
          <w:noProof/>
        </w:rPr>
        <w:drawing>
          <wp:inline distT="0" distB="0" distL="0" distR="0" wp14:anchorId="6275430B" wp14:editId="79AB5C5C">
            <wp:extent cx="2333625" cy="25050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3625" cy="2505075"/>
                    </a:xfrm>
                    <a:prstGeom prst="rect">
                      <a:avLst/>
                    </a:prstGeom>
                    <a:noFill/>
                    <a:ln>
                      <a:noFill/>
                    </a:ln>
                  </pic:spPr>
                </pic:pic>
              </a:graphicData>
            </a:graphic>
          </wp:inline>
        </w:drawing>
      </w:r>
      <w:r>
        <w:rPr>
          <w:noProof/>
        </w:rPr>
        <w:drawing>
          <wp:inline distT="0" distB="0" distL="0" distR="0" wp14:anchorId="7110118F" wp14:editId="4550B706">
            <wp:extent cx="2333625" cy="25241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3625" cy="2524125"/>
                    </a:xfrm>
                    <a:prstGeom prst="rect">
                      <a:avLst/>
                    </a:prstGeom>
                    <a:noFill/>
                    <a:ln>
                      <a:noFill/>
                    </a:ln>
                  </pic:spPr>
                </pic:pic>
              </a:graphicData>
            </a:graphic>
          </wp:inline>
        </w:drawing>
      </w:r>
      <w:r w:rsidR="008D1D18" w:rsidRPr="00957258">
        <w:t xml:space="preserve"> </w:t>
      </w:r>
      <w:r w:rsidR="003027FC">
        <w:t xml:space="preserve">     </w:t>
      </w:r>
      <w:r w:rsidR="003027FC">
        <w:t xml:space="preserve">The </w:t>
      </w:r>
      <w:r w:rsidR="003027FC" w:rsidRPr="00957258">
        <w:t xml:space="preserve">expression of </w:t>
      </w:r>
      <w:r w:rsidR="003027FC">
        <w:t>HSPB1</w:t>
      </w:r>
      <w:r w:rsidR="003027FC">
        <w:t xml:space="preserve"> in the </w:t>
      </w:r>
      <w:r w:rsidR="003027FC" w:rsidRPr="00957258">
        <w:t>AS samples</w:t>
      </w:r>
      <w:r w:rsidR="003027FC">
        <w:t xml:space="preserve"> and</w:t>
      </w:r>
      <w:r w:rsidR="003027FC" w:rsidRPr="003027FC">
        <w:t xml:space="preserve"> </w:t>
      </w:r>
      <w:r w:rsidR="003027FC" w:rsidRPr="00957258">
        <w:t>common lumbar disc herniation</w:t>
      </w:r>
    </w:p>
    <w:sectPr w:rsidR="004173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E1679" w14:textId="77777777" w:rsidR="00524C75" w:rsidRDefault="00524C75" w:rsidP="002F7A0B">
      <w:pPr>
        <w:spacing w:before="0" w:after="0"/>
      </w:pPr>
      <w:r>
        <w:separator/>
      </w:r>
    </w:p>
  </w:endnote>
  <w:endnote w:type="continuationSeparator" w:id="0">
    <w:p w14:paraId="19A3F7C4" w14:textId="77777777" w:rsidR="00524C75" w:rsidRDefault="00524C75" w:rsidP="002F7A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A0C23" w14:textId="77777777" w:rsidR="00524C75" w:rsidRDefault="00524C75" w:rsidP="002F7A0B">
      <w:pPr>
        <w:spacing w:before="0" w:after="0"/>
      </w:pPr>
      <w:r>
        <w:separator/>
      </w:r>
    </w:p>
  </w:footnote>
  <w:footnote w:type="continuationSeparator" w:id="0">
    <w:p w14:paraId="12999FFB" w14:textId="77777777" w:rsidR="00524C75" w:rsidRDefault="00524C75" w:rsidP="002F7A0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C0601A"/>
    <w:multiLevelType w:val="multilevel"/>
    <w:tmpl w:val="C6A8CCEA"/>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2079596141">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 w:numId="2" w16cid:durableId="298731761">
    <w:abstractNumId w:val="1"/>
  </w:num>
  <w:num w:numId="3" w16cid:durableId="101164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E6C"/>
    <w:rsid w:val="00127337"/>
    <w:rsid w:val="001A4036"/>
    <w:rsid w:val="00210936"/>
    <w:rsid w:val="00235724"/>
    <w:rsid w:val="002D1862"/>
    <w:rsid w:val="002F7A0B"/>
    <w:rsid w:val="003027FC"/>
    <w:rsid w:val="0031096C"/>
    <w:rsid w:val="00351767"/>
    <w:rsid w:val="00417300"/>
    <w:rsid w:val="004B7E6C"/>
    <w:rsid w:val="004F454D"/>
    <w:rsid w:val="004F654A"/>
    <w:rsid w:val="00524C75"/>
    <w:rsid w:val="00762A03"/>
    <w:rsid w:val="007E0221"/>
    <w:rsid w:val="008D1D18"/>
    <w:rsid w:val="00957258"/>
    <w:rsid w:val="00971E22"/>
    <w:rsid w:val="00BC19EB"/>
    <w:rsid w:val="00CB1ED0"/>
    <w:rsid w:val="00D428F9"/>
    <w:rsid w:val="00E763BA"/>
    <w:rsid w:val="00FF3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582FC"/>
  <w15:chartTrackingRefBased/>
  <w15:docId w15:val="{AC4DFEA1-6BB4-4EE3-9DF4-652E3776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0"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7A0B"/>
    <w:pPr>
      <w:spacing w:before="120" w:after="240"/>
    </w:pPr>
    <w:rPr>
      <w:rFonts w:ascii="Times New Roman" w:hAnsi="Times New Roman"/>
      <w:kern w:val="0"/>
      <w:sz w:val="24"/>
      <w:lang w:eastAsia="en-US"/>
    </w:rPr>
  </w:style>
  <w:style w:type="paragraph" w:styleId="1">
    <w:name w:val="heading 1"/>
    <w:basedOn w:val="a0"/>
    <w:next w:val="a"/>
    <w:link w:val="10"/>
    <w:uiPriority w:val="2"/>
    <w:qFormat/>
    <w:rsid w:val="002F7A0B"/>
    <w:pPr>
      <w:numPr>
        <w:numId w:val="1"/>
      </w:numPr>
      <w:spacing w:before="240"/>
      <w:ind w:firstLineChars="0" w:firstLine="0"/>
      <w:outlineLvl w:val="0"/>
    </w:pPr>
    <w:rPr>
      <w:rFonts w:eastAsia="Cambria" w:cs="Times New Roman"/>
      <w:b/>
      <w:szCs w:val="24"/>
    </w:rPr>
  </w:style>
  <w:style w:type="paragraph" w:styleId="2">
    <w:name w:val="heading 2"/>
    <w:basedOn w:val="1"/>
    <w:next w:val="a"/>
    <w:link w:val="20"/>
    <w:uiPriority w:val="2"/>
    <w:qFormat/>
    <w:rsid w:val="002F7A0B"/>
    <w:pPr>
      <w:numPr>
        <w:ilvl w:val="1"/>
      </w:numPr>
      <w:spacing w:after="200"/>
      <w:outlineLvl w:val="1"/>
    </w:pPr>
  </w:style>
  <w:style w:type="paragraph" w:styleId="3">
    <w:name w:val="heading 3"/>
    <w:basedOn w:val="a"/>
    <w:next w:val="a"/>
    <w:link w:val="30"/>
    <w:qFormat/>
    <w:rsid w:val="002F7A0B"/>
    <w:pPr>
      <w:keepNext/>
      <w:keepLines/>
      <w:numPr>
        <w:ilvl w:val="2"/>
        <w:numId w:val="1"/>
      </w:numPr>
      <w:spacing w:before="40" w:after="120"/>
      <w:outlineLvl w:val="2"/>
    </w:pPr>
    <w:rPr>
      <w:rFonts w:eastAsiaTheme="majorEastAsia" w:cstheme="majorBidi"/>
      <w:b/>
      <w:szCs w:val="24"/>
    </w:rPr>
  </w:style>
  <w:style w:type="paragraph" w:styleId="4">
    <w:name w:val="heading 4"/>
    <w:basedOn w:val="3"/>
    <w:next w:val="a"/>
    <w:link w:val="40"/>
    <w:uiPriority w:val="2"/>
    <w:qFormat/>
    <w:rsid w:val="002F7A0B"/>
    <w:pPr>
      <w:numPr>
        <w:ilvl w:val="3"/>
      </w:numPr>
      <w:outlineLvl w:val="3"/>
    </w:pPr>
    <w:rPr>
      <w:iCs/>
    </w:rPr>
  </w:style>
  <w:style w:type="paragraph" w:styleId="5">
    <w:name w:val="heading 5"/>
    <w:basedOn w:val="4"/>
    <w:next w:val="a"/>
    <w:link w:val="50"/>
    <w:uiPriority w:val="2"/>
    <w:qFormat/>
    <w:rsid w:val="002F7A0B"/>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F7A0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F7A0B"/>
    <w:rPr>
      <w:sz w:val="18"/>
      <w:szCs w:val="18"/>
    </w:rPr>
  </w:style>
  <w:style w:type="paragraph" w:styleId="a6">
    <w:name w:val="footer"/>
    <w:basedOn w:val="a"/>
    <w:link w:val="a7"/>
    <w:uiPriority w:val="99"/>
    <w:unhideWhenUsed/>
    <w:rsid w:val="002F7A0B"/>
    <w:pPr>
      <w:tabs>
        <w:tab w:val="center" w:pos="4153"/>
        <w:tab w:val="right" w:pos="8306"/>
      </w:tabs>
      <w:snapToGrid w:val="0"/>
    </w:pPr>
    <w:rPr>
      <w:sz w:val="18"/>
      <w:szCs w:val="18"/>
    </w:rPr>
  </w:style>
  <w:style w:type="character" w:customStyle="1" w:styleId="a7">
    <w:name w:val="页脚 字符"/>
    <w:basedOn w:val="a1"/>
    <w:link w:val="a6"/>
    <w:uiPriority w:val="99"/>
    <w:rsid w:val="002F7A0B"/>
    <w:rPr>
      <w:sz w:val="18"/>
      <w:szCs w:val="18"/>
    </w:rPr>
  </w:style>
  <w:style w:type="character" w:customStyle="1" w:styleId="10">
    <w:name w:val="标题 1 字符"/>
    <w:basedOn w:val="a1"/>
    <w:link w:val="1"/>
    <w:uiPriority w:val="2"/>
    <w:rsid w:val="002F7A0B"/>
    <w:rPr>
      <w:rFonts w:ascii="Times New Roman" w:eastAsia="Cambria" w:hAnsi="Times New Roman" w:cs="Times New Roman"/>
      <w:b/>
      <w:kern w:val="0"/>
      <w:sz w:val="24"/>
      <w:szCs w:val="24"/>
      <w:lang w:eastAsia="en-US"/>
    </w:rPr>
  </w:style>
  <w:style w:type="character" w:customStyle="1" w:styleId="20">
    <w:name w:val="标题 2 字符"/>
    <w:basedOn w:val="a1"/>
    <w:link w:val="2"/>
    <w:uiPriority w:val="2"/>
    <w:rsid w:val="002F7A0B"/>
    <w:rPr>
      <w:rFonts w:ascii="Times New Roman" w:eastAsia="Cambria" w:hAnsi="Times New Roman" w:cs="Times New Roman"/>
      <w:b/>
      <w:kern w:val="0"/>
      <w:sz w:val="24"/>
      <w:szCs w:val="24"/>
      <w:lang w:eastAsia="en-US"/>
    </w:rPr>
  </w:style>
  <w:style w:type="character" w:customStyle="1" w:styleId="30">
    <w:name w:val="标题 3 字符"/>
    <w:basedOn w:val="a1"/>
    <w:link w:val="3"/>
    <w:rsid w:val="002F7A0B"/>
    <w:rPr>
      <w:rFonts w:ascii="Times New Roman" w:eastAsiaTheme="majorEastAsia" w:hAnsi="Times New Roman" w:cstheme="majorBidi"/>
      <w:b/>
      <w:kern w:val="0"/>
      <w:sz w:val="24"/>
      <w:szCs w:val="24"/>
      <w:lang w:eastAsia="en-US"/>
    </w:rPr>
  </w:style>
  <w:style w:type="character" w:customStyle="1" w:styleId="40">
    <w:name w:val="标题 4 字符"/>
    <w:basedOn w:val="a1"/>
    <w:link w:val="4"/>
    <w:uiPriority w:val="2"/>
    <w:rsid w:val="002F7A0B"/>
    <w:rPr>
      <w:rFonts w:ascii="Times New Roman" w:eastAsiaTheme="majorEastAsia" w:hAnsi="Times New Roman" w:cstheme="majorBidi"/>
      <w:b/>
      <w:iCs/>
      <w:kern w:val="0"/>
      <w:sz w:val="24"/>
      <w:szCs w:val="24"/>
      <w:lang w:eastAsia="en-US"/>
    </w:rPr>
  </w:style>
  <w:style w:type="character" w:customStyle="1" w:styleId="50">
    <w:name w:val="标题 5 字符"/>
    <w:basedOn w:val="a1"/>
    <w:link w:val="5"/>
    <w:uiPriority w:val="2"/>
    <w:rsid w:val="002F7A0B"/>
    <w:rPr>
      <w:rFonts w:ascii="Times New Roman" w:eastAsiaTheme="majorEastAsia" w:hAnsi="Times New Roman" w:cstheme="majorBidi"/>
      <w:b/>
      <w:iCs/>
      <w:kern w:val="0"/>
      <w:sz w:val="24"/>
      <w:szCs w:val="24"/>
      <w:lang w:eastAsia="en-US"/>
    </w:rPr>
  </w:style>
  <w:style w:type="numbering" w:customStyle="1" w:styleId="Headings">
    <w:name w:val="Headings"/>
    <w:uiPriority w:val="99"/>
    <w:rsid w:val="002F7A0B"/>
    <w:pPr>
      <w:numPr>
        <w:numId w:val="2"/>
      </w:numPr>
    </w:pPr>
  </w:style>
  <w:style w:type="paragraph" w:styleId="a0">
    <w:name w:val="List Paragraph"/>
    <w:basedOn w:val="a"/>
    <w:uiPriority w:val="34"/>
    <w:qFormat/>
    <w:rsid w:val="002F7A0B"/>
    <w:pPr>
      <w:ind w:firstLineChars="200" w:firstLine="420"/>
    </w:pPr>
  </w:style>
  <w:style w:type="character" w:styleId="a8">
    <w:name w:val="annotation reference"/>
    <w:basedOn w:val="a1"/>
    <w:uiPriority w:val="99"/>
    <w:semiHidden/>
    <w:unhideWhenUsed/>
    <w:rsid w:val="002D1862"/>
    <w:rPr>
      <w:sz w:val="21"/>
      <w:szCs w:val="21"/>
    </w:rPr>
  </w:style>
  <w:style w:type="paragraph" w:styleId="a9">
    <w:name w:val="annotation text"/>
    <w:basedOn w:val="a"/>
    <w:link w:val="aa"/>
    <w:uiPriority w:val="99"/>
    <w:semiHidden/>
    <w:unhideWhenUsed/>
    <w:rsid w:val="002D1862"/>
  </w:style>
  <w:style w:type="character" w:customStyle="1" w:styleId="aa">
    <w:name w:val="批注文字 字符"/>
    <w:basedOn w:val="a1"/>
    <w:link w:val="a9"/>
    <w:uiPriority w:val="99"/>
    <w:semiHidden/>
    <w:rsid w:val="002D1862"/>
    <w:rPr>
      <w:rFonts w:ascii="Times New Roman" w:hAnsi="Times New Roman"/>
      <w:kern w:val="0"/>
      <w:sz w:val="24"/>
      <w:lang w:eastAsia="en-US"/>
    </w:rPr>
  </w:style>
  <w:style w:type="paragraph" w:styleId="ab">
    <w:name w:val="annotation subject"/>
    <w:basedOn w:val="a9"/>
    <w:next w:val="a9"/>
    <w:link w:val="ac"/>
    <w:uiPriority w:val="99"/>
    <w:semiHidden/>
    <w:unhideWhenUsed/>
    <w:rsid w:val="002D1862"/>
    <w:rPr>
      <w:b/>
      <w:bCs/>
    </w:rPr>
  </w:style>
  <w:style w:type="character" w:customStyle="1" w:styleId="ac">
    <w:name w:val="批注主题 字符"/>
    <w:basedOn w:val="aa"/>
    <w:link w:val="ab"/>
    <w:uiPriority w:val="99"/>
    <w:semiHidden/>
    <w:rsid w:val="002D1862"/>
    <w:rPr>
      <w:rFonts w:ascii="Times New Roman" w:hAnsi="Times New Roman"/>
      <w:b/>
      <w:bCs/>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2</Pages>
  <Words>442</Words>
  <Characters>2521</Characters>
  <Application>Microsoft Office Word</Application>
  <DocSecurity>0</DocSecurity>
  <Lines>21</Lines>
  <Paragraphs>5</Paragraphs>
  <ScaleCrop>false</ScaleCrop>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18080578484@163.com</dc:creator>
  <cp:keywords/>
  <dc:description/>
  <cp:lastModifiedBy>18080578484@163.com</cp:lastModifiedBy>
  <cp:revision>31</cp:revision>
  <dcterms:created xsi:type="dcterms:W3CDTF">2022-09-09T10:50:00Z</dcterms:created>
  <dcterms:modified xsi:type="dcterms:W3CDTF">2022-09-15T10:46:00Z</dcterms:modified>
</cp:coreProperties>
</file>