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A37D5" w:rsidR="00A11C8F" w:rsidP="1A780AFD" w:rsidRDefault="00A11C8F" w14:paraId="0D83A138" w14:textId="061E6C9C">
      <w:pPr>
        <w:widowControl w:val="1"/>
        <w:textAlignment w:val="baseline"/>
        <w:rPr>
          <w:rFonts w:ascii="Times New Roman" w:hAnsi="Times New Roman" w:eastAsia="Meiryo UI" w:cs="Times New Roman"/>
          <w:color w:val="000000"/>
          <w:kern w:val="0"/>
        </w:rPr>
      </w:pPr>
      <w:r w:rsidRPr="1A780AFD" w:rsidR="00A11C8F">
        <w:rPr>
          <w:rFonts w:ascii="Times New Roman" w:hAnsi="Times New Roman" w:eastAsia="Meiryo UI" w:cs="Times New Roman"/>
          <w:color w:val="000000"/>
          <w:kern w:val="0"/>
        </w:rPr>
        <w:t xml:space="preserve">Table </w:t>
      </w:r>
      <w:r w:rsidRPr="1A780AFD" w:rsidR="00A83CC1">
        <w:rPr>
          <w:rFonts w:ascii="Times New Roman" w:hAnsi="Times New Roman" w:eastAsia="Meiryo UI" w:cs="Times New Roman"/>
          <w:color w:val="000000"/>
          <w:kern w:val="0"/>
        </w:rPr>
        <w:t>S1</w:t>
      </w:r>
      <w:r w:rsidRPr="1A780AFD" w:rsidR="00A11C8F">
        <w:rPr>
          <w:rFonts w:ascii="Times New Roman" w:hAnsi="Times New Roman" w:eastAsia="Meiryo UI" w:cs="Times New Roman"/>
          <w:color w:val="000000"/>
          <w:kern w:val="0"/>
        </w:rPr>
        <w:t xml:space="preserve">. </w:t>
      </w:r>
      <w:r w:rsidRPr="1A780AFD" w:rsidR="1F59C29A">
        <w:rPr>
          <w:rFonts w:ascii="Times New Roman" w:hAnsi="Times New Roman" w:eastAsia="Meiryo UI" w:cs="Times New Roman"/>
          <w:color w:val="000000" w:themeColor="text1" w:themeTint="FF" w:themeShade="FF"/>
        </w:rPr>
        <w:t>Tanner’s pubertal stages of children as assessed by the physicians.</w:t>
      </w:r>
    </w:p>
    <w:p w:rsidRPr="00A11C8F" w:rsidR="007539AC" w:rsidP="00A11C8F" w:rsidRDefault="007539AC" w14:paraId="0669250F" w14:textId="77777777">
      <w:pPr>
        <w:widowControl/>
        <w:textAlignment w:val="baseline"/>
        <w:rPr>
          <w:rFonts w:ascii="Times New Roman" w:hAnsi="Times New Roman" w:eastAsia="Meiryo UI" w:cs="Times New Roman"/>
          <w:kern w:val="0"/>
          <w:sz w:val="18"/>
          <w:szCs w:val="18"/>
        </w:rPr>
      </w:pPr>
    </w:p>
    <w:tbl>
      <w:tblPr>
        <w:tblW w:w="85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1645"/>
        <w:gridCol w:w="1311"/>
        <w:gridCol w:w="1311"/>
        <w:gridCol w:w="1311"/>
        <w:gridCol w:w="1311"/>
      </w:tblGrid>
      <w:tr w:rsidRPr="00A11C8F" w:rsidR="00A11C8F" w:rsidTr="007539AC" w14:paraId="2E815A0E" w14:textId="77777777">
        <w:tc>
          <w:tcPr>
            <w:tcW w:w="850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514711C4" w14:textId="77777777">
            <w:pPr>
              <w:widowControl/>
              <w:textAlignment w:val="baseline"/>
              <w:divId w:val="716777525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Tanner stage (physician’s assessment), n (%)  </w:t>
            </w:r>
          </w:p>
        </w:tc>
      </w:tr>
      <w:tr w:rsidRPr="006A37D5" w:rsidR="007539AC" w:rsidTr="007539AC" w14:paraId="35C9D74C" w14:textId="77777777">
        <w:tc>
          <w:tcPr>
            <w:tcW w:w="3261" w:type="dxa"/>
            <w:gridSpan w:val="2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 w:rsidRPr="006A37D5" w:rsidR="007539AC" w:rsidP="00A11C8F" w:rsidRDefault="007539AC" w14:paraId="5D2FAB6D" w14:textId="77777777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Cs w:val="21"/>
              </w:rPr>
            </w:pPr>
          </w:p>
        </w:tc>
        <w:tc>
          <w:tcPr>
            <w:tcW w:w="262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:rsidRPr="006A37D5" w:rsidR="007539AC" w:rsidP="00A11C8F" w:rsidRDefault="007539AC" w14:paraId="3E82A0A3" w14:textId="5F2CABFF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Cs w:val="21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10-year-old participants  </w:t>
            </w:r>
          </w:p>
        </w:tc>
        <w:tc>
          <w:tcPr>
            <w:tcW w:w="262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:rsidRPr="006A37D5" w:rsidR="007539AC" w:rsidP="00A11C8F" w:rsidRDefault="007539AC" w14:paraId="66D5DE9B" w14:textId="660F9C3F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12-year-old</w:t>
            </w:r>
            <w:r w:rsidRPr="006A37D5">
              <w:rPr>
                <w:rFonts w:ascii="Times New Roman" w:hAnsi="Times New Roman" w:eastAsia="ＭＳ Ｐゴシック" w:cs="Times New Roman"/>
                <w:kern w:val="0"/>
                <w:szCs w:val="21"/>
              </w:rPr>
              <w:t xml:space="preserve"> </w:t>
            </w: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participants  </w:t>
            </w:r>
          </w:p>
        </w:tc>
      </w:tr>
      <w:tr w:rsidRPr="006A37D5" w:rsidR="007539AC" w:rsidTr="007539AC" w14:paraId="21D21B9F" w14:textId="77777777">
        <w:trPr>
          <w:gridBefore w:val="1"/>
          <w:wBefore w:w="1616" w:type="dxa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A37D5" w:rsidR="007539AC" w:rsidP="00A11C8F" w:rsidRDefault="007539AC" w14:paraId="14AAC577" w14:textId="77777777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 w:rsidRPr="006A37D5" w:rsidR="007539AC" w:rsidP="00A11C8F" w:rsidRDefault="007539AC" w14:paraId="766627CA" w14:textId="60F875A7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Cs w:val="21"/>
              </w:rPr>
            </w:pPr>
            <w:r w:rsidRPr="006A37D5">
              <w:rPr>
                <w:rFonts w:ascii="Times New Roman" w:hAnsi="Times New Roman" w:eastAsia="ＭＳ Ｐゴシック" w:cs="Times New Roman"/>
                <w:kern w:val="0"/>
                <w:szCs w:val="21"/>
              </w:rPr>
              <w:t>Boys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6A37D5" w:rsidR="007539AC" w:rsidP="00A11C8F" w:rsidRDefault="007539AC" w14:paraId="48116E1D" w14:textId="32128AA1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Cs w:val="21"/>
              </w:rPr>
            </w:pPr>
            <w:r w:rsidRPr="006A37D5">
              <w:rPr>
                <w:rFonts w:ascii="Times New Roman" w:hAnsi="Times New Roman" w:eastAsia="ＭＳ Ｐゴシック" w:cs="Times New Roman"/>
                <w:kern w:val="0"/>
                <w:szCs w:val="21"/>
              </w:rPr>
              <w:t>Girls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 w:rsidRPr="006A37D5" w:rsidR="007539AC" w:rsidP="00A11C8F" w:rsidRDefault="007539AC" w14:paraId="5FBA2094" w14:textId="44309B91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Cs w:val="21"/>
              </w:rPr>
            </w:pPr>
            <w:r w:rsidRPr="006A37D5">
              <w:rPr>
                <w:rFonts w:ascii="Times New Roman" w:hAnsi="Times New Roman" w:eastAsia="ＭＳ Ｐゴシック" w:cs="Times New Roman"/>
                <w:kern w:val="0"/>
                <w:szCs w:val="21"/>
              </w:rPr>
              <w:t>Boys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6A37D5" w:rsidR="007539AC" w:rsidP="00A11C8F" w:rsidRDefault="007539AC" w14:paraId="0280CA00" w14:textId="22C3820A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Cs w:val="21"/>
              </w:rPr>
            </w:pPr>
            <w:r w:rsidRPr="006A37D5">
              <w:rPr>
                <w:rFonts w:ascii="Times New Roman" w:hAnsi="Times New Roman" w:eastAsia="ＭＳ Ｐゴシック" w:cs="Times New Roman"/>
                <w:kern w:val="0"/>
                <w:szCs w:val="21"/>
              </w:rPr>
              <w:t>Girls</w:t>
            </w:r>
          </w:p>
        </w:tc>
      </w:tr>
      <w:tr w:rsidRPr="00A11C8F" w:rsidR="00A11C8F" w:rsidTr="007539AC" w14:paraId="51B23553" w14:textId="77777777">
        <w:tc>
          <w:tcPr>
            <w:tcW w:w="1616" w:type="dxa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28D9C258" w14:textId="77777777">
            <w:pPr>
              <w:widowControl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Breast  </w:t>
            </w:r>
          </w:p>
          <w:p w:rsidRPr="00A11C8F" w:rsidR="00A11C8F" w:rsidP="00A11C8F" w:rsidRDefault="00A11C8F" w14:paraId="45017340" w14:textId="77777777">
            <w:pPr>
              <w:widowControl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 </w:t>
            </w:r>
          </w:p>
        </w:tc>
        <w:tc>
          <w:tcPr>
            <w:tcW w:w="164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63AF2A73" w14:textId="4C67F069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Stage 1 </w:t>
            </w:r>
          </w:p>
        </w:tc>
        <w:tc>
          <w:tcPr>
            <w:tcW w:w="1311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51FC7390" w14:textId="4A7ECC94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5CEA49D5" w14:textId="7D7B1AD6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10 (41.7%) </w:t>
            </w:r>
          </w:p>
        </w:tc>
        <w:tc>
          <w:tcPr>
            <w:tcW w:w="1311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231F4726" w14:textId="76C1721C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01F93D52" w14:textId="76438B70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2 (3.8%) </w:t>
            </w:r>
          </w:p>
        </w:tc>
      </w:tr>
      <w:tr w:rsidRPr="00A11C8F" w:rsidR="00A11C8F" w:rsidTr="007539AC" w14:paraId="3D93B8B2" w14:textId="77777777">
        <w:tc>
          <w:tcPr>
            <w:tcW w:w="0" w:type="auto"/>
            <w:vMerge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11C8F" w:rsidR="00A11C8F" w:rsidP="00A11C8F" w:rsidRDefault="00A11C8F" w14:paraId="3CB49662" w14:textId="77777777">
            <w:pPr>
              <w:widowControl/>
              <w:jc w:val="left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76FA074A" w14:textId="18493DDA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Stage 2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70F68BFB" w14:textId="4CD698E7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3D64FDD1" w14:textId="5FB4C569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8 (33.3%)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666A0879" w14:textId="350631C6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0CD40A16" w14:textId="49B05098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8 (15.4%) </w:t>
            </w:r>
          </w:p>
        </w:tc>
      </w:tr>
      <w:tr w:rsidRPr="006A37D5" w:rsidR="00A11C8F" w:rsidTr="007539AC" w14:paraId="156507A6" w14:textId="77777777">
        <w:tc>
          <w:tcPr>
            <w:tcW w:w="0" w:type="auto"/>
            <w:vMerge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11C8F" w:rsidR="00A11C8F" w:rsidP="00A11C8F" w:rsidRDefault="00A11C8F" w14:paraId="6721622C" w14:textId="77777777">
            <w:pPr>
              <w:widowControl/>
              <w:jc w:val="left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06C02634" w14:textId="0C10C4FE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Stage 3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148641CE" w14:textId="7A61FBB8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7D97360D" w14:textId="1C02AB92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5 (20.8%)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2D019619" w14:textId="2D7CBEE8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30E7FCD9" w14:textId="25B48CF8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22 (42.3%) </w:t>
            </w:r>
          </w:p>
        </w:tc>
      </w:tr>
      <w:tr w:rsidRPr="006A37D5" w:rsidR="00A11C8F" w:rsidTr="007539AC" w14:paraId="51586825" w14:textId="77777777">
        <w:tc>
          <w:tcPr>
            <w:tcW w:w="0" w:type="auto"/>
            <w:vMerge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11C8F" w:rsidR="00A11C8F" w:rsidP="00A11C8F" w:rsidRDefault="00A11C8F" w14:paraId="5FE334F5" w14:textId="77777777">
            <w:pPr>
              <w:widowControl/>
              <w:jc w:val="left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2A738A0D" w14:textId="1A90D2E6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Stage 4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2D83CF8B" w14:textId="40F77C00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34BDD187" w14:textId="715CD98C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1 (4.</w:t>
            </w:r>
            <w:r w:rsidRPr="006A37D5">
              <w:rPr>
                <w:rFonts w:ascii="Times New Roman" w:hAnsi="Times New Roman" w:eastAsia="ＭＳ Ｐゴシック" w:cs="Times New Roman"/>
                <w:kern w:val="0"/>
                <w:szCs w:val="21"/>
              </w:rPr>
              <w:t>å</w:t>
            </w: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2%)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711BED33" w14:textId="1212CFFD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5767B077" w14:textId="76C1E7C3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17 (32.7%) </w:t>
            </w:r>
          </w:p>
        </w:tc>
      </w:tr>
      <w:tr w:rsidRPr="006A37D5" w:rsidR="00A11C8F" w:rsidTr="007539AC" w14:paraId="3B87F6C2" w14:textId="77777777">
        <w:tc>
          <w:tcPr>
            <w:tcW w:w="0" w:type="auto"/>
            <w:vMerge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11C8F" w:rsidR="00A11C8F" w:rsidP="00A11C8F" w:rsidRDefault="00A11C8F" w14:paraId="47A02975" w14:textId="77777777">
            <w:pPr>
              <w:widowControl/>
              <w:jc w:val="left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66635B6C" w14:textId="07E50F4A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Stage 5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0CB729FC" w14:textId="79884FA3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69D263AA" w14:textId="7D642489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0 (0.0%)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474656A9" w14:textId="05DA9395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70776C6E" w14:textId="2D5C7FB1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1 (1.9%) </w:t>
            </w:r>
          </w:p>
        </w:tc>
      </w:tr>
      <w:tr w:rsidRPr="006A37D5" w:rsidR="00A11C8F" w:rsidTr="007539AC" w14:paraId="27C80525" w14:textId="77777777">
        <w:tc>
          <w:tcPr>
            <w:tcW w:w="0" w:type="auto"/>
            <w:vMerge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11C8F" w:rsidR="00A11C8F" w:rsidP="00A11C8F" w:rsidRDefault="00A11C8F" w14:paraId="6A12485D" w14:textId="77777777">
            <w:pPr>
              <w:widowControl/>
              <w:jc w:val="left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5A6F1A75" w14:textId="509B647E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Missing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7356F250" w14:textId="746B22A4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699AD1E8" w14:textId="4D1CEADC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0 (0.0%) 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7373B261" w14:textId="696AC85F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388F322B" w14:textId="4095C52B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2 (3.8%) </w:t>
            </w:r>
          </w:p>
        </w:tc>
      </w:tr>
      <w:tr w:rsidRPr="006A37D5" w:rsidR="00A11C8F" w:rsidTr="007539AC" w14:paraId="347DE742" w14:textId="77777777">
        <w:tc>
          <w:tcPr>
            <w:tcW w:w="0" w:type="auto"/>
            <w:vMerge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A11C8F" w:rsidR="00A11C8F" w:rsidP="00A11C8F" w:rsidRDefault="00A11C8F" w14:paraId="3F7A1816" w14:textId="77777777">
            <w:pPr>
              <w:widowControl/>
              <w:jc w:val="left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49FACDF2" w14:textId="4CB9E899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color w:val="000000"/>
                <w:kern w:val="0"/>
                <w:szCs w:val="21"/>
              </w:rPr>
              <w:t>≥</w:t>
            </w: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Stage 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35BBA178" w14:textId="131D1797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7A2E494A" w14:textId="5E1EC5CF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14 (58.3) 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5CBE8DC6" w14:textId="5D977AC0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1551C25E" w14:textId="174D0ED0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48 (92.3%) </w:t>
            </w:r>
          </w:p>
        </w:tc>
      </w:tr>
      <w:tr w:rsidRPr="006A37D5" w:rsidR="00A11C8F" w:rsidTr="007539AC" w14:paraId="13F98A55" w14:textId="77777777"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5D1D921C" w14:textId="77777777">
            <w:pPr>
              <w:widowControl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Pubic Hair  </w:t>
            </w:r>
          </w:p>
          <w:p w:rsidRPr="00A11C8F" w:rsidR="00A11C8F" w:rsidP="00A11C8F" w:rsidRDefault="00A11C8F" w14:paraId="527B32C8" w14:textId="77777777">
            <w:pPr>
              <w:widowControl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  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5B581119" w14:textId="023E0D18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1 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5C94E23E" w14:textId="218908CB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19 (82.6%) 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56B84F85" w14:textId="21231AA2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19 (79.2) 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77CF89D7" w14:textId="5AC17CE3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25 (55.6%) 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6FE7E5DA" w14:textId="4BE0E79B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20 (38.5%) </w:t>
            </w:r>
          </w:p>
        </w:tc>
      </w:tr>
      <w:tr w:rsidRPr="006A37D5" w:rsidR="00A11C8F" w:rsidTr="007539AC" w14:paraId="60CA0EF2" w14:textId="7777777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11C8F" w:rsidR="00A11C8F" w:rsidP="00A11C8F" w:rsidRDefault="00A11C8F" w14:paraId="673C9CFE" w14:textId="77777777">
            <w:pPr>
              <w:widowControl/>
              <w:jc w:val="left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1B5FAC5E" w14:textId="0E2208AB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2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406461CC" w14:textId="4AB3360D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3 (13.0%)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6608AC2B" w14:textId="582D77D3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4 (16.7%)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75C1DE63" w14:textId="635AB118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9 (20.0%)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297D63F8" w14:textId="2948BE96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8 (15.4%) </w:t>
            </w:r>
          </w:p>
        </w:tc>
      </w:tr>
      <w:tr w:rsidRPr="006A37D5" w:rsidR="00A11C8F" w:rsidTr="007539AC" w14:paraId="51B95190" w14:textId="7777777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11C8F" w:rsidR="00A11C8F" w:rsidP="00A11C8F" w:rsidRDefault="00A11C8F" w14:paraId="42AC3E9E" w14:textId="77777777">
            <w:pPr>
              <w:widowControl/>
              <w:jc w:val="left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64EB1208" w14:textId="66C4444D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3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291FA68F" w14:textId="127D2693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1 (4.3%)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3E4573C5" w14:textId="663D9EC1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1 (4.2%)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097732C6" w14:textId="65004BA5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7 (15.6%)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3CE3801D" w14:textId="5762EA9B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10 (19.2%) </w:t>
            </w:r>
          </w:p>
        </w:tc>
      </w:tr>
      <w:tr w:rsidRPr="006A37D5" w:rsidR="00A11C8F" w:rsidTr="007539AC" w14:paraId="6839AF58" w14:textId="7777777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11C8F" w:rsidR="00A11C8F" w:rsidP="00A11C8F" w:rsidRDefault="00A11C8F" w14:paraId="4D7AE2B8" w14:textId="77777777">
            <w:pPr>
              <w:widowControl/>
              <w:jc w:val="left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7E588BC6" w14:textId="08CF2B35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4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25F73074" w14:textId="0EB93D24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0 (0.0%)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170A9FFE" w14:textId="736B39FC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0 (0.0%)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0DA8A28D" w14:textId="739C6351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2 (4.4%)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1970B572" w14:textId="519B147C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9 (17.3%) </w:t>
            </w:r>
          </w:p>
        </w:tc>
      </w:tr>
      <w:tr w:rsidRPr="006A37D5" w:rsidR="00A11C8F" w:rsidTr="007539AC" w14:paraId="69ADA5D4" w14:textId="7777777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11C8F" w:rsidR="00A11C8F" w:rsidP="00A11C8F" w:rsidRDefault="00A11C8F" w14:paraId="0808AB0C" w14:textId="77777777">
            <w:pPr>
              <w:widowControl/>
              <w:jc w:val="left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4F96AA4C" w14:textId="456DAED7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5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621015A0" w14:textId="1BD9471F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0 (0.0%)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1E1A8A2C" w14:textId="798A4201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0 (0.0%)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7B3374CD" w14:textId="48132716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0 (0.0%)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0014CCDF" w14:textId="21CF4140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0 (0.0%) </w:t>
            </w:r>
          </w:p>
        </w:tc>
      </w:tr>
      <w:tr w:rsidRPr="006A37D5" w:rsidR="00A11C8F" w:rsidTr="007539AC" w14:paraId="3A70572D" w14:textId="77777777">
        <w:tc>
          <w:tcPr>
            <w:tcW w:w="0" w:type="auto"/>
            <w:vMerge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A11C8F" w:rsidR="00A11C8F" w:rsidP="00A11C8F" w:rsidRDefault="00A11C8F" w14:paraId="45BFB89E" w14:textId="77777777">
            <w:pPr>
              <w:widowControl/>
              <w:jc w:val="left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671A4FE0" w14:textId="2706E7F4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Missing 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77773357" w14:textId="4EFD3BDB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0 (0.0%) 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32F9912F" w14:textId="63EE0D95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0 (0.0%) 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2B43863A" w14:textId="3E8C02D7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2 (4.4%) 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588123DA" w14:textId="1C55D9A9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5 (9.6%) </w:t>
            </w:r>
          </w:p>
        </w:tc>
      </w:tr>
      <w:tr w:rsidRPr="006A37D5" w:rsidR="00A11C8F" w:rsidTr="007539AC" w14:paraId="4D581937" w14:textId="77777777"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02CD1D3D" w14:textId="77777777">
            <w:pPr>
              <w:widowControl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Genitals  </w:t>
            </w:r>
          </w:p>
          <w:p w:rsidRPr="00A11C8F" w:rsidR="00A11C8F" w:rsidP="00A11C8F" w:rsidRDefault="00A11C8F" w14:paraId="11E75001" w14:textId="77777777">
            <w:pPr>
              <w:widowControl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  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71F4FB99" w14:textId="248BDCEC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1 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5E650721" w14:textId="24A709E0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16 (69.6%) 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64CF6237" w14:textId="37329C6F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02F7C109" w14:textId="2BA821CC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5 (11.1%) 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75B51CB4" w14:textId="6C254FEC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</w:tr>
      <w:tr w:rsidRPr="006A37D5" w:rsidR="00A11C8F" w:rsidTr="007539AC" w14:paraId="5C56242A" w14:textId="7777777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11C8F" w:rsidR="00A11C8F" w:rsidP="00A11C8F" w:rsidRDefault="00A11C8F" w14:paraId="47CC40E6" w14:textId="77777777">
            <w:pPr>
              <w:widowControl/>
              <w:jc w:val="left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01E2A34E" w14:textId="6E77EF24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2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6E9FA274" w14:textId="0A1E3330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6 (26.1%)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7D28220B" w14:textId="439E7CB3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07AEF21E" w14:textId="3222A4B6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16 (35.6%)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5D8B0E96" w14:textId="7615B11B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</w:tr>
      <w:tr w:rsidRPr="006A37D5" w:rsidR="00A11C8F" w:rsidTr="007539AC" w14:paraId="47ECD746" w14:textId="7777777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11C8F" w:rsidR="00A11C8F" w:rsidP="00A11C8F" w:rsidRDefault="00A11C8F" w14:paraId="6FB64D2D" w14:textId="77777777">
            <w:pPr>
              <w:widowControl/>
              <w:jc w:val="left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3FBBA318" w14:textId="39385497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3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1C6CB15A" w14:textId="41120164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1 (4.3%)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10DC972D" w14:textId="6ACC3FAE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79A045C7" w14:textId="38B3D4B2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19 (42.2%)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14A1D87C" w14:textId="65F38C73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</w:tr>
      <w:tr w:rsidRPr="006A37D5" w:rsidR="00A11C8F" w:rsidTr="007539AC" w14:paraId="00735DCA" w14:textId="7777777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11C8F" w:rsidR="00A11C8F" w:rsidP="00A11C8F" w:rsidRDefault="00A11C8F" w14:paraId="640B7736" w14:textId="77777777">
            <w:pPr>
              <w:widowControl/>
              <w:jc w:val="left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26E94A34" w14:textId="4B60052C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4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5ED082D5" w14:textId="3DB34A51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0 (0.0%)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00380C56" w14:textId="2236DD65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013DE263" w14:textId="2DD8289C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3 (6.7%)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3E22AAB6" w14:textId="589AB5FF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</w:tr>
      <w:tr w:rsidRPr="006A37D5" w:rsidR="00A11C8F" w:rsidTr="007539AC" w14:paraId="1FC6BC7E" w14:textId="7777777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11C8F" w:rsidR="00A11C8F" w:rsidP="00A11C8F" w:rsidRDefault="00A11C8F" w14:paraId="64E1BF3C" w14:textId="77777777">
            <w:pPr>
              <w:widowControl/>
              <w:jc w:val="left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43724B1F" w14:textId="4244E2DC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5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12B8BFE7" w14:textId="67BFE8FD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0 (0.0%)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54A6BA03" w14:textId="485A0E4C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1B3AEEAB" w14:textId="41E35206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0 (0.0%)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3EE2C6FA" w14:textId="48CE96E8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</w:tr>
      <w:tr w:rsidRPr="006A37D5" w:rsidR="00A11C8F" w:rsidTr="007539AC" w14:paraId="2B3D01EF" w14:textId="77777777">
        <w:tc>
          <w:tcPr>
            <w:tcW w:w="0" w:type="auto"/>
            <w:vMerge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A11C8F" w:rsidR="00A11C8F" w:rsidP="00A11C8F" w:rsidRDefault="00A11C8F" w14:paraId="263A01C5" w14:textId="77777777">
            <w:pPr>
              <w:widowControl/>
              <w:jc w:val="left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1A62ADCC" w14:textId="38801D3F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Missing 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56B22CAC" w14:textId="25EEC0FF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0 (0.0%) 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0C6899DB" w14:textId="536EB893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23E31218" w14:textId="59ABB33F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2 (4.4%) 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5939EAA6" w14:textId="2B085B8B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</w:tr>
      <w:tr w:rsidRPr="006A37D5" w:rsidR="00A11C8F" w:rsidTr="007539AC" w14:paraId="36E5A333" w14:textId="77777777">
        <w:trPr>
          <w:trHeight w:val="450"/>
        </w:trPr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5E7FF754" w14:textId="77777777">
            <w:pPr>
              <w:widowControl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Testicular volume  </w:t>
            </w:r>
          </w:p>
          <w:p w:rsidRPr="00A11C8F" w:rsidR="00A11C8F" w:rsidP="00A11C8F" w:rsidRDefault="00A11C8F" w14:paraId="6E40329F" w14:textId="77777777">
            <w:pPr>
              <w:widowControl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  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2FE2E730" w14:textId="7AACAD4C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&lt;4 mL 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2ECBE5CB" w14:textId="4D813997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15 (65.2%) 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5F3B6FEA" w14:textId="718B2ECB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064155AE" w14:textId="038F12E4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3 (6.7%) 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13809662" w14:textId="22D47318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</w:tr>
      <w:tr w:rsidRPr="006A37D5" w:rsidR="00A11C8F" w:rsidTr="007539AC" w14:paraId="1305A366" w14:textId="77777777">
        <w:tc>
          <w:tcPr>
            <w:tcW w:w="0" w:type="auto"/>
            <w:vMerge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11C8F" w:rsidR="00A11C8F" w:rsidP="00A11C8F" w:rsidRDefault="00A11C8F" w14:paraId="22B2AF26" w14:textId="77777777">
            <w:pPr>
              <w:widowControl/>
              <w:jc w:val="left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3BF6138E" w14:textId="4B503762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≥4 mL</w:t>
            </w:r>
            <w:r w:rsidRPr="00A11C8F">
              <w:rPr>
                <w:rFonts w:ascii="Times New Roman" w:hAnsi="Times New Roman" w:eastAsia="ＭＳ Ｐゴシック" w:cs="Times New Roman"/>
                <w:color w:val="000000"/>
                <w:kern w:val="0"/>
                <w:szCs w:val="21"/>
              </w:rPr>
              <w:t>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6A5904C0" w14:textId="5F69985F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8 (34.8%)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7418359B" w14:textId="71075252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5FCD5ED0" w14:textId="40EDFD83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41 (91.1%) 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64BB33CB" w14:textId="05236FD2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</w:tr>
      <w:tr w:rsidRPr="006A37D5" w:rsidR="00A11C8F" w:rsidTr="007539AC" w14:paraId="3998FBC3" w14:textId="77777777">
        <w:tc>
          <w:tcPr>
            <w:tcW w:w="0" w:type="auto"/>
            <w:vMerge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11C8F" w:rsidR="00A11C8F" w:rsidP="00A11C8F" w:rsidRDefault="00A11C8F" w14:paraId="5A5A47FC" w14:textId="77777777">
            <w:pPr>
              <w:widowControl/>
              <w:jc w:val="left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548876C5" w14:textId="3B858DFA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Median (IQR), mL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124156CF" w14:textId="0DA47CA0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3 (2)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6FAC049C" w14:textId="7A4DC091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3539C477" w14:textId="13E16E98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8 (5.3–11.5)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0432E360" w14:textId="4A5C70B2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</w:tr>
      <w:tr w:rsidRPr="006A37D5" w:rsidR="00A11C8F" w:rsidTr="007539AC" w14:paraId="0994BFDD" w14:textId="77777777">
        <w:tc>
          <w:tcPr>
            <w:tcW w:w="0" w:type="auto"/>
            <w:vMerge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A11C8F" w:rsidR="00A11C8F" w:rsidP="00A11C8F" w:rsidRDefault="00A11C8F" w14:paraId="3CFF4BDF" w14:textId="77777777">
            <w:pPr>
              <w:widowControl/>
              <w:jc w:val="left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290E704C" w14:textId="575C2E56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Missing 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29F6D59F" w14:textId="066A72A3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0(0.0%)  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7D6E0F92" w14:textId="3CBC7F14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A11C8F" w:rsidR="00A11C8F" w:rsidP="00A11C8F" w:rsidRDefault="00A11C8F" w14:paraId="025859F1" w14:textId="2663EE05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1(2.2%) 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hideMark/>
          </w:tcPr>
          <w:p w:rsidRPr="00A11C8F" w:rsidR="00A11C8F" w:rsidP="00A11C8F" w:rsidRDefault="00A11C8F" w14:paraId="127F1672" w14:textId="62AF01CB">
            <w:pPr>
              <w:widowControl/>
              <w:jc w:val="center"/>
              <w:textAlignment w:val="baseline"/>
              <w:rPr>
                <w:rFonts w:ascii="Times New Roman" w:hAnsi="Times New Roman" w:eastAsia="ＭＳ Ｐゴシック" w:cs="Times New Roman"/>
                <w:kern w:val="0"/>
                <w:sz w:val="24"/>
              </w:rPr>
            </w:pPr>
            <w:r w:rsidRPr="00A11C8F">
              <w:rPr>
                <w:rFonts w:ascii="Times New Roman" w:hAnsi="Times New Roman" w:eastAsia="ＭＳ Ｐゴシック" w:cs="Times New Roman"/>
                <w:kern w:val="0"/>
                <w:szCs w:val="21"/>
              </w:rPr>
              <w:t>-</w:t>
            </w:r>
          </w:p>
        </w:tc>
      </w:tr>
    </w:tbl>
    <w:p w:rsidRPr="00A11C8F" w:rsidR="00A11C8F" w:rsidP="00A11C8F" w:rsidRDefault="00A11C8F" w14:paraId="2A912B19" w14:textId="77777777">
      <w:pPr>
        <w:widowControl/>
        <w:textAlignment w:val="baseline"/>
        <w:rPr>
          <w:rFonts w:ascii="Times New Roman" w:hAnsi="Times New Roman" w:eastAsia="Meiryo UI" w:cs="Times New Roman"/>
          <w:kern w:val="0"/>
          <w:sz w:val="18"/>
          <w:szCs w:val="18"/>
        </w:rPr>
      </w:pPr>
      <w:r w:rsidRPr="1A780AFD" w:rsidR="00A11C8F">
        <w:rPr>
          <w:rFonts w:ascii="Times New Roman" w:hAnsi="Times New Roman" w:eastAsia="Meiryo UI" w:cs="Times New Roman"/>
          <w:color w:val="000000"/>
          <w:kern w:val="0"/>
        </w:rPr>
        <w:t> IQR; interquartile range </w:t>
      </w:r>
    </w:p>
    <w:p w:rsidR="1A780AFD" w:rsidP="1A780AFD" w:rsidRDefault="1A780AFD" w14:paraId="04F34A12" w14:textId="22B013C1">
      <w:pPr>
        <w:pStyle w:val="a"/>
        <w:widowControl w:val="1"/>
        <w:rPr>
          <w:rFonts w:ascii="Times New Roman" w:hAnsi="Times New Roman" w:eastAsia="Meiryo UI" w:cs="Times New Roman"/>
          <w:color w:val="000000" w:themeColor="text1" w:themeTint="FF" w:themeShade="FF"/>
        </w:rPr>
      </w:pPr>
    </w:p>
    <w:p w:rsidR="15660CD7" w:rsidP="1A780AFD" w:rsidRDefault="15660CD7" w14:paraId="53D6A6E3" w14:textId="26481D83">
      <w:pPr>
        <w:pStyle w:val="a"/>
        <w:bidi w:val="0"/>
        <w:spacing w:beforeLines="0" w:beforeAutospacing="off" w:afterLines="0" w:afterAutospacing="off" w:line="259" w:lineRule="auto"/>
        <w:ind w:left="0" w:rightChars="0"/>
        <w:jc w:val="both"/>
        <w:rPr>
          <w:rFonts w:ascii="Times New Roman" w:hAnsi="Times New Roman" w:eastAsia="Meiryo UI" w:cs="Times New Roman"/>
          <w:noProof w:val="0"/>
          <w:color w:val="000000" w:themeColor="text1" w:themeTint="FF" w:themeShade="FF"/>
        </w:rPr>
      </w:pPr>
      <w:r w:rsidRPr="1A780AFD" w:rsidR="15660CD7">
        <w:rPr>
          <w:rFonts w:ascii="Times New Roman" w:hAnsi="Times New Roman" w:eastAsia="Meiryo UI" w:cs="Times New Roman"/>
          <w:noProof w:val="0"/>
          <w:color w:val="000000" w:themeColor="text1" w:themeTint="FF" w:themeShade="FF"/>
        </w:rPr>
        <w:t>Tanner stage 2 or higher breast development was reported in 58.3% and 92.3% of the 10- and 12-year-old girls, respectively. The median testicular volumes as assessed by the physicians were 3 and 8 mL in 10- and 12-year-old boys, respectively. We found that 34.8% and 91.1% of the 10- and 12-year-old boys had testicular volumes of ≥4 mL.</w:t>
      </w:r>
      <w:r w:rsidRPr="1A780AFD" w:rsidR="02C9E1F0">
        <w:rPr>
          <w:rFonts w:ascii="Times New Roman" w:hAnsi="Times New Roman" w:eastAsia="Meiryo UI" w:cs="Times New Roman"/>
          <w:noProof w:val="0"/>
          <w:color w:val="000000" w:themeColor="text1" w:themeTint="FF" w:themeShade="FF"/>
        </w:rPr>
        <w:t xml:space="preserve"> </w:t>
      </w:r>
      <w:r w:rsidRPr="1A780AFD" w:rsidR="1DEF239D">
        <w:rPr>
          <w:rFonts w:ascii="Times New Roman" w:hAnsi="Times New Roman" w:eastAsia="Meiryo UI" w:cs="Times New Roman"/>
          <w:noProof w:val="0"/>
          <w:color w:val="000000" w:themeColor="text1" w:themeTint="FF" w:themeShade="FF"/>
        </w:rPr>
        <w:t>The  Doctor-assessment testis volume distribution is shown in Figure S3.</w:t>
      </w:r>
    </w:p>
    <w:sectPr w:rsidRPr="006A37D5" w:rsidR="007539AC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0665" w:rsidP="002F4453" w:rsidRDefault="00ED0665" w14:paraId="73366419" w14:textId="77777777">
      <w:r>
        <w:separator/>
      </w:r>
    </w:p>
  </w:endnote>
  <w:endnote w:type="continuationSeparator" w:id="0">
    <w:p w:rsidR="00ED0665" w:rsidP="002F4453" w:rsidRDefault="00ED0665" w14:paraId="24691C34" w14:textId="77777777">
      <w:r>
        <w:continuationSeparator/>
      </w:r>
    </w:p>
  </w:endnote>
  <w:endnote w:type="continuationNotice" w:id="1">
    <w:p w:rsidR="00A84676" w:rsidRDefault="00A84676" w14:paraId="14EE963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0665" w:rsidP="002F4453" w:rsidRDefault="00ED0665" w14:paraId="755E9C55" w14:textId="77777777">
      <w:r>
        <w:separator/>
      </w:r>
    </w:p>
  </w:footnote>
  <w:footnote w:type="continuationSeparator" w:id="0">
    <w:p w:rsidR="00ED0665" w:rsidP="002F4453" w:rsidRDefault="00ED0665" w14:paraId="2853EEBE" w14:textId="77777777">
      <w:r>
        <w:continuationSeparator/>
      </w:r>
    </w:p>
  </w:footnote>
  <w:footnote w:type="continuationNotice" w:id="1">
    <w:p w:rsidR="00A84676" w:rsidRDefault="00A84676" w14:paraId="4AA89E1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8F"/>
    <w:rsid w:val="00026790"/>
    <w:rsid w:val="00076561"/>
    <w:rsid w:val="000875DD"/>
    <w:rsid w:val="001076B3"/>
    <w:rsid w:val="001770F4"/>
    <w:rsid w:val="00243DC4"/>
    <w:rsid w:val="002C59C2"/>
    <w:rsid w:val="002F4453"/>
    <w:rsid w:val="00323818"/>
    <w:rsid w:val="00356605"/>
    <w:rsid w:val="003A4297"/>
    <w:rsid w:val="0041551C"/>
    <w:rsid w:val="00451D86"/>
    <w:rsid w:val="006A37D5"/>
    <w:rsid w:val="006C7273"/>
    <w:rsid w:val="007539AC"/>
    <w:rsid w:val="0078010D"/>
    <w:rsid w:val="008301BD"/>
    <w:rsid w:val="008327DC"/>
    <w:rsid w:val="008B1B5D"/>
    <w:rsid w:val="00A11C8F"/>
    <w:rsid w:val="00A83CC1"/>
    <w:rsid w:val="00A84676"/>
    <w:rsid w:val="00A9382D"/>
    <w:rsid w:val="00AC2D52"/>
    <w:rsid w:val="00B94917"/>
    <w:rsid w:val="00BA1E76"/>
    <w:rsid w:val="00BD3791"/>
    <w:rsid w:val="00C36DD2"/>
    <w:rsid w:val="00C44BAE"/>
    <w:rsid w:val="00C76D27"/>
    <w:rsid w:val="00CC4E3B"/>
    <w:rsid w:val="00CF025C"/>
    <w:rsid w:val="00D7337D"/>
    <w:rsid w:val="00D8171A"/>
    <w:rsid w:val="00DD76D3"/>
    <w:rsid w:val="00E21BA4"/>
    <w:rsid w:val="00ED0665"/>
    <w:rsid w:val="00ED31DA"/>
    <w:rsid w:val="02C9E1F0"/>
    <w:rsid w:val="056145BD"/>
    <w:rsid w:val="12F12D5B"/>
    <w:rsid w:val="14BDB382"/>
    <w:rsid w:val="15660CD7"/>
    <w:rsid w:val="1A780AFD"/>
    <w:rsid w:val="1ADBFBFE"/>
    <w:rsid w:val="1DEF239D"/>
    <w:rsid w:val="1F59C29A"/>
    <w:rsid w:val="273A3EAC"/>
    <w:rsid w:val="37C86163"/>
    <w:rsid w:val="4AAE9859"/>
    <w:rsid w:val="50258D3A"/>
    <w:rsid w:val="618A0673"/>
    <w:rsid w:val="6478B5F3"/>
    <w:rsid w:val="673567A2"/>
    <w:rsid w:val="6A8F6898"/>
    <w:rsid w:val="6F844186"/>
    <w:rsid w:val="6FF79D4A"/>
    <w:rsid w:val="74D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14131"/>
  <w15:chartTrackingRefBased/>
  <w15:docId w15:val="{BBE066B5-FD63-4E84-877E-32E5020D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paragraph" w:customStyle="1">
    <w:name w:val="paragraph"/>
    <w:basedOn w:val="a"/>
    <w:rsid w:val="00A11C8F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character" w:styleId="normaltextrun" w:customStyle="1">
    <w:name w:val="normaltextrun"/>
    <w:basedOn w:val="a0"/>
    <w:rsid w:val="00A11C8F"/>
  </w:style>
  <w:style w:type="character" w:styleId="eop" w:customStyle="1">
    <w:name w:val="eop"/>
    <w:basedOn w:val="a0"/>
    <w:rsid w:val="00A11C8F"/>
  </w:style>
  <w:style w:type="paragraph" w:styleId="a3">
    <w:name w:val="header"/>
    <w:basedOn w:val="a"/>
    <w:link w:val="a4"/>
    <w:uiPriority w:val="99"/>
    <w:unhideWhenUsed/>
    <w:rsid w:val="002F4453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2F4453"/>
  </w:style>
  <w:style w:type="paragraph" w:styleId="a5">
    <w:name w:val="footer"/>
    <w:basedOn w:val="a"/>
    <w:link w:val="a6"/>
    <w:uiPriority w:val="99"/>
    <w:unhideWhenUsed/>
    <w:rsid w:val="002F4453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2F4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9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4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8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4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9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2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2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0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1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6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9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0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3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0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3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87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4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9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8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5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7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1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1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9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9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6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3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1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9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9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2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6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4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6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0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5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8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3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1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3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1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0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7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43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4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西里 美菜保</dc:creator>
  <keywords/>
  <dc:description/>
  <lastModifiedBy>西里 美菜保</lastModifiedBy>
  <revision>19</revision>
  <lastPrinted>2022-05-06T20:51:00.0000000Z</lastPrinted>
  <dcterms:created xsi:type="dcterms:W3CDTF">2022-05-06T20:30:00.0000000Z</dcterms:created>
  <dcterms:modified xsi:type="dcterms:W3CDTF">2022-10-06T01:54:07.7709411Z</dcterms:modified>
</coreProperties>
</file>