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C0817" w14:textId="77777777" w:rsidR="00815A32" w:rsidRPr="00FE780B" w:rsidRDefault="00815A32" w:rsidP="00815A32">
      <w:pPr>
        <w:pStyle w:val="Heading1"/>
        <w:numPr>
          <w:ilvl w:val="0"/>
          <w:numId w:val="0"/>
        </w:numPr>
        <w:spacing w:line="360" w:lineRule="auto"/>
        <w:rPr>
          <w:i/>
          <w:sz w:val="28"/>
          <w:szCs w:val="20"/>
        </w:rPr>
      </w:pPr>
      <w:r>
        <w:rPr>
          <w:sz w:val="28"/>
          <w:szCs w:val="20"/>
        </w:rPr>
        <w:t>Comparison of the p</w:t>
      </w:r>
      <w:r w:rsidRPr="00FE780B">
        <w:rPr>
          <w:sz w:val="28"/>
          <w:szCs w:val="20"/>
        </w:rPr>
        <w:t>athway structure</w:t>
      </w:r>
      <w:r>
        <w:rPr>
          <w:sz w:val="28"/>
          <w:szCs w:val="20"/>
        </w:rPr>
        <w:t>s</w:t>
      </w:r>
      <w:r w:rsidRPr="00FE780B">
        <w:rPr>
          <w:sz w:val="28"/>
          <w:szCs w:val="20"/>
        </w:rPr>
        <w:t xml:space="preserve"> influenc</w:t>
      </w:r>
      <w:r>
        <w:rPr>
          <w:sz w:val="28"/>
          <w:szCs w:val="20"/>
        </w:rPr>
        <w:t>ing</w:t>
      </w:r>
      <w:r w:rsidRPr="00FE780B">
        <w:rPr>
          <w:sz w:val="28"/>
          <w:szCs w:val="20"/>
        </w:rPr>
        <w:t xml:space="preserve"> the </w:t>
      </w:r>
      <w:r>
        <w:rPr>
          <w:sz w:val="28"/>
          <w:szCs w:val="20"/>
        </w:rPr>
        <w:t xml:space="preserve">temporal </w:t>
      </w:r>
      <w:r w:rsidRPr="00FE780B">
        <w:rPr>
          <w:sz w:val="28"/>
          <w:szCs w:val="20"/>
        </w:rPr>
        <w:t xml:space="preserve">response </w:t>
      </w:r>
      <w:r>
        <w:rPr>
          <w:sz w:val="28"/>
          <w:szCs w:val="20"/>
        </w:rPr>
        <w:t xml:space="preserve">of salicylate and jasmonate </w:t>
      </w:r>
      <w:r w:rsidRPr="00FE780B">
        <w:rPr>
          <w:sz w:val="28"/>
          <w:szCs w:val="20"/>
        </w:rPr>
        <w:t>defence hormone</w:t>
      </w:r>
      <w:r>
        <w:rPr>
          <w:sz w:val="28"/>
          <w:szCs w:val="20"/>
        </w:rPr>
        <w:t>s</w:t>
      </w:r>
      <w:r w:rsidRPr="00FE780B">
        <w:rPr>
          <w:sz w:val="28"/>
          <w:szCs w:val="20"/>
        </w:rPr>
        <w:t xml:space="preserve"> in </w:t>
      </w:r>
      <w:r w:rsidRPr="00FE780B">
        <w:rPr>
          <w:i/>
          <w:sz w:val="28"/>
          <w:szCs w:val="20"/>
        </w:rPr>
        <w:t>Arabidopsis thaliana</w:t>
      </w:r>
    </w:p>
    <w:p w14:paraId="2AC0F526" w14:textId="5D368820" w:rsidR="00D41507" w:rsidRPr="0078329A" w:rsidRDefault="00D41507" w:rsidP="00D41507">
      <w:pPr>
        <w:pStyle w:val="Heading1"/>
        <w:numPr>
          <w:ilvl w:val="0"/>
          <w:numId w:val="0"/>
        </w:numPr>
        <w:spacing w:line="480" w:lineRule="auto"/>
        <w:rPr>
          <w:vertAlign w:val="superscript"/>
        </w:rPr>
      </w:pPr>
      <w:r w:rsidRPr="0078329A">
        <w:t>Erin.A. Stroud</w:t>
      </w:r>
      <w:r w:rsidRPr="0078329A">
        <w:rPr>
          <w:vertAlign w:val="superscript"/>
        </w:rPr>
        <w:t>1,2</w:t>
      </w:r>
      <w:r w:rsidRPr="0078329A">
        <w:t>, Jay Jayaraman</w:t>
      </w:r>
      <w:r w:rsidRPr="0078329A">
        <w:rPr>
          <w:vertAlign w:val="superscript"/>
        </w:rPr>
        <w:t>1,3</w:t>
      </w:r>
      <w:r w:rsidRPr="0078329A">
        <w:t>, Matthew.D. Templeton</w:t>
      </w:r>
      <w:r w:rsidRPr="0078329A">
        <w:rPr>
          <w:vertAlign w:val="superscript"/>
        </w:rPr>
        <w:t>1,2,3</w:t>
      </w:r>
      <w:r w:rsidRPr="0078329A">
        <w:t>, Erik.H.</w:t>
      </w:r>
      <w:r w:rsidR="00DA10C3">
        <w:t>A.</w:t>
      </w:r>
      <w:r w:rsidRPr="0078329A">
        <w:t xml:space="preserve"> Rikkerink</w:t>
      </w:r>
      <w:r w:rsidRPr="0078329A">
        <w:rPr>
          <w:vertAlign w:val="superscript"/>
        </w:rPr>
        <w:t>1*</w:t>
      </w:r>
    </w:p>
    <w:p w14:paraId="47896AB3" w14:textId="77777777" w:rsidR="00D41507" w:rsidRPr="0078329A" w:rsidRDefault="00D41507" w:rsidP="00D41507">
      <w:pPr>
        <w:spacing w:before="240" w:after="0" w:line="480" w:lineRule="auto"/>
        <w:rPr>
          <w:rFonts w:cs="Times New Roman"/>
          <w:szCs w:val="24"/>
        </w:rPr>
      </w:pPr>
      <w:r w:rsidRPr="0078329A">
        <w:rPr>
          <w:rFonts w:cs="Times New Roman"/>
          <w:szCs w:val="24"/>
          <w:vertAlign w:val="superscript"/>
        </w:rPr>
        <w:t>1</w:t>
      </w:r>
      <w:r w:rsidRPr="0078329A">
        <w:rPr>
          <w:rFonts w:cs="Times New Roman"/>
          <w:szCs w:val="24"/>
        </w:rPr>
        <w:t>The New Zealand Institute for Plant and Food Research Limited, 120 Mount Albert Road, Auckland, New Zealand</w:t>
      </w:r>
    </w:p>
    <w:p w14:paraId="7DCF4232" w14:textId="77777777" w:rsidR="00D41507" w:rsidRPr="0078329A" w:rsidRDefault="00D41507" w:rsidP="00D41507">
      <w:pPr>
        <w:spacing w:before="240" w:after="0" w:line="480" w:lineRule="auto"/>
        <w:rPr>
          <w:rFonts w:cs="Times New Roman"/>
          <w:szCs w:val="24"/>
        </w:rPr>
      </w:pPr>
      <w:r w:rsidRPr="0078329A">
        <w:rPr>
          <w:rFonts w:cs="Times New Roman"/>
          <w:szCs w:val="24"/>
          <w:vertAlign w:val="superscript"/>
        </w:rPr>
        <w:t>2</w:t>
      </w:r>
      <w:r w:rsidRPr="0078329A">
        <w:rPr>
          <w:rFonts w:cs="Times New Roman"/>
          <w:szCs w:val="24"/>
        </w:rPr>
        <w:t>University of Auckland, Auckland, New Zealand</w:t>
      </w:r>
    </w:p>
    <w:p w14:paraId="132B6AF5" w14:textId="77777777" w:rsidR="00D41507" w:rsidRPr="0078329A" w:rsidRDefault="00D41507" w:rsidP="00D41507">
      <w:pPr>
        <w:spacing w:before="240" w:after="0" w:line="480" w:lineRule="auto"/>
        <w:rPr>
          <w:rFonts w:cs="Times New Roman"/>
          <w:szCs w:val="24"/>
        </w:rPr>
      </w:pPr>
      <w:r w:rsidRPr="0078329A">
        <w:rPr>
          <w:rFonts w:cs="Times New Roman"/>
          <w:szCs w:val="24"/>
          <w:vertAlign w:val="superscript"/>
        </w:rPr>
        <w:t>3</w:t>
      </w:r>
      <w:r w:rsidRPr="0078329A">
        <w:rPr>
          <w:rFonts w:cs="Times New Roman"/>
          <w:szCs w:val="24"/>
        </w:rPr>
        <w:t>Bioprotection Aotearoa, New Zealand</w:t>
      </w:r>
    </w:p>
    <w:p w14:paraId="03B2F6F9" w14:textId="337A8088" w:rsidR="00D41507" w:rsidRPr="0078329A" w:rsidRDefault="00D41507" w:rsidP="00D41507">
      <w:pPr>
        <w:spacing w:before="240" w:after="0" w:line="480" w:lineRule="auto"/>
        <w:rPr>
          <w:rFonts w:cs="Times New Roman"/>
          <w:b/>
          <w:szCs w:val="24"/>
        </w:rPr>
      </w:pPr>
      <w:r w:rsidRPr="0078329A">
        <w:rPr>
          <w:rFonts w:cs="Times New Roman"/>
          <w:b/>
          <w:szCs w:val="24"/>
        </w:rPr>
        <w:t xml:space="preserve">* Correspondence: </w:t>
      </w:r>
      <w:r w:rsidRPr="0078329A">
        <w:rPr>
          <w:rFonts w:cs="Times New Roman"/>
          <w:b/>
          <w:szCs w:val="24"/>
        </w:rPr>
        <w:br/>
      </w:r>
      <w:r w:rsidRPr="0078329A">
        <w:rPr>
          <w:rFonts w:cs="Times New Roman"/>
          <w:szCs w:val="24"/>
        </w:rPr>
        <w:t>Erik.H.</w:t>
      </w:r>
      <w:r w:rsidR="00DA10C3">
        <w:rPr>
          <w:rFonts w:cs="Times New Roman"/>
          <w:szCs w:val="24"/>
        </w:rPr>
        <w:t xml:space="preserve">A. </w:t>
      </w:r>
      <w:r w:rsidRPr="0078329A">
        <w:rPr>
          <w:rFonts w:cs="Times New Roman"/>
          <w:szCs w:val="24"/>
        </w:rPr>
        <w:t>Rikkerink</w:t>
      </w:r>
      <w:r w:rsidRPr="0078329A">
        <w:rPr>
          <w:rFonts w:cs="Times New Roman"/>
          <w:szCs w:val="24"/>
        </w:rPr>
        <w:br/>
        <w:t>erik.rikkerink@plantandfood.co.nz</w:t>
      </w:r>
    </w:p>
    <w:p w14:paraId="2CE726A6" w14:textId="6B27BAC8" w:rsidR="00D41507" w:rsidRDefault="00D41507" w:rsidP="00D41507">
      <w:pPr>
        <w:keepNext/>
        <w:spacing w:line="480" w:lineRule="auto"/>
        <w:rPr>
          <w:rFonts w:cs="Times New Roman"/>
          <w:b/>
          <w:szCs w:val="24"/>
        </w:rPr>
      </w:pPr>
    </w:p>
    <w:p w14:paraId="3A466264" w14:textId="392A37AC" w:rsidR="00D41507" w:rsidRDefault="00D41507" w:rsidP="00D41507">
      <w:pPr>
        <w:keepNext/>
        <w:spacing w:line="480" w:lineRule="auto"/>
        <w:rPr>
          <w:rFonts w:cs="Times New Roman"/>
          <w:b/>
          <w:szCs w:val="20"/>
        </w:rPr>
      </w:pPr>
      <w:r w:rsidRPr="0001436A">
        <w:rPr>
          <w:rFonts w:cs="Times New Roman"/>
          <w:b/>
          <w:szCs w:val="24"/>
        </w:rPr>
        <w:t xml:space="preserve">Supplementary </w:t>
      </w:r>
      <w:r>
        <w:rPr>
          <w:rFonts w:cs="Times New Roman"/>
          <w:b/>
          <w:szCs w:val="24"/>
        </w:rPr>
        <w:t>Table</w:t>
      </w:r>
      <w:r w:rsidRPr="0001436A">
        <w:rPr>
          <w:rFonts w:cs="Times New Roman"/>
          <w:b/>
          <w:szCs w:val="24"/>
        </w:rPr>
        <w:t xml:space="preserv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9A6E7A">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Pr>
          <w:rFonts w:cs="Times New Roman"/>
          <w:b/>
          <w:szCs w:val="24"/>
        </w:rPr>
        <w:t>Literature o</w:t>
      </w:r>
      <w:r w:rsidRPr="00E33968">
        <w:rPr>
          <w:rFonts w:cs="Times New Roman"/>
          <w:b/>
          <w:szCs w:val="24"/>
        </w:rPr>
        <w:t xml:space="preserve">verview of the </w:t>
      </w:r>
      <w:r>
        <w:rPr>
          <w:rFonts w:cs="Times New Roman"/>
          <w:b/>
          <w:i/>
          <w:szCs w:val="20"/>
        </w:rPr>
        <w:t xml:space="preserve">Arabidopsis </w:t>
      </w:r>
      <w:r>
        <w:rPr>
          <w:rFonts w:cs="Times New Roman"/>
          <w:b/>
          <w:szCs w:val="20"/>
        </w:rPr>
        <w:t>transcriptomic response to different types of pest/pathogen attack.</w:t>
      </w:r>
    </w:p>
    <w:p w14:paraId="393967A0" w14:textId="57DB574A" w:rsidR="00D41507" w:rsidRDefault="00D41507" w:rsidP="00D41507">
      <w:pPr>
        <w:keepNext/>
        <w:spacing w:line="480" w:lineRule="auto"/>
        <w:rPr>
          <w:rFonts w:cs="Times New Roman"/>
          <w:szCs w:val="24"/>
        </w:rPr>
      </w:pPr>
      <w:r>
        <w:rPr>
          <w:rFonts w:cs="Times New Roman"/>
          <w:szCs w:val="24"/>
        </w:rPr>
        <w:t xml:space="preserve">An overview of the findings of literature assaying the transcriptomic response of </w:t>
      </w:r>
      <w:r>
        <w:rPr>
          <w:rFonts w:cs="Times New Roman"/>
          <w:i/>
          <w:szCs w:val="24"/>
        </w:rPr>
        <w:t xml:space="preserve">Arabidopsis </w:t>
      </w:r>
      <w:r>
        <w:rPr>
          <w:rFonts w:cs="Times New Roman"/>
          <w:szCs w:val="24"/>
        </w:rPr>
        <w:t>to various p</w:t>
      </w:r>
      <w:r w:rsidR="002D1992">
        <w:rPr>
          <w:rFonts w:cs="Times New Roman"/>
          <w:szCs w:val="24"/>
        </w:rPr>
        <w:t>ests and pathogens</w:t>
      </w:r>
      <w:r>
        <w:rPr>
          <w:rFonts w:cs="Times New Roman"/>
          <w:szCs w:val="24"/>
        </w:rPr>
        <w:t xml:space="preserve">. The scope of this literature overview is limited to resistant </w:t>
      </w:r>
      <w:r>
        <w:rPr>
          <w:rFonts w:cs="Times New Roman"/>
          <w:i/>
          <w:szCs w:val="24"/>
        </w:rPr>
        <w:t>Arabidopsis</w:t>
      </w:r>
      <w:r>
        <w:rPr>
          <w:rFonts w:cs="Times New Roman"/>
          <w:szCs w:val="24"/>
        </w:rPr>
        <w:t xml:space="preserve">-microbe and </w:t>
      </w:r>
      <w:r>
        <w:rPr>
          <w:rFonts w:cs="Times New Roman"/>
          <w:i/>
          <w:szCs w:val="24"/>
        </w:rPr>
        <w:t>Arabidopsis</w:t>
      </w:r>
      <w:r>
        <w:rPr>
          <w:rFonts w:cs="Times New Roman"/>
          <w:szCs w:val="24"/>
        </w:rPr>
        <w:t xml:space="preserve">-insect interactions. The type of pest/pathogen (‘Pest/pathogen lifestyle’), </w:t>
      </w:r>
      <w:r w:rsidR="00DA10C3">
        <w:rPr>
          <w:rFonts w:cs="Times New Roman"/>
          <w:szCs w:val="24"/>
        </w:rPr>
        <w:t xml:space="preserve">details </w:t>
      </w:r>
      <w:r>
        <w:rPr>
          <w:rFonts w:cs="Times New Roman"/>
          <w:szCs w:val="24"/>
        </w:rPr>
        <w:t xml:space="preserve">of the </w:t>
      </w:r>
      <w:r w:rsidR="00DA10C3">
        <w:rPr>
          <w:rFonts w:cs="Times New Roman"/>
          <w:szCs w:val="24"/>
        </w:rPr>
        <w:t xml:space="preserve">challenging </w:t>
      </w:r>
      <w:r>
        <w:rPr>
          <w:rFonts w:cs="Times New Roman"/>
          <w:szCs w:val="24"/>
        </w:rPr>
        <w:t>pest/pathogen (‘Stimulus’), predicted</w:t>
      </w:r>
      <w:r w:rsidR="00DA10C3">
        <w:rPr>
          <w:rFonts w:cs="Times New Roman"/>
          <w:szCs w:val="24"/>
        </w:rPr>
        <w:t xml:space="preserve"> major</w:t>
      </w:r>
      <w:r>
        <w:rPr>
          <w:rFonts w:cs="Times New Roman"/>
          <w:szCs w:val="24"/>
        </w:rPr>
        <w:t xml:space="preserve"> defence response </w:t>
      </w:r>
      <w:r w:rsidR="00DA10C3">
        <w:rPr>
          <w:rFonts w:cs="Times New Roman"/>
          <w:szCs w:val="24"/>
        </w:rPr>
        <w:t xml:space="preserve">pathway </w:t>
      </w:r>
      <w:r>
        <w:rPr>
          <w:rFonts w:cs="Times New Roman"/>
          <w:szCs w:val="24"/>
        </w:rPr>
        <w:t>(‘Predicted hormone pathway’), type</w:t>
      </w:r>
      <w:r w:rsidR="00DC5F26">
        <w:rPr>
          <w:rFonts w:cs="Times New Roman"/>
          <w:szCs w:val="24"/>
        </w:rPr>
        <w:t xml:space="preserve"> of</w:t>
      </w:r>
      <w:r>
        <w:rPr>
          <w:rFonts w:cs="Times New Roman"/>
          <w:szCs w:val="24"/>
        </w:rPr>
        <w:t xml:space="preserve"> </w:t>
      </w:r>
      <w:r w:rsidR="00DA10C3">
        <w:rPr>
          <w:rFonts w:cs="Times New Roman"/>
          <w:szCs w:val="24"/>
        </w:rPr>
        <w:t xml:space="preserve">disease assay </w:t>
      </w:r>
      <w:r>
        <w:rPr>
          <w:rFonts w:cs="Times New Roman"/>
          <w:szCs w:val="24"/>
        </w:rPr>
        <w:t xml:space="preserve">and timing of disease development (‘Disease </w:t>
      </w:r>
      <w:r>
        <w:rPr>
          <w:rFonts w:cs="Times New Roman"/>
          <w:szCs w:val="24"/>
        </w:rPr>
        <w:lastRenderedPageBreak/>
        <w:t xml:space="preserve">development assayed’), timing and characteristics of the defence response (‘Transcriptomic response’), and reference (‘Reference’) are provided for each study, where possible. </w:t>
      </w:r>
    </w:p>
    <w:p w14:paraId="7EE5A051" w14:textId="77777777" w:rsidR="005B2382" w:rsidRPr="00E33968" w:rsidRDefault="005B2382" w:rsidP="00D41507">
      <w:pPr>
        <w:keepNext/>
        <w:spacing w:line="480" w:lineRule="auto"/>
        <w:rPr>
          <w:rFonts w:cs="Times New Roman"/>
          <w:szCs w:val="24"/>
        </w:rPr>
      </w:pPr>
    </w:p>
    <w:tbl>
      <w:tblPr>
        <w:tblW w:w="5000" w:type="pct"/>
        <w:tblCellMar>
          <w:left w:w="0" w:type="dxa"/>
          <w:right w:w="0" w:type="dxa"/>
        </w:tblCellMar>
        <w:tblLook w:val="0420" w:firstRow="1" w:lastRow="0" w:firstColumn="0" w:lastColumn="0" w:noHBand="0" w:noVBand="1"/>
      </w:tblPr>
      <w:tblGrid>
        <w:gridCol w:w="1635"/>
        <w:gridCol w:w="2101"/>
        <w:gridCol w:w="1195"/>
        <w:gridCol w:w="1528"/>
        <w:gridCol w:w="1969"/>
        <w:gridCol w:w="1329"/>
      </w:tblGrid>
      <w:tr w:rsidR="00D41507" w:rsidRPr="00D41507" w14:paraId="650C64F8" w14:textId="77777777" w:rsidTr="009C1EC8">
        <w:trPr>
          <w:trHeight w:val="584"/>
        </w:trPr>
        <w:tc>
          <w:tcPr>
            <w:tcW w:w="838" w:type="pct"/>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14:paraId="61950E58" w14:textId="77777777" w:rsidR="00D41507" w:rsidRPr="00D41507" w:rsidRDefault="00D41507" w:rsidP="00D41507">
            <w:pPr>
              <w:spacing w:before="240"/>
              <w:rPr>
                <w:lang w:val="en-NZ"/>
              </w:rPr>
            </w:pPr>
            <w:r w:rsidRPr="00D41507">
              <w:rPr>
                <w:lang w:val="en-NZ"/>
              </w:rPr>
              <w:t>Pest/pathogen lifestyle</w:t>
            </w:r>
          </w:p>
        </w:tc>
        <w:tc>
          <w:tcPr>
            <w:tcW w:w="1077" w:type="pct"/>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14:paraId="2E543970" w14:textId="77777777" w:rsidR="00D41507" w:rsidRPr="00D41507" w:rsidRDefault="00D41507" w:rsidP="00D41507">
            <w:pPr>
              <w:spacing w:before="240"/>
              <w:rPr>
                <w:lang w:val="en-NZ"/>
              </w:rPr>
            </w:pPr>
            <w:r w:rsidRPr="00D41507">
              <w:rPr>
                <w:lang w:val="en-NZ"/>
              </w:rPr>
              <w:t>Stimulus</w:t>
            </w:r>
          </w:p>
        </w:tc>
        <w:tc>
          <w:tcPr>
            <w:tcW w:w="612" w:type="pct"/>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14:paraId="702C391A" w14:textId="77777777" w:rsidR="00D41507" w:rsidRPr="00D41507" w:rsidRDefault="00D41507" w:rsidP="00D41507">
            <w:pPr>
              <w:spacing w:before="240"/>
              <w:rPr>
                <w:lang w:val="en-NZ"/>
              </w:rPr>
            </w:pPr>
            <w:r w:rsidRPr="00D41507">
              <w:rPr>
                <w:lang w:val="en-NZ"/>
              </w:rPr>
              <w:t>Predicted phyto-hormone pathway</w:t>
            </w:r>
          </w:p>
        </w:tc>
        <w:tc>
          <w:tcPr>
            <w:tcW w:w="783" w:type="pct"/>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14:paraId="6B979C38" w14:textId="77777777" w:rsidR="00D41507" w:rsidRPr="00D41507" w:rsidRDefault="00D41507" w:rsidP="00D41507">
            <w:pPr>
              <w:spacing w:before="240"/>
              <w:rPr>
                <w:lang w:val="en-NZ"/>
              </w:rPr>
            </w:pPr>
            <w:r w:rsidRPr="00D41507">
              <w:rPr>
                <w:lang w:val="en-NZ"/>
              </w:rPr>
              <w:t xml:space="preserve">Disease development assayed </w:t>
            </w:r>
          </w:p>
        </w:tc>
        <w:tc>
          <w:tcPr>
            <w:tcW w:w="1009" w:type="pct"/>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14:paraId="32510143" w14:textId="77777777" w:rsidR="00D41507" w:rsidRPr="00D41507" w:rsidRDefault="00D41507" w:rsidP="00D41507">
            <w:pPr>
              <w:spacing w:before="240"/>
              <w:rPr>
                <w:lang w:val="en-NZ"/>
              </w:rPr>
            </w:pPr>
            <w:r w:rsidRPr="00D41507">
              <w:rPr>
                <w:lang w:val="en-NZ"/>
              </w:rPr>
              <w:t>Transcriptomic response</w:t>
            </w:r>
          </w:p>
        </w:tc>
        <w:tc>
          <w:tcPr>
            <w:tcW w:w="681" w:type="pct"/>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14:paraId="68AA36FD" w14:textId="77777777" w:rsidR="00D41507" w:rsidRPr="00D41507" w:rsidRDefault="00D41507" w:rsidP="00D41507">
            <w:pPr>
              <w:spacing w:before="240"/>
              <w:rPr>
                <w:lang w:val="en-NZ"/>
              </w:rPr>
            </w:pPr>
            <w:r w:rsidRPr="00D41507">
              <w:rPr>
                <w:lang w:val="en-NZ"/>
              </w:rPr>
              <w:t>Reference</w:t>
            </w:r>
          </w:p>
        </w:tc>
      </w:tr>
      <w:tr w:rsidR="00D41507" w:rsidRPr="00D41507" w14:paraId="31C07DDA" w14:textId="77777777" w:rsidTr="009C1EC8">
        <w:trPr>
          <w:trHeight w:val="584"/>
        </w:trPr>
        <w:tc>
          <w:tcPr>
            <w:tcW w:w="838"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278A6EDD" w14:textId="77777777" w:rsidR="00D41507" w:rsidRPr="00D41507" w:rsidRDefault="00D41507" w:rsidP="00D41507">
            <w:pPr>
              <w:spacing w:before="240"/>
              <w:rPr>
                <w:lang w:val="en-NZ"/>
              </w:rPr>
            </w:pPr>
            <w:r w:rsidRPr="00D41507">
              <w:rPr>
                <w:lang w:val="en-NZ"/>
              </w:rPr>
              <w:t>Biotrophic pathogen</w:t>
            </w:r>
          </w:p>
        </w:tc>
        <w:tc>
          <w:tcPr>
            <w:tcW w:w="1077"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04CBD5ED" w14:textId="77777777" w:rsidR="00D41507" w:rsidRPr="00D41507" w:rsidRDefault="00D41507" w:rsidP="00D41507">
            <w:pPr>
              <w:spacing w:before="240"/>
              <w:rPr>
                <w:lang w:val="en-NZ"/>
              </w:rPr>
            </w:pPr>
            <w:r w:rsidRPr="00D41507">
              <w:rPr>
                <w:i/>
                <w:iCs/>
                <w:lang w:val="en-NZ"/>
              </w:rPr>
              <w:t xml:space="preserve">Pseudomonas syringae </w:t>
            </w:r>
            <w:r w:rsidRPr="00D41507">
              <w:rPr>
                <w:lang w:val="en-NZ"/>
              </w:rPr>
              <w:t>pv. tomato (DC3000 AvrRpt2)</w:t>
            </w:r>
          </w:p>
        </w:tc>
        <w:tc>
          <w:tcPr>
            <w:tcW w:w="612"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1ADA9D12" w14:textId="77777777" w:rsidR="00D41507" w:rsidRPr="00D41507" w:rsidRDefault="00D41507" w:rsidP="00D41507">
            <w:pPr>
              <w:spacing w:before="240"/>
              <w:rPr>
                <w:lang w:val="en-NZ"/>
              </w:rPr>
            </w:pPr>
            <w:r w:rsidRPr="00D41507">
              <w:rPr>
                <w:lang w:val="en-NZ"/>
              </w:rPr>
              <w:t>Salicylic acid</w:t>
            </w:r>
          </w:p>
        </w:tc>
        <w:tc>
          <w:tcPr>
            <w:tcW w:w="783"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4FC88950" w14:textId="77777777" w:rsidR="00D41507" w:rsidRPr="00D41507" w:rsidRDefault="00D41507" w:rsidP="00D41507">
            <w:pPr>
              <w:spacing w:before="240"/>
              <w:rPr>
                <w:lang w:val="en-NZ"/>
              </w:rPr>
            </w:pPr>
            <w:r w:rsidRPr="00D41507">
              <w:rPr>
                <w:lang w:val="en-NZ"/>
              </w:rPr>
              <w:t>Tissue collapse observed at 48 hpi</w:t>
            </w:r>
          </w:p>
        </w:tc>
        <w:tc>
          <w:tcPr>
            <w:tcW w:w="1009"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5B48B0BB" w14:textId="77777777" w:rsidR="00D41507" w:rsidRPr="00D41507" w:rsidRDefault="00D41507" w:rsidP="00D41507">
            <w:pPr>
              <w:spacing w:before="240"/>
              <w:rPr>
                <w:lang w:val="en-NZ"/>
              </w:rPr>
            </w:pPr>
            <w:r w:rsidRPr="00D41507">
              <w:rPr>
                <w:lang w:val="en-NZ"/>
              </w:rPr>
              <w:t xml:space="preserve">Transcriptomic response assayed with northern blot analysis and microarray. PR1 expression peaked at 12 hpi and gradually decreased at 48 and 72 hpi. Hormone accumulation initiated at 3 hpi before peaking at 24 hpi and returning to basal levels at 48 hpi. </w:t>
            </w:r>
          </w:p>
        </w:tc>
        <w:tc>
          <w:tcPr>
            <w:tcW w:w="681"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0EB0DAA4" w14:textId="68A8667B" w:rsidR="00D41507" w:rsidRPr="00D41507" w:rsidRDefault="00D41507" w:rsidP="00D41507">
            <w:pPr>
              <w:spacing w:before="240"/>
              <w:rPr>
                <w:lang w:val="en-NZ"/>
              </w:rPr>
            </w:pPr>
            <w:r w:rsidRPr="00D41507">
              <w:rPr>
                <w:lang w:val="en-NZ"/>
              </w:rPr>
              <w:t xml:space="preserve">de Vos </w:t>
            </w:r>
            <w:r w:rsidR="00DC5F26" w:rsidRPr="00DC5F26">
              <w:rPr>
                <w:i/>
                <w:lang w:val="en-NZ"/>
              </w:rPr>
              <w:t>et al.</w:t>
            </w:r>
            <w:r w:rsidRPr="00D41507">
              <w:rPr>
                <w:lang w:val="en-NZ"/>
              </w:rPr>
              <w:t>, 2005</w:t>
            </w:r>
          </w:p>
        </w:tc>
      </w:tr>
      <w:tr w:rsidR="00D41507" w:rsidRPr="00D41507" w14:paraId="4B471286"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40A8D77B" w14:textId="77777777" w:rsidR="00D41507" w:rsidRPr="00D41507" w:rsidRDefault="00D41507" w:rsidP="00D41507">
            <w:pPr>
              <w:spacing w:before="240"/>
              <w:rPr>
                <w:lang w:val="en-NZ"/>
              </w:rPr>
            </w:pPr>
            <w:r w:rsidRPr="00D41507">
              <w:rPr>
                <w:lang w:val="en-NZ"/>
              </w:rPr>
              <w:t>Biotrophic pathogen</w:t>
            </w:r>
          </w:p>
        </w:tc>
        <w:tc>
          <w:tcPr>
            <w:tcW w:w="1077"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285F67DF" w14:textId="77777777" w:rsidR="00D41507" w:rsidRPr="00D41507" w:rsidRDefault="00D41507" w:rsidP="00D41507">
            <w:pPr>
              <w:spacing w:before="240"/>
              <w:rPr>
                <w:lang w:val="en-NZ"/>
              </w:rPr>
            </w:pPr>
            <w:r w:rsidRPr="00D41507">
              <w:rPr>
                <w:i/>
                <w:iCs/>
                <w:lang w:val="en-NZ"/>
              </w:rPr>
              <w:t xml:space="preserve">Pseudomonas syringae </w:t>
            </w:r>
            <w:r w:rsidRPr="00D41507">
              <w:rPr>
                <w:lang w:val="en-NZ"/>
              </w:rPr>
              <w:t>pv. tomato (DC3000 AvrRpt2 and AvrRpm1)</w:t>
            </w:r>
          </w:p>
        </w:tc>
        <w:tc>
          <w:tcPr>
            <w:tcW w:w="612"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6F2095D9" w14:textId="77777777" w:rsidR="00D41507" w:rsidRPr="00D41507" w:rsidRDefault="00D41507" w:rsidP="00D41507">
            <w:pPr>
              <w:spacing w:before="240"/>
              <w:rPr>
                <w:lang w:val="en-NZ"/>
              </w:rPr>
            </w:pPr>
            <w:r w:rsidRPr="00D41507">
              <w:rPr>
                <w:lang w:val="en-NZ"/>
              </w:rPr>
              <w:t>Salicylic acid</w:t>
            </w:r>
          </w:p>
        </w:tc>
        <w:tc>
          <w:tcPr>
            <w:tcW w:w="783"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50219CBE" w14:textId="77777777" w:rsidR="00D41507" w:rsidRPr="00D41507" w:rsidRDefault="00D41507" w:rsidP="00D41507">
            <w:pPr>
              <w:spacing w:before="240"/>
              <w:rPr>
                <w:lang w:val="en-NZ"/>
              </w:rPr>
            </w:pPr>
            <w:r w:rsidRPr="00D41507">
              <w:rPr>
                <w:lang w:val="en-NZ"/>
              </w:rPr>
              <w:t>Not assayed</w:t>
            </w:r>
          </w:p>
        </w:tc>
        <w:tc>
          <w:tcPr>
            <w:tcW w:w="1009"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3487090E" w14:textId="77777777" w:rsidR="00D41507" w:rsidRPr="00D41507" w:rsidRDefault="00D41507" w:rsidP="00D41507">
            <w:pPr>
              <w:spacing w:before="240"/>
              <w:rPr>
                <w:lang w:val="en-NZ"/>
              </w:rPr>
            </w:pPr>
            <w:r w:rsidRPr="00D41507">
              <w:rPr>
                <w:lang w:val="en-NZ"/>
              </w:rPr>
              <w:t>Transcriptomic response assayed with RNA-sequencing. Response initiated at 3 hpi and returned to basal levels at 24 hpi.</w:t>
            </w:r>
          </w:p>
        </w:tc>
        <w:tc>
          <w:tcPr>
            <w:tcW w:w="681"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3B73245F" w14:textId="1F706151" w:rsidR="00D41507" w:rsidRPr="00D41507" w:rsidRDefault="00D41507" w:rsidP="00D41507">
            <w:pPr>
              <w:spacing w:before="240"/>
              <w:rPr>
                <w:lang w:val="en-NZ"/>
              </w:rPr>
            </w:pPr>
            <w:r w:rsidRPr="00D41507">
              <w:rPr>
                <w:lang w:val="en-NZ"/>
              </w:rPr>
              <w:t xml:space="preserve">Mine </w:t>
            </w:r>
            <w:r w:rsidR="00DC5F26" w:rsidRPr="00DC5F26">
              <w:rPr>
                <w:i/>
                <w:lang w:val="en-NZ"/>
              </w:rPr>
              <w:t>et al.</w:t>
            </w:r>
            <w:r w:rsidRPr="00D41507">
              <w:rPr>
                <w:lang w:val="en-NZ"/>
              </w:rPr>
              <w:t>, 2018</w:t>
            </w:r>
          </w:p>
        </w:tc>
      </w:tr>
    </w:tbl>
    <w:p w14:paraId="2EB422A3" w14:textId="77777777" w:rsidR="00DA10C3" w:rsidRDefault="00DA10C3">
      <w:r>
        <w:br w:type="page"/>
      </w:r>
    </w:p>
    <w:tbl>
      <w:tblPr>
        <w:tblW w:w="5000" w:type="pct"/>
        <w:tblCellMar>
          <w:left w:w="0" w:type="dxa"/>
          <w:right w:w="0" w:type="dxa"/>
        </w:tblCellMar>
        <w:tblLook w:val="0420" w:firstRow="1" w:lastRow="0" w:firstColumn="0" w:lastColumn="0" w:noHBand="0" w:noVBand="1"/>
      </w:tblPr>
      <w:tblGrid>
        <w:gridCol w:w="1635"/>
        <w:gridCol w:w="2102"/>
        <w:gridCol w:w="1194"/>
        <w:gridCol w:w="1528"/>
        <w:gridCol w:w="1969"/>
        <w:gridCol w:w="1329"/>
      </w:tblGrid>
      <w:tr w:rsidR="00D41507" w:rsidRPr="00D41507" w14:paraId="2B88620C"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009E797F" w14:textId="215E035F" w:rsidR="00D41507" w:rsidRPr="00D41507" w:rsidRDefault="00D41507" w:rsidP="00D41507">
            <w:pPr>
              <w:spacing w:before="240"/>
              <w:rPr>
                <w:lang w:val="en-NZ"/>
              </w:rPr>
            </w:pPr>
            <w:r w:rsidRPr="00D41507">
              <w:rPr>
                <w:lang w:val="en-NZ"/>
              </w:rPr>
              <w:lastRenderedPageBreak/>
              <w:t>Biotrophic pathogen</w:t>
            </w:r>
          </w:p>
        </w:tc>
        <w:tc>
          <w:tcPr>
            <w:tcW w:w="1077"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5AA7B64E" w14:textId="12EC5BC8" w:rsidR="00D41507" w:rsidRPr="00D41507" w:rsidRDefault="00D41507" w:rsidP="008C4CFD">
            <w:pPr>
              <w:spacing w:before="240"/>
              <w:rPr>
                <w:lang w:val="en-NZ"/>
              </w:rPr>
            </w:pPr>
            <w:r w:rsidRPr="00D41507">
              <w:rPr>
                <w:i/>
                <w:iCs/>
              </w:rPr>
              <w:t xml:space="preserve">Hyaloperonospora arabidopsidis </w:t>
            </w:r>
            <w:r w:rsidR="008C4CFD">
              <w:t>Emoy2</w:t>
            </w:r>
          </w:p>
        </w:tc>
        <w:tc>
          <w:tcPr>
            <w:tcW w:w="612"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6F09BEE0" w14:textId="77777777" w:rsidR="00D41507" w:rsidRPr="00D41507" w:rsidRDefault="00D41507" w:rsidP="00D41507">
            <w:pPr>
              <w:spacing w:before="240"/>
              <w:rPr>
                <w:lang w:val="en-NZ"/>
              </w:rPr>
            </w:pPr>
            <w:r w:rsidRPr="00D41507">
              <w:rPr>
                <w:lang w:val="en-NZ"/>
              </w:rPr>
              <w:t>Salicylic acid</w:t>
            </w:r>
          </w:p>
        </w:tc>
        <w:tc>
          <w:tcPr>
            <w:tcW w:w="783"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63EC9C4C" w14:textId="77777777" w:rsidR="00D41507" w:rsidRPr="00D41507" w:rsidRDefault="00D41507" w:rsidP="00D41507">
            <w:pPr>
              <w:spacing w:before="240"/>
              <w:rPr>
                <w:lang w:val="en-NZ"/>
              </w:rPr>
            </w:pPr>
            <w:r w:rsidRPr="00D41507">
              <w:rPr>
                <w:lang w:val="en-NZ"/>
              </w:rPr>
              <w:t>Lesion development assayed at  2 – 5 dpi</w:t>
            </w:r>
          </w:p>
        </w:tc>
        <w:tc>
          <w:tcPr>
            <w:tcW w:w="1009"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0734F272" w14:textId="77777777" w:rsidR="00D41507" w:rsidRPr="00D41507" w:rsidRDefault="00D41507" w:rsidP="00D41507">
            <w:pPr>
              <w:spacing w:before="240"/>
              <w:rPr>
                <w:lang w:val="en-NZ"/>
              </w:rPr>
            </w:pPr>
            <w:r w:rsidRPr="00D41507">
              <w:rPr>
                <w:lang w:val="en-NZ"/>
              </w:rPr>
              <w:t>Transcriptomic response of defence marker gene PR1 was assayed with qRT-PCR. Expression of PR1 peaked at 24 hpi before declining at 72 hpi and returning to near basal levels by 120 hpi.</w:t>
            </w:r>
          </w:p>
        </w:tc>
        <w:tc>
          <w:tcPr>
            <w:tcW w:w="681"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1545A2EF" w14:textId="355211BB" w:rsidR="00D41507" w:rsidRPr="00D41507" w:rsidRDefault="00D41507" w:rsidP="00D41507">
            <w:pPr>
              <w:spacing w:before="240"/>
              <w:rPr>
                <w:lang w:val="en-NZ"/>
              </w:rPr>
            </w:pPr>
            <w:r w:rsidRPr="00D41507">
              <w:rPr>
                <w:lang w:val="en-NZ"/>
              </w:rPr>
              <w:t xml:space="preserve">Asai </w:t>
            </w:r>
            <w:r w:rsidR="00DC5F26" w:rsidRPr="00DC5F26">
              <w:rPr>
                <w:i/>
                <w:lang w:val="en-NZ"/>
              </w:rPr>
              <w:t>et al.</w:t>
            </w:r>
            <w:r w:rsidRPr="00D41507">
              <w:rPr>
                <w:lang w:val="en-NZ"/>
              </w:rPr>
              <w:t>, 2014</w:t>
            </w:r>
          </w:p>
        </w:tc>
      </w:tr>
      <w:tr w:rsidR="00D41507" w:rsidRPr="00D41507" w14:paraId="25C972E1"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2A263B2E" w14:textId="77777777" w:rsidR="00D41507" w:rsidRPr="00D41507" w:rsidRDefault="00D41507" w:rsidP="00D41507">
            <w:pPr>
              <w:spacing w:before="240"/>
              <w:rPr>
                <w:lang w:val="en-NZ"/>
              </w:rPr>
            </w:pPr>
            <w:r w:rsidRPr="00D41507">
              <w:rPr>
                <w:lang w:val="en-NZ"/>
              </w:rPr>
              <w:t>Sucking insect (rasping)</w:t>
            </w:r>
          </w:p>
        </w:tc>
        <w:tc>
          <w:tcPr>
            <w:tcW w:w="1077"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17B91EDE" w14:textId="77777777" w:rsidR="00D41507" w:rsidRPr="00D41507" w:rsidRDefault="00D41507" w:rsidP="00D41507">
            <w:pPr>
              <w:spacing w:before="240"/>
              <w:rPr>
                <w:lang w:val="en-NZ"/>
              </w:rPr>
            </w:pPr>
            <w:r w:rsidRPr="00D41507">
              <w:rPr>
                <w:i/>
                <w:iCs/>
                <w:lang w:val="en-NZ"/>
              </w:rPr>
              <w:t>Frankliniella occidentalis</w:t>
            </w:r>
          </w:p>
        </w:tc>
        <w:tc>
          <w:tcPr>
            <w:tcW w:w="612"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33E1E53E" w14:textId="77777777" w:rsidR="00D41507" w:rsidRPr="00D41507" w:rsidRDefault="00D41507" w:rsidP="00D41507">
            <w:pPr>
              <w:spacing w:before="240"/>
              <w:rPr>
                <w:lang w:val="en-NZ"/>
              </w:rPr>
            </w:pPr>
            <w:r w:rsidRPr="00D41507">
              <w:rPr>
                <w:lang w:val="en-NZ"/>
              </w:rPr>
              <w:t>Salicylic acid</w:t>
            </w:r>
          </w:p>
        </w:tc>
        <w:tc>
          <w:tcPr>
            <w:tcW w:w="783"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7C245702" w14:textId="77777777" w:rsidR="00D41507" w:rsidRPr="00D41507" w:rsidRDefault="00D41507" w:rsidP="00D41507">
            <w:pPr>
              <w:spacing w:before="240"/>
              <w:rPr>
                <w:lang w:val="en-NZ"/>
              </w:rPr>
            </w:pPr>
            <w:r w:rsidRPr="00D41507">
              <w:rPr>
                <w:lang w:val="en-NZ"/>
              </w:rPr>
              <w:t>Lesion development observed at 12 hpi</w:t>
            </w:r>
          </w:p>
        </w:tc>
        <w:tc>
          <w:tcPr>
            <w:tcW w:w="1009"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192ADF9D" w14:textId="77777777" w:rsidR="00D41507" w:rsidRPr="00D41507" w:rsidRDefault="00D41507" w:rsidP="00D41507">
            <w:pPr>
              <w:spacing w:before="240"/>
              <w:rPr>
                <w:lang w:val="en-NZ"/>
              </w:rPr>
            </w:pPr>
            <w:r w:rsidRPr="00D41507">
              <w:rPr>
                <w:lang w:val="en-NZ"/>
              </w:rPr>
              <w:t>Transcriptomic response assayed with northern blot analysis and microarray. PDF1.2 expression was upregulated at 12 hpi and increased at 24 hpi.</w:t>
            </w:r>
            <w:r w:rsidRPr="00D41507">
              <w:t xml:space="preserve"> </w:t>
            </w:r>
            <w:r w:rsidRPr="00D41507">
              <w:rPr>
                <w:lang w:val="en-NZ"/>
              </w:rPr>
              <w:t xml:space="preserve">Hormone accumulation initiated at 12hpi and continued to increase at 72 hpi. </w:t>
            </w:r>
          </w:p>
        </w:tc>
        <w:tc>
          <w:tcPr>
            <w:tcW w:w="681"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1CD1557E" w14:textId="287EFA58" w:rsidR="00D41507" w:rsidRPr="00D41507" w:rsidRDefault="00D41507" w:rsidP="00D41507">
            <w:pPr>
              <w:spacing w:before="240"/>
              <w:rPr>
                <w:lang w:val="en-NZ"/>
              </w:rPr>
            </w:pPr>
            <w:r w:rsidRPr="00D41507">
              <w:rPr>
                <w:lang w:val="en-NZ"/>
              </w:rPr>
              <w:t xml:space="preserve">de Vos </w:t>
            </w:r>
            <w:r w:rsidR="00DC5F26" w:rsidRPr="00DC5F26">
              <w:rPr>
                <w:i/>
                <w:lang w:val="en-NZ"/>
              </w:rPr>
              <w:t>et al.</w:t>
            </w:r>
            <w:r w:rsidRPr="00D41507">
              <w:rPr>
                <w:lang w:val="en-NZ"/>
              </w:rPr>
              <w:t>, 2005</w:t>
            </w:r>
          </w:p>
        </w:tc>
      </w:tr>
    </w:tbl>
    <w:p w14:paraId="2972963B" w14:textId="77777777" w:rsidR="00DA10C3" w:rsidRDefault="00DA10C3">
      <w:r>
        <w:br w:type="page"/>
      </w:r>
    </w:p>
    <w:tbl>
      <w:tblPr>
        <w:tblW w:w="5000" w:type="pct"/>
        <w:tblCellMar>
          <w:left w:w="0" w:type="dxa"/>
          <w:right w:w="0" w:type="dxa"/>
        </w:tblCellMar>
        <w:tblLook w:val="0420" w:firstRow="1" w:lastRow="0" w:firstColumn="0" w:lastColumn="0" w:noHBand="0" w:noVBand="1"/>
      </w:tblPr>
      <w:tblGrid>
        <w:gridCol w:w="1635"/>
        <w:gridCol w:w="2102"/>
        <w:gridCol w:w="1194"/>
        <w:gridCol w:w="1528"/>
        <w:gridCol w:w="1969"/>
        <w:gridCol w:w="1329"/>
      </w:tblGrid>
      <w:tr w:rsidR="00D41507" w:rsidRPr="00D41507" w14:paraId="4D333B1E"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3C48ECBE" w14:textId="7379F9D7" w:rsidR="00D41507" w:rsidRPr="00D41507" w:rsidRDefault="00D41507" w:rsidP="00D41507">
            <w:pPr>
              <w:spacing w:before="240"/>
              <w:rPr>
                <w:lang w:val="en-NZ"/>
              </w:rPr>
            </w:pPr>
            <w:r w:rsidRPr="00D41507">
              <w:rPr>
                <w:lang w:val="en-NZ"/>
              </w:rPr>
              <w:lastRenderedPageBreak/>
              <w:t>Sucking insect (rasping)</w:t>
            </w:r>
          </w:p>
        </w:tc>
        <w:tc>
          <w:tcPr>
            <w:tcW w:w="1077"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54AF080B" w14:textId="77777777" w:rsidR="00D41507" w:rsidRPr="00D41507" w:rsidRDefault="00D41507" w:rsidP="00D41507">
            <w:pPr>
              <w:spacing w:before="240"/>
              <w:rPr>
                <w:lang w:val="en-NZ"/>
              </w:rPr>
            </w:pPr>
            <w:r w:rsidRPr="00D41507">
              <w:rPr>
                <w:i/>
                <w:iCs/>
                <w:lang w:val="en-NZ"/>
              </w:rPr>
              <w:t>Frankliniella occidentalis</w:t>
            </w:r>
          </w:p>
        </w:tc>
        <w:tc>
          <w:tcPr>
            <w:tcW w:w="612"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59D471B9" w14:textId="77777777" w:rsidR="00D41507" w:rsidRPr="00D41507" w:rsidRDefault="00D41507" w:rsidP="00D41507">
            <w:pPr>
              <w:spacing w:before="240"/>
              <w:rPr>
                <w:lang w:val="en-NZ"/>
              </w:rPr>
            </w:pPr>
            <w:r w:rsidRPr="00D41507">
              <w:rPr>
                <w:lang w:val="en-NZ"/>
              </w:rPr>
              <w:t>Salicylic acid</w:t>
            </w:r>
          </w:p>
        </w:tc>
        <w:tc>
          <w:tcPr>
            <w:tcW w:w="783"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461BBD58" w14:textId="77777777" w:rsidR="00D41507" w:rsidRPr="00D41507" w:rsidRDefault="00D41507" w:rsidP="00D41507">
            <w:pPr>
              <w:spacing w:before="240"/>
              <w:rPr>
                <w:lang w:val="en-NZ"/>
              </w:rPr>
            </w:pPr>
            <w:r w:rsidRPr="00D41507">
              <w:rPr>
                <w:lang w:val="en-NZ"/>
              </w:rPr>
              <w:t>Lesion development observed at 48 hpi</w:t>
            </w:r>
          </w:p>
        </w:tc>
        <w:tc>
          <w:tcPr>
            <w:tcW w:w="1009"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313BAB77" w14:textId="77777777" w:rsidR="00D41507" w:rsidRPr="00D41507" w:rsidRDefault="00D41507" w:rsidP="00D41507">
            <w:pPr>
              <w:spacing w:before="240"/>
              <w:rPr>
                <w:lang w:val="en-NZ"/>
              </w:rPr>
            </w:pPr>
            <w:r w:rsidRPr="00D41507">
              <w:rPr>
                <w:lang w:val="en-NZ"/>
              </w:rPr>
              <w:t>Transcriptomic response of defence marker genes were assayed with qRT-PCR. Jasmonic acid marker genes were upregulated at 5 hpi before peaking at 10 hpi and beginning to decline at 24 hpi. Salicylic acid marker genes were upregulated at 10 hpi – 24 hpi.</w:t>
            </w:r>
          </w:p>
        </w:tc>
        <w:tc>
          <w:tcPr>
            <w:tcW w:w="681"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592DCD8B" w14:textId="2A56B96B" w:rsidR="00D41507" w:rsidRPr="00D41507" w:rsidRDefault="00D41507" w:rsidP="00D41507">
            <w:pPr>
              <w:spacing w:before="240"/>
              <w:rPr>
                <w:lang w:val="en-NZ"/>
              </w:rPr>
            </w:pPr>
            <w:r w:rsidRPr="00D41507">
              <w:rPr>
                <w:lang w:val="en-NZ"/>
              </w:rPr>
              <w:t xml:space="preserve">Abe </w:t>
            </w:r>
            <w:r w:rsidR="00DC5F26" w:rsidRPr="00DC5F26">
              <w:rPr>
                <w:i/>
                <w:lang w:val="en-NZ"/>
              </w:rPr>
              <w:t>et al.</w:t>
            </w:r>
            <w:r w:rsidRPr="00D41507">
              <w:rPr>
                <w:lang w:val="en-NZ"/>
              </w:rPr>
              <w:t>, 2008</w:t>
            </w:r>
          </w:p>
        </w:tc>
      </w:tr>
      <w:tr w:rsidR="00D41507" w:rsidRPr="00D41507" w14:paraId="51704529"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416FBDC6" w14:textId="77777777" w:rsidR="00D41507" w:rsidRPr="00D41507" w:rsidRDefault="00D41507" w:rsidP="00D41507">
            <w:pPr>
              <w:spacing w:before="240"/>
              <w:rPr>
                <w:lang w:val="en-NZ"/>
              </w:rPr>
            </w:pPr>
            <w:r w:rsidRPr="00D41507">
              <w:rPr>
                <w:lang w:val="en-NZ"/>
              </w:rPr>
              <w:t>Sucking insect (stylet)</w:t>
            </w:r>
          </w:p>
        </w:tc>
        <w:tc>
          <w:tcPr>
            <w:tcW w:w="1077"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76D02088" w14:textId="77777777" w:rsidR="00D41507" w:rsidRPr="00D41507" w:rsidRDefault="00D41507" w:rsidP="00D41507">
            <w:pPr>
              <w:spacing w:before="240"/>
              <w:rPr>
                <w:lang w:val="en-NZ"/>
              </w:rPr>
            </w:pPr>
            <w:r w:rsidRPr="00D41507">
              <w:rPr>
                <w:i/>
                <w:iCs/>
                <w:lang w:val="en-NZ"/>
              </w:rPr>
              <w:t>Myzus persicae</w:t>
            </w:r>
          </w:p>
        </w:tc>
        <w:tc>
          <w:tcPr>
            <w:tcW w:w="612"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297CE5D0" w14:textId="77777777" w:rsidR="00D41507" w:rsidRPr="00D41507" w:rsidRDefault="00D41507" w:rsidP="00D41507">
            <w:pPr>
              <w:spacing w:before="240"/>
              <w:rPr>
                <w:lang w:val="en-NZ"/>
              </w:rPr>
            </w:pPr>
            <w:r w:rsidRPr="00D41507">
              <w:rPr>
                <w:lang w:val="en-NZ"/>
              </w:rPr>
              <w:t>Salicylic acid</w:t>
            </w:r>
          </w:p>
        </w:tc>
        <w:tc>
          <w:tcPr>
            <w:tcW w:w="783"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37891F53" w14:textId="77777777" w:rsidR="00D41507" w:rsidRPr="00D41507" w:rsidRDefault="00D41507" w:rsidP="00D41507">
            <w:pPr>
              <w:spacing w:before="240"/>
              <w:rPr>
                <w:lang w:val="en-NZ"/>
              </w:rPr>
            </w:pPr>
            <w:r w:rsidRPr="00D41507">
              <w:rPr>
                <w:lang w:val="en-NZ"/>
              </w:rPr>
              <w:t>Lesion development assayed at 72 hpi but not observed</w:t>
            </w:r>
          </w:p>
        </w:tc>
        <w:tc>
          <w:tcPr>
            <w:tcW w:w="1009"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228386ED" w14:textId="77777777" w:rsidR="00D41507" w:rsidRPr="00D41507" w:rsidRDefault="00D41507" w:rsidP="00D41507">
            <w:pPr>
              <w:spacing w:before="240"/>
              <w:rPr>
                <w:lang w:val="en-NZ"/>
              </w:rPr>
            </w:pPr>
            <w:r w:rsidRPr="00D41507">
              <w:rPr>
                <w:lang w:val="en-NZ"/>
              </w:rPr>
              <w:t>Transcriptomic response assayed with microarray. PR1, PDF1.2 and HEL expression were upregulated at 48 hpi and PR1 and HEL were upregulated at 72 hpi.</w:t>
            </w:r>
          </w:p>
        </w:tc>
        <w:tc>
          <w:tcPr>
            <w:tcW w:w="681"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2ADBE86C" w14:textId="5C14013B" w:rsidR="00D41507" w:rsidRPr="00D41507" w:rsidRDefault="00D41507" w:rsidP="00D41507">
            <w:pPr>
              <w:spacing w:before="240"/>
              <w:rPr>
                <w:lang w:val="en-NZ"/>
              </w:rPr>
            </w:pPr>
            <w:r w:rsidRPr="00D41507">
              <w:rPr>
                <w:lang w:val="en-NZ"/>
              </w:rPr>
              <w:t xml:space="preserve">de Vos </w:t>
            </w:r>
            <w:r w:rsidR="00DC5F26" w:rsidRPr="00DC5F26">
              <w:rPr>
                <w:i/>
                <w:lang w:val="en-NZ"/>
              </w:rPr>
              <w:t>et al.</w:t>
            </w:r>
            <w:r w:rsidRPr="00D41507">
              <w:rPr>
                <w:lang w:val="en-NZ"/>
              </w:rPr>
              <w:t>, 2005</w:t>
            </w:r>
          </w:p>
        </w:tc>
      </w:tr>
    </w:tbl>
    <w:p w14:paraId="6057E9BF" w14:textId="77777777" w:rsidR="00DA10C3" w:rsidRDefault="00DA10C3">
      <w:r>
        <w:br w:type="page"/>
      </w:r>
    </w:p>
    <w:tbl>
      <w:tblPr>
        <w:tblW w:w="5000" w:type="pct"/>
        <w:tblCellMar>
          <w:left w:w="0" w:type="dxa"/>
          <w:right w:w="0" w:type="dxa"/>
        </w:tblCellMar>
        <w:tblLook w:val="0420" w:firstRow="1" w:lastRow="0" w:firstColumn="0" w:lastColumn="0" w:noHBand="0" w:noVBand="1"/>
      </w:tblPr>
      <w:tblGrid>
        <w:gridCol w:w="1635"/>
        <w:gridCol w:w="2102"/>
        <w:gridCol w:w="1194"/>
        <w:gridCol w:w="1528"/>
        <w:gridCol w:w="1969"/>
        <w:gridCol w:w="1329"/>
      </w:tblGrid>
      <w:tr w:rsidR="00D41507" w:rsidRPr="00D41507" w14:paraId="26EF4A31"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5B1A0C23" w14:textId="0B6943BA" w:rsidR="00D41507" w:rsidRPr="00D41507" w:rsidRDefault="00D41507" w:rsidP="00D41507">
            <w:pPr>
              <w:spacing w:before="240"/>
              <w:rPr>
                <w:lang w:val="en-NZ"/>
              </w:rPr>
            </w:pPr>
            <w:r w:rsidRPr="00D41507">
              <w:rPr>
                <w:lang w:val="en-NZ"/>
              </w:rPr>
              <w:lastRenderedPageBreak/>
              <w:t>Sucking insect (stylet)</w:t>
            </w:r>
          </w:p>
        </w:tc>
        <w:tc>
          <w:tcPr>
            <w:tcW w:w="1077"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1150772E" w14:textId="77777777" w:rsidR="00D41507" w:rsidRPr="00D41507" w:rsidRDefault="00D41507" w:rsidP="00D41507">
            <w:pPr>
              <w:spacing w:before="240"/>
              <w:rPr>
                <w:lang w:val="en-NZ"/>
              </w:rPr>
            </w:pPr>
            <w:r w:rsidRPr="00D41507">
              <w:rPr>
                <w:i/>
                <w:iCs/>
                <w:lang w:val="en-NZ"/>
              </w:rPr>
              <w:t>Myzus persicae</w:t>
            </w:r>
          </w:p>
        </w:tc>
        <w:tc>
          <w:tcPr>
            <w:tcW w:w="612"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56F8D8BB" w14:textId="77777777" w:rsidR="00D41507" w:rsidRPr="00D41507" w:rsidRDefault="00D41507" w:rsidP="00D41507">
            <w:pPr>
              <w:spacing w:before="240"/>
              <w:rPr>
                <w:lang w:val="en-NZ"/>
              </w:rPr>
            </w:pPr>
            <w:r w:rsidRPr="00D41507">
              <w:rPr>
                <w:lang w:val="en-NZ"/>
              </w:rPr>
              <w:t>Salicylic acid</w:t>
            </w:r>
          </w:p>
        </w:tc>
        <w:tc>
          <w:tcPr>
            <w:tcW w:w="783"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239F608B" w14:textId="77777777" w:rsidR="00D41507" w:rsidRPr="00D41507" w:rsidRDefault="00D41507" w:rsidP="00D41507">
            <w:pPr>
              <w:spacing w:before="240"/>
              <w:rPr>
                <w:lang w:val="en-NZ"/>
              </w:rPr>
            </w:pPr>
            <w:r w:rsidRPr="00D41507">
              <w:rPr>
                <w:lang w:val="en-NZ"/>
              </w:rPr>
              <w:t>Not assayed</w:t>
            </w:r>
          </w:p>
        </w:tc>
        <w:tc>
          <w:tcPr>
            <w:tcW w:w="1009"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34476979" w14:textId="77777777" w:rsidR="00D41507" w:rsidRPr="00D41507" w:rsidRDefault="00D41507" w:rsidP="00D41507">
            <w:pPr>
              <w:spacing w:before="240"/>
              <w:rPr>
                <w:lang w:val="en-NZ"/>
              </w:rPr>
            </w:pPr>
            <w:r w:rsidRPr="00D41507">
              <w:rPr>
                <w:lang w:val="en-NZ"/>
              </w:rPr>
              <w:t>Transcriptomic response assed with microarray. Salicylic acid pathway genes were upregulated at 6 hpi before peaking at 24 hpi and beginning to decline at 48 hpi. Jasmonic acid/ethylene pathway genes were strongly and stably induced at 6, 24, and 24 hpi.</w:t>
            </w:r>
          </w:p>
        </w:tc>
        <w:tc>
          <w:tcPr>
            <w:tcW w:w="681"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32A60A8B" w14:textId="06801997" w:rsidR="00D41507" w:rsidRPr="00D41507" w:rsidRDefault="00D41507" w:rsidP="00D41507">
            <w:pPr>
              <w:spacing w:before="240"/>
              <w:rPr>
                <w:lang w:val="en-NZ"/>
              </w:rPr>
            </w:pPr>
            <w:r w:rsidRPr="00D41507">
              <w:rPr>
                <w:lang w:val="en-NZ"/>
              </w:rPr>
              <w:t xml:space="preserve">Kerchev </w:t>
            </w:r>
            <w:r w:rsidR="00DC5F26" w:rsidRPr="00DC5F26">
              <w:rPr>
                <w:i/>
                <w:lang w:val="en-NZ"/>
              </w:rPr>
              <w:t>et al.</w:t>
            </w:r>
            <w:r w:rsidRPr="00D41507">
              <w:rPr>
                <w:lang w:val="en-NZ"/>
              </w:rPr>
              <w:t>, 2013</w:t>
            </w:r>
          </w:p>
        </w:tc>
      </w:tr>
      <w:tr w:rsidR="00D41507" w:rsidRPr="00D41507" w14:paraId="4B56EAC4"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44FE0F85" w14:textId="77777777" w:rsidR="00D41507" w:rsidRPr="00D41507" w:rsidRDefault="00D41507" w:rsidP="00D41507">
            <w:pPr>
              <w:spacing w:before="240"/>
              <w:rPr>
                <w:lang w:val="en-NZ"/>
              </w:rPr>
            </w:pPr>
            <w:r w:rsidRPr="00D41507">
              <w:rPr>
                <w:lang w:val="en-NZ"/>
              </w:rPr>
              <w:t>Necrotrophic pathogen</w:t>
            </w:r>
          </w:p>
        </w:tc>
        <w:tc>
          <w:tcPr>
            <w:tcW w:w="1077"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61A6335C" w14:textId="77777777" w:rsidR="00D41507" w:rsidRPr="00D41507" w:rsidRDefault="00D41507" w:rsidP="00D41507">
            <w:pPr>
              <w:spacing w:before="240"/>
              <w:rPr>
                <w:lang w:val="en-NZ"/>
              </w:rPr>
            </w:pPr>
            <w:r w:rsidRPr="00D41507">
              <w:rPr>
                <w:i/>
                <w:iCs/>
                <w:lang w:val="en-NZ"/>
              </w:rPr>
              <w:t>Alternaria brassicicola</w:t>
            </w:r>
          </w:p>
        </w:tc>
        <w:tc>
          <w:tcPr>
            <w:tcW w:w="612"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400D4CA7" w14:textId="77777777" w:rsidR="00D41507" w:rsidRPr="00D41507" w:rsidRDefault="00D41507" w:rsidP="00D41507">
            <w:pPr>
              <w:spacing w:before="240"/>
              <w:rPr>
                <w:lang w:val="en-NZ"/>
              </w:rPr>
            </w:pPr>
            <w:r w:rsidRPr="00D41507">
              <w:rPr>
                <w:lang w:val="en-NZ"/>
              </w:rPr>
              <w:t xml:space="preserve">Jasmonic acid </w:t>
            </w:r>
          </w:p>
        </w:tc>
        <w:tc>
          <w:tcPr>
            <w:tcW w:w="783"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594282A6" w14:textId="77777777" w:rsidR="00D41507" w:rsidRPr="00D41507" w:rsidRDefault="00D41507" w:rsidP="00D41507">
            <w:pPr>
              <w:spacing w:before="240"/>
              <w:rPr>
                <w:lang w:val="en-NZ"/>
              </w:rPr>
            </w:pPr>
            <w:r w:rsidRPr="00D41507">
              <w:rPr>
                <w:lang w:val="en-NZ"/>
              </w:rPr>
              <w:t>Not assayed</w:t>
            </w:r>
          </w:p>
        </w:tc>
        <w:tc>
          <w:tcPr>
            <w:tcW w:w="1009"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679B0E4B" w14:textId="77777777" w:rsidR="00D41507" w:rsidRPr="00D41507" w:rsidRDefault="00D41507" w:rsidP="00D41507">
            <w:pPr>
              <w:spacing w:before="240"/>
              <w:rPr>
                <w:lang w:val="en-NZ"/>
              </w:rPr>
            </w:pPr>
            <w:r w:rsidRPr="00D41507">
              <w:rPr>
                <w:lang w:val="en-NZ"/>
              </w:rPr>
              <w:t xml:space="preserve">Transcriptomic response of PDF1.2 was assayed with RNA gel blot analysis and found to be upregulated at 48 – 96 hpi. Protein accumulation of PDF initiated at ~ 50 hpi before peaking at ~75 hpi and remaining stable at 100 hpi. </w:t>
            </w:r>
          </w:p>
        </w:tc>
        <w:tc>
          <w:tcPr>
            <w:tcW w:w="681"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428033FB" w14:textId="7B627192" w:rsidR="00D41507" w:rsidRPr="00D41507" w:rsidRDefault="00D41507" w:rsidP="00D41507">
            <w:pPr>
              <w:spacing w:before="240"/>
              <w:rPr>
                <w:lang w:val="en-NZ"/>
              </w:rPr>
            </w:pPr>
            <w:r w:rsidRPr="00D41507">
              <w:rPr>
                <w:lang w:val="en-NZ"/>
              </w:rPr>
              <w:t xml:space="preserve">Penninckx </w:t>
            </w:r>
            <w:r w:rsidR="00DC5F26" w:rsidRPr="00DC5F26">
              <w:rPr>
                <w:i/>
                <w:lang w:val="en-NZ"/>
              </w:rPr>
              <w:t>et al.</w:t>
            </w:r>
            <w:r w:rsidRPr="00D41507">
              <w:rPr>
                <w:lang w:val="en-NZ"/>
              </w:rPr>
              <w:t>, 1996</w:t>
            </w:r>
          </w:p>
        </w:tc>
      </w:tr>
    </w:tbl>
    <w:p w14:paraId="3599F268" w14:textId="77777777" w:rsidR="00DA10C3" w:rsidRDefault="00DA10C3">
      <w:r>
        <w:br w:type="page"/>
      </w:r>
    </w:p>
    <w:tbl>
      <w:tblPr>
        <w:tblW w:w="5000" w:type="pct"/>
        <w:tblCellMar>
          <w:left w:w="0" w:type="dxa"/>
          <w:right w:w="0" w:type="dxa"/>
        </w:tblCellMar>
        <w:tblLook w:val="0420" w:firstRow="1" w:lastRow="0" w:firstColumn="0" w:lastColumn="0" w:noHBand="0" w:noVBand="1"/>
      </w:tblPr>
      <w:tblGrid>
        <w:gridCol w:w="1635"/>
        <w:gridCol w:w="2102"/>
        <w:gridCol w:w="1194"/>
        <w:gridCol w:w="1528"/>
        <w:gridCol w:w="1969"/>
        <w:gridCol w:w="1329"/>
      </w:tblGrid>
      <w:tr w:rsidR="00D41507" w:rsidRPr="00D41507" w14:paraId="7EBA44A8"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60793F16" w14:textId="2D29BF3A" w:rsidR="00D41507" w:rsidRPr="00D41507" w:rsidRDefault="00D41507" w:rsidP="00D41507">
            <w:pPr>
              <w:spacing w:before="240"/>
              <w:rPr>
                <w:lang w:val="en-NZ"/>
              </w:rPr>
            </w:pPr>
            <w:r w:rsidRPr="00D41507">
              <w:rPr>
                <w:lang w:val="en-NZ"/>
              </w:rPr>
              <w:lastRenderedPageBreak/>
              <w:t>Necrotrophic pathogen</w:t>
            </w:r>
          </w:p>
        </w:tc>
        <w:tc>
          <w:tcPr>
            <w:tcW w:w="1077"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26761FB0" w14:textId="77777777" w:rsidR="00D41507" w:rsidRPr="00D41507" w:rsidRDefault="00D41507" w:rsidP="00D41507">
            <w:pPr>
              <w:spacing w:before="240"/>
              <w:rPr>
                <w:lang w:val="en-NZ"/>
              </w:rPr>
            </w:pPr>
            <w:r w:rsidRPr="00D41507">
              <w:rPr>
                <w:i/>
                <w:iCs/>
                <w:lang w:val="en-NZ"/>
              </w:rPr>
              <w:t>Alternaria brassicicola</w:t>
            </w:r>
          </w:p>
        </w:tc>
        <w:tc>
          <w:tcPr>
            <w:tcW w:w="612"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1CAA5D9C" w14:textId="77777777" w:rsidR="00D41507" w:rsidRPr="00D41507" w:rsidRDefault="00D41507" w:rsidP="00D41507">
            <w:pPr>
              <w:spacing w:before="240"/>
              <w:rPr>
                <w:lang w:val="en-NZ"/>
              </w:rPr>
            </w:pPr>
            <w:r w:rsidRPr="00D41507">
              <w:rPr>
                <w:lang w:val="en-NZ"/>
              </w:rPr>
              <w:t xml:space="preserve">Jasmonic acid </w:t>
            </w:r>
          </w:p>
        </w:tc>
        <w:tc>
          <w:tcPr>
            <w:tcW w:w="783"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4ED5E5C4" w14:textId="77777777" w:rsidR="00D41507" w:rsidRPr="00D41507" w:rsidRDefault="00D41507" w:rsidP="00D41507">
            <w:pPr>
              <w:spacing w:before="240"/>
              <w:rPr>
                <w:lang w:val="en-NZ"/>
              </w:rPr>
            </w:pPr>
            <w:r w:rsidRPr="00D41507">
              <w:rPr>
                <w:lang w:val="en-NZ"/>
              </w:rPr>
              <w:t>Lesion development observed at 72 hpi</w:t>
            </w:r>
          </w:p>
        </w:tc>
        <w:tc>
          <w:tcPr>
            <w:tcW w:w="1009"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7EDC5D9A" w14:textId="77777777" w:rsidR="00D41507" w:rsidRPr="00D41507" w:rsidRDefault="00D41507" w:rsidP="00D41507">
            <w:pPr>
              <w:spacing w:before="240"/>
              <w:rPr>
                <w:lang w:val="en-NZ"/>
              </w:rPr>
            </w:pPr>
            <w:r w:rsidRPr="00D41507">
              <w:rPr>
                <w:lang w:val="en-NZ"/>
              </w:rPr>
              <w:t>Transcriptomic response of defence marker genes was assayed with qRT-PCR. Transcriptomic response initiated at 12 hpi with jasmonic acid marker genes responsive between 24 – 36 hpi.</w:t>
            </w:r>
          </w:p>
        </w:tc>
        <w:tc>
          <w:tcPr>
            <w:tcW w:w="681"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66FFCF22" w14:textId="0AABE554" w:rsidR="00D41507" w:rsidRPr="00D41507" w:rsidRDefault="00D41507" w:rsidP="00D41507">
            <w:pPr>
              <w:spacing w:before="240"/>
              <w:rPr>
                <w:lang w:val="en-NZ"/>
              </w:rPr>
            </w:pPr>
            <w:r w:rsidRPr="00D41507">
              <w:rPr>
                <w:lang w:val="en-NZ"/>
              </w:rPr>
              <w:t xml:space="preserve">van Wees </w:t>
            </w:r>
            <w:r w:rsidR="00DC5F26" w:rsidRPr="00DC5F26">
              <w:rPr>
                <w:i/>
                <w:lang w:val="en-NZ"/>
              </w:rPr>
              <w:t>et al.</w:t>
            </w:r>
            <w:r w:rsidRPr="00D41507">
              <w:rPr>
                <w:lang w:val="en-NZ"/>
              </w:rPr>
              <w:t>, 2003</w:t>
            </w:r>
          </w:p>
        </w:tc>
      </w:tr>
      <w:tr w:rsidR="00D41507" w:rsidRPr="00D41507" w14:paraId="58B392F1"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4AE8E428" w14:textId="77777777" w:rsidR="00D41507" w:rsidRPr="00D41507" w:rsidRDefault="00D41507" w:rsidP="00D41507">
            <w:pPr>
              <w:spacing w:before="240"/>
              <w:rPr>
                <w:lang w:val="en-NZ"/>
              </w:rPr>
            </w:pPr>
            <w:r w:rsidRPr="00D41507">
              <w:rPr>
                <w:lang w:val="en-NZ"/>
              </w:rPr>
              <w:t>Necrotrophic pathogen</w:t>
            </w:r>
          </w:p>
        </w:tc>
        <w:tc>
          <w:tcPr>
            <w:tcW w:w="1077"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6385A793" w14:textId="77777777" w:rsidR="00D41507" w:rsidRPr="00D41507" w:rsidRDefault="00D41507" w:rsidP="00D41507">
            <w:pPr>
              <w:spacing w:before="240"/>
              <w:rPr>
                <w:lang w:val="en-NZ"/>
              </w:rPr>
            </w:pPr>
            <w:r w:rsidRPr="00D41507">
              <w:rPr>
                <w:i/>
                <w:iCs/>
                <w:lang w:val="en-NZ"/>
              </w:rPr>
              <w:t>Alternaria brassicicola</w:t>
            </w:r>
          </w:p>
        </w:tc>
        <w:tc>
          <w:tcPr>
            <w:tcW w:w="612"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197A9277" w14:textId="77777777" w:rsidR="00D41507" w:rsidRPr="00D41507" w:rsidRDefault="00D41507" w:rsidP="00D41507">
            <w:pPr>
              <w:spacing w:before="240"/>
              <w:rPr>
                <w:lang w:val="en-NZ"/>
              </w:rPr>
            </w:pPr>
            <w:r w:rsidRPr="00D41507">
              <w:rPr>
                <w:lang w:val="en-NZ"/>
              </w:rPr>
              <w:t>Jasmonic acid</w:t>
            </w:r>
          </w:p>
        </w:tc>
        <w:tc>
          <w:tcPr>
            <w:tcW w:w="783"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0E518D77" w14:textId="77777777" w:rsidR="00D41507" w:rsidRPr="00D41507" w:rsidRDefault="00D41507" w:rsidP="00D41507">
            <w:pPr>
              <w:spacing w:before="240"/>
              <w:rPr>
                <w:lang w:val="en-NZ"/>
              </w:rPr>
            </w:pPr>
            <w:r w:rsidRPr="00D41507">
              <w:rPr>
                <w:lang w:val="en-NZ"/>
              </w:rPr>
              <w:t>Lesion development observed at 48 - 72 hpi</w:t>
            </w:r>
          </w:p>
        </w:tc>
        <w:tc>
          <w:tcPr>
            <w:tcW w:w="1009"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69ACC47A" w14:textId="77777777" w:rsidR="00D41507" w:rsidRPr="00D41507" w:rsidRDefault="00D41507" w:rsidP="00D41507">
            <w:pPr>
              <w:spacing w:before="240"/>
              <w:rPr>
                <w:lang w:val="en-NZ"/>
              </w:rPr>
            </w:pPr>
            <w:r w:rsidRPr="00D41507">
              <w:rPr>
                <w:lang w:val="en-NZ"/>
              </w:rPr>
              <w:t xml:space="preserve">Transcriptomic response assayed with northern blot analysis and microarray. PDF1.2 upregulation initiated at 24 hpi and increased at 48 hpi. Hormone accumulation initiated at 12 hpi and gradually increased over time, peaking at 72 hpi. </w:t>
            </w:r>
          </w:p>
        </w:tc>
        <w:tc>
          <w:tcPr>
            <w:tcW w:w="681"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23FA69A5" w14:textId="7F898195" w:rsidR="00D41507" w:rsidRPr="00D41507" w:rsidRDefault="00D41507" w:rsidP="00D41507">
            <w:pPr>
              <w:spacing w:before="240"/>
              <w:rPr>
                <w:lang w:val="en-NZ"/>
              </w:rPr>
            </w:pPr>
            <w:r w:rsidRPr="00D41507">
              <w:rPr>
                <w:lang w:val="en-NZ"/>
              </w:rPr>
              <w:t xml:space="preserve">de Vos </w:t>
            </w:r>
            <w:r w:rsidR="00DC5F26" w:rsidRPr="00DC5F26">
              <w:rPr>
                <w:i/>
                <w:lang w:val="en-NZ"/>
              </w:rPr>
              <w:t>et al.</w:t>
            </w:r>
            <w:r w:rsidRPr="00D41507">
              <w:rPr>
                <w:lang w:val="en-NZ"/>
              </w:rPr>
              <w:t>, 2005</w:t>
            </w:r>
          </w:p>
        </w:tc>
      </w:tr>
    </w:tbl>
    <w:p w14:paraId="4A5E0EF5" w14:textId="77777777" w:rsidR="00DA10C3" w:rsidRDefault="00DA10C3">
      <w:r>
        <w:br w:type="page"/>
      </w:r>
    </w:p>
    <w:tbl>
      <w:tblPr>
        <w:tblW w:w="5000" w:type="pct"/>
        <w:tblCellMar>
          <w:left w:w="0" w:type="dxa"/>
          <w:right w:w="0" w:type="dxa"/>
        </w:tblCellMar>
        <w:tblLook w:val="0420" w:firstRow="1" w:lastRow="0" w:firstColumn="0" w:lastColumn="0" w:noHBand="0" w:noVBand="1"/>
      </w:tblPr>
      <w:tblGrid>
        <w:gridCol w:w="1635"/>
        <w:gridCol w:w="2102"/>
        <w:gridCol w:w="1194"/>
        <w:gridCol w:w="1528"/>
        <w:gridCol w:w="1969"/>
        <w:gridCol w:w="1329"/>
      </w:tblGrid>
      <w:tr w:rsidR="00D41507" w:rsidRPr="00D41507" w14:paraId="70C7EFA4"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7C1903A2" w14:textId="0C203356" w:rsidR="00D41507" w:rsidRPr="00D41507" w:rsidRDefault="00D41507" w:rsidP="00D41507">
            <w:pPr>
              <w:spacing w:before="240"/>
              <w:rPr>
                <w:lang w:val="en-NZ"/>
              </w:rPr>
            </w:pPr>
            <w:r w:rsidRPr="00D41507">
              <w:rPr>
                <w:lang w:val="en-NZ"/>
              </w:rPr>
              <w:lastRenderedPageBreak/>
              <w:t>Necrotrophic pathogen</w:t>
            </w:r>
          </w:p>
        </w:tc>
        <w:tc>
          <w:tcPr>
            <w:tcW w:w="1077"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66AD671E" w14:textId="77777777" w:rsidR="00D41507" w:rsidRPr="00D41507" w:rsidRDefault="00D41507" w:rsidP="00D41507">
            <w:pPr>
              <w:spacing w:before="240"/>
              <w:rPr>
                <w:lang w:val="en-NZ"/>
              </w:rPr>
            </w:pPr>
            <w:r w:rsidRPr="00D41507">
              <w:rPr>
                <w:i/>
                <w:iCs/>
                <w:lang w:val="en-NZ"/>
              </w:rPr>
              <w:t>Alternaria brassicicola</w:t>
            </w:r>
          </w:p>
        </w:tc>
        <w:tc>
          <w:tcPr>
            <w:tcW w:w="612"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2559E11C" w14:textId="77777777" w:rsidR="00D41507" w:rsidRPr="00D41507" w:rsidRDefault="00D41507" w:rsidP="00D41507">
            <w:pPr>
              <w:spacing w:before="240"/>
              <w:rPr>
                <w:lang w:val="en-NZ"/>
              </w:rPr>
            </w:pPr>
            <w:r w:rsidRPr="00D41507">
              <w:rPr>
                <w:lang w:val="en-NZ"/>
              </w:rPr>
              <w:t>Jasmonic acid</w:t>
            </w:r>
          </w:p>
        </w:tc>
        <w:tc>
          <w:tcPr>
            <w:tcW w:w="783"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041DC8A4" w14:textId="593D2890" w:rsidR="00D41507" w:rsidRPr="00D41507" w:rsidRDefault="00D41507" w:rsidP="00D41507">
            <w:pPr>
              <w:spacing w:before="240"/>
              <w:rPr>
                <w:lang w:val="en-NZ"/>
              </w:rPr>
            </w:pPr>
            <w:r w:rsidRPr="00D41507">
              <w:rPr>
                <w:lang w:val="en-NZ"/>
              </w:rPr>
              <w:t>Lesion development observed at 48 hpi and assayed at 5 dpi</w:t>
            </w:r>
          </w:p>
        </w:tc>
        <w:tc>
          <w:tcPr>
            <w:tcW w:w="1009"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05A6EA6A" w14:textId="77777777" w:rsidR="00D41507" w:rsidRPr="00D41507" w:rsidRDefault="00D41507" w:rsidP="00D41507">
            <w:pPr>
              <w:spacing w:before="240"/>
              <w:rPr>
                <w:lang w:val="en-NZ"/>
              </w:rPr>
            </w:pPr>
            <w:r w:rsidRPr="00D41507">
              <w:rPr>
                <w:lang w:val="en-NZ"/>
              </w:rPr>
              <w:t>Transcriptomic response assayed with semi-quantitative RT PCR. The response of several jasmonic acid defence marker genes was assayed and found to be upregulated at 72 hpi.</w:t>
            </w:r>
          </w:p>
        </w:tc>
        <w:tc>
          <w:tcPr>
            <w:tcW w:w="681"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6F7B85C6" w14:textId="1A4A0AD6" w:rsidR="00D41507" w:rsidRPr="00D41507" w:rsidRDefault="00D41507" w:rsidP="00D41507">
            <w:pPr>
              <w:spacing w:before="240"/>
              <w:rPr>
                <w:lang w:val="en-NZ"/>
              </w:rPr>
            </w:pPr>
            <w:r w:rsidRPr="00D41507">
              <w:rPr>
                <w:lang w:val="en-NZ"/>
              </w:rPr>
              <w:t xml:space="preserve">Mukherjee </w:t>
            </w:r>
            <w:r w:rsidR="00DC5F26" w:rsidRPr="00DC5F26">
              <w:rPr>
                <w:i/>
                <w:lang w:val="en-NZ"/>
              </w:rPr>
              <w:t>et al.</w:t>
            </w:r>
            <w:r w:rsidRPr="00D41507">
              <w:rPr>
                <w:lang w:val="en-NZ"/>
              </w:rPr>
              <w:t>, 2009</w:t>
            </w:r>
          </w:p>
        </w:tc>
      </w:tr>
      <w:tr w:rsidR="00D41507" w:rsidRPr="00D41507" w14:paraId="50EADC2C"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41416A61" w14:textId="77777777" w:rsidR="00D41507" w:rsidRPr="00D41507" w:rsidRDefault="00D41507" w:rsidP="00D41507">
            <w:pPr>
              <w:spacing w:before="240"/>
              <w:rPr>
                <w:lang w:val="en-NZ"/>
              </w:rPr>
            </w:pPr>
            <w:r w:rsidRPr="00D41507">
              <w:rPr>
                <w:lang w:val="en-NZ"/>
              </w:rPr>
              <w:t>Necrotrophic pathogen</w:t>
            </w:r>
          </w:p>
        </w:tc>
        <w:tc>
          <w:tcPr>
            <w:tcW w:w="1077"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059AD233" w14:textId="77777777" w:rsidR="00D41507" w:rsidRPr="00D41507" w:rsidRDefault="00D41507" w:rsidP="00D41507">
            <w:pPr>
              <w:spacing w:before="240"/>
              <w:rPr>
                <w:lang w:val="en-NZ"/>
              </w:rPr>
            </w:pPr>
            <w:r w:rsidRPr="00D41507">
              <w:rPr>
                <w:i/>
                <w:iCs/>
                <w:lang w:val="en-NZ"/>
              </w:rPr>
              <w:t>Botrytis cinerea</w:t>
            </w:r>
          </w:p>
        </w:tc>
        <w:tc>
          <w:tcPr>
            <w:tcW w:w="612"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1F7EA288" w14:textId="77777777" w:rsidR="00D41507" w:rsidRPr="00D41507" w:rsidRDefault="00D41507" w:rsidP="00D41507">
            <w:pPr>
              <w:spacing w:before="240"/>
              <w:rPr>
                <w:lang w:val="en-NZ"/>
              </w:rPr>
            </w:pPr>
            <w:r w:rsidRPr="00D41507">
              <w:rPr>
                <w:lang w:val="en-NZ"/>
              </w:rPr>
              <w:t>Jasmonic acid</w:t>
            </w:r>
          </w:p>
        </w:tc>
        <w:tc>
          <w:tcPr>
            <w:tcW w:w="783"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582DF121" w14:textId="77777777" w:rsidR="00D41507" w:rsidRPr="00D41507" w:rsidRDefault="00D41507" w:rsidP="00D41507">
            <w:pPr>
              <w:spacing w:before="240"/>
              <w:rPr>
                <w:lang w:val="en-NZ"/>
              </w:rPr>
            </w:pPr>
            <w:r w:rsidRPr="00D41507">
              <w:rPr>
                <w:lang w:val="en-NZ"/>
              </w:rPr>
              <w:t>Not assayed</w:t>
            </w:r>
          </w:p>
        </w:tc>
        <w:tc>
          <w:tcPr>
            <w:tcW w:w="1009"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758861E4" w14:textId="77777777" w:rsidR="00D41507" w:rsidRPr="00D41507" w:rsidRDefault="00D41507" w:rsidP="00D41507">
            <w:pPr>
              <w:spacing w:before="240"/>
              <w:rPr>
                <w:lang w:val="en-NZ"/>
              </w:rPr>
            </w:pPr>
            <w:r w:rsidRPr="00D41507">
              <w:rPr>
                <w:lang w:val="en-NZ"/>
              </w:rPr>
              <w:t>Transcriptomic response assayed with microarray. Found that the transcriptomic response initiated at 16 hpi and increased at 48 hpi.</w:t>
            </w:r>
          </w:p>
        </w:tc>
        <w:tc>
          <w:tcPr>
            <w:tcW w:w="681"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0C205F0B" w14:textId="258E6426" w:rsidR="00D41507" w:rsidRPr="00D41507" w:rsidRDefault="00D41507" w:rsidP="00D41507">
            <w:pPr>
              <w:spacing w:before="240"/>
              <w:rPr>
                <w:lang w:val="en-NZ"/>
              </w:rPr>
            </w:pPr>
            <w:r w:rsidRPr="00D41507">
              <w:rPr>
                <w:lang w:val="en-NZ"/>
              </w:rPr>
              <w:t xml:space="preserve">Ferrari </w:t>
            </w:r>
            <w:r w:rsidR="00DC5F26" w:rsidRPr="00DC5F26">
              <w:rPr>
                <w:i/>
                <w:lang w:val="en-NZ"/>
              </w:rPr>
              <w:t>et al.</w:t>
            </w:r>
            <w:r w:rsidRPr="00D41507">
              <w:rPr>
                <w:lang w:val="en-NZ"/>
              </w:rPr>
              <w:t>, 2007</w:t>
            </w:r>
          </w:p>
        </w:tc>
      </w:tr>
      <w:tr w:rsidR="00D41507" w:rsidRPr="00D41507" w14:paraId="687EE6A3"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5D0D6025" w14:textId="77777777" w:rsidR="00D41507" w:rsidRPr="00D41507" w:rsidRDefault="00D41507" w:rsidP="00D41507">
            <w:pPr>
              <w:spacing w:before="240"/>
              <w:rPr>
                <w:lang w:val="en-NZ"/>
              </w:rPr>
            </w:pPr>
            <w:r w:rsidRPr="00D41507">
              <w:rPr>
                <w:lang w:val="en-NZ"/>
              </w:rPr>
              <w:t>Necrotrophic pathogen</w:t>
            </w:r>
          </w:p>
        </w:tc>
        <w:tc>
          <w:tcPr>
            <w:tcW w:w="1077"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652E5550" w14:textId="77777777" w:rsidR="00D41507" w:rsidRPr="00D41507" w:rsidRDefault="00D41507" w:rsidP="00D41507">
            <w:pPr>
              <w:spacing w:before="240"/>
              <w:rPr>
                <w:lang w:val="en-NZ"/>
              </w:rPr>
            </w:pPr>
            <w:r w:rsidRPr="00D41507">
              <w:rPr>
                <w:i/>
                <w:iCs/>
                <w:lang w:val="en-NZ"/>
              </w:rPr>
              <w:t>Botrytis cinerea</w:t>
            </w:r>
          </w:p>
        </w:tc>
        <w:tc>
          <w:tcPr>
            <w:tcW w:w="612"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3D8BD127" w14:textId="77777777" w:rsidR="00D41507" w:rsidRPr="00D41507" w:rsidRDefault="00D41507" w:rsidP="00D41507">
            <w:pPr>
              <w:spacing w:before="240"/>
              <w:rPr>
                <w:lang w:val="en-NZ"/>
              </w:rPr>
            </w:pPr>
            <w:r w:rsidRPr="00D41507">
              <w:rPr>
                <w:lang w:val="en-NZ"/>
              </w:rPr>
              <w:t>Jasmonic acid</w:t>
            </w:r>
          </w:p>
        </w:tc>
        <w:tc>
          <w:tcPr>
            <w:tcW w:w="783"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37E39F02" w14:textId="77777777" w:rsidR="00D41507" w:rsidRPr="00D41507" w:rsidRDefault="00D41507" w:rsidP="00D41507">
            <w:pPr>
              <w:spacing w:before="240"/>
              <w:rPr>
                <w:lang w:val="en-NZ"/>
              </w:rPr>
            </w:pPr>
            <w:r w:rsidRPr="00D41507">
              <w:rPr>
                <w:lang w:val="en-NZ"/>
              </w:rPr>
              <w:t>Not assayed</w:t>
            </w:r>
          </w:p>
        </w:tc>
        <w:tc>
          <w:tcPr>
            <w:tcW w:w="1009"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3257E166" w14:textId="77777777" w:rsidR="00D41507" w:rsidRPr="00D41507" w:rsidRDefault="00D41507" w:rsidP="00D41507">
            <w:pPr>
              <w:spacing w:before="240"/>
              <w:rPr>
                <w:lang w:val="en-NZ"/>
              </w:rPr>
            </w:pPr>
            <w:r w:rsidRPr="00D41507">
              <w:rPr>
                <w:lang w:val="en-NZ"/>
              </w:rPr>
              <w:t>Transcriptomic response assayed with RT-qPCR. PDF1.2 expression was initially upregulated at 14 hpi before increasing at 24 hpi and remaining stably upregulated at 48 hpi.</w:t>
            </w:r>
          </w:p>
        </w:tc>
        <w:tc>
          <w:tcPr>
            <w:tcW w:w="681"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706EDF71" w14:textId="62A4C651" w:rsidR="00D41507" w:rsidRPr="00D41507" w:rsidRDefault="00D41507" w:rsidP="00D41507">
            <w:pPr>
              <w:spacing w:before="240"/>
              <w:rPr>
                <w:lang w:val="en-NZ"/>
              </w:rPr>
            </w:pPr>
            <w:r w:rsidRPr="00D41507">
              <w:rPr>
                <w:lang w:val="en-NZ"/>
              </w:rPr>
              <w:t xml:space="preserve">Birkenbihl </w:t>
            </w:r>
            <w:r w:rsidR="00DC5F26" w:rsidRPr="00DC5F26">
              <w:rPr>
                <w:i/>
                <w:lang w:val="en-NZ"/>
              </w:rPr>
              <w:t>et al.</w:t>
            </w:r>
            <w:r w:rsidRPr="00D41507">
              <w:rPr>
                <w:lang w:val="en-NZ"/>
              </w:rPr>
              <w:t>, 2012</w:t>
            </w:r>
          </w:p>
        </w:tc>
      </w:tr>
    </w:tbl>
    <w:p w14:paraId="2F3BF1FE" w14:textId="77777777" w:rsidR="00DA10C3" w:rsidRDefault="00DA10C3">
      <w:r>
        <w:br w:type="page"/>
      </w:r>
    </w:p>
    <w:tbl>
      <w:tblPr>
        <w:tblW w:w="5000" w:type="pct"/>
        <w:tblCellMar>
          <w:left w:w="0" w:type="dxa"/>
          <w:right w:w="0" w:type="dxa"/>
        </w:tblCellMar>
        <w:tblLook w:val="0420" w:firstRow="1" w:lastRow="0" w:firstColumn="0" w:lastColumn="0" w:noHBand="0" w:noVBand="1"/>
      </w:tblPr>
      <w:tblGrid>
        <w:gridCol w:w="1635"/>
        <w:gridCol w:w="2102"/>
        <w:gridCol w:w="1194"/>
        <w:gridCol w:w="1528"/>
        <w:gridCol w:w="1969"/>
        <w:gridCol w:w="1329"/>
      </w:tblGrid>
      <w:tr w:rsidR="00D41507" w:rsidRPr="00D41507" w14:paraId="301E7429"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6762ED54" w14:textId="706D6155" w:rsidR="00D41507" w:rsidRPr="00D41507" w:rsidRDefault="00D41507" w:rsidP="00D41507">
            <w:pPr>
              <w:spacing w:before="240"/>
              <w:rPr>
                <w:lang w:val="en-NZ"/>
              </w:rPr>
            </w:pPr>
            <w:r w:rsidRPr="00D41507">
              <w:rPr>
                <w:lang w:val="en-NZ"/>
              </w:rPr>
              <w:lastRenderedPageBreak/>
              <w:t>Necrotrophic pathogen</w:t>
            </w:r>
          </w:p>
        </w:tc>
        <w:tc>
          <w:tcPr>
            <w:tcW w:w="1077"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5937A1DB" w14:textId="77777777" w:rsidR="00D41507" w:rsidRPr="00D41507" w:rsidRDefault="00D41507" w:rsidP="00D41507">
            <w:pPr>
              <w:spacing w:before="240"/>
              <w:rPr>
                <w:lang w:val="en-NZ"/>
              </w:rPr>
            </w:pPr>
            <w:r w:rsidRPr="00D41507">
              <w:rPr>
                <w:i/>
                <w:iCs/>
                <w:lang w:val="en-NZ"/>
              </w:rPr>
              <w:t>Botrytis cinerea</w:t>
            </w:r>
          </w:p>
        </w:tc>
        <w:tc>
          <w:tcPr>
            <w:tcW w:w="612"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46492F71" w14:textId="77777777" w:rsidR="00D41507" w:rsidRPr="00D41507" w:rsidRDefault="00D41507" w:rsidP="00D41507">
            <w:pPr>
              <w:spacing w:before="240"/>
              <w:rPr>
                <w:lang w:val="en-NZ"/>
              </w:rPr>
            </w:pPr>
            <w:r w:rsidRPr="00D41507">
              <w:rPr>
                <w:lang w:val="en-NZ"/>
              </w:rPr>
              <w:t>Jasmonic acid</w:t>
            </w:r>
          </w:p>
        </w:tc>
        <w:tc>
          <w:tcPr>
            <w:tcW w:w="783"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00ADD693" w14:textId="4EA893DB" w:rsidR="00D41507" w:rsidRPr="00D41507" w:rsidRDefault="00D41507" w:rsidP="00D41507">
            <w:pPr>
              <w:spacing w:before="240"/>
              <w:rPr>
                <w:lang w:val="en-NZ"/>
              </w:rPr>
            </w:pPr>
            <w:r w:rsidRPr="00D41507">
              <w:rPr>
                <w:lang w:val="en-NZ"/>
              </w:rPr>
              <w:t>Lesion development observed at 36 – 72 hpi</w:t>
            </w:r>
          </w:p>
        </w:tc>
        <w:tc>
          <w:tcPr>
            <w:tcW w:w="1009"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280D74AF" w14:textId="77777777" w:rsidR="00D41507" w:rsidRPr="00D41507" w:rsidRDefault="00D41507" w:rsidP="00D41507">
            <w:pPr>
              <w:spacing w:before="240"/>
              <w:rPr>
                <w:lang w:val="en-NZ"/>
              </w:rPr>
            </w:pPr>
            <w:r w:rsidRPr="00D41507">
              <w:rPr>
                <w:lang w:val="en-NZ"/>
              </w:rPr>
              <w:t>Transcriptomic response initiated at 14 hpi with jasmonic acid-mediated defence signalling becoming upregulated from 22 – 48 hpi.</w:t>
            </w:r>
          </w:p>
        </w:tc>
        <w:tc>
          <w:tcPr>
            <w:tcW w:w="681"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274228A8" w14:textId="6658FA53" w:rsidR="00D41507" w:rsidRPr="00D41507" w:rsidRDefault="00D41507" w:rsidP="00D41507">
            <w:pPr>
              <w:spacing w:before="240"/>
              <w:rPr>
                <w:lang w:val="en-NZ"/>
              </w:rPr>
            </w:pPr>
            <w:r w:rsidRPr="00D41507">
              <w:rPr>
                <w:lang w:val="en-NZ"/>
              </w:rPr>
              <w:t xml:space="preserve">Windram </w:t>
            </w:r>
            <w:r w:rsidR="00DC5F26" w:rsidRPr="00DC5F26">
              <w:rPr>
                <w:i/>
                <w:lang w:val="en-NZ"/>
              </w:rPr>
              <w:t>et al.</w:t>
            </w:r>
            <w:r w:rsidRPr="00D41507">
              <w:rPr>
                <w:lang w:val="en-NZ"/>
              </w:rPr>
              <w:t>, 2012</w:t>
            </w:r>
          </w:p>
        </w:tc>
      </w:tr>
      <w:tr w:rsidR="00D41507" w:rsidRPr="00D41507" w14:paraId="19B467A7"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1B5B10CA" w14:textId="77777777" w:rsidR="00D41507" w:rsidRPr="00D41507" w:rsidRDefault="00D41507" w:rsidP="00D41507">
            <w:pPr>
              <w:spacing w:before="240"/>
              <w:rPr>
                <w:lang w:val="en-NZ"/>
              </w:rPr>
            </w:pPr>
            <w:r w:rsidRPr="00D41507">
              <w:rPr>
                <w:lang w:val="en-NZ"/>
              </w:rPr>
              <w:t>Necrotrophic pathogen</w:t>
            </w:r>
          </w:p>
        </w:tc>
        <w:tc>
          <w:tcPr>
            <w:tcW w:w="1077"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0F9FE6F2" w14:textId="77777777" w:rsidR="00D41507" w:rsidRPr="00D41507" w:rsidRDefault="00D41507" w:rsidP="00D41507">
            <w:pPr>
              <w:spacing w:before="240"/>
              <w:rPr>
                <w:lang w:val="en-NZ"/>
              </w:rPr>
            </w:pPr>
            <w:r w:rsidRPr="00D41507">
              <w:rPr>
                <w:i/>
                <w:iCs/>
                <w:lang w:val="en-NZ"/>
              </w:rPr>
              <w:t>Botrytis cinerea</w:t>
            </w:r>
          </w:p>
        </w:tc>
        <w:tc>
          <w:tcPr>
            <w:tcW w:w="612"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046B8DAC" w14:textId="77777777" w:rsidR="00D41507" w:rsidRPr="00D41507" w:rsidRDefault="00D41507" w:rsidP="00D41507">
            <w:pPr>
              <w:spacing w:before="240"/>
              <w:rPr>
                <w:lang w:val="en-NZ"/>
              </w:rPr>
            </w:pPr>
            <w:r w:rsidRPr="00D41507">
              <w:rPr>
                <w:lang w:val="en-NZ"/>
              </w:rPr>
              <w:t>Jasmonic acid</w:t>
            </w:r>
          </w:p>
        </w:tc>
        <w:tc>
          <w:tcPr>
            <w:tcW w:w="783"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2D26C0B6" w14:textId="77777777" w:rsidR="00D41507" w:rsidRPr="00D41507" w:rsidRDefault="00D41507" w:rsidP="00D41507">
            <w:pPr>
              <w:spacing w:before="240"/>
              <w:rPr>
                <w:lang w:val="en-NZ"/>
              </w:rPr>
            </w:pPr>
            <w:r w:rsidRPr="00D41507">
              <w:rPr>
                <w:lang w:val="en-NZ"/>
              </w:rPr>
              <w:t>Not assayed</w:t>
            </w:r>
          </w:p>
        </w:tc>
        <w:tc>
          <w:tcPr>
            <w:tcW w:w="1009"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42BBD14F" w14:textId="77777777" w:rsidR="00D41507" w:rsidRPr="00D41507" w:rsidRDefault="00D41507" w:rsidP="00D41507">
            <w:pPr>
              <w:spacing w:before="240"/>
              <w:rPr>
                <w:lang w:val="en-NZ"/>
              </w:rPr>
            </w:pPr>
            <w:r w:rsidRPr="00D41507">
              <w:rPr>
                <w:lang w:val="en-NZ"/>
              </w:rPr>
              <w:t xml:space="preserve">Transcriptomic response assayed with RNA-sequencing. Global transcriptomic response initiated at 18 hpi and increased at 24 hpi. </w:t>
            </w:r>
          </w:p>
        </w:tc>
        <w:tc>
          <w:tcPr>
            <w:tcW w:w="681"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3A5994F6" w14:textId="485B9D4A" w:rsidR="00D41507" w:rsidRPr="00D41507" w:rsidRDefault="00D41507" w:rsidP="00D41507">
            <w:pPr>
              <w:spacing w:before="240"/>
              <w:rPr>
                <w:lang w:val="en-NZ"/>
              </w:rPr>
            </w:pPr>
            <w:r w:rsidRPr="00D41507">
              <w:rPr>
                <w:lang w:val="en-NZ"/>
              </w:rPr>
              <w:t xml:space="preserve">Coolen </w:t>
            </w:r>
            <w:r w:rsidR="00DC5F26" w:rsidRPr="00DC5F26">
              <w:rPr>
                <w:i/>
                <w:lang w:val="en-NZ"/>
              </w:rPr>
              <w:t>et al.</w:t>
            </w:r>
            <w:r w:rsidRPr="00D41507">
              <w:rPr>
                <w:lang w:val="en-NZ"/>
              </w:rPr>
              <w:t>, 2016</w:t>
            </w:r>
          </w:p>
        </w:tc>
      </w:tr>
      <w:tr w:rsidR="00D41507" w:rsidRPr="00D41507" w14:paraId="3BBACF1F"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38F933AE" w14:textId="77777777" w:rsidR="00D41507" w:rsidRPr="00D41507" w:rsidRDefault="00D41507" w:rsidP="00D41507">
            <w:pPr>
              <w:spacing w:before="240"/>
              <w:rPr>
                <w:lang w:val="en-NZ"/>
              </w:rPr>
            </w:pPr>
            <w:r w:rsidRPr="00D41507">
              <w:rPr>
                <w:lang w:val="en-NZ"/>
              </w:rPr>
              <w:t>Necrotrophic pathogen</w:t>
            </w:r>
          </w:p>
        </w:tc>
        <w:tc>
          <w:tcPr>
            <w:tcW w:w="1077"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4B407506" w14:textId="77777777" w:rsidR="00D41507" w:rsidRPr="00D41507" w:rsidRDefault="00D41507" w:rsidP="00D41507">
            <w:pPr>
              <w:spacing w:before="240"/>
              <w:rPr>
                <w:lang w:val="en-NZ"/>
              </w:rPr>
            </w:pPr>
            <w:r w:rsidRPr="00D41507">
              <w:rPr>
                <w:i/>
                <w:iCs/>
                <w:lang w:val="en-NZ"/>
              </w:rPr>
              <w:t>Botrytis cinerea</w:t>
            </w:r>
          </w:p>
        </w:tc>
        <w:tc>
          <w:tcPr>
            <w:tcW w:w="612"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02D646B8" w14:textId="77777777" w:rsidR="00D41507" w:rsidRPr="00D41507" w:rsidRDefault="00D41507" w:rsidP="00D41507">
            <w:pPr>
              <w:spacing w:before="240"/>
              <w:rPr>
                <w:lang w:val="en-NZ"/>
              </w:rPr>
            </w:pPr>
            <w:r w:rsidRPr="00D41507">
              <w:rPr>
                <w:lang w:val="en-NZ"/>
              </w:rPr>
              <w:t>Jasmonic acid</w:t>
            </w:r>
          </w:p>
        </w:tc>
        <w:tc>
          <w:tcPr>
            <w:tcW w:w="783"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7163A4A8" w14:textId="77777777" w:rsidR="00D41507" w:rsidRPr="00D41507" w:rsidRDefault="00D41507" w:rsidP="00D41507">
            <w:pPr>
              <w:spacing w:before="240"/>
              <w:rPr>
                <w:lang w:val="en-NZ"/>
              </w:rPr>
            </w:pPr>
            <w:r w:rsidRPr="00D41507">
              <w:rPr>
                <w:lang w:val="en-NZ"/>
              </w:rPr>
              <w:t>Not assayed</w:t>
            </w:r>
          </w:p>
        </w:tc>
        <w:tc>
          <w:tcPr>
            <w:tcW w:w="1009"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16B0BA7F" w14:textId="77777777" w:rsidR="00D41507" w:rsidRPr="00D41507" w:rsidRDefault="00D41507" w:rsidP="00D41507">
            <w:pPr>
              <w:spacing w:before="240"/>
              <w:rPr>
                <w:lang w:val="en-NZ"/>
              </w:rPr>
            </w:pPr>
            <w:r w:rsidRPr="00D41507">
              <w:rPr>
                <w:lang w:val="en-NZ"/>
              </w:rPr>
              <w:t>Transcriptomic response assayed with RT-qPCR. The expression of several defence marker genes was found to be upregulated at 16, 24, and 40 hpi</w:t>
            </w:r>
          </w:p>
        </w:tc>
        <w:tc>
          <w:tcPr>
            <w:tcW w:w="681"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14EF4F1D" w14:textId="7DADECD5" w:rsidR="00D41507" w:rsidRPr="00D41507" w:rsidRDefault="00D41507" w:rsidP="00D41507">
            <w:pPr>
              <w:spacing w:before="240"/>
              <w:rPr>
                <w:lang w:val="en-NZ"/>
              </w:rPr>
            </w:pPr>
            <w:r w:rsidRPr="00D41507">
              <w:rPr>
                <w:lang w:val="en-NZ"/>
              </w:rPr>
              <w:t xml:space="preserve">Veillet </w:t>
            </w:r>
            <w:r w:rsidR="00DC5F26" w:rsidRPr="00DC5F26">
              <w:rPr>
                <w:i/>
                <w:lang w:val="en-NZ"/>
              </w:rPr>
              <w:t>et al.</w:t>
            </w:r>
            <w:r w:rsidRPr="00D41507">
              <w:rPr>
                <w:lang w:val="en-NZ"/>
              </w:rPr>
              <w:t>, 2017</w:t>
            </w:r>
          </w:p>
        </w:tc>
      </w:tr>
    </w:tbl>
    <w:p w14:paraId="35CB3A69" w14:textId="77777777" w:rsidR="00DA10C3" w:rsidRDefault="00DA10C3">
      <w:r>
        <w:br w:type="page"/>
      </w:r>
    </w:p>
    <w:tbl>
      <w:tblPr>
        <w:tblW w:w="5000" w:type="pct"/>
        <w:tblCellMar>
          <w:left w:w="0" w:type="dxa"/>
          <w:right w:w="0" w:type="dxa"/>
        </w:tblCellMar>
        <w:tblLook w:val="0420" w:firstRow="1" w:lastRow="0" w:firstColumn="0" w:lastColumn="0" w:noHBand="0" w:noVBand="1"/>
      </w:tblPr>
      <w:tblGrid>
        <w:gridCol w:w="1635"/>
        <w:gridCol w:w="2102"/>
        <w:gridCol w:w="1194"/>
        <w:gridCol w:w="1528"/>
        <w:gridCol w:w="1969"/>
        <w:gridCol w:w="1329"/>
      </w:tblGrid>
      <w:tr w:rsidR="00D41507" w:rsidRPr="00D41507" w14:paraId="67DE001E"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08A8ABF6" w14:textId="4C7EC152" w:rsidR="00D41507" w:rsidRPr="00D41507" w:rsidRDefault="00D41507" w:rsidP="00D41507">
            <w:pPr>
              <w:spacing w:before="240"/>
              <w:rPr>
                <w:lang w:val="en-NZ"/>
              </w:rPr>
            </w:pPr>
            <w:r w:rsidRPr="00D41507">
              <w:rPr>
                <w:lang w:val="en-NZ"/>
              </w:rPr>
              <w:lastRenderedPageBreak/>
              <w:t>Chewing insect</w:t>
            </w:r>
          </w:p>
        </w:tc>
        <w:tc>
          <w:tcPr>
            <w:tcW w:w="1077"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49D9ABB9" w14:textId="77777777" w:rsidR="00D41507" w:rsidRPr="00D41507" w:rsidRDefault="00D41507" w:rsidP="00D41507">
            <w:pPr>
              <w:spacing w:before="240"/>
              <w:rPr>
                <w:lang w:val="en-NZ"/>
              </w:rPr>
            </w:pPr>
            <w:r w:rsidRPr="00D41507">
              <w:rPr>
                <w:i/>
                <w:iCs/>
                <w:lang w:val="en-NZ"/>
              </w:rPr>
              <w:t>Pieris rapae</w:t>
            </w:r>
          </w:p>
        </w:tc>
        <w:tc>
          <w:tcPr>
            <w:tcW w:w="612"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3E9DAA41" w14:textId="77777777" w:rsidR="00D41507" w:rsidRPr="00D41507" w:rsidRDefault="00D41507" w:rsidP="00D41507">
            <w:pPr>
              <w:spacing w:before="240"/>
              <w:rPr>
                <w:lang w:val="en-NZ"/>
              </w:rPr>
            </w:pPr>
            <w:r w:rsidRPr="00D41507">
              <w:rPr>
                <w:lang w:val="en-NZ"/>
              </w:rPr>
              <w:t>Jasmonic acid</w:t>
            </w:r>
          </w:p>
        </w:tc>
        <w:tc>
          <w:tcPr>
            <w:tcW w:w="783"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4199557B" w14:textId="6A721FBD" w:rsidR="00D41507" w:rsidRPr="00D41507" w:rsidRDefault="00D41507" w:rsidP="00D41507">
            <w:pPr>
              <w:spacing w:before="240"/>
              <w:rPr>
                <w:lang w:val="en-NZ"/>
              </w:rPr>
            </w:pPr>
            <w:r w:rsidRPr="00D41507">
              <w:rPr>
                <w:lang w:val="en-NZ"/>
              </w:rPr>
              <w:t>Lesion development observed at 12 hpi</w:t>
            </w:r>
          </w:p>
        </w:tc>
        <w:tc>
          <w:tcPr>
            <w:tcW w:w="1009"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32712FAB" w14:textId="77777777" w:rsidR="00D41507" w:rsidRPr="00D41507" w:rsidRDefault="00D41507" w:rsidP="00D41507">
            <w:pPr>
              <w:spacing w:before="240"/>
              <w:rPr>
                <w:lang w:val="en-NZ"/>
              </w:rPr>
            </w:pPr>
            <w:r w:rsidRPr="00D41507">
              <w:rPr>
                <w:lang w:val="en-NZ"/>
              </w:rPr>
              <w:t xml:space="preserve">Transcriptomic response assayed with northern blot analysis. VSP2 expression was upregulated at 24 and 48 hpi. Hormone accumulation initiated at 3 hpi and gradually increased over time, peaking at 48 hpi. </w:t>
            </w:r>
          </w:p>
        </w:tc>
        <w:tc>
          <w:tcPr>
            <w:tcW w:w="681"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3B3E80BF" w14:textId="14639620" w:rsidR="00D41507" w:rsidRPr="00D41507" w:rsidRDefault="00D41507" w:rsidP="00D41507">
            <w:pPr>
              <w:spacing w:before="240"/>
              <w:rPr>
                <w:lang w:val="en-NZ"/>
              </w:rPr>
            </w:pPr>
            <w:r w:rsidRPr="00D41507">
              <w:rPr>
                <w:lang w:val="en-NZ"/>
              </w:rPr>
              <w:t xml:space="preserve">de Vos </w:t>
            </w:r>
            <w:r w:rsidR="00DC5F26" w:rsidRPr="00DC5F26">
              <w:rPr>
                <w:i/>
                <w:lang w:val="en-NZ"/>
              </w:rPr>
              <w:t>et al.</w:t>
            </w:r>
            <w:r w:rsidRPr="00D41507">
              <w:rPr>
                <w:lang w:val="en-NZ"/>
              </w:rPr>
              <w:t>, 2005</w:t>
            </w:r>
          </w:p>
        </w:tc>
      </w:tr>
      <w:tr w:rsidR="00D41507" w:rsidRPr="00D41507" w14:paraId="3FB0AA17"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4AB76BD8" w14:textId="77777777" w:rsidR="00D41507" w:rsidRPr="00D41507" w:rsidRDefault="00D41507" w:rsidP="00D41507">
            <w:pPr>
              <w:spacing w:before="240"/>
              <w:rPr>
                <w:lang w:val="en-NZ"/>
              </w:rPr>
            </w:pPr>
            <w:r w:rsidRPr="00D41507">
              <w:rPr>
                <w:lang w:val="en-NZ"/>
              </w:rPr>
              <w:t>Chewing insect</w:t>
            </w:r>
          </w:p>
        </w:tc>
        <w:tc>
          <w:tcPr>
            <w:tcW w:w="1077"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79B11B5A" w14:textId="77777777" w:rsidR="00D41507" w:rsidRPr="00D41507" w:rsidRDefault="00D41507" w:rsidP="00D41507">
            <w:pPr>
              <w:spacing w:before="240"/>
              <w:rPr>
                <w:lang w:val="en-NZ"/>
              </w:rPr>
            </w:pPr>
            <w:r w:rsidRPr="00D41507">
              <w:rPr>
                <w:i/>
                <w:iCs/>
                <w:lang w:val="en-NZ"/>
              </w:rPr>
              <w:t>Pieris rapae</w:t>
            </w:r>
          </w:p>
        </w:tc>
        <w:tc>
          <w:tcPr>
            <w:tcW w:w="612"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1A733C64" w14:textId="77777777" w:rsidR="00D41507" w:rsidRPr="00D41507" w:rsidRDefault="00D41507" w:rsidP="00D41507">
            <w:pPr>
              <w:spacing w:before="240"/>
              <w:rPr>
                <w:lang w:val="en-NZ"/>
              </w:rPr>
            </w:pPr>
            <w:r w:rsidRPr="00D41507">
              <w:rPr>
                <w:lang w:val="en-NZ"/>
              </w:rPr>
              <w:t>Jasmonic acid</w:t>
            </w:r>
          </w:p>
        </w:tc>
        <w:tc>
          <w:tcPr>
            <w:tcW w:w="783"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51E082FF" w14:textId="77777777" w:rsidR="00D41507" w:rsidRPr="00D41507" w:rsidRDefault="00D41507" w:rsidP="00D41507">
            <w:pPr>
              <w:spacing w:before="240"/>
              <w:rPr>
                <w:lang w:val="en-NZ"/>
              </w:rPr>
            </w:pPr>
            <w:r w:rsidRPr="00D41507">
              <w:rPr>
                <w:lang w:val="en-NZ"/>
              </w:rPr>
              <w:t>Not assayed</w:t>
            </w:r>
          </w:p>
        </w:tc>
        <w:tc>
          <w:tcPr>
            <w:tcW w:w="1009"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2D0E5318" w14:textId="77777777" w:rsidR="00D41507" w:rsidRPr="00D41507" w:rsidRDefault="00D41507" w:rsidP="00D41507">
            <w:pPr>
              <w:spacing w:before="240"/>
              <w:rPr>
                <w:lang w:val="en-NZ"/>
              </w:rPr>
            </w:pPr>
            <w:r w:rsidRPr="00D41507">
              <w:rPr>
                <w:lang w:val="en-NZ"/>
              </w:rPr>
              <w:t xml:space="preserve">Transcriptomic response of defence marker gene VSP2 was assayed with qRT-PCR. VSP2 expression peaked at 24 hpi, began declining at 28 hpi, and returned to basal levels by 48 hpi. </w:t>
            </w:r>
          </w:p>
        </w:tc>
        <w:tc>
          <w:tcPr>
            <w:tcW w:w="681" w:type="pct"/>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14:paraId="19968D1F" w14:textId="4B830F15" w:rsidR="00D41507" w:rsidRPr="00D41507" w:rsidRDefault="00D41507" w:rsidP="00D41507">
            <w:pPr>
              <w:spacing w:before="240"/>
              <w:rPr>
                <w:lang w:val="en-NZ"/>
              </w:rPr>
            </w:pPr>
            <w:r w:rsidRPr="00D41507">
              <w:rPr>
                <w:lang w:val="en-NZ"/>
              </w:rPr>
              <w:t xml:space="preserve">Vos </w:t>
            </w:r>
            <w:r w:rsidR="00DC5F26" w:rsidRPr="00DC5F26">
              <w:rPr>
                <w:i/>
                <w:lang w:val="en-NZ"/>
              </w:rPr>
              <w:t>et al.</w:t>
            </w:r>
            <w:r w:rsidRPr="00D41507">
              <w:rPr>
                <w:lang w:val="en-NZ"/>
              </w:rPr>
              <w:t>, 2015</w:t>
            </w:r>
          </w:p>
        </w:tc>
      </w:tr>
      <w:tr w:rsidR="00D41507" w:rsidRPr="00D41507" w14:paraId="0C0DABA9" w14:textId="77777777" w:rsidTr="009C1EC8">
        <w:trPr>
          <w:trHeight w:val="584"/>
        </w:trPr>
        <w:tc>
          <w:tcPr>
            <w:tcW w:w="838"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777A074C" w14:textId="77777777" w:rsidR="00D41507" w:rsidRPr="00D41507" w:rsidRDefault="00D41507" w:rsidP="00D41507">
            <w:pPr>
              <w:spacing w:before="240"/>
              <w:rPr>
                <w:lang w:val="en-NZ"/>
              </w:rPr>
            </w:pPr>
            <w:r w:rsidRPr="00D41507">
              <w:rPr>
                <w:lang w:val="en-NZ"/>
              </w:rPr>
              <w:t>Chewing insect</w:t>
            </w:r>
          </w:p>
        </w:tc>
        <w:tc>
          <w:tcPr>
            <w:tcW w:w="1077"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1F76F1BC" w14:textId="77777777" w:rsidR="00D41507" w:rsidRPr="00D41507" w:rsidRDefault="00D41507" w:rsidP="00D41507">
            <w:pPr>
              <w:spacing w:before="240"/>
              <w:rPr>
                <w:lang w:val="en-NZ"/>
              </w:rPr>
            </w:pPr>
            <w:r w:rsidRPr="00D41507">
              <w:rPr>
                <w:i/>
                <w:iCs/>
                <w:lang w:val="en-NZ"/>
              </w:rPr>
              <w:t>Pieris rapae</w:t>
            </w:r>
          </w:p>
        </w:tc>
        <w:tc>
          <w:tcPr>
            <w:tcW w:w="612"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31248E57" w14:textId="77777777" w:rsidR="00D41507" w:rsidRPr="00D41507" w:rsidRDefault="00D41507" w:rsidP="00D41507">
            <w:pPr>
              <w:spacing w:before="240"/>
              <w:rPr>
                <w:lang w:val="en-NZ"/>
              </w:rPr>
            </w:pPr>
            <w:r w:rsidRPr="00D41507">
              <w:rPr>
                <w:lang w:val="en-NZ"/>
              </w:rPr>
              <w:t>Jasmonic acid</w:t>
            </w:r>
          </w:p>
        </w:tc>
        <w:tc>
          <w:tcPr>
            <w:tcW w:w="783"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62757FA9" w14:textId="77777777" w:rsidR="00D41507" w:rsidRPr="00D41507" w:rsidRDefault="00D41507" w:rsidP="00D41507">
            <w:pPr>
              <w:spacing w:before="240"/>
              <w:rPr>
                <w:lang w:val="en-NZ"/>
              </w:rPr>
            </w:pPr>
            <w:r w:rsidRPr="00D41507">
              <w:rPr>
                <w:lang w:val="en-NZ"/>
              </w:rPr>
              <w:t>Not assayed</w:t>
            </w:r>
          </w:p>
        </w:tc>
        <w:tc>
          <w:tcPr>
            <w:tcW w:w="1009"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50AF715A" w14:textId="77777777" w:rsidR="00D41507" w:rsidRPr="00D41507" w:rsidRDefault="00D41507" w:rsidP="00D41507">
            <w:pPr>
              <w:spacing w:before="240"/>
              <w:rPr>
                <w:lang w:val="en-NZ"/>
              </w:rPr>
            </w:pPr>
            <w:r w:rsidRPr="00D41507">
              <w:rPr>
                <w:lang w:val="en-NZ"/>
              </w:rPr>
              <w:t xml:space="preserve">Transcriptomic response assayed with RNA-sequencing. Global transcriptomic response initiated at 3 hpi and remained upregulated at 24 hpi. </w:t>
            </w:r>
          </w:p>
        </w:tc>
        <w:tc>
          <w:tcPr>
            <w:tcW w:w="681" w:type="pct"/>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759C664E" w14:textId="7DE68113" w:rsidR="00D41507" w:rsidRPr="00D41507" w:rsidRDefault="00D41507" w:rsidP="00D41507">
            <w:pPr>
              <w:spacing w:before="240"/>
              <w:rPr>
                <w:lang w:val="en-NZ"/>
              </w:rPr>
            </w:pPr>
            <w:r w:rsidRPr="00D41507">
              <w:rPr>
                <w:lang w:val="en-NZ"/>
              </w:rPr>
              <w:t xml:space="preserve">Coolen </w:t>
            </w:r>
            <w:r w:rsidR="00DC5F26" w:rsidRPr="00DC5F26">
              <w:rPr>
                <w:i/>
                <w:lang w:val="en-NZ"/>
              </w:rPr>
              <w:t>et al.</w:t>
            </w:r>
            <w:r w:rsidRPr="00D41507">
              <w:rPr>
                <w:lang w:val="en-NZ"/>
              </w:rPr>
              <w:t>, 2016</w:t>
            </w:r>
          </w:p>
        </w:tc>
      </w:tr>
    </w:tbl>
    <w:p w14:paraId="366AA4AF" w14:textId="77777777" w:rsidR="004F5696" w:rsidRDefault="004F5696" w:rsidP="00654E8F">
      <w:pPr>
        <w:spacing w:before="240"/>
        <w:rPr>
          <w:b/>
        </w:rPr>
      </w:pPr>
    </w:p>
    <w:p w14:paraId="129C8577" w14:textId="77777777" w:rsidR="004F5696" w:rsidRDefault="004F5696">
      <w:pPr>
        <w:spacing w:before="0" w:after="200" w:line="276" w:lineRule="auto"/>
        <w:rPr>
          <w:b/>
        </w:rPr>
      </w:pPr>
      <w:r>
        <w:rPr>
          <w:b/>
        </w:rPr>
        <w:br w:type="page"/>
      </w:r>
    </w:p>
    <w:p w14:paraId="220D0BA7" w14:textId="1DFF639B" w:rsidR="00D41507" w:rsidRDefault="003A32FB" w:rsidP="00654E8F">
      <w:pPr>
        <w:spacing w:before="240"/>
        <w:rPr>
          <w:b/>
        </w:rPr>
      </w:pPr>
      <w:r>
        <w:rPr>
          <w:b/>
        </w:rPr>
        <w:lastRenderedPageBreak/>
        <w:t xml:space="preserve">Supplementary Table </w:t>
      </w:r>
      <w:r w:rsidR="003E1F0C" w:rsidRPr="0068121F">
        <w:rPr>
          <w:b/>
        </w:rPr>
        <w:t>References</w:t>
      </w:r>
    </w:p>
    <w:p w14:paraId="1734558A" w14:textId="200CADA0" w:rsidR="004F5696" w:rsidRPr="0068121F" w:rsidRDefault="004F5696" w:rsidP="0068121F">
      <w:pPr>
        <w:shd w:val="clear" w:color="auto" w:fill="FFFFFF"/>
        <w:spacing w:before="100" w:beforeAutospacing="1" w:afterLines="173" w:after="415" w:line="480" w:lineRule="auto"/>
        <w:ind w:left="432" w:hanging="432"/>
        <w:rPr>
          <w:rFonts w:ascii="Arial" w:hAnsi="Arial" w:cs="Arial"/>
          <w:color w:val="777777"/>
          <w:sz w:val="21"/>
          <w:szCs w:val="21"/>
        </w:rPr>
      </w:pPr>
      <w:r w:rsidRPr="00D41507">
        <w:rPr>
          <w:lang w:val="en-NZ"/>
        </w:rPr>
        <w:t>Abe</w:t>
      </w:r>
      <w:r w:rsidR="003A32FB">
        <w:rPr>
          <w:lang w:val="en-NZ"/>
        </w:rPr>
        <w:t xml:space="preserve">, H., Ohnishi, J., Narusaka, M., Seo, S., Narusaka, Y., Tsuda, S., </w:t>
      </w:r>
      <w:r w:rsidR="002857AA">
        <w:rPr>
          <w:lang w:val="en-NZ"/>
        </w:rPr>
        <w:t>et al</w:t>
      </w:r>
      <w:r w:rsidR="003A32FB">
        <w:rPr>
          <w:lang w:val="en-NZ"/>
        </w:rPr>
        <w:t>.</w:t>
      </w:r>
      <w:r w:rsidRPr="00D41507">
        <w:rPr>
          <w:lang w:val="en-NZ"/>
        </w:rPr>
        <w:t xml:space="preserve"> </w:t>
      </w:r>
      <w:r w:rsidR="009A43BF">
        <w:rPr>
          <w:lang w:val="en-NZ"/>
        </w:rPr>
        <w:t>(</w:t>
      </w:r>
      <w:r w:rsidRPr="00D41507">
        <w:rPr>
          <w:lang w:val="en-NZ"/>
        </w:rPr>
        <w:t>2008</w:t>
      </w:r>
      <w:r w:rsidR="009A43BF">
        <w:rPr>
          <w:lang w:val="en-NZ"/>
        </w:rPr>
        <w:t xml:space="preserve">). </w:t>
      </w:r>
      <w:r w:rsidR="00CE1906">
        <w:rPr>
          <w:rFonts w:cs="Times New Roman"/>
          <w:color w:val="111111"/>
          <w:szCs w:val="24"/>
          <w:shd w:val="clear" w:color="auto" w:fill="FFFFFF"/>
        </w:rPr>
        <w:t>Function of jasmonate in response and tolerance of Arabidopsis to thrip f</w:t>
      </w:r>
      <w:r w:rsidR="009A43BF" w:rsidRPr="0068121F">
        <w:rPr>
          <w:rFonts w:cs="Times New Roman"/>
          <w:color w:val="111111"/>
          <w:szCs w:val="24"/>
          <w:shd w:val="clear" w:color="auto" w:fill="FFFFFF"/>
        </w:rPr>
        <w:t xml:space="preserve">eeding. </w:t>
      </w:r>
      <w:r w:rsidRPr="0068121F">
        <w:rPr>
          <w:rFonts w:cs="Times New Roman"/>
          <w:szCs w:val="24"/>
          <w:lang w:val="en-NZ"/>
        </w:rPr>
        <w:t xml:space="preserve"> </w:t>
      </w:r>
      <w:r w:rsidR="009A43BF" w:rsidRPr="0068121F">
        <w:rPr>
          <w:rFonts w:cs="Times New Roman"/>
          <w:i/>
          <w:szCs w:val="24"/>
          <w:lang w:val="en-NZ"/>
        </w:rPr>
        <w:t xml:space="preserve">Plant </w:t>
      </w:r>
      <w:r w:rsidR="009A43BF">
        <w:rPr>
          <w:rFonts w:cs="Times New Roman"/>
          <w:i/>
          <w:szCs w:val="24"/>
          <w:lang w:val="en-NZ"/>
        </w:rPr>
        <w:t>and Cell Physiology, 49</w:t>
      </w:r>
      <w:r w:rsidR="009A43BF" w:rsidRPr="0068121F">
        <w:rPr>
          <w:rFonts w:cs="Times New Roman"/>
          <w:szCs w:val="24"/>
          <w:lang w:val="en-NZ"/>
        </w:rPr>
        <w:t>(1), 68-80.</w:t>
      </w:r>
      <w:r w:rsidR="009A43BF" w:rsidRPr="0068121F">
        <w:rPr>
          <w:rFonts w:cs="Times New Roman"/>
          <w:color w:val="777777"/>
          <w:szCs w:val="24"/>
        </w:rPr>
        <w:t xml:space="preserve"> </w:t>
      </w:r>
      <w:r w:rsidR="009A43BF" w:rsidRPr="0068121F">
        <w:rPr>
          <w:rFonts w:cs="Times New Roman"/>
          <w:szCs w:val="24"/>
        </w:rPr>
        <w:t>DOI:</w:t>
      </w:r>
      <w:hyperlink r:id="rId8" w:tgtFrame="_blank" w:history="1">
        <w:r w:rsidR="009A43BF" w:rsidRPr="0068121F">
          <w:rPr>
            <w:rStyle w:val="Hyperlink"/>
            <w:rFonts w:cs="Times New Roman"/>
            <w:color w:val="auto"/>
            <w:szCs w:val="24"/>
            <w:u w:val="none"/>
            <w:bdr w:val="none" w:sz="0" w:space="0" w:color="auto" w:frame="1"/>
          </w:rPr>
          <w:t>10.1093/pcp/pcm168</w:t>
        </w:r>
      </w:hyperlink>
    </w:p>
    <w:p w14:paraId="16FECAEE" w14:textId="745387CC" w:rsidR="009A43BF" w:rsidRPr="0068121F" w:rsidRDefault="009A43BF" w:rsidP="0068121F">
      <w:pPr>
        <w:shd w:val="clear" w:color="auto" w:fill="FFFFFF"/>
        <w:spacing w:before="0" w:afterLines="173" w:after="415" w:line="480" w:lineRule="auto"/>
        <w:ind w:left="432" w:hanging="432"/>
        <w:rPr>
          <w:rFonts w:cs="Times New Roman"/>
          <w:color w:val="212121"/>
        </w:rPr>
      </w:pPr>
      <w:r w:rsidRPr="0068121F">
        <w:rPr>
          <w:rFonts w:cs="Times New Roman"/>
          <w:color w:val="212121"/>
        </w:rPr>
        <w:t>Asai</w:t>
      </w:r>
      <w:r>
        <w:rPr>
          <w:rFonts w:cs="Times New Roman"/>
          <w:color w:val="212121"/>
        </w:rPr>
        <w:t>,</w:t>
      </w:r>
      <w:r w:rsidRPr="0068121F">
        <w:rPr>
          <w:rFonts w:cs="Times New Roman"/>
          <w:color w:val="212121"/>
        </w:rPr>
        <w:t xml:space="preserve"> S</w:t>
      </w:r>
      <w:r>
        <w:rPr>
          <w:rFonts w:cs="Times New Roman"/>
          <w:color w:val="212121"/>
        </w:rPr>
        <w:t>.</w:t>
      </w:r>
      <w:r w:rsidRPr="0068121F">
        <w:rPr>
          <w:rFonts w:cs="Times New Roman"/>
          <w:color w:val="212121"/>
        </w:rPr>
        <w:t>, Rallapalli</w:t>
      </w:r>
      <w:r>
        <w:rPr>
          <w:rFonts w:cs="Times New Roman"/>
          <w:color w:val="212121"/>
        </w:rPr>
        <w:t>,</w:t>
      </w:r>
      <w:r w:rsidRPr="0068121F">
        <w:rPr>
          <w:rFonts w:cs="Times New Roman"/>
          <w:color w:val="212121"/>
        </w:rPr>
        <w:t xml:space="preserve"> G</w:t>
      </w:r>
      <w:r>
        <w:rPr>
          <w:rFonts w:cs="Times New Roman"/>
          <w:color w:val="212121"/>
        </w:rPr>
        <w:t>.</w:t>
      </w:r>
      <w:r w:rsidRPr="0068121F">
        <w:rPr>
          <w:rFonts w:cs="Times New Roman"/>
          <w:color w:val="212121"/>
        </w:rPr>
        <w:t>, Piquerez</w:t>
      </w:r>
      <w:r>
        <w:rPr>
          <w:rFonts w:cs="Times New Roman"/>
          <w:color w:val="212121"/>
        </w:rPr>
        <w:t>,</w:t>
      </w:r>
      <w:r w:rsidRPr="0068121F">
        <w:rPr>
          <w:rFonts w:cs="Times New Roman"/>
          <w:color w:val="212121"/>
        </w:rPr>
        <w:t xml:space="preserve"> S</w:t>
      </w:r>
      <w:r>
        <w:rPr>
          <w:rFonts w:cs="Times New Roman"/>
          <w:color w:val="212121"/>
        </w:rPr>
        <w:t>.</w:t>
      </w:r>
      <w:r w:rsidRPr="0068121F">
        <w:rPr>
          <w:rFonts w:cs="Times New Roman"/>
          <w:color w:val="212121"/>
        </w:rPr>
        <w:t>J</w:t>
      </w:r>
      <w:r>
        <w:rPr>
          <w:rFonts w:cs="Times New Roman"/>
          <w:color w:val="212121"/>
        </w:rPr>
        <w:t>.</w:t>
      </w:r>
      <w:r w:rsidRPr="0068121F">
        <w:rPr>
          <w:rFonts w:cs="Times New Roman"/>
          <w:color w:val="212121"/>
        </w:rPr>
        <w:t>, Caillaud</w:t>
      </w:r>
      <w:r>
        <w:rPr>
          <w:rFonts w:cs="Times New Roman"/>
          <w:color w:val="212121"/>
        </w:rPr>
        <w:t>,</w:t>
      </w:r>
      <w:r w:rsidRPr="0068121F">
        <w:rPr>
          <w:rFonts w:cs="Times New Roman"/>
          <w:color w:val="212121"/>
        </w:rPr>
        <w:t xml:space="preserve"> M</w:t>
      </w:r>
      <w:r>
        <w:rPr>
          <w:rFonts w:cs="Times New Roman"/>
          <w:color w:val="212121"/>
        </w:rPr>
        <w:t>.</w:t>
      </w:r>
      <w:r w:rsidRPr="0068121F">
        <w:rPr>
          <w:rFonts w:cs="Times New Roman"/>
          <w:color w:val="212121"/>
        </w:rPr>
        <w:t>C</w:t>
      </w:r>
      <w:r>
        <w:rPr>
          <w:rFonts w:cs="Times New Roman"/>
          <w:color w:val="212121"/>
        </w:rPr>
        <w:t>.</w:t>
      </w:r>
      <w:r w:rsidRPr="0068121F">
        <w:rPr>
          <w:rFonts w:cs="Times New Roman"/>
          <w:color w:val="212121"/>
        </w:rPr>
        <w:t>, Furzer</w:t>
      </w:r>
      <w:r>
        <w:rPr>
          <w:rFonts w:cs="Times New Roman"/>
          <w:color w:val="212121"/>
        </w:rPr>
        <w:t>,</w:t>
      </w:r>
      <w:r w:rsidRPr="0068121F">
        <w:rPr>
          <w:rFonts w:cs="Times New Roman"/>
          <w:color w:val="212121"/>
        </w:rPr>
        <w:t xml:space="preserve"> O</w:t>
      </w:r>
      <w:r>
        <w:rPr>
          <w:rFonts w:cs="Times New Roman"/>
          <w:color w:val="212121"/>
        </w:rPr>
        <w:t>.</w:t>
      </w:r>
      <w:r w:rsidRPr="0068121F">
        <w:rPr>
          <w:rFonts w:cs="Times New Roman"/>
          <w:color w:val="212121"/>
        </w:rPr>
        <w:t>J</w:t>
      </w:r>
      <w:r>
        <w:rPr>
          <w:rFonts w:cs="Times New Roman"/>
          <w:color w:val="212121"/>
        </w:rPr>
        <w:t>.</w:t>
      </w:r>
      <w:r w:rsidRPr="0068121F">
        <w:rPr>
          <w:rFonts w:cs="Times New Roman"/>
          <w:color w:val="212121"/>
        </w:rPr>
        <w:t>, Ishaque</w:t>
      </w:r>
      <w:r>
        <w:rPr>
          <w:rFonts w:cs="Times New Roman"/>
          <w:color w:val="212121"/>
        </w:rPr>
        <w:t>,</w:t>
      </w:r>
      <w:r w:rsidRPr="0068121F">
        <w:rPr>
          <w:rFonts w:cs="Times New Roman"/>
          <w:color w:val="212121"/>
        </w:rPr>
        <w:t xml:space="preserve"> N</w:t>
      </w:r>
      <w:r>
        <w:rPr>
          <w:rFonts w:cs="Times New Roman"/>
          <w:color w:val="212121"/>
        </w:rPr>
        <w:t>.</w:t>
      </w:r>
      <w:r w:rsidRPr="0068121F">
        <w:rPr>
          <w:rFonts w:cs="Times New Roman"/>
          <w:color w:val="212121"/>
        </w:rPr>
        <w:t xml:space="preserve">, </w:t>
      </w:r>
      <w:r w:rsidR="002857AA">
        <w:rPr>
          <w:rFonts w:cs="Times New Roman"/>
          <w:color w:val="212121"/>
        </w:rPr>
        <w:t>et al</w:t>
      </w:r>
      <w:r w:rsidRPr="0068121F">
        <w:rPr>
          <w:rFonts w:cs="Times New Roman"/>
          <w:color w:val="212121"/>
        </w:rPr>
        <w:t>.</w:t>
      </w:r>
      <w:r>
        <w:rPr>
          <w:rFonts w:cs="Times New Roman"/>
          <w:color w:val="212121"/>
        </w:rPr>
        <w:t xml:space="preserve"> (2014).</w:t>
      </w:r>
      <w:r w:rsidRPr="0068121F">
        <w:rPr>
          <w:rFonts w:cs="Times New Roman"/>
          <w:color w:val="212121"/>
        </w:rPr>
        <w:t xml:space="preserve"> Expression profiling during </w:t>
      </w:r>
      <w:r w:rsidR="00CE1906">
        <w:rPr>
          <w:rFonts w:cs="Times New Roman"/>
          <w:color w:val="212121"/>
        </w:rPr>
        <w:t>A</w:t>
      </w:r>
      <w:r w:rsidRPr="0068121F">
        <w:rPr>
          <w:rFonts w:cs="Times New Roman"/>
          <w:color w:val="212121"/>
        </w:rPr>
        <w:t xml:space="preserve">rabidopsis/downy mildew interaction reveals a highly-expressed effector that attenuates responses to salicylic acid. </w:t>
      </w:r>
      <w:r w:rsidRPr="0068121F">
        <w:rPr>
          <w:rFonts w:cs="Times New Roman"/>
          <w:i/>
          <w:color w:val="212121"/>
        </w:rPr>
        <w:t>PLoS Pathogens 10</w:t>
      </w:r>
      <w:r w:rsidR="00FC38A2" w:rsidRPr="0068121F">
        <w:rPr>
          <w:rFonts w:cs="Times New Roman"/>
          <w:color w:val="212121"/>
        </w:rPr>
        <w:t xml:space="preserve">(10), </w:t>
      </w:r>
      <w:r w:rsidRPr="0068121F">
        <w:rPr>
          <w:rFonts w:cs="Times New Roman"/>
          <w:color w:val="212121"/>
        </w:rPr>
        <w:t>e1004443. doi: 10.1371/journal.ppat.1004443</w:t>
      </w:r>
    </w:p>
    <w:p w14:paraId="608A837C" w14:textId="5039F68D" w:rsidR="00FC38A2" w:rsidRPr="0068121F" w:rsidRDefault="004F5696" w:rsidP="0068121F">
      <w:pPr>
        <w:spacing w:before="240" w:afterLines="173" w:after="415" w:line="480" w:lineRule="auto"/>
        <w:ind w:left="432" w:hanging="432"/>
        <w:rPr>
          <w:rFonts w:cs="Times New Roman"/>
          <w:spacing w:val="-5"/>
        </w:rPr>
      </w:pPr>
      <w:r w:rsidRPr="0068121F">
        <w:rPr>
          <w:rFonts w:cs="Times New Roman"/>
        </w:rPr>
        <w:t xml:space="preserve">Birkenbihl, R. P., </w:t>
      </w:r>
      <w:r w:rsidR="00FC38A2" w:rsidRPr="0068121F">
        <w:rPr>
          <w:rFonts w:cs="Times New Roman"/>
          <w:color w:val="000000"/>
          <w:spacing w:val="-5"/>
        </w:rPr>
        <w:t>Celia Diezel, C.</w:t>
      </w:r>
      <w:r w:rsidR="002857AA">
        <w:rPr>
          <w:rFonts w:cs="Times New Roman"/>
          <w:color w:val="000000"/>
          <w:spacing w:val="-5"/>
        </w:rPr>
        <w:t>,</w:t>
      </w:r>
      <w:r w:rsidR="00FC38A2" w:rsidRPr="0068121F">
        <w:rPr>
          <w:rFonts w:cs="Times New Roman"/>
          <w:color w:val="000000"/>
          <w:spacing w:val="-5"/>
        </w:rPr>
        <w:t xml:space="preserve"> </w:t>
      </w:r>
      <w:r w:rsidR="002857AA">
        <w:rPr>
          <w:rFonts w:cs="Times New Roman"/>
          <w:color w:val="000000"/>
          <w:spacing w:val="-5"/>
        </w:rPr>
        <w:t>and</w:t>
      </w:r>
      <w:r w:rsidR="0068121F">
        <w:rPr>
          <w:rFonts w:cs="Times New Roman"/>
          <w:color w:val="000000"/>
          <w:spacing w:val="-5"/>
        </w:rPr>
        <w:t xml:space="preserve"> </w:t>
      </w:r>
      <w:r w:rsidR="00FC38A2" w:rsidRPr="0068121F">
        <w:rPr>
          <w:rFonts w:cs="Times New Roman"/>
          <w:color w:val="000000"/>
          <w:spacing w:val="-5"/>
        </w:rPr>
        <w:t>Somssich</w:t>
      </w:r>
      <w:r w:rsidR="00FC38A2" w:rsidRPr="0068121F">
        <w:rPr>
          <w:rFonts w:cs="Times New Roman"/>
        </w:rPr>
        <w:t>,</w:t>
      </w:r>
      <w:r w:rsidRPr="0068121F">
        <w:rPr>
          <w:rFonts w:cs="Times New Roman"/>
        </w:rPr>
        <w:t xml:space="preserve"> </w:t>
      </w:r>
      <w:r w:rsidR="00FC38A2" w:rsidRPr="0068121F">
        <w:rPr>
          <w:rFonts w:cs="Times New Roman"/>
        </w:rPr>
        <w:t xml:space="preserve">I.E. (2012). Arabidopsis WRKY33 </w:t>
      </w:r>
      <w:r w:rsidR="00CE1906">
        <w:rPr>
          <w:rFonts w:cs="Times New Roman"/>
        </w:rPr>
        <w:t>i</w:t>
      </w:r>
      <w:r w:rsidR="00FC38A2" w:rsidRPr="0068121F">
        <w:rPr>
          <w:rFonts w:cs="Times New Roman"/>
        </w:rPr>
        <w:t xml:space="preserve">s a </w:t>
      </w:r>
      <w:r w:rsidR="002D6087">
        <w:rPr>
          <w:rFonts w:cs="Times New Roman"/>
        </w:rPr>
        <w:t>k</w:t>
      </w:r>
      <w:r w:rsidR="00FC38A2" w:rsidRPr="0068121F">
        <w:rPr>
          <w:rFonts w:cs="Times New Roman"/>
        </w:rPr>
        <w:t xml:space="preserve">ey </w:t>
      </w:r>
      <w:r w:rsidR="00CE1906">
        <w:rPr>
          <w:rFonts w:cs="Times New Roman"/>
        </w:rPr>
        <w:t>t</w:t>
      </w:r>
      <w:r w:rsidR="00FC38A2" w:rsidRPr="0068121F">
        <w:rPr>
          <w:rFonts w:cs="Times New Roman"/>
        </w:rPr>
        <w:t xml:space="preserve">ranscriptional </w:t>
      </w:r>
      <w:r w:rsidR="00CE1906">
        <w:rPr>
          <w:rFonts w:cs="Times New Roman"/>
        </w:rPr>
        <w:t>r</w:t>
      </w:r>
      <w:r w:rsidR="00FC38A2" w:rsidRPr="0068121F">
        <w:rPr>
          <w:rFonts w:cs="Times New Roman"/>
        </w:rPr>
        <w:t xml:space="preserve">egulator of </w:t>
      </w:r>
      <w:r w:rsidR="00CE1906">
        <w:rPr>
          <w:rFonts w:cs="Times New Roman"/>
        </w:rPr>
        <w:t>h</w:t>
      </w:r>
      <w:r w:rsidR="00FC38A2" w:rsidRPr="0068121F">
        <w:rPr>
          <w:rFonts w:cs="Times New Roman"/>
        </w:rPr>
        <w:t xml:space="preserve">ormonal and </w:t>
      </w:r>
      <w:r w:rsidR="00CE1906">
        <w:rPr>
          <w:rFonts w:cs="Times New Roman"/>
        </w:rPr>
        <w:t>m</w:t>
      </w:r>
      <w:r w:rsidR="00FC38A2" w:rsidRPr="0068121F">
        <w:rPr>
          <w:rFonts w:cs="Times New Roman"/>
        </w:rPr>
        <w:t xml:space="preserve">etabolic </w:t>
      </w:r>
      <w:r w:rsidR="00CE1906">
        <w:rPr>
          <w:rFonts w:cs="Times New Roman"/>
        </w:rPr>
        <w:t>r</w:t>
      </w:r>
      <w:r w:rsidR="00FC38A2" w:rsidRPr="0068121F">
        <w:rPr>
          <w:rFonts w:cs="Times New Roman"/>
        </w:rPr>
        <w:t xml:space="preserve">esponses toward </w:t>
      </w:r>
      <w:r w:rsidR="00FC38A2" w:rsidRPr="0068121F">
        <w:rPr>
          <w:rFonts w:cs="Times New Roman"/>
          <w:i/>
        </w:rPr>
        <w:t>Botrytis cinerea</w:t>
      </w:r>
      <w:r w:rsidR="00FC38A2" w:rsidRPr="0068121F">
        <w:rPr>
          <w:rFonts w:cs="Times New Roman"/>
        </w:rPr>
        <w:t xml:space="preserve"> </w:t>
      </w:r>
      <w:r w:rsidR="00CE1906">
        <w:rPr>
          <w:rFonts w:cs="Times New Roman"/>
        </w:rPr>
        <w:t>i</w:t>
      </w:r>
      <w:r w:rsidR="00FC38A2" w:rsidRPr="0068121F">
        <w:rPr>
          <w:rFonts w:cs="Times New Roman"/>
        </w:rPr>
        <w:t xml:space="preserve">nfection. </w:t>
      </w:r>
      <w:r w:rsidR="00FC38A2" w:rsidRPr="0068121F">
        <w:rPr>
          <w:rFonts w:cs="Times New Roman"/>
          <w:i/>
          <w:spacing w:val="-5"/>
        </w:rPr>
        <w:t>Plant Physiology 59</w:t>
      </w:r>
      <w:r w:rsidR="00FC38A2" w:rsidRPr="0068121F">
        <w:rPr>
          <w:rFonts w:cs="Times New Roman"/>
          <w:spacing w:val="-5"/>
        </w:rPr>
        <w:t>(1), 266-285</w:t>
      </w:r>
      <w:r w:rsidR="00FC38A2">
        <w:rPr>
          <w:rFonts w:cs="Times New Roman"/>
          <w:spacing w:val="-5"/>
        </w:rPr>
        <w:t>.</w:t>
      </w:r>
      <w:r w:rsidR="00FC38A2" w:rsidRPr="00FC38A2">
        <w:rPr>
          <w:rFonts w:ascii="Segoe UI" w:hAnsi="Segoe UI" w:cs="Segoe UI"/>
          <w:color w:val="5B616B"/>
          <w:shd w:val="clear" w:color="auto" w:fill="FFFFFF"/>
        </w:rPr>
        <w:t xml:space="preserve"> </w:t>
      </w:r>
      <w:r w:rsidR="00FC38A2" w:rsidRPr="0068121F">
        <w:rPr>
          <w:rFonts w:cs="Times New Roman"/>
          <w:shd w:val="clear" w:color="auto" w:fill="FFFFFF"/>
        </w:rPr>
        <w:t>doi: 10.1104/pp.111.192641</w:t>
      </w:r>
      <w:r w:rsidR="00FC38A2">
        <w:rPr>
          <w:rFonts w:cs="Times New Roman"/>
          <w:shd w:val="clear" w:color="auto" w:fill="FFFFFF"/>
        </w:rPr>
        <w:t>.</w:t>
      </w:r>
    </w:p>
    <w:p w14:paraId="2D1472B9" w14:textId="64C52074" w:rsidR="004F5696" w:rsidRDefault="004F5696" w:rsidP="0068121F">
      <w:pPr>
        <w:pStyle w:val="NormalWeb"/>
        <w:shd w:val="clear" w:color="auto" w:fill="FFFFFF"/>
        <w:spacing w:before="0" w:beforeAutospacing="0" w:afterLines="173" w:after="415" w:afterAutospacing="0" w:line="480" w:lineRule="auto"/>
        <w:ind w:left="446" w:hanging="432"/>
      </w:pPr>
      <w:r w:rsidRPr="005D6CA0">
        <w:t>Coolen, S., Proietti, S., Hickman, R., Davila Olivas, N. H., Huang, P., Van Verk, M. C.</w:t>
      </w:r>
      <w:r>
        <w:t>,</w:t>
      </w:r>
      <w:r w:rsidR="0068121F">
        <w:t xml:space="preserve"> </w:t>
      </w:r>
      <w:r w:rsidR="002857AA">
        <w:t>et al.</w:t>
      </w:r>
      <w:r w:rsidRPr="005D6CA0">
        <w:t xml:space="preserve"> (2016). Transcriptome dynamics of </w:t>
      </w:r>
      <w:r>
        <w:t>Arabidopsis</w:t>
      </w:r>
      <w:r w:rsidRPr="005D6CA0">
        <w:t xml:space="preserve"> during sequential biotic and abiotic stresses.</w:t>
      </w:r>
      <w:r w:rsidRPr="005D6CA0">
        <w:rPr>
          <w:i/>
          <w:iCs/>
        </w:rPr>
        <w:t> The Plant Journal, 86</w:t>
      </w:r>
      <w:r w:rsidRPr="005D6CA0">
        <w:t>(3), 249-267. doi:10.1111/tpj.13167</w:t>
      </w:r>
    </w:p>
    <w:p w14:paraId="0E87E678" w14:textId="360A1B78" w:rsidR="00EE41FE" w:rsidRDefault="004F5696" w:rsidP="0068121F">
      <w:pPr>
        <w:pStyle w:val="NormalWeb"/>
        <w:shd w:val="clear" w:color="auto" w:fill="FFFFFF"/>
        <w:spacing w:before="0" w:beforeAutospacing="0" w:afterLines="173" w:after="415" w:afterAutospacing="0" w:line="480" w:lineRule="auto"/>
        <w:ind w:left="450" w:hanging="432"/>
      </w:pPr>
      <w:r w:rsidRPr="005D6CA0">
        <w:t xml:space="preserve">de Vos, M., van Oosten, V. R., van Poecke, R. M. P, van Pelt, J. A., Pozo Jimenez, M. J., Mueller, M. J., </w:t>
      </w:r>
      <w:r w:rsidR="002857AA">
        <w:t>et al</w:t>
      </w:r>
      <w:r w:rsidRPr="005D6CA0">
        <w:t xml:space="preserve">. (2005). Signal signature and transcriptome changes of </w:t>
      </w:r>
      <w:r>
        <w:t>Arabidopsis</w:t>
      </w:r>
      <w:r w:rsidRPr="005D6CA0">
        <w:t xml:space="preserve"> during pathogen and insect attack.</w:t>
      </w:r>
      <w:r w:rsidRPr="005D6CA0">
        <w:rPr>
          <w:i/>
          <w:iCs/>
        </w:rPr>
        <w:t> Molecular Plant-Microbe Interactions, 18</w:t>
      </w:r>
      <w:r w:rsidRPr="005D6CA0">
        <w:t>(9), 923. doi:10.1094/MPMI-18-0923</w:t>
      </w:r>
    </w:p>
    <w:p w14:paraId="3CCC8AF5" w14:textId="77777777" w:rsidR="00F7122F" w:rsidRDefault="00F7122F" w:rsidP="0068121F">
      <w:pPr>
        <w:pStyle w:val="NormalWeb"/>
        <w:shd w:val="clear" w:color="auto" w:fill="FFFFFF"/>
        <w:spacing w:before="0" w:beforeAutospacing="0" w:afterLines="173" w:after="415" w:afterAutospacing="0" w:line="480" w:lineRule="auto"/>
        <w:ind w:left="450" w:hanging="432"/>
      </w:pPr>
    </w:p>
    <w:p w14:paraId="1920BFD5" w14:textId="527E34D1" w:rsidR="004F5696" w:rsidRDefault="00EE41FE" w:rsidP="0068121F">
      <w:pPr>
        <w:pStyle w:val="NormalWeb"/>
        <w:shd w:val="clear" w:color="auto" w:fill="FFFFFF"/>
        <w:spacing w:before="0" w:beforeAutospacing="0" w:afterLines="173" w:after="415" w:afterAutospacing="0" w:line="480" w:lineRule="auto"/>
        <w:ind w:left="450" w:hanging="432"/>
      </w:pPr>
      <w:r w:rsidRPr="0068121F">
        <w:rPr>
          <w:sz w:val="23"/>
          <w:szCs w:val="23"/>
          <w:shd w:val="clear" w:color="auto" w:fill="FFFFFF"/>
        </w:rPr>
        <w:lastRenderedPageBreak/>
        <w:t>Ferrari, S.</w:t>
      </w:r>
      <w:r>
        <w:rPr>
          <w:sz w:val="23"/>
          <w:szCs w:val="23"/>
          <w:shd w:val="clear" w:color="auto" w:fill="FFFFFF"/>
        </w:rPr>
        <w:t>,</w:t>
      </w:r>
      <w:r w:rsidRPr="0068121F">
        <w:rPr>
          <w:sz w:val="23"/>
          <w:szCs w:val="23"/>
          <w:shd w:val="clear" w:color="auto" w:fill="FFFFFF"/>
        </w:rPr>
        <w:t xml:space="preserve"> Galletti, R., Denoux, C., De Lorenzo, G</w:t>
      </w:r>
      <w:r>
        <w:rPr>
          <w:sz w:val="23"/>
          <w:szCs w:val="23"/>
          <w:shd w:val="clear" w:color="auto" w:fill="FFFFFF"/>
        </w:rPr>
        <w:t>.,</w:t>
      </w:r>
      <w:r w:rsidRPr="0068121F">
        <w:rPr>
          <w:sz w:val="23"/>
          <w:szCs w:val="23"/>
          <w:shd w:val="clear" w:color="auto" w:fill="FFFFFF"/>
        </w:rPr>
        <w:t xml:space="preserve"> Ausubel, F</w:t>
      </w:r>
      <w:r>
        <w:rPr>
          <w:sz w:val="23"/>
          <w:szCs w:val="23"/>
          <w:shd w:val="clear" w:color="auto" w:fill="FFFFFF"/>
        </w:rPr>
        <w:t>.</w:t>
      </w:r>
      <w:r w:rsidRPr="0068121F">
        <w:rPr>
          <w:sz w:val="23"/>
          <w:szCs w:val="23"/>
          <w:shd w:val="clear" w:color="auto" w:fill="FFFFFF"/>
        </w:rPr>
        <w:t xml:space="preserve"> M.</w:t>
      </w:r>
      <w:r>
        <w:rPr>
          <w:sz w:val="23"/>
          <w:szCs w:val="23"/>
          <w:shd w:val="clear" w:color="auto" w:fill="FFFFFF"/>
        </w:rPr>
        <w:t>,</w:t>
      </w:r>
      <w:r w:rsidRPr="0068121F">
        <w:rPr>
          <w:sz w:val="23"/>
          <w:szCs w:val="23"/>
          <w:shd w:val="clear" w:color="auto" w:fill="FFFFFF"/>
        </w:rPr>
        <w:t xml:space="preserve"> </w:t>
      </w:r>
      <w:r w:rsidR="002857AA">
        <w:rPr>
          <w:sz w:val="23"/>
          <w:szCs w:val="23"/>
          <w:shd w:val="clear" w:color="auto" w:fill="FFFFFF"/>
        </w:rPr>
        <w:t>and</w:t>
      </w:r>
      <w:r w:rsidR="0068121F">
        <w:rPr>
          <w:sz w:val="23"/>
          <w:szCs w:val="23"/>
          <w:shd w:val="clear" w:color="auto" w:fill="FFFFFF"/>
        </w:rPr>
        <w:t xml:space="preserve"> </w:t>
      </w:r>
      <w:r w:rsidRPr="0068121F">
        <w:rPr>
          <w:sz w:val="23"/>
          <w:szCs w:val="23"/>
          <w:shd w:val="clear" w:color="auto" w:fill="FFFFFF"/>
        </w:rPr>
        <w:t>Dewdney, J</w:t>
      </w:r>
      <w:r>
        <w:rPr>
          <w:sz w:val="23"/>
          <w:szCs w:val="23"/>
          <w:shd w:val="clear" w:color="auto" w:fill="FFFFFF"/>
        </w:rPr>
        <w:t>. (2007).</w:t>
      </w:r>
      <w:r w:rsidRPr="0068121F">
        <w:rPr>
          <w:sz w:val="23"/>
          <w:szCs w:val="23"/>
          <w:shd w:val="clear" w:color="auto" w:fill="FFFFFF"/>
        </w:rPr>
        <w:t xml:space="preserve"> Resistance to </w:t>
      </w:r>
      <w:r w:rsidRPr="0068121F">
        <w:rPr>
          <w:rStyle w:val="Emphasis"/>
          <w:rFonts w:eastAsia="Cambria"/>
          <w:sz w:val="23"/>
          <w:szCs w:val="23"/>
          <w:bdr w:val="none" w:sz="0" w:space="0" w:color="auto" w:frame="1"/>
          <w:shd w:val="clear" w:color="auto" w:fill="FFFFFF"/>
        </w:rPr>
        <w:t>Botrytis cinerea</w:t>
      </w:r>
      <w:r w:rsidRPr="0068121F">
        <w:rPr>
          <w:sz w:val="23"/>
          <w:szCs w:val="23"/>
          <w:shd w:val="clear" w:color="auto" w:fill="FFFFFF"/>
        </w:rPr>
        <w:t> </w:t>
      </w:r>
      <w:r w:rsidR="00CE1906">
        <w:rPr>
          <w:sz w:val="23"/>
          <w:szCs w:val="23"/>
          <w:shd w:val="clear" w:color="auto" w:fill="FFFFFF"/>
        </w:rPr>
        <w:t>i</w:t>
      </w:r>
      <w:r w:rsidRPr="0068121F">
        <w:rPr>
          <w:sz w:val="23"/>
          <w:szCs w:val="23"/>
          <w:shd w:val="clear" w:color="auto" w:fill="FFFFFF"/>
        </w:rPr>
        <w:t xml:space="preserve">nduced in Arabidopsis by </w:t>
      </w:r>
      <w:r w:rsidR="00CE1906">
        <w:rPr>
          <w:sz w:val="23"/>
          <w:szCs w:val="23"/>
          <w:shd w:val="clear" w:color="auto" w:fill="FFFFFF"/>
        </w:rPr>
        <w:t>e</w:t>
      </w:r>
      <w:r w:rsidRPr="0068121F">
        <w:rPr>
          <w:sz w:val="23"/>
          <w:szCs w:val="23"/>
          <w:shd w:val="clear" w:color="auto" w:fill="FFFFFF"/>
        </w:rPr>
        <w:t xml:space="preserve">licitors </w:t>
      </w:r>
      <w:r w:rsidR="00CE1906">
        <w:rPr>
          <w:sz w:val="23"/>
          <w:szCs w:val="23"/>
          <w:shd w:val="clear" w:color="auto" w:fill="FFFFFF"/>
        </w:rPr>
        <w:t>i</w:t>
      </w:r>
      <w:r w:rsidRPr="0068121F">
        <w:rPr>
          <w:sz w:val="23"/>
          <w:szCs w:val="23"/>
          <w:shd w:val="clear" w:color="auto" w:fill="FFFFFF"/>
        </w:rPr>
        <w:t xml:space="preserve">s </w:t>
      </w:r>
      <w:r w:rsidR="00CE1906">
        <w:rPr>
          <w:sz w:val="23"/>
          <w:szCs w:val="23"/>
          <w:shd w:val="clear" w:color="auto" w:fill="FFFFFF"/>
        </w:rPr>
        <w:t>i</w:t>
      </w:r>
      <w:r w:rsidRPr="0068121F">
        <w:rPr>
          <w:sz w:val="23"/>
          <w:szCs w:val="23"/>
          <w:shd w:val="clear" w:color="auto" w:fill="FFFFFF"/>
        </w:rPr>
        <w:t xml:space="preserve">ndependent of </w:t>
      </w:r>
      <w:r w:rsidR="00CE1906">
        <w:rPr>
          <w:sz w:val="23"/>
          <w:szCs w:val="23"/>
          <w:shd w:val="clear" w:color="auto" w:fill="FFFFFF"/>
        </w:rPr>
        <w:t>s</w:t>
      </w:r>
      <w:r w:rsidRPr="0068121F">
        <w:rPr>
          <w:sz w:val="23"/>
          <w:szCs w:val="23"/>
          <w:shd w:val="clear" w:color="auto" w:fill="FFFFFF"/>
        </w:rPr>
        <w:t xml:space="preserve">alicylic </w:t>
      </w:r>
      <w:r w:rsidR="00CE1906">
        <w:rPr>
          <w:sz w:val="23"/>
          <w:szCs w:val="23"/>
          <w:shd w:val="clear" w:color="auto" w:fill="FFFFFF"/>
        </w:rPr>
        <w:t>a</w:t>
      </w:r>
      <w:r w:rsidRPr="0068121F">
        <w:rPr>
          <w:sz w:val="23"/>
          <w:szCs w:val="23"/>
          <w:shd w:val="clear" w:color="auto" w:fill="FFFFFF"/>
        </w:rPr>
        <w:t xml:space="preserve">cid, </w:t>
      </w:r>
      <w:r w:rsidR="00CE1906">
        <w:rPr>
          <w:sz w:val="23"/>
          <w:szCs w:val="23"/>
          <w:shd w:val="clear" w:color="auto" w:fill="FFFFFF"/>
        </w:rPr>
        <w:t>ethylene, or jasmonate signaling b</w:t>
      </w:r>
      <w:r w:rsidRPr="0068121F">
        <w:rPr>
          <w:sz w:val="23"/>
          <w:szCs w:val="23"/>
          <w:shd w:val="clear" w:color="auto" w:fill="FFFFFF"/>
        </w:rPr>
        <w:t xml:space="preserve">ut </w:t>
      </w:r>
      <w:r w:rsidR="00CE1906">
        <w:rPr>
          <w:sz w:val="23"/>
          <w:szCs w:val="23"/>
          <w:shd w:val="clear" w:color="auto" w:fill="FFFFFF"/>
        </w:rPr>
        <w:t>r</w:t>
      </w:r>
      <w:r w:rsidRPr="0068121F">
        <w:rPr>
          <w:sz w:val="23"/>
          <w:szCs w:val="23"/>
          <w:shd w:val="clear" w:color="auto" w:fill="FFFFFF"/>
        </w:rPr>
        <w:t>equires </w:t>
      </w:r>
      <w:r w:rsidRPr="0068121F">
        <w:rPr>
          <w:rStyle w:val="Emphasis"/>
          <w:rFonts w:eastAsia="Cambria"/>
          <w:sz w:val="23"/>
          <w:szCs w:val="23"/>
          <w:bdr w:val="none" w:sz="0" w:space="0" w:color="auto" w:frame="1"/>
          <w:shd w:val="clear" w:color="auto" w:fill="FFFFFF"/>
        </w:rPr>
        <w:t>PHYTOALEXIN DEFICIENT3</w:t>
      </w:r>
      <w:r>
        <w:rPr>
          <w:rStyle w:val="Emphasis"/>
          <w:rFonts w:eastAsia="Cambria"/>
          <w:sz w:val="23"/>
          <w:szCs w:val="23"/>
          <w:bdr w:val="none" w:sz="0" w:space="0" w:color="auto" w:frame="1"/>
          <w:shd w:val="clear" w:color="auto" w:fill="FFFFFF"/>
        </w:rPr>
        <w:t>.</w:t>
      </w:r>
      <w:r w:rsidRPr="0068121F">
        <w:rPr>
          <w:sz w:val="23"/>
          <w:szCs w:val="23"/>
          <w:shd w:val="clear" w:color="auto" w:fill="FFFFFF"/>
        </w:rPr>
        <w:t> </w:t>
      </w:r>
      <w:r w:rsidRPr="0068121F">
        <w:rPr>
          <w:rStyle w:val="Emphasis"/>
          <w:rFonts w:eastAsia="Cambria"/>
          <w:sz w:val="23"/>
          <w:szCs w:val="23"/>
          <w:bdr w:val="none" w:sz="0" w:space="0" w:color="auto" w:frame="1"/>
          <w:shd w:val="clear" w:color="auto" w:fill="FFFFFF"/>
        </w:rPr>
        <w:t>Plant Physiology</w:t>
      </w:r>
      <w:r w:rsidRPr="0068121F">
        <w:rPr>
          <w:sz w:val="23"/>
          <w:szCs w:val="23"/>
          <w:shd w:val="clear" w:color="auto" w:fill="FFFFFF"/>
        </w:rPr>
        <w:t xml:space="preserve">, </w:t>
      </w:r>
      <w:r w:rsidRPr="0068121F">
        <w:rPr>
          <w:i/>
          <w:sz w:val="23"/>
          <w:szCs w:val="23"/>
          <w:shd w:val="clear" w:color="auto" w:fill="FFFFFF"/>
        </w:rPr>
        <w:t>144</w:t>
      </w:r>
      <w:r w:rsidRPr="0068121F">
        <w:rPr>
          <w:sz w:val="23"/>
          <w:szCs w:val="23"/>
          <w:shd w:val="clear" w:color="auto" w:fill="FFFFFF"/>
        </w:rPr>
        <w:t xml:space="preserve"> </w:t>
      </w:r>
      <w:r>
        <w:rPr>
          <w:sz w:val="23"/>
          <w:szCs w:val="23"/>
          <w:shd w:val="clear" w:color="auto" w:fill="FFFFFF"/>
        </w:rPr>
        <w:t>(</w:t>
      </w:r>
      <w:r w:rsidRPr="0068121F">
        <w:rPr>
          <w:sz w:val="23"/>
          <w:szCs w:val="23"/>
          <w:shd w:val="clear" w:color="auto" w:fill="FFFFFF"/>
        </w:rPr>
        <w:t>1</w:t>
      </w:r>
      <w:r>
        <w:rPr>
          <w:sz w:val="23"/>
          <w:szCs w:val="23"/>
          <w:shd w:val="clear" w:color="auto" w:fill="FFFFFF"/>
        </w:rPr>
        <w:t>)</w:t>
      </w:r>
      <w:r w:rsidRPr="0068121F">
        <w:rPr>
          <w:sz w:val="23"/>
          <w:szCs w:val="23"/>
          <w:shd w:val="clear" w:color="auto" w:fill="FFFFFF"/>
        </w:rPr>
        <w:t>, 367–379</w:t>
      </w:r>
      <w:r>
        <w:rPr>
          <w:sz w:val="23"/>
          <w:szCs w:val="23"/>
          <w:shd w:val="clear" w:color="auto" w:fill="FFFFFF"/>
        </w:rPr>
        <w:t>.</w:t>
      </w:r>
      <w:r w:rsidRPr="0068121F">
        <w:rPr>
          <w:sz w:val="23"/>
          <w:szCs w:val="23"/>
          <w:shd w:val="clear" w:color="auto" w:fill="FFFFFF"/>
        </w:rPr>
        <w:t> </w:t>
      </w:r>
      <w:hyperlink r:id="rId9" w:history="1">
        <w:r w:rsidRPr="0068121F">
          <w:rPr>
            <w:rStyle w:val="Hyperlink"/>
            <w:color w:val="auto"/>
            <w:sz w:val="23"/>
            <w:szCs w:val="23"/>
            <w:u w:val="none"/>
            <w:bdr w:val="none" w:sz="0" w:space="0" w:color="auto" w:frame="1"/>
            <w:shd w:val="clear" w:color="auto" w:fill="FFFFFF"/>
          </w:rPr>
          <w:t>doi.org/10.1104/pp.107.095596</w:t>
        </w:r>
      </w:hyperlink>
      <w:r>
        <w:t>.</w:t>
      </w:r>
    </w:p>
    <w:p w14:paraId="0FD89636" w14:textId="6493F573" w:rsidR="004F5696" w:rsidRDefault="00865DB1" w:rsidP="0068121F">
      <w:pPr>
        <w:pStyle w:val="NormalWeb"/>
        <w:shd w:val="clear" w:color="auto" w:fill="FFFFFF"/>
        <w:spacing w:before="0" w:beforeAutospacing="0" w:afterLines="173" w:after="415" w:afterAutospacing="0" w:line="480" w:lineRule="auto"/>
        <w:ind w:left="450" w:hanging="432"/>
      </w:pPr>
      <w:r>
        <w:t>Kerchev, P., Karpinska, B., Morris, J., Hussain, A., Verrall, S.</w:t>
      </w:r>
      <w:r w:rsidR="00CE1906">
        <w:t>, Hedley</w:t>
      </w:r>
      <w:r>
        <w:t xml:space="preserve">, P., </w:t>
      </w:r>
      <w:r w:rsidR="002857AA">
        <w:t>et al</w:t>
      </w:r>
      <w:r w:rsidR="00EE41FE" w:rsidRPr="00EE41FE">
        <w:t xml:space="preserve">. (2013). Vitamin C and the </w:t>
      </w:r>
      <w:r w:rsidR="0069712C">
        <w:t>a</w:t>
      </w:r>
      <w:r w:rsidR="00EE41FE" w:rsidRPr="00EE41FE">
        <w:t xml:space="preserve">bscisic </w:t>
      </w:r>
      <w:r w:rsidR="0069712C">
        <w:t>a</w:t>
      </w:r>
      <w:r w:rsidR="00EE41FE" w:rsidRPr="00EE41FE">
        <w:t>cid-</w:t>
      </w:r>
      <w:r w:rsidR="0069712C">
        <w:t>i</w:t>
      </w:r>
      <w:r w:rsidR="00EE41FE" w:rsidRPr="00EE41FE">
        <w:t xml:space="preserve">nsensitive 4 </w:t>
      </w:r>
      <w:r w:rsidR="0069712C">
        <w:t>t</w:t>
      </w:r>
      <w:r w:rsidR="00EE41FE" w:rsidRPr="00EE41FE">
        <w:t xml:space="preserve">ranscription </w:t>
      </w:r>
      <w:r w:rsidR="0069712C">
        <w:t>f</w:t>
      </w:r>
      <w:r w:rsidR="00EE41FE" w:rsidRPr="00EE41FE">
        <w:t xml:space="preserve">actor </w:t>
      </w:r>
      <w:r w:rsidR="0069712C">
        <w:t>a</w:t>
      </w:r>
      <w:r w:rsidR="00EE41FE" w:rsidRPr="00EE41FE">
        <w:t xml:space="preserve">re </w:t>
      </w:r>
      <w:r w:rsidR="0069712C">
        <w:t>i</w:t>
      </w:r>
      <w:r w:rsidR="00EE41FE" w:rsidRPr="00EE41FE">
        <w:t xml:space="preserve">mportant </w:t>
      </w:r>
      <w:r w:rsidR="0069712C">
        <w:t>d</w:t>
      </w:r>
      <w:r w:rsidR="00EE41FE" w:rsidRPr="00EE41FE">
        <w:t xml:space="preserve">eterminants of </w:t>
      </w:r>
      <w:r w:rsidR="0069712C">
        <w:t>a</w:t>
      </w:r>
      <w:r w:rsidR="00EE41FE" w:rsidRPr="00EE41FE">
        <w:t xml:space="preserve">phid </w:t>
      </w:r>
      <w:r w:rsidR="0069712C">
        <w:t>r</w:t>
      </w:r>
      <w:r w:rsidR="00EE41FE" w:rsidRPr="00EE41FE">
        <w:t xml:space="preserve">esistance </w:t>
      </w:r>
      <w:r>
        <w:t xml:space="preserve">in Arabidopsis. </w:t>
      </w:r>
      <w:r w:rsidRPr="0068121F">
        <w:rPr>
          <w:i/>
        </w:rPr>
        <w:t>Antioxidants &amp; Redox S</w:t>
      </w:r>
      <w:r w:rsidR="00EE41FE" w:rsidRPr="0068121F">
        <w:rPr>
          <w:i/>
        </w:rPr>
        <w:t>ignaling. 18</w:t>
      </w:r>
      <w:r>
        <w:t>(16),</w:t>
      </w:r>
      <w:r w:rsidRPr="0068121F">
        <w:rPr>
          <w:shd w:val="clear" w:color="auto" w:fill="FFFFFF"/>
        </w:rPr>
        <w:t xml:space="preserve"> 2091–2105</w:t>
      </w:r>
      <w:r>
        <w:t>. doi:</w:t>
      </w:r>
      <w:r w:rsidR="00EE41FE" w:rsidRPr="00EE41FE">
        <w:t>10.1089/ars.2012.5097.</w:t>
      </w:r>
    </w:p>
    <w:p w14:paraId="620AC05D" w14:textId="603B0D99" w:rsidR="004F5696" w:rsidRDefault="004F5696" w:rsidP="0068121F">
      <w:pPr>
        <w:pStyle w:val="NormalWeb"/>
        <w:shd w:val="clear" w:color="auto" w:fill="FFFFFF"/>
        <w:spacing w:before="0" w:beforeAutospacing="0" w:afterLines="173" w:after="415" w:afterAutospacing="0" w:line="480" w:lineRule="auto"/>
        <w:ind w:left="450" w:hanging="432"/>
      </w:pPr>
      <w:r w:rsidRPr="005D6CA0">
        <w:t xml:space="preserve">Mine, A., Seyfferth, C., Kracher, B., Berens, M. L., Becker, D., </w:t>
      </w:r>
      <w:r w:rsidR="002857AA">
        <w:t>and</w:t>
      </w:r>
      <w:r w:rsidRPr="005D6CA0">
        <w:t xml:space="preserve"> Tsuda, K. (2018). The defense phytohormone signaling network enables rapid, high-amplitude transcriptional reprogramming during effector-triggered immunity.</w:t>
      </w:r>
      <w:r w:rsidRPr="005D6CA0">
        <w:rPr>
          <w:i/>
          <w:iCs/>
        </w:rPr>
        <w:t> The Plant Cell, 30</w:t>
      </w:r>
      <w:r w:rsidRPr="005D6CA0">
        <w:t>(6), 1199-1219. doi:10.1105/tpc.17.00970</w:t>
      </w:r>
    </w:p>
    <w:p w14:paraId="2E1269A6" w14:textId="41B0395B" w:rsidR="00865DB1" w:rsidRPr="005D1223" w:rsidRDefault="00865DB1" w:rsidP="00BF6BE5">
      <w:pPr>
        <w:pStyle w:val="NormalWeb"/>
        <w:shd w:val="clear" w:color="auto" w:fill="FFFFFF"/>
        <w:spacing w:before="0" w:beforeAutospacing="0" w:afterLines="173" w:after="415" w:afterAutospacing="0" w:line="480" w:lineRule="auto"/>
        <w:ind w:left="446" w:hanging="432"/>
        <w:rPr>
          <w:shd w:val="clear" w:color="auto" w:fill="FFFFFF"/>
        </w:rPr>
      </w:pPr>
      <w:r w:rsidRPr="0068121F">
        <w:rPr>
          <w:shd w:val="clear" w:color="auto" w:fill="FFFFFF"/>
        </w:rPr>
        <w:t xml:space="preserve">Mukherjee, A.K., Lev, S., Gepstein, S., </w:t>
      </w:r>
      <w:r w:rsidR="002857AA">
        <w:rPr>
          <w:shd w:val="clear" w:color="auto" w:fill="FFFFFF"/>
        </w:rPr>
        <w:t>and</w:t>
      </w:r>
      <w:r w:rsidRPr="0068121F">
        <w:rPr>
          <w:shd w:val="clear" w:color="auto" w:fill="FFFFFF"/>
        </w:rPr>
        <w:t xml:space="preserve"> Horowitz, B.A.  (2009). A compatible interaction of </w:t>
      </w:r>
      <w:r w:rsidRPr="0068121F">
        <w:rPr>
          <w:i/>
          <w:iCs/>
          <w:shd w:val="clear" w:color="auto" w:fill="FFFFFF"/>
        </w:rPr>
        <w:t>Alternaria brassicicola</w:t>
      </w:r>
      <w:r w:rsidRPr="0068121F">
        <w:rPr>
          <w:shd w:val="clear" w:color="auto" w:fill="FFFFFF"/>
        </w:rPr>
        <w:t> with </w:t>
      </w:r>
      <w:r w:rsidRPr="0068121F">
        <w:rPr>
          <w:i/>
          <w:iCs/>
          <w:shd w:val="clear" w:color="auto" w:fill="FFFFFF"/>
        </w:rPr>
        <w:t xml:space="preserve">Arabidopsis thaliana </w:t>
      </w:r>
      <w:r w:rsidRPr="0068121F">
        <w:rPr>
          <w:shd w:val="clear" w:color="auto" w:fill="FFFFFF"/>
        </w:rPr>
        <w:t>ecotype DiG: evidence for a specific transcriptional signature. </w:t>
      </w:r>
      <w:r w:rsidRPr="0068121F">
        <w:rPr>
          <w:i/>
          <w:iCs/>
          <w:shd w:val="clear" w:color="auto" w:fill="FFFFFF"/>
        </w:rPr>
        <w:t>BMC Plant Biology</w:t>
      </w:r>
      <w:r w:rsidRPr="0068121F">
        <w:rPr>
          <w:shd w:val="clear" w:color="auto" w:fill="FFFFFF"/>
        </w:rPr>
        <w:t> </w:t>
      </w:r>
      <w:r w:rsidRPr="0068121F">
        <w:rPr>
          <w:bCs/>
          <w:i/>
          <w:shd w:val="clear" w:color="auto" w:fill="FFFFFF"/>
        </w:rPr>
        <w:t>9</w:t>
      </w:r>
      <w:r w:rsidRPr="0068121F">
        <w:rPr>
          <w:b/>
          <w:bCs/>
          <w:shd w:val="clear" w:color="auto" w:fill="FFFFFF"/>
        </w:rPr>
        <w:t>, </w:t>
      </w:r>
      <w:r w:rsidR="0069712C">
        <w:rPr>
          <w:shd w:val="clear" w:color="auto" w:fill="FFFFFF"/>
        </w:rPr>
        <w:t>(31), 1-11</w:t>
      </w:r>
      <w:r w:rsidR="005D1223">
        <w:rPr>
          <w:shd w:val="clear" w:color="auto" w:fill="FFFFFF"/>
        </w:rPr>
        <w:t>.</w:t>
      </w:r>
      <w:r w:rsidRPr="0068121F">
        <w:rPr>
          <w:shd w:val="clear" w:color="auto" w:fill="FFFFFF"/>
        </w:rPr>
        <w:t xml:space="preserve"> </w:t>
      </w:r>
      <w:hyperlink r:id="rId10" w:history="1">
        <w:r w:rsidR="0068121F" w:rsidRPr="004E6DA9">
          <w:rPr>
            <w:rStyle w:val="Hyperlink"/>
            <w:color w:val="auto"/>
            <w:u w:val="none"/>
            <w:shd w:val="clear" w:color="auto" w:fill="FFFFFF"/>
          </w:rPr>
          <w:t>doi.org/10.1186/1471-2229-9-31</w:t>
        </w:r>
      </w:hyperlink>
      <w:bookmarkStart w:id="0" w:name="_GoBack"/>
      <w:bookmarkEnd w:id="0"/>
    </w:p>
    <w:p w14:paraId="130CF970" w14:textId="49A54121" w:rsidR="00BF6BE5" w:rsidRDefault="0068121F" w:rsidP="005D1223">
      <w:pPr>
        <w:pStyle w:val="NormalWeb"/>
        <w:shd w:val="clear" w:color="auto" w:fill="FFFFFF"/>
        <w:spacing w:before="0" w:beforeAutospacing="0" w:afterLines="173" w:after="415" w:afterAutospacing="0" w:line="480" w:lineRule="auto"/>
        <w:ind w:left="450" w:hanging="432"/>
        <w:rPr>
          <w:rFonts w:eastAsiaTheme="minorHAnsi"/>
          <w:shd w:val="clear" w:color="auto" w:fill="FFFFFF"/>
        </w:rPr>
      </w:pPr>
      <w:r w:rsidRPr="0068121F">
        <w:rPr>
          <w:shd w:val="clear" w:color="auto" w:fill="FFFFFF"/>
        </w:rPr>
        <w:t xml:space="preserve">Penninckx, </w:t>
      </w:r>
      <w:r>
        <w:rPr>
          <w:shd w:val="clear" w:color="auto" w:fill="FFFFFF"/>
        </w:rPr>
        <w:t xml:space="preserve">I.A., </w:t>
      </w:r>
      <w:r w:rsidRPr="0068121F">
        <w:rPr>
          <w:shd w:val="clear" w:color="auto" w:fill="FFFFFF"/>
        </w:rPr>
        <w:t xml:space="preserve">Eggermont, </w:t>
      </w:r>
      <w:r>
        <w:rPr>
          <w:shd w:val="clear" w:color="auto" w:fill="FFFFFF"/>
        </w:rPr>
        <w:t>K.,</w:t>
      </w:r>
      <w:r w:rsidRPr="0068121F">
        <w:rPr>
          <w:shd w:val="clear" w:color="auto" w:fill="FFFFFF"/>
        </w:rPr>
        <w:t xml:space="preserve">Terras, </w:t>
      </w:r>
      <w:r>
        <w:rPr>
          <w:shd w:val="clear" w:color="auto" w:fill="FFFFFF"/>
        </w:rPr>
        <w:t xml:space="preserve">F.R., </w:t>
      </w:r>
      <w:r w:rsidRPr="0068121F">
        <w:rPr>
          <w:shd w:val="clear" w:color="auto" w:fill="FFFFFF"/>
        </w:rPr>
        <w:t xml:space="preserve">Thomma, </w:t>
      </w:r>
      <w:r>
        <w:rPr>
          <w:shd w:val="clear" w:color="auto" w:fill="FFFFFF"/>
        </w:rPr>
        <w:t xml:space="preserve">B.P., </w:t>
      </w:r>
      <w:r w:rsidRPr="0068121F">
        <w:rPr>
          <w:shd w:val="clear" w:color="auto" w:fill="FFFFFF"/>
        </w:rPr>
        <w:t xml:space="preserve">De Samblanx, </w:t>
      </w:r>
      <w:r>
        <w:rPr>
          <w:shd w:val="clear" w:color="auto" w:fill="FFFFFF"/>
        </w:rPr>
        <w:t xml:space="preserve">G.W., </w:t>
      </w:r>
      <w:r w:rsidRPr="0068121F">
        <w:rPr>
          <w:shd w:val="clear" w:color="auto" w:fill="FFFFFF"/>
        </w:rPr>
        <w:t xml:space="preserve">Buchala, </w:t>
      </w:r>
      <w:r>
        <w:rPr>
          <w:shd w:val="clear" w:color="auto" w:fill="FFFFFF"/>
        </w:rPr>
        <w:t xml:space="preserve">A., </w:t>
      </w:r>
      <w:r w:rsidR="002857AA">
        <w:rPr>
          <w:shd w:val="clear" w:color="auto" w:fill="FFFFFF"/>
        </w:rPr>
        <w:t>et al.</w:t>
      </w:r>
      <w:r>
        <w:rPr>
          <w:shd w:val="clear" w:color="auto" w:fill="FFFFFF"/>
        </w:rPr>
        <w:t xml:space="preserve"> </w:t>
      </w:r>
      <w:r w:rsidR="002857AA">
        <w:rPr>
          <w:shd w:val="clear" w:color="auto" w:fill="FFFFFF"/>
        </w:rPr>
        <w:t>(</w:t>
      </w:r>
      <w:r w:rsidRPr="00ED6E06">
        <w:rPr>
          <w:shd w:val="clear" w:color="auto" w:fill="FFFFFF"/>
        </w:rPr>
        <w:t>1996</w:t>
      </w:r>
      <w:r>
        <w:rPr>
          <w:shd w:val="clear" w:color="auto" w:fill="FFFFFF"/>
        </w:rPr>
        <w:t xml:space="preserve">). </w:t>
      </w:r>
      <w:r w:rsidRPr="0068121F">
        <w:rPr>
          <w:shd w:val="clear" w:color="auto" w:fill="FFFFFF"/>
        </w:rPr>
        <w:t>Pathogen-induced systemic activation of a plant defensin gene in Arabidopsis follows a salicylic acid-independent pathway. </w:t>
      </w:r>
      <w:r w:rsidRPr="0068121F">
        <w:rPr>
          <w:rStyle w:val="Emphasis"/>
          <w:rFonts w:eastAsia="Cambria"/>
          <w:bdr w:val="none" w:sz="0" w:space="0" w:color="auto" w:frame="1"/>
          <w:shd w:val="clear" w:color="auto" w:fill="FFFFFF"/>
        </w:rPr>
        <w:t>The Plant Cell</w:t>
      </w:r>
      <w:r w:rsidRPr="0068121F">
        <w:rPr>
          <w:shd w:val="clear" w:color="auto" w:fill="FFFFFF"/>
        </w:rPr>
        <w:t xml:space="preserve"> 8</w:t>
      </w:r>
      <w:r w:rsidR="005D1223">
        <w:rPr>
          <w:shd w:val="clear" w:color="auto" w:fill="FFFFFF"/>
        </w:rPr>
        <w:t>(</w:t>
      </w:r>
      <w:r w:rsidRPr="0068121F">
        <w:rPr>
          <w:shd w:val="clear" w:color="auto" w:fill="FFFFFF"/>
        </w:rPr>
        <w:t>12</w:t>
      </w:r>
      <w:r w:rsidR="005D1223">
        <w:rPr>
          <w:shd w:val="clear" w:color="auto" w:fill="FFFFFF"/>
        </w:rPr>
        <w:t>)</w:t>
      </w:r>
      <w:r w:rsidRPr="0068121F">
        <w:rPr>
          <w:shd w:val="clear" w:color="auto" w:fill="FFFFFF"/>
        </w:rPr>
        <w:t>, 2309</w:t>
      </w:r>
      <w:r w:rsidR="00BF6BE5">
        <w:rPr>
          <w:shd w:val="clear" w:color="auto" w:fill="FFFFFF"/>
        </w:rPr>
        <w:t xml:space="preserve">-2323. </w:t>
      </w:r>
      <w:hyperlink r:id="rId11" w:history="1">
        <w:r w:rsidR="00BF6BE5" w:rsidRPr="0068121F">
          <w:rPr>
            <w:rStyle w:val="Hyperlink"/>
            <w:color w:val="auto"/>
            <w:u w:val="none"/>
            <w:bdr w:val="none" w:sz="0" w:space="0" w:color="auto" w:frame="1"/>
            <w:shd w:val="clear" w:color="auto" w:fill="FFFFFF"/>
          </w:rPr>
          <w:t>doi.org/10.1105/tpc.8.12.2309</w:t>
        </w:r>
      </w:hyperlink>
      <w:r w:rsidR="00BF6BE5">
        <w:t>.</w:t>
      </w:r>
    </w:p>
    <w:p w14:paraId="0861B07E" w14:textId="1EA09F53" w:rsidR="005D1223" w:rsidRDefault="005D1223" w:rsidP="005D1223">
      <w:pPr>
        <w:pStyle w:val="NormalWeb"/>
        <w:shd w:val="clear" w:color="auto" w:fill="FFFFFF"/>
        <w:spacing w:before="0" w:beforeAutospacing="0" w:afterLines="173" w:after="415" w:afterAutospacing="0" w:line="480" w:lineRule="auto"/>
        <w:ind w:left="450" w:hanging="432"/>
      </w:pPr>
      <w:r w:rsidRPr="004E6DA9">
        <w:rPr>
          <w:rFonts w:eastAsiaTheme="minorHAnsi"/>
          <w:shd w:val="clear" w:color="auto" w:fill="FFFFFF"/>
        </w:rPr>
        <w:t xml:space="preserve">van Wees., S.C.M., Chang, H-S., Zhu, T., </w:t>
      </w:r>
      <w:r w:rsidR="002857AA">
        <w:rPr>
          <w:rFonts w:eastAsiaTheme="minorHAnsi"/>
          <w:shd w:val="clear" w:color="auto" w:fill="FFFFFF"/>
        </w:rPr>
        <w:t xml:space="preserve">and </w:t>
      </w:r>
      <w:r w:rsidRPr="004E6DA9">
        <w:rPr>
          <w:rFonts w:eastAsiaTheme="minorHAnsi"/>
          <w:shd w:val="clear" w:color="auto" w:fill="FFFFFF"/>
        </w:rPr>
        <w:t>Glazebrook, J. (2003). Characterization of the early response of </w:t>
      </w:r>
      <w:r w:rsidRPr="00C44E6F">
        <w:rPr>
          <w:rFonts w:eastAsiaTheme="minorHAnsi"/>
          <w:iCs/>
          <w:shd w:val="clear" w:color="auto" w:fill="FFFFFF"/>
        </w:rPr>
        <w:t>Arabidopsis</w:t>
      </w:r>
      <w:r w:rsidRPr="004E6DA9">
        <w:rPr>
          <w:rFonts w:eastAsiaTheme="minorHAnsi"/>
          <w:shd w:val="clear" w:color="auto" w:fill="FFFFFF"/>
        </w:rPr>
        <w:t> to </w:t>
      </w:r>
      <w:r w:rsidRPr="004E6DA9">
        <w:rPr>
          <w:rFonts w:eastAsiaTheme="minorHAnsi"/>
          <w:i/>
          <w:iCs/>
          <w:shd w:val="clear" w:color="auto" w:fill="FFFFFF"/>
        </w:rPr>
        <w:t>Alternaria brassicicola</w:t>
      </w:r>
      <w:r w:rsidRPr="004E6DA9">
        <w:rPr>
          <w:rFonts w:eastAsiaTheme="minorHAnsi"/>
          <w:shd w:val="clear" w:color="auto" w:fill="FFFFFF"/>
        </w:rPr>
        <w:t> infection using expression profiling. </w:t>
      </w:r>
      <w:r w:rsidRPr="004E6DA9">
        <w:rPr>
          <w:rFonts w:eastAsiaTheme="minorHAnsi"/>
          <w:i/>
          <w:iCs/>
          <w:shd w:val="clear" w:color="auto" w:fill="FFFFFF"/>
        </w:rPr>
        <w:t>Plant Physiology</w:t>
      </w:r>
      <w:r w:rsidRPr="004E6DA9">
        <w:rPr>
          <w:rFonts w:eastAsiaTheme="minorHAnsi"/>
          <w:i/>
          <w:shd w:val="clear" w:color="auto" w:fill="FFFFFF"/>
        </w:rPr>
        <w:t> 132</w:t>
      </w:r>
      <w:r w:rsidRPr="004E6DA9">
        <w:rPr>
          <w:rFonts w:eastAsiaTheme="minorHAnsi"/>
          <w:shd w:val="clear" w:color="auto" w:fill="FFFFFF"/>
        </w:rPr>
        <w:t>(</w:t>
      </w:r>
      <w:r w:rsidR="002D6087">
        <w:rPr>
          <w:rFonts w:eastAsiaTheme="minorHAnsi"/>
          <w:shd w:val="clear" w:color="auto" w:fill="FFFFFF"/>
        </w:rPr>
        <w:t>2</w:t>
      </w:r>
      <w:r w:rsidRPr="004E6DA9">
        <w:rPr>
          <w:rFonts w:eastAsiaTheme="minorHAnsi"/>
          <w:shd w:val="clear" w:color="auto" w:fill="FFFFFF"/>
        </w:rPr>
        <w:t xml:space="preserve">), 606–617. </w:t>
      </w:r>
      <w:hyperlink r:id="rId12" w:history="1">
        <w:r w:rsidRPr="004E6DA9">
          <w:rPr>
            <w:rStyle w:val="Hyperlink"/>
            <w:rFonts w:eastAsia="Cambria"/>
            <w:color w:val="auto"/>
            <w:u w:val="none"/>
            <w:bdr w:val="none" w:sz="0" w:space="0" w:color="auto" w:frame="1"/>
          </w:rPr>
          <w:t>doi.org/10.1104/pp.103.022186</w:t>
        </w:r>
      </w:hyperlink>
      <w:r>
        <w:t>.</w:t>
      </w:r>
    </w:p>
    <w:p w14:paraId="1B2138F8" w14:textId="1131CAED" w:rsidR="005D1223" w:rsidRPr="005D1223" w:rsidRDefault="005D1223" w:rsidP="005D1223">
      <w:pPr>
        <w:pStyle w:val="NormalWeb"/>
        <w:shd w:val="clear" w:color="auto" w:fill="FFFFFF"/>
        <w:spacing w:before="0" w:beforeAutospacing="0" w:afterLines="173" w:after="415" w:afterAutospacing="0" w:line="480" w:lineRule="auto"/>
        <w:ind w:left="450" w:hanging="432"/>
      </w:pPr>
      <w:r w:rsidRPr="005D1223">
        <w:rPr>
          <w:color w:val="212121"/>
          <w:shd w:val="clear" w:color="auto" w:fill="FFFFFF"/>
        </w:rPr>
        <w:lastRenderedPageBreak/>
        <w:t>Veillet</w:t>
      </w:r>
      <w:r w:rsidR="004E6DA9">
        <w:rPr>
          <w:color w:val="212121"/>
          <w:shd w:val="clear" w:color="auto" w:fill="FFFFFF"/>
        </w:rPr>
        <w:t>,</w:t>
      </w:r>
      <w:r w:rsidRPr="005D1223">
        <w:rPr>
          <w:color w:val="212121"/>
          <w:shd w:val="clear" w:color="auto" w:fill="FFFFFF"/>
        </w:rPr>
        <w:t xml:space="preserve"> F</w:t>
      </w:r>
      <w:r w:rsidR="004E6DA9">
        <w:rPr>
          <w:color w:val="212121"/>
          <w:shd w:val="clear" w:color="auto" w:fill="FFFFFF"/>
        </w:rPr>
        <w:t>.</w:t>
      </w:r>
      <w:r w:rsidRPr="005D1223">
        <w:rPr>
          <w:color w:val="212121"/>
          <w:shd w:val="clear" w:color="auto" w:fill="FFFFFF"/>
        </w:rPr>
        <w:t>, Gaillard</w:t>
      </w:r>
      <w:r w:rsidR="004E6DA9">
        <w:rPr>
          <w:color w:val="212121"/>
          <w:shd w:val="clear" w:color="auto" w:fill="FFFFFF"/>
        </w:rPr>
        <w:t>,</w:t>
      </w:r>
      <w:r w:rsidRPr="005D1223">
        <w:rPr>
          <w:color w:val="212121"/>
          <w:shd w:val="clear" w:color="auto" w:fill="FFFFFF"/>
        </w:rPr>
        <w:t xml:space="preserve"> C</w:t>
      </w:r>
      <w:r w:rsidR="004E6DA9">
        <w:rPr>
          <w:color w:val="212121"/>
          <w:shd w:val="clear" w:color="auto" w:fill="FFFFFF"/>
        </w:rPr>
        <w:t>.</w:t>
      </w:r>
      <w:r w:rsidRPr="005D1223">
        <w:rPr>
          <w:color w:val="212121"/>
          <w:shd w:val="clear" w:color="auto" w:fill="FFFFFF"/>
        </w:rPr>
        <w:t>, Lemonnier</w:t>
      </w:r>
      <w:r w:rsidR="004E6DA9">
        <w:rPr>
          <w:color w:val="212121"/>
          <w:shd w:val="clear" w:color="auto" w:fill="FFFFFF"/>
        </w:rPr>
        <w:t>,</w:t>
      </w:r>
      <w:r w:rsidRPr="005D1223">
        <w:rPr>
          <w:color w:val="212121"/>
          <w:shd w:val="clear" w:color="auto" w:fill="FFFFFF"/>
        </w:rPr>
        <w:t xml:space="preserve"> P</w:t>
      </w:r>
      <w:r w:rsidR="004E6DA9">
        <w:rPr>
          <w:color w:val="212121"/>
          <w:shd w:val="clear" w:color="auto" w:fill="FFFFFF"/>
        </w:rPr>
        <w:t>.</w:t>
      </w:r>
      <w:r w:rsidRPr="005D1223">
        <w:rPr>
          <w:color w:val="212121"/>
          <w:shd w:val="clear" w:color="auto" w:fill="FFFFFF"/>
        </w:rPr>
        <w:t>, Coutos-Thévenot</w:t>
      </w:r>
      <w:r w:rsidR="004E6DA9">
        <w:rPr>
          <w:color w:val="212121"/>
          <w:shd w:val="clear" w:color="auto" w:fill="FFFFFF"/>
        </w:rPr>
        <w:t>,</w:t>
      </w:r>
      <w:r w:rsidRPr="005D1223">
        <w:rPr>
          <w:color w:val="212121"/>
          <w:shd w:val="clear" w:color="auto" w:fill="FFFFFF"/>
        </w:rPr>
        <w:t xml:space="preserve"> P</w:t>
      </w:r>
      <w:r w:rsidR="004E6DA9">
        <w:rPr>
          <w:color w:val="212121"/>
          <w:shd w:val="clear" w:color="auto" w:fill="FFFFFF"/>
        </w:rPr>
        <w:t>.</w:t>
      </w:r>
      <w:r w:rsidRPr="005D1223">
        <w:rPr>
          <w:color w:val="212121"/>
          <w:shd w:val="clear" w:color="auto" w:fill="FFFFFF"/>
        </w:rPr>
        <w:t xml:space="preserve">, </w:t>
      </w:r>
      <w:r w:rsidR="002857AA">
        <w:rPr>
          <w:color w:val="212121"/>
          <w:shd w:val="clear" w:color="auto" w:fill="FFFFFF"/>
        </w:rPr>
        <w:t xml:space="preserve">and </w:t>
      </w:r>
      <w:r w:rsidRPr="005D1223">
        <w:rPr>
          <w:color w:val="212121"/>
          <w:shd w:val="clear" w:color="auto" w:fill="FFFFFF"/>
        </w:rPr>
        <w:t>La Camera</w:t>
      </w:r>
      <w:r w:rsidR="004E6DA9">
        <w:rPr>
          <w:color w:val="212121"/>
          <w:shd w:val="clear" w:color="auto" w:fill="FFFFFF"/>
        </w:rPr>
        <w:t>,</w:t>
      </w:r>
      <w:r w:rsidRPr="005D1223">
        <w:rPr>
          <w:color w:val="212121"/>
          <w:shd w:val="clear" w:color="auto" w:fill="FFFFFF"/>
        </w:rPr>
        <w:t xml:space="preserve"> S.</w:t>
      </w:r>
      <w:r w:rsidR="004E6DA9">
        <w:rPr>
          <w:color w:val="212121"/>
          <w:shd w:val="clear" w:color="auto" w:fill="FFFFFF"/>
        </w:rPr>
        <w:t xml:space="preserve"> (</w:t>
      </w:r>
      <w:r w:rsidR="004E6DA9" w:rsidRPr="005D1223">
        <w:rPr>
          <w:color w:val="212121"/>
          <w:shd w:val="clear" w:color="auto" w:fill="FFFFFF"/>
        </w:rPr>
        <w:t>2017</w:t>
      </w:r>
      <w:r w:rsidR="004E6DA9">
        <w:rPr>
          <w:color w:val="212121"/>
          <w:shd w:val="clear" w:color="auto" w:fill="FFFFFF"/>
        </w:rPr>
        <w:t>).</w:t>
      </w:r>
      <w:r w:rsidR="004E6DA9" w:rsidRPr="005D1223">
        <w:rPr>
          <w:color w:val="212121"/>
          <w:shd w:val="clear" w:color="auto" w:fill="FFFFFF"/>
        </w:rPr>
        <w:t xml:space="preserve"> </w:t>
      </w:r>
      <w:r w:rsidRPr="005D1223">
        <w:rPr>
          <w:color w:val="212121"/>
          <w:shd w:val="clear" w:color="auto" w:fill="FFFFFF"/>
        </w:rPr>
        <w:t xml:space="preserve">The molecular dialogue between </w:t>
      </w:r>
      <w:r w:rsidRPr="004E6DA9">
        <w:rPr>
          <w:i/>
          <w:color w:val="212121"/>
          <w:shd w:val="clear" w:color="auto" w:fill="FFFFFF"/>
        </w:rPr>
        <w:t>Arabidopsis thaliana</w:t>
      </w:r>
      <w:r w:rsidRPr="005D1223">
        <w:rPr>
          <w:color w:val="212121"/>
          <w:shd w:val="clear" w:color="auto" w:fill="FFFFFF"/>
        </w:rPr>
        <w:t xml:space="preserve"> and the necrotrophic fungus </w:t>
      </w:r>
      <w:r w:rsidRPr="004E6DA9">
        <w:rPr>
          <w:i/>
          <w:color w:val="212121"/>
          <w:shd w:val="clear" w:color="auto" w:fill="FFFFFF"/>
        </w:rPr>
        <w:t>Botrytis cinerea</w:t>
      </w:r>
      <w:r w:rsidRPr="005D1223">
        <w:rPr>
          <w:color w:val="212121"/>
          <w:shd w:val="clear" w:color="auto" w:fill="FFFFFF"/>
        </w:rPr>
        <w:t xml:space="preserve"> leads to major changes in host carbon metabolism. </w:t>
      </w:r>
      <w:r w:rsidRPr="004E6DA9">
        <w:rPr>
          <w:i/>
          <w:color w:val="212121"/>
          <w:shd w:val="clear" w:color="auto" w:fill="FFFFFF"/>
        </w:rPr>
        <w:t>Sci</w:t>
      </w:r>
      <w:r w:rsidR="004E6DA9" w:rsidRPr="004E6DA9">
        <w:rPr>
          <w:i/>
          <w:color w:val="212121"/>
          <w:shd w:val="clear" w:color="auto" w:fill="FFFFFF"/>
        </w:rPr>
        <w:t>entific</w:t>
      </w:r>
      <w:r w:rsidRPr="004E6DA9">
        <w:rPr>
          <w:i/>
          <w:color w:val="212121"/>
          <w:shd w:val="clear" w:color="auto" w:fill="FFFFFF"/>
        </w:rPr>
        <w:t xml:space="preserve"> Rep</w:t>
      </w:r>
      <w:r w:rsidR="004E6DA9" w:rsidRPr="004E6DA9">
        <w:rPr>
          <w:i/>
          <w:color w:val="212121"/>
          <w:shd w:val="clear" w:color="auto" w:fill="FFFFFF"/>
        </w:rPr>
        <w:t>orts</w:t>
      </w:r>
      <w:r w:rsidRPr="005D1223">
        <w:rPr>
          <w:color w:val="212121"/>
          <w:shd w:val="clear" w:color="auto" w:fill="FFFFFF"/>
        </w:rPr>
        <w:t xml:space="preserve"> 7(1)</w:t>
      </w:r>
      <w:r w:rsidR="004E6DA9">
        <w:rPr>
          <w:color w:val="212121"/>
          <w:shd w:val="clear" w:color="auto" w:fill="FFFFFF"/>
        </w:rPr>
        <w:t xml:space="preserve">, </w:t>
      </w:r>
      <w:r w:rsidRPr="005D1223">
        <w:rPr>
          <w:color w:val="212121"/>
          <w:shd w:val="clear" w:color="auto" w:fill="FFFFFF"/>
        </w:rPr>
        <w:t>17121. doi: 10.1038/s41598-017-17413-y.</w:t>
      </w:r>
    </w:p>
    <w:p w14:paraId="42710017" w14:textId="1FFAF300" w:rsidR="004F5696" w:rsidRDefault="004F5696" w:rsidP="0068121F">
      <w:pPr>
        <w:pStyle w:val="NormalWeb"/>
        <w:shd w:val="clear" w:color="auto" w:fill="FFFFFF"/>
        <w:spacing w:before="0" w:beforeAutospacing="0" w:afterLines="173" w:after="415" w:afterAutospacing="0" w:line="480" w:lineRule="auto"/>
        <w:ind w:left="450" w:hanging="432"/>
      </w:pPr>
      <w:r w:rsidRPr="005D6CA0">
        <w:t xml:space="preserve">Vos, I. A., Moritz, L., Pieterse, C. M. J., </w:t>
      </w:r>
      <w:r w:rsidR="002857AA">
        <w:t>and</w:t>
      </w:r>
      <w:r w:rsidRPr="005D6CA0">
        <w:t xml:space="preserve"> van Wees, S C M. (2015). Impact of hormonal crosstalk on plant resistance and fitness under multi-attacker conditions.</w:t>
      </w:r>
      <w:r w:rsidRPr="005D6CA0">
        <w:rPr>
          <w:i/>
          <w:iCs/>
        </w:rPr>
        <w:t> Frontiers in Plant Science, 6</w:t>
      </w:r>
      <w:r w:rsidRPr="005D6CA0">
        <w:t>, 639. doi:10.3389/fpls.2015.00639</w:t>
      </w:r>
      <w:r w:rsidR="004E6DA9">
        <w:t>.</w:t>
      </w:r>
    </w:p>
    <w:p w14:paraId="0C483E0A" w14:textId="2DD1C791" w:rsidR="003E1F0C" w:rsidRPr="0068121F" w:rsidRDefault="004E6DA9" w:rsidP="004E6DA9">
      <w:pPr>
        <w:pStyle w:val="NormalWeb"/>
        <w:shd w:val="clear" w:color="auto" w:fill="FFFFFF"/>
        <w:spacing w:before="0" w:beforeAutospacing="0" w:afterLines="173" w:after="415" w:afterAutospacing="0" w:line="480" w:lineRule="auto"/>
        <w:ind w:left="450" w:hanging="432"/>
      </w:pPr>
      <w:r w:rsidRPr="004E6DA9">
        <w:rPr>
          <w:color w:val="212121"/>
          <w:shd w:val="clear" w:color="auto" w:fill="FFFFFF"/>
        </w:rPr>
        <w:t>Windram</w:t>
      </w:r>
      <w:r>
        <w:rPr>
          <w:color w:val="212121"/>
          <w:shd w:val="clear" w:color="auto" w:fill="FFFFFF"/>
        </w:rPr>
        <w:t>,</w:t>
      </w:r>
      <w:r w:rsidRPr="004E6DA9">
        <w:rPr>
          <w:color w:val="212121"/>
          <w:shd w:val="clear" w:color="auto" w:fill="FFFFFF"/>
        </w:rPr>
        <w:t xml:space="preserve"> O</w:t>
      </w:r>
      <w:r>
        <w:rPr>
          <w:color w:val="212121"/>
          <w:shd w:val="clear" w:color="auto" w:fill="FFFFFF"/>
        </w:rPr>
        <w:t>.</w:t>
      </w:r>
      <w:r w:rsidRPr="004E6DA9">
        <w:rPr>
          <w:color w:val="212121"/>
          <w:shd w:val="clear" w:color="auto" w:fill="FFFFFF"/>
        </w:rPr>
        <w:t>, Madhou</w:t>
      </w:r>
      <w:r>
        <w:rPr>
          <w:color w:val="212121"/>
          <w:shd w:val="clear" w:color="auto" w:fill="FFFFFF"/>
        </w:rPr>
        <w:t>,</w:t>
      </w:r>
      <w:r w:rsidRPr="004E6DA9">
        <w:rPr>
          <w:color w:val="212121"/>
          <w:shd w:val="clear" w:color="auto" w:fill="FFFFFF"/>
        </w:rPr>
        <w:t xml:space="preserve"> P</w:t>
      </w:r>
      <w:r>
        <w:rPr>
          <w:color w:val="212121"/>
          <w:shd w:val="clear" w:color="auto" w:fill="FFFFFF"/>
        </w:rPr>
        <w:t>.</w:t>
      </w:r>
      <w:r w:rsidRPr="004E6DA9">
        <w:rPr>
          <w:color w:val="212121"/>
          <w:shd w:val="clear" w:color="auto" w:fill="FFFFFF"/>
        </w:rPr>
        <w:t>, McHattie</w:t>
      </w:r>
      <w:r>
        <w:rPr>
          <w:color w:val="212121"/>
          <w:shd w:val="clear" w:color="auto" w:fill="FFFFFF"/>
        </w:rPr>
        <w:t>,</w:t>
      </w:r>
      <w:r w:rsidRPr="004E6DA9">
        <w:rPr>
          <w:color w:val="212121"/>
          <w:shd w:val="clear" w:color="auto" w:fill="FFFFFF"/>
        </w:rPr>
        <w:t xml:space="preserve"> S</w:t>
      </w:r>
      <w:r>
        <w:rPr>
          <w:color w:val="212121"/>
          <w:shd w:val="clear" w:color="auto" w:fill="FFFFFF"/>
        </w:rPr>
        <w:t>.</w:t>
      </w:r>
      <w:r w:rsidRPr="004E6DA9">
        <w:rPr>
          <w:color w:val="212121"/>
          <w:shd w:val="clear" w:color="auto" w:fill="FFFFFF"/>
        </w:rPr>
        <w:t>, Hill</w:t>
      </w:r>
      <w:r>
        <w:rPr>
          <w:color w:val="212121"/>
          <w:shd w:val="clear" w:color="auto" w:fill="FFFFFF"/>
        </w:rPr>
        <w:t>,</w:t>
      </w:r>
      <w:r w:rsidRPr="004E6DA9">
        <w:rPr>
          <w:color w:val="212121"/>
          <w:shd w:val="clear" w:color="auto" w:fill="FFFFFF"/>
        </w:rPr>
        <w:t xml:space="preserve"> C</w:t>
      </w:r>
      <w:r>
        <w:rPr>
          <w:color w:val="212121"/>
          <w:shd w:val="clear" w:color="auto" w:fill="FFFFFF"/>
        </w:rPr>
        <w:t>.</w:t>
      </w:r>
      <w:r w:rsidRPr="004E6DA9">
        <w:rPr>
          <w:color w:val="212121"/>
          <w:shd w:val="clear" w:color="auto" w:fill="FFFFFF"/>
        </w:rPr>
        <w:t>, Hickman</w:t>
      </w:r>
      <w:r>
        <w:rPr>
          <w:color w:val="212121"/>
          <w:shd w:val="clear" w:color="auto" w:fill="FFFFFF"/>
        </w:rPr>
        <w:t>,</w:t>
      </w:r>
      <w:r w:rsidRPr="004E6DA9">
        <w:rPr>
          <w:color w:val="212121"/>
          <w:shd w:val="clear" w:color="auto" w:fill="FFFFFF"/>
        </w:rPr>
        <w:t xml:space="preserve"> R</w:t>
      </w:r>
      <w:r>
        <w:rPr>
          <w:color w:val="212121"/>
          <w:shd w:val="clear" w:color="auto" w:fill="FFFFFF"/>
        </w:rPr>
        <w:t>.</w:t>
      </w:r>
      <w:r w:rsidRPr="004E6DA9">
        <w:rPr>
          <w:color w:val="212121"/>
          <w:shd w:val="clear" w:color="auto" w:fill="FFFFFF"/>
        </w:rPr>
        <w:t>, Cooke</w:t>
      </w:r>
      <w:r>
        <w:rPr>
          <w:color w:val="212121"/>
          <w:shd w:val="clear" w:color="auto" w:fill="FFFFFF"/>
        </w:rPr>
        <w:t>,</w:t>
      </w:r>
      <w:r w:rsidRPr="004E6DA9">
        <w:rPr>
          <w:color w:val="212121"/>
          <w:shd w:val="clear" w:color="auto" w:fill="FFFFFF"/>
        </w:rPr>
        <w:t xml:space="preserve"> E</w:t>
      </w:r>
      <w:r>
        <w:rPr>
          <w:color w:val="212121"/>
          <w:shd w:val="clear" w:color="auto" w:fill="FFFFFF"/>
        </w:rPr>
        <w:t>.</w:t>
      </w:r>
      <w:r w:rsidRPr="004E6DA9">
        <w:rPr>
          <w:color w:val="212121"/>
          <w:shd w:val="clear" w:color="auto" w:fill="FFFFFF"/>
        </w:rPr>
        <w:t xml:space="preserve">, </w:t>
      </w:r>
      <w:r w:rsidR="002857AA">
        <w:rPr>
          <w:color w:val="212121"/>
          <w:shd w:val="clear" w:color="auto" w:fill="FFFFFF"/>
        </w:rPr>
        <w:t>et al</w:t>
      </w:r>
      <w:r w:rsidRPr="004E6DA9">
        <w:rPr>
          <w:color w:val="212121"/>
          <w:shd w:val="clear" w:color="auto" w:fill="FFFFFF"/>
        </w:rPr>
        <w:t>.</w:t>
      </w:r>
      <w:r>
        <w:rPr>
          <w:color w:val="212121"/>
          <w:shd w:val="clear" w:color="auto" w:fill="FFFFFF"/>
        </w:rPr>
        <w:t xml:space="preserve"> (2012).</w:t>
      </w:r>
      <w:r w:rsidRPr="004E6DA9">
        <w:rPr>
          <w:color w:val="212121"/>
          <w:shd w:val="clear" w:color="auto" w:fill="FFFFFF"/>
        </w:rPr>
        <w:t xml:space="preserve"> </w:t>
      </w:r>
      <w:r w:rsidRPr="00C44E6F">
        <w:rPr>
          <w:color w:val="212121"/>
          <w:shd w:val="clear" w:color="auto" w:fill="FFFFFF"/>
        </w:rPr>
        <w:t>Arabidopsis</w:t>
      </w:r>
      <w:r w:rsidRPr="004E6DA9">
        <w:rPr>
          <w:i/>
          <w:color w:val="212121"/>
          <w:shd w:val="clear" w:color="auto" w:fill="FFFFFF"/>
        </w:rPr>
        <w:t xml:space="preserve"> </w:t>
      </w:r>
      <w:r w:rsidRPr="00C44E6F">
        <w:rPr>
          <w:color w:val="212121"/>
          <w:shd w:val="clear" w:color="auto" w:fill="FFFFFF"/>
        </w:rPr>
        <w:t>defense</w:t>
      </w:r>
      <w:r w:rsidRPr="004E6DA9">
        <w:rPr>
          <w:color w:val="212121"/>
          <w:shd w:val="clear" w:color="auto" w:fill="FFFFFF"/>
        </w:rPr>
        <w:t xml:space="preserve"> against </w:t>
      </w:r>
      <w:r w:rsidRPr="004E6DA9">
        <w:rPr>
          <w:i/>
          <w:color w:val="212121"/>
          <w:shd w:val="clear" w:color="auto" w:fill="FFFFFF"/>
        </w:rPr>
        <w:t>Botrytis cinerea</w:t>
      </w:r>
      <w:r w:rsidRPr="004E6DA9">
        <w:rPr>
          <w:color w:val="212121"/>
          <w:shd w:val="clear" w:color="auto" w:fill="FFFFFF"/>
        </w:rPr>
        <w:t>: chronology and regulation deciphered by high-resolution temporal transcriptomic analysis</w:t>
      </w:r>
      <w:r w:rsidRPr="004E6DA9">
        <w:rPr>
          <w:i/>
          <w:color w:val="212121"/>
          <w:shd w:val="clear" w:color="auto" w:fill="FFFFFF"/>
        </w:rPr>
        <w:t>. Plant Cell</w:t>
      </w:r>
      <w:r>
        <w:rPr>
          <w:i/>
          <w:color w:val="212121"/>
          <w:shd w:val="clear" w:color="auto" w:fill="FFFFFF"/>
        </w:rPr>
        <w:t xml:space="preserve"> </w:t>
      </w:r>
      <w:r w:rsidRPr="004E6DA9">
        <w:rPr>
          <w:i/>
          <w:color w:val="212121"/>
          <w:shd w:val="clear" w:color="auto" w:fill="FFFFFF"/>
        </w:rPr>
        <w:t>24</w:t>
      </w:r>
      <w:r w:rsidRPr="004E6DA9">
        <w:rPr>
          <w:color w:val="212121"/>
          <w:shd w:val="clear" w:color="auto" w:fill="FFFFFF"/>
        </w:rPr>
        <w:t>(9)</w:t>
      </w:r>
      <w:r>
        <w:rPr>
          <w:color w:val="212121"/>
          <w:shd w:val="clear" w:color="auto" w:fill="FFFFFF"/>
        </w:rPr>
        <w:t xml:space="preserve">, </w:t>
      </w:r>
      <w:r w:rsidRPr="004E6DA9">
        <w:rPr>
          <w:color w:val="212121"/>
          <w:shd w:val="clear" w:color="auto" w:fill="FFFFFF"/>
        </w:rPr>
        <w:t>3530-</w:t>
      </w:r>
      <w:r>
        <w:rPr>
          <w:color w:val="212121"/>
          <w:shd w:val="clear" w:color="auto" w:fill="FFFFFF"/>
        </w:rPr>
        <w:t>35</w:t>
      </w:r>
      <w:r w:rsidRPr="004E6DA9">
        <w:rPr>
          <w:color w:val="212121"/>
          <w:shd w:val="clear" w:color="auto" w:fill="FFFFFF"/>
        </w:rPr>
        <w:t>57. doi: 10.1105/tpc.112.102046.</w:t>
      </w:r>
    </w:p>
    <w:sectPr w:rsidR="003E1F0C" w:rsidRPr="0068121F"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4C818" w14:textId="77777777" w:rsidR="00840A8F" w:rsidRDefault="00840A8F" w:rsidP="00117666">
      <w:pPr>
        <w:spacing w:after="0"/>
      </w:pPr>
      <w:r>
        <w:separator/>
      </w:r>
    </w:p>
  </w:endnote>
  <w:endnote w:type="continuationSeparator" w:id="0">
    <w:p w14:paraId="76253676" w14:textId="77777777" w:rsidR="00840A8F" w:rsidRDefault="00840A8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val="en-NZ" w:eastAsia="en-NZ"/>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0B27CF48"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422CA">
                            <w:rPr>
                              <w:noProof/>
                              <w:color w:val="000000" w:themeColor="text1"/>
                              <w:szCs w:val="40"/>
                            </w:rPr>
                            <w:t>10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0B27CF48"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422CA">
                      <w:rPr>
                        <w:noProof/>
                        <w:color w:val="000000" w:themeColor="text1"/>
                        <w:szCs w:val="40"/>
                      </w:rPr>
                      <w:t>10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val="en-NZ" w:eastAsia="en-NZ"/>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266A1F8F"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422CA">
                            <w:rPr>
                              <w:noProof/>
                              <w:color w:val="000000" w:themeColor="text1"/>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266A1F8F"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422CA">
                      <w:rPr>
                        <w:noProof/>
                        <w:color w:val="000000" w:themeColor="text1"/>
                        <w:szCs w:val="40"/>
                      </w:rPr>
                      <w:t>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DC0DF" w14:textId="77777777" w:rsidR="00840A8F" w:rsidRDefault="00840A8F" w:rsidP="00117666">
      <w:pPr>
        <w:spacing w:after="0"/>
      </w:pPr>
      <w:r>
        <w:separator/>
      </w:r>
    </w:p>
  </w:footnote>
  <w:footnote w:type="continuationSeparator" w:id="0">
    <w:p w14:paraId="11055997" w14:textId="77777777" w:rsidR="00840A8F" w:rsidRDefault="00840A8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lang w:val="en-NZ" w:eastAsia="en-NZ"/>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79DF"/>
    <w:multiLevelType w:val="multilevel"/>
    <w:tmpl w:val="63AE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57AA"/>
    <w:rsid w:val="002868E2"/>
    <w:rsid w:val="002869C3"/>
    <w:rsid w:val="002936E4"/>
    <w:rsid w:val="002B4A57"/>
    <w:rsid w:val="002C74CA"/>
    <w:rsid w:val="002D1992"/>
    <w:rsid w:val="002D6087"/>
    <w:rsid w:val="003123F4"/>
    <w:rsid w:val="003544FB"/>
    <w:rsid w:val="00375102"/>
    <w:rsid w:val="003A32FB"/>
    <w:rsid w:val="003D2F2D"/>
    <w:rsid w:val="003E1F0C"/>
    <w:rsid w:val="00401590"/>
    <w:rsid w:val="00447801"/>
    <w:rsid w:val="00452E9C"/>
    <w:rsid w:val="004735C8"/>
    <w:rsid w:val="004947A6"/>
    <w:rsid w:val="004961FF"/>
    <w:rsid w:val="0049668E"/>
    <w:rsid w:val="004E6DA9"/>
    <w:rsid w:val="004F5696"/>
    <w:rsid w:val="00517A89"/>
    <w:rsid w:val="005250F2"/>
    <w:rsid w:val="00593EEA"/>
    <w:rsid w:val="005A5EEE"/>
    <w:rsid w:val="005B2382"/>
    <w:rsid w:val="005D1223"/>
    <w:rsid w:val="006375C7"/>
    <w:rsid w:val="00654E8F"/>
    <w:rsid w:val="00660D05"/>
    <w:rsid w:val="0068121F"/>
    <w:rsid w:val="006820B1"/>
    <w:rsid w:val="00696986"/>
    <w:rsid w:val="0069712C"/>
    <w:rsid w:val="006B7D14"/>
    <w:rsid w:val="00701727"/>
    <w:rsid w:val="0070566C"/>
    <w:rsid w:val="00714C50"/>
    <w:rsid w:val="00725A7D"/>
    <w:rsid w:val="007501BE"/>
    <w:rsid w:val="00790BB3"/>
    <w:rsid w:val="007C206C"/>
    <w:rsid w:val="00815A32"/>
    <w:rsid w:val="00817DD6"/>
    <w:rsid w:val="0083759F"/>
    <w:rsid w:val="00840A8F"/>
    <w:rsid w:val="00865DB1"/>
    <w:rsid w:val="00885156"/>
    <w:rsid w:val="008C4CFD"/>
    <w:rsid w:val="009151AA"/>
    <w:rsid w:val="009155F9"/>
    <w:rsid w:val="0093429D"/>
    <w:rsid w:val="00943573"/>
    <w:rsid w:val="00964134"/>
    <w:rsid w:val="00970F7D"/>
    <w:rsid w:val="00994A3D"/>
    <w:rsid w:val="009A43BF"/>
    <w:rsid w:val="009A6E7A"/>
    <w:rsid w:val="009C1EC8"/>
    <w:rsid w:val="009C2B12"/>
    <w:rsid w:val="00A174D9"/>
    <w:rsid w:val="00AA4D24"/>
    <w:rsid w:val="00AB6715"/>
    <w:rsid w:val="00B1671E"/>
    <w:rsid w:val="00B25EB8"/>
    <w:rsid w:val="00B37F4D"/>
    <w:rsid w:val="00BF6BE5"/>
    <w:rsid w:val="00C44E6F"/>
    <w:rsid w:val="00C52A7B"/>
    <w:rsid w:val="00C56BAF"/>
    <w:rsid w:val="00C679AA"/>
    <w:rsid w:val="00C75972"/>
    <w:rsid w:val="00CD066B"/>
    <w:rsid w:val="00CD4B7A"/>
    <w:rsid w:val="00CE1906"/>
    <w:rsid w:val="00CE4FEE"/>
    <w:rsid w:val="00D060CF"/>
    <w:rsid w:val="00D41507"/>
    <w:rsid w:val="00D728F8"/>
    <w:rsid w:val="00DA10C3"/>
    <w:rsid w:val="00DB59C3"/>
    <w:rsid w:val="00DC259A"/>
    <w:rsid w:val="00DC5F26"/>
    <w:rsid w:val="00DE23E8"/>
    <w:rsid w:val="00E33968"/>
    <w:rsid w:val="00E422CA"/>
    <w:rsid w:val="00E52377"/>
    <w:rsid w:val="00E537AD"/>
    <w:rsid w:val="00E64E17"/>
    <w:rsid w:val="00E866C9"/>
    <w:rsid w:val="00EA3D3C"/>
    <w:rsid w:val="00EC090A"/>
    <w:rsid w:val="00EC76B9"/>
    <w:rsid w:val="00ED20B5"/>
    <w:rsid w:val="00EE41FE"/>
    <w:rsid w:val="00F46900"/>
    <w:rsid w:val="00F61D89"/>
    <w:rsid w:val="00F7122F"/>
    <w:rsid w:val="00FC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customStyle="1" w:styleId="named-content">
    <w:name w:val="named-content"/>
    <w:basedOn w:val="DefaultParagraphFont"/>
    <w:rsid w:val="005D1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18983173">
      <w:bodyDiv w:val="1"/>
      <w:marLeft w:val="0"/>
      <w:marRight w:val="0"/>
      <w:marTop w:val="0"/>
      <w:marBottom w:val="0"/>
      <w:divBdr>
        <w:top w:val="none" w:sz="0" w:space="0" w:color="auto"/>
        <w:left w:val="none" w:sz="0" w:space="0" w:color="auto"/>
        <w:bottom w:val="none" w:sz="0" w:space="0" w:color="auto"/>
        <w:right w:val="none" w:sz="0" w:space="0" w:color="auto"/>
      </w:divBdr>
    </w:div>
    <w:div w:id="537665331">
      <w:bodyDiv w:val="1"/>
      <w:marLeft w:val="0"/>
      <w:marRight w:val="0"/>
      <w:marTop w:val="0"/>
      <w:marBottom w:val="0"/>
      <w:divBdr>
        <w:top w:val="none" w:sz="0" w:space="0" w:color="auto"/>
        <w:left w:val="none" w:sz="0" w:space="0" w:color="auto"/>
        <w:bottom w:val="none" w:sz="0" w:space="0" w:color="auto"/>
        <w:right w:val="none" w:sz="0" w:space="0" w:color="auto"/>
      </w:divBdr>
      <w:divsChild>
        <w:div w:id="911886890">
          <w:marLeft w:val="0"/>
          <w:marRight w:val="0"/>
          <w:marTop w:val="0"/>
          <w:marBottom w:val="0"/>
          <w:divBdr>
            <w:top w:val="none" w:sz="0" w:space="0" w:color="auto"/>
            <w:left w:val="none" w:sz="0" w:space="0" w:color="auto"/>
            <w:bottom w:val="none" w:sz="0" w:space="0" w:color="auto"/>
            <w:right w:val="none" w:sz="0" w:space="0" w:color="auto"/>
          </w:divBdr>
        </w:div>
        <w:div w:id="210265693">
          <w:marLeft w:val="0"/>
          <w:marRight w:val="0"/>
          <w:marTop w:val="0"/>
          <w:marBottom w:val="0"/>
          <w:divBdr>
            <w:top w:val="none" w:sz="0" w:space="0" w:color="auto"/>
            <w:left w:val="none" w:sz="0" w:space="0" w:color="auto"/>
            <w:bottom w:val="none" w:sz="0" w:space="0" w:color="auto"/>
            <w:right w:val="none" w:sz="0" w:space="0" w:color="auto"/>
          </w:divBdr>
          <w:divsChild>
            <w:div w:id="1937008711">
              <w:marLeft w:val="0"/>
              <w:marRight w:val="0"/>
              <w:marTop w:val="0"/>
              <w:marBottom w:val="0"/>
              <w:divBdr>
                <w:top w:val="none" w:sz="0" w:space="0" w:color="auto"/>
                <w:left w:val="none" w:sz="0" w:space="0" w:color="auto"/>
                <w:bottom w:val="none" w:sz="0" w:space="0" w:color="auto"/>
                <w:right w:val="none" w:sz="0" w:space="0" w:color="auto"/>
              </w:divBdr>
              <w:divsChild>
                <w:div w:id="1498769697">
                  <w:marLeft w:val="0"/>
                  <w:marRight w:val="0"/>
                  <w:marTop w:val="0"/>
                  <w:marBottom w:val="0"/>
                  <w:divBdr>
                    <w:top w:val="none" w:sz="0" w:space="0" w:color="auto"/>
                    <w:left w:val="none" w:sz="0" w:space="0" w:color="auto"/>
                    <w:bottom w:val="none" w:sz="0" w:space="0" w:color="auto"/>
                    <w:right w:val="none" w:sz="0" w:space="0" w:color="auto"/>
                  </w:divBdr>
                </w:div>
                <w:div w:id="930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99273">
      <w:bodyDiv w:val="1"/>
      <w:marLeft w:val="0"/>
      <w:marRight w:val="0"/>
      <w:marTop w:val="0"/>
      <w:marBottom w:val="0"/>
      <w:divBdr>
        <w:top w:val="none" w:sz="0" w:space="0" w:color="auto"/>
        <w:left w:val="none" w:sz="0" w:space="0" w:color="auto"/>
        <w:bottom w:val="none" w:sz="0" w:space="0" w:color="auto"/>
        <w:right w:val="none" w:sz="0" w:space="0" w:color="auto"/>
      </w:divBdr>
    </w:div>
    <w:div w:id="693314239">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912809822">
      <w:bodyDiv w:val="1"/>
      <w:marLeft w:val="0"/>
      <w:marRight w:val="0"/>
      <w:marTop w:val="0"/>
      <w:marBottom w:val="0"/>
      <w:divBdr>
        <w:top w:val="none" w:sz="0" w:space="0" w:color="auto"/>
        <w:left w:val="none" w:sz="0" w:space="0" w:color="auto"/>
        <w:bottom w:val="none" w:sz="0" w:space="0" w:color="auto"/>
        <w:right w:val="none" w:sz="0" w:space="0" w:color="auto"/>
      </w:divBdr>
      <w:divsChild>
        <w:div w:id="1095133698">
          <w:marLeft w:val="0"/>
          <w:marRight w:val="0"/>
          <w:marTop w:val="0"/>
          <w:marBottom w:val="0"/>
          <w:divBdr>
            <w:top w:val="none" w:sz="0" w:space="0" w:color="auto"/>
            <w:left w:val="none" w:sz="0" w:space="0" w:color="auto"/>
            <w:bottom w:val="none" w:sz="0" w:space="0" w:color="auto"/>
            <w:right w:val="none" w:sz="0" w:space="0" w:color="auto"/>
          </w:divBdr>
          <w:divsChild>
            <w:div w:id="198249533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74162620">
      <w:bodyDiv w:val="1"/>
      <w:marLeft w:val="0"/>
      <w:marRight w:val="0"/>
      <w:marTop w:val="0"/>
      <w:marBottom w:val="0"/>
      <w:divBdr>
        <w:top w:val="none" w:sz="0" w:space="0" w:color="auto"/>
        <w:left w:val="none" w:sz="0" w:space="0" w:color="auto"/>
        <w:bottom w:val="none" w:sz="0" w:space="0" w:color="auto"/>
        <w:right w:val="none" w:sz="0" w:space="0" w:color="auto"/>
      </w:divBdr>
      <w:divsChild>
        <w:div w:id="1942565249">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93/pcp/pcm16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4/pp.103.0221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5/tpc.8.12.230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86/1471-2229-9-31" TargetMode="External"/><Relationship Id="rId4" Type="http://schemas.openxmlformats.org/officeDocument/2006/relationships/settings" Target="settings.xml"/><Relationship Id="rId9" Type="http://schemas.openxmlformats.org/officeDocument/2006/relationships/hyperlink" Target="https://doi.org/10.1104/pp.107.09559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311B0D-29A7-4223-9933-07526CED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14</TotalTime>
  <Pages>12</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Erik Rikkerink</cp:lastModifiedBy>
  <cp:revision>6</cp:revision>
  <cp:lastPrinted>2022-08-10T01:00:00Z</cp:lastPrinted>
  <dcterms:created xsi:type="dcterms:W3CDTF">2022-08-10T00:51:00Z</dcterms:created>
  <dcterms:modified xsi:type="dcterms:W3CDTF">2022-08-10T01:36:00Z</dcterms:modified>
</cp:coreProperties>
</file>