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0A309F81" w:rsidR="00EA3D3C" w:rsidRPr="00994A3D" w:rsidRDefault="0087604F" w:rsidP="0001436A">
      <w:pPr>
        <w:pStyle w:val="Heading1"/>
      </w:pPr>
      <w:r>
        <w:t>Pressure sensor c</w:t>
      </w:r>
      <w:r w:rsidR="00BB492D">
        <w:t>alibration</w:t>
      </w:r>
    </w:p>
    <w:p w14:paraId="113C9A58" w14:textId="027EECAE" w:rsidR="00BB492D" w:rsidRDefault="009E4007" w:rsidP="00AB0BCD">
      <w:pPr>
        <w:jc w:val="both"/>
      </w:pPr>
      <w:r>
        <w:t>A</w:t>
      </w:r>
      <w:r w:rsidR="006E02BF">
        <w:t xml:space="preserve">ll </w:t>
      </w:r>
      <w:r>
        <w:t xml:space="preserve">the </w:t>
      </w:r>
      <w:r w:rsidR="006E02BF">
        <w:t>pore pressure sensors were thoroughly calibrated</w:t>
      </w:r>
      <w:r>
        <w:t xml:space="preserve"> before the start of the experiment</w:t>
      </w:r>
      <w:r w:rsidR="006F4410">
        <w:t>. A reference</w:t>
      </w:r>
      <w:r w:rsidR="006E02BF">
        <w:t xml:space="preserve"> </w:t>
      </w:r>
      <w:r w:rsidR="006F4410">
        <w:t>water column</w:t>
      </w:r>
      <w:r w:rsidR="006E02BF">
        <w:t xml:space="preserve"> and the</w:t>
      </w:r>
      <w:r w:rsidR="006F4410">
        <w:t xml:space="preserve"> columns</w:t>
      </w:r>
      <w:r w:rsidR="006B50FC">
        <w:t>, later</w:t>
      </w:r>
      <w:r w:rsidR="006F4410">
        <w:t xml:space="preserve"> to be filled </w:t>
      </w:r>
      <w:r w:rsidR="00852215">
        <w:t xml:space="preserve">with </w:t>
      </w:r>
      <w:r w:rsidR="00913F1E">
        <w:t>dredged</w:t>
      </w:r>
      <w:r w:rsidR="006F4410">
        <w:t xml:space="preserve"> sediment</w:t>
      </w:r>
      <w:r w:rsidR="006B50FC">
        <w:t>,</w:t>
      </w:r>
      <w:r w:rsidR="006F4410">
        <w:t xml:space="preserve"> </w:t>
      </w:r>
      <w:r w:rsidR="006E02BF">
        <w:t>were filled with water up to 88 cm</w:t>
      </w:r>
      <w:r w:rsidR="00AB0BCD">
        <w:t xml:space="preserve"> </w:t>
      </w:r>
      <w:r w:rsidR="006E02BF">
        <w:t>prior to</w:t>
      </w:r>
      <w:r w:rsidR="006F4410">
        <w:t xml:space="preserve"> the start of the</w:t>
      </w:r>
      <w:r w:rsidR="006E02BF">
        <w:t xml:space="preserve"> calibration</w:t>
      </w:r>
      <w:r w:rsidR="006F4410">
        <w:t xml:space="preserve"> procedure</w:t>
      </w:r>
      <w:r w:rsidR="006E02BF">
        <w:t xml:space="preserve"> (</w:t>
      </w:r>
      <w:r w:rsidR="00E21077">
        <w:fldChar w:fldCharType="begin"/>
      </w:r>
      <w:r w:rsidR="00E21077">
        <w:instrText xml:space="preserve"> REF _Ref101447071 \h </w:instrText>
      </w:r>
      <w:r w:rsidR="00E21077">
        <w:fldChar w:fldCharType="separate"/>
      </w:r>
      <w:r w:rsidR="00A52A5E">
        <w:t xml:space="preserve">Figure </w:t>
      </w:r>
      <w:r w:rsidR="00A52A5E">
        <w:rPr>
          <w:noProof/>
        </w:rPr>
        <w:t>1</w:t>
      </w:r>
      <w:r w:rsidR="00E21077">
        <w:fldChar w:fldCharType="end"/>
      </w:r>
      <w:r w:rsidR="006E02BF">
        <w:t>). At this point, the relative pressure difference between</w:t>
      </w:r>
      <w:r w:rsidR="00AB0BCD">
        <w:t xml:space="preserve"> </w:t>
      </w:r>
      <w:r w:rsidR="006E02BF">
        <w:t xml:space="preserve">each </w:t>
      </w:r>
      <w:r w:rsidR="00852215">
        <w:t>“</w:t>
      </w:r>
      <w:r w:rsidR="006E02BF">
        <w:t>sediment</w:t>
      </w:r>
      <w:r w:rsidR="00852215">
        <w:t>”</w:t>
      </w:r>
      <w:r w:rsidR="006E02BF">
        <w:t xml:space="preserve"> column and the reference water column is zero and the output of all pore</w:t>
      </w:r>
      <w:r w:rsidR="00AB0BCD">
        <w:t xml:space="preserve"> </w:t>
      </w:r>
      <w:r w:rsidR="006E02BF">
        <w:t>pressure sensors was set to 0.000 mV. Then, the water level in the reference column was</w:t>
      </w:r>
      <w:r w:rsidR="00AB0BCD">
        <w:t xml:space="preserve"> </w:t>
      </w:r>
      <w:r w:rsidR="006E02BF">
        <w:t>increased/decreased with increments of 2 cm, while the water level in both sediment</w:t>
      </w:r>
      <w:r w:rsidR="00AB0BCD">
        <w:t xml:space="preserve"> </w:t>
      </w:r>
      <w:r w:rsidR="006E02BF">
        <w:t>columns stayed at 88 cm. The output in</w:t>
      </w:r>
      <w:r w:rsidR="00E21077">
        <w:t xml:space="preserve"> </w:t>
      </w:r>
      <w:r w:rsidR="006E02BF">
        <w:t>mV was recorded at five relative water levels: -2</w:t>
      </w:r>
      <w:r w:rsidR="00AB0BCD">
        <w:t xml:space="preserve"> </w:t>
      </w:r>
      <w:r w:rsidR="006E02BF">
        <w:t>cm, 2 cm, 4 cm, 6 cm, and 8 cm (</w:t>
      </w:r>
      <w:r w:rsidR="00E6403B">
        <w:fldChar w:fldCharType="begin"/>
      </w:r>
      <w:r w:rsidR="00E6403B">
        <w:instrText xml:space="preserve"> REF _Ref101447071 \h </w:instrText>
      </w:r>
      <w:r w:rsidR="00E6403B">
        <w:fldChar w:fldCharType="separate"/>
      </w:r>
      <w:r w:rsidR="00A52A5E">
        <w:t xml:space="preserve">Figure </w:t>
      </w:r>
      <w:r w:rsidR="00A52A5E">
        <w:rPr>
          <w:noProof/>
        </w:rPr>
        <w:t>1</w:t>
      </w:r>
      <w:r w:rsidR="00E6403B">
        <w:fldChar w:fldCharType="end"/>
      </w:r>
      <w:r w:rsidR="006E02BF">
        <w:t>). Calibration curves were determined for each</w:t>
      </w:r>
      <w:r w:rsidR="00AB0BCD">
        <w:t xml:space="preserve"> </w:t>
      </w:r>
      <w:r w:rsidR="006E02BF">
        <w:t xml:space="preserve">pore pressure sensor. </w:t>
      </w:r>
      <w:r w:rsidR="00A21000">
        <w:fldChar w:fldCharType="begin"/>
      </w:r>
      <w:r w:rsidR="00A21000">
        <w:instrText xml:space="preserve"> REF _Ref101447610 \h </w:instrText>
      </w:r>
      <w:r w:rsidR="00A21000">
        <w:fldChar w:fldCharType="separate"/>
      </w:r>
      <w:r w:rsidR="00A52A5E">
        <w:t xml:space="preserve">Figure </w:t>
      </w:r>
      <w:r w:rsidR="00A52A5E">
        <w:rPr>
          <w:noProof/>
        </w:rPr>
        <w:t>2</w:t>
      </w:r>
      <w:r w:rsidR="00A21000">
        <w:fldChar w:fldCharType="end"/>
      </w:r>
      <w:r w:rsidR="00A21000">
        <w:t xml:space="preserve"> </w:t>
      </w:r>
      <w:r w:rsidR="006E02BF">
        <w:t xml:space="preserve">and </w:t>
      </w:r>
      <w:r w:rsidR="00A21000">
        <w:fldChar w:fldCharType="begin"/>
      </w:r>
      <w:r w:rsidR="00A21000">
        <w:instrText xml:space="preserve"> REF _Ref101447617 \h </w:instrText>
      </w:r>
      <w:r w:rsidR="00A21000">
        <w:fldChar w:fldCharType="separate"/>
      </w:r>
      <w:r w:rsidR="00A52A5E">
        <w:t xml:space="preserve">Figure </w:t>
      </w:r>
      <w:r w:rsidR="00A52A5E">
        <w:rPr>
          <w:noProof/>
        </w:rPr>
        <w:t>3</w:t>
      </w:r>
      <w:r w:rsidR="00A21000">
        <w:fldChar w:fldCharType="end"/>
      </w:r>
      <w:r w:rsidR="00172B41">
        <w:t xml:space="preserve"> show </w:t>
      </w:r>
      <w:r w:rsidR="006E02BF">
        <w:t>the calibration curves for the control</w:t>
      </w:r>
      <w:r w:rsidR="00AB0BCD">
        <w:t xml:space="preserve"> </w:t>
      </w:r>
      <w:r w:rsidR="006E02BF">
        <w:t>column and the vegetated column respectively.</w:t>
      </w:r>
    </w:p>
    <w:p w14:paraId="20D3798C" w14:textId="7556FD72" w:rsidR="00387CD0" w:rsidRDefault="00387CD0" w:rsidP="00AB0BCD">
      <w:pPr>
        <w:jc w:val="both"/>
      </w:pPr>
      <w:r>
        <w:rPr>
          <w:noProof/>
        </w:rPr>
        <w:drawing>
          <wp:inline distT="0" distB="0" distL="0" distR="0" wp14:anchorId="44B85C1E" wp14:editId="6CE5E410">
            <wp:extent cx="5549900" cy="4551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0" cy="4551045"/>
                    </a:xfrm>
                    <a:prstGeom prst="rect">
                      <a:avLst/>
                    </a:prstGeom>
                    <a:noFill/>
                    <a:ln>
                      <a:noFill/>
                    </a:ln>
                  </pic:spPr>
                </pic:pic>
              </a:graphicData>
            </a:graphic>
          </wp:inline>
        </w:drawing>
      </w:r>
    </w:p>
    <w:p w14:paraId="2545EB70" w14:textId="039B4294" w:rsidR="001518B8" w:rsidRDefault="001518B8" w:rsidP="0099649F">
      <w:pPr>
        <w:pStyle w:val="Caption"/>
        <w:jc w:val="both"/>
      </w:pPr>
      <w:bookmarkStart w:id="0" w:name="_Ref101447071"/>
      <w:r>
        <w:t xml:space="preserve">Figure </w:t>
      </w:r>
      <w:fldSimple w:instr=" SEQ Figure \* ARABIC ">
        <w:r w:rsidR="007417EB">
          <w:rPr>
            <w:noProof/>
          </w:rPr>
          <w:t>1</w:t>
        </w:r>
      </w:fldSimple>
      <w:bookmarkEnd w:id="0"/>
      <w:r>
        <w:t xml:space="preserve"> </w:t>
      </w:r>
      <w:r w:rsidRPr="0099649F">
        <w:rPr>
          <w:b w:val="0"/>
          <w:bCs w:val="0"/>
        </w:rPr>
        <w:t xml:space="preserve">Schematic of the calibration </w:t>
      </w:r>
      <w:r w:rsidR="00C43944" w:rsidRPr="0099649F">
        <w:rPr>
          <w:b w:val="0"/>
          <w:bCs w:val="0"/>
        </w:rPr>
        <w:t>procedure</w:t>
      </w:r>
      <w:r w:rsidRPr="0099649F">
        <w:rPr>
          <w:b w:val="0"/>
          <w:bCs w:val="0"/>
        </w:rPr>
        <w:t>. All pore pressure sensors are calibrated using six</w:t>
      </w:r>
      <w:r w:rsidR="00C43944" w:rsidRPr="0099649F">
        <w:rPr>
          <w:b w:val="0"/>
          <w:bCs w:val="0"/>
        </w:rPr>
        <w:t xml:space="preserve"> </w:t>
      </w:r>
      <w:r w:rsidRPr="0099649F">
        <w:rPr>
          <w:b w:val="0"/>
          <w:bCs w:val="0"/>
        </w:rPr>
        <w:t xml:space="preserve">different water </w:t>
      </w:r>
      <w:r w:rsidR="00C43944" w:rsidRPr="0099649F">
        <w:rPr>
          <w:b w:val="0"/>
          <w:bCs w:val="0"/>
        </w:rPr>
        <w:t>levels</w:t>
      </w:r>
      <w:r w:rsidR="00EE259D" w:rsidRPr="0099649F">
        <w:rPr>
          <w:b w:val="0"/>
          <w:bCs w:val="0"/>
        </w:rPr>
        <w:t xml:space="preserve"> in reference water column</w:t>
      </w:r>
      <w:r w:rsidRPr="0099649F">
        <w:rPr>
          <w:b w:val="0"/>
          <w:bCs w:val="0"/>
        </w:rPr>
        <w:t xml:space="preserve"> </w:t>
      </w:r>
      <w:r w:rsidR="0096617D" w:rsidRPr="0099649F">
        <w:rPr>
          <w:b w:val="0"/>
          <w:bCs w:val="0"/>
        </w:rPr>
        <w:t xml:space="preserve"> connected to the sediment columns to measure </w:t>
      </w:r>
      <w:r w:rsidRPr="0099649F">
        <w:rPr>
          <w:b w:val="0"/>
          <w:bCs w:val="0"/>
        </w:rPr>
        <w:t>relative</w:t>
      </w:r>
      <w:r w:rsidR="0096617D" w:rsidRPr="0099649F">
        <w:rPr>
          <w:b w:val="0"/>
          <w:bCs w:val="0"/>
        </w:rPr>
        <w:t xml:space="preserve"> </w:t>
      </w:r>
      <w:r w:rsidR="0096617D" w:rsidRPr="0099649F">
        <w:rPr>
          <w:b w:val="0"/>
          <w:bCs w:val="0"/>
        </w:rPr>
        <w:lastRenderedPageBreak/>
        <w:t xml:space="preserve">pressures. </w:t>
      </w:r>
      <w:r w:rsidR="004B3505" w:rsidRPr="0099649F">
        <w:rPr>
          <w:b w:val="0"/>
          <w:bCs w:val="0"/>
        </w:rPr>
        <w:t>R</w:t>
      </w:r>
      <w:r w:rsidR="0096617D" w:rsidRPr="0099649F">
        <w:rPr>
          <w:b w:val="0"/>
          <w:bCs w:val="0"/>
        </w:rPr>
        <w:t>elative</w:t>
      </w:r>
      <w:r w:rsidR="004B3505" w:rsidRPr="0099649F">
        <w:rPr>
          <w:b w:val="0"/>
          <w:bCs w:val="0"/>
        </w:rPr>
        <w:t xml:space="preserve"> pressure differences are measured for the following differences in water level </w:t>
      </w:r>
      <w:r w:rsidRPr="0099649F">
        <w:rPr>
          <w:b w:val="0"/>
          <w:bCs w:val="0"/>
        </w:rPr>
        <w:t>: -2, 0, 2, 4, 6, and 8 cm.</w:t>
      </w:r>
    </w:p>
    <w:p w14:paraId="4B17F034" w14:textId="7066C9B6" w:rsidR="0075320F" w:rsidRDefault="0075320F" w:rsidP="0075320F">
      <w:pPr>
        <w:pStyle w:val="NoSpacing"/>
      </w:pPr>
    </w:p>
    <w:p w14:paraId="32554E9E" w14:textId="1F7EB66B" w:rsidR="0075320F" w:rsidRDefault="0075320F" w:rsidP="0075320F">
      <w:pPr>
        <w:pStyle w:val="NoSpacing"/>
      </w:pPr>
      <w:r>
        <w:rPr>
          <w:noProof/>
        </w:rPr>
        <w:drawing>
          <wp:inline distT="0" distB="0" distL="0" distR="0" wp14:anchorId="60A9F703" wp14:editId="4AA10D0E">
            <wp:extent cx="6208395" cy="38944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3894455"/>
                    </a:xfrm>
                    <a:prstGeom prst="rect">
                      <a:avLst/>
                    </a:prstGeom>
                    <a:noFill/>
                    <a:ln>
                      <a:noFill/>
                    </a:ln>
                  </pic:spPr>
                </pic:pic>
              </a:graphicData>
            </a:graphic>
          </wp:inline>
        </w:drawing>
      </w:r>
    </w:p>
    <w:p w14:paraId="5B28E2AA" w14:textId="6273F45D" w:rsidR="0075320F" w:rsidRDefault="0075320F" w:rsidP="0099649F">
      <w:pPr>
        <w:pStyle w:val="Caption"/>
        <w:jc w:val="both"/>
      </w:pPr>
      <w:bookmarkStart w:id="1" w:name="_Ref101447610"/>
      <w:r>
        <w:t xml:space="preserve">Figure </w:t>
      </w:r>
      <w:fldSimple w:instr=" SEQ Figure \* ARABIC ">
        <w:r w:rsidR="007417EB">
          <w:rPr>
            <w:noProof/>
          </w:rPr>
          <w:t>2</w:t>
        </w:r>
      </w:fldSimple>
      <w:bookmarkEnd w:id="1"/>
      <w:r w:rsidR="00E06A6E">
        <w:t xml:space="preserve"> </w:t>
      </w:r>
      <w:r w:rsidR="00E06A6E" w:rsidRPr="0099649F">
        <w:rPr>
          <w:b w:val="0"/>
          <w:bCs w:val="0"/>
        </w:rPr>
        <w:t>Calibration lines of all pore pressure sensors attached between the reference column and the control column: 4 cm depth (a), 14 cm depth (b), 24 cm depth (c), 34 cm depth (d), 44 cm depth (e), 54 cm</w:t>
      </w:r>
      <w:r w:rsidR="00E819B1" w:rsidRPr="0099649F">
        <w:rPr>
          <w:b w:val="0"/>
          <w:bCs w:val="0"/>
        </w:rPr>
        <w:t xml:space="preserve"> </w:t>
      </w:r>
      <w:r w:rsidR="00E06A6E" w:rsidRPr="0099649F">
        <w:rPr>
          <w:b w:val="0"/>
          <w:bCs w:val="0"/>
        </w:rPr>
        <w:t>depth (f ), 64 cm depth (g), 74 cm</w:t>
      </w:r>
      <w:r w:rsidR="00E819B1" w:rsidRPr="0099649F">
        <w:rPr>
          <w:b w:val="0"/>
          <w:bCs w:val="0"/>
        </w:rPr>
        <w:t xml:space="preserve"> </w:t>
      </w:r>
      <w:r w:rsidR="00E06A6E" w:rsidRPr="0099649F">
        <w:rPr>
          <w:b w:val="0"/>
          <w:bCs w:val="0"/>
        </w:rPr>
        <w:t>depth (h), and 84 cm</w:t>
      </w:r>
      <w:r w:rsidR="00E819B1" w:rsidRPr="0099649F">
        <w:rPr>
          <w:b w:val="0"/>
          <w:bCs w:val="0"/>
        </w:rPr>
        <w:t xml:space="preserve"> </w:t>
      </w:r>
      <w:r w:rsidR="00E06A6E" w:rsidRPr="0099649F">
        <w:rPr>
          <w:b w:val="0"/>
          <w:bCs w:val="0"/>
        </w:rPr>
        <w:t>depth (</w:t>
      </w:r>
      <w:proofErr w:type="spellStart"/>
      <w:r w:rsidR="00E06A6E" w:rsidRPr="0099649F">
        <w:rPr>
          <w:b w:val="0"/>
          <w:bCs w:val="0"/>
        </w:rPr>
        <w:t>i</w:t>
      </w:r>
      <w:proofErr w:type="spellEnd"/>
      <w:r w:rsidR="00E06A6E" w:rsidRPr="0099649F">
        <w:rPr>
          <w:b w:val="0"/>
          <w:bCs w:val="0"/>
        </w:rPr>
        <w:t>).</w:t>
      </w:r>
    </w:p>
    <w:p w14:paraId="7F955162" w14:textId="1E602858" w:rsidR="00E819B1" w:rsidRDefault="00E819B1" w:rsidP="00E819B1">
      <w:pPr>
        <w:pStyle w:val="NoSpacing"/>
      </w:pPr>
    </w:p>
    <w:p w14:paraId="69F888AA" w14:textId="7E9FD3A5" w:rsidR="00E819B1" w:rsidRDefault="00E819B1" w:rsidP="00E819B1">
      <w:pPr>
        <w:pStyle w:val="NoSpacing"/>
      </w:pPr>
    </w:p>
    <w:p w14:paraId="548764BD" w14:textId="693093FA" w:rsidR="00E819B1" w:rsidRDefault="00E819B1" w:rsidP="00E819B1">
      <w:pPr>
        <w:pStyle w:val="NoSpacing"/>
      </w:pPr>
    </w:p>
    <w:p w14:paraId="07A9DE8D" w14:textId="0C9AD4DC" w:rsidR="00E819B1" w:rsidRDefault="00E819B1" w:rsidP="00E819B1">
      <w:pPr>
        <w:pStyle w:val="NoSpacing"/>
      </w:pPr>
      <w:r>
        <w:rPr>
          <w:noProof/>
        </w:rPr>
        <w:lastRenderedPageBreak/>
        <w:drawing>
          <wp:inline distT="0" distB="0" distL="0" distR="0" wp14:anchorId="3C7CDF2E" wp14:editId="2EB2635E">
            <wp:extent cx="6208395" cy="368109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3681095"/>
                    </a:xfrm>
                    <a:prstGeom prst="rect">
                      <a:avLst/>
                    </a:prstGeom>
                    <a:noFill/>
                    <a:ln>
                      <a:noFill/>
                    </a:ln>
                  </pic:spPr>
                </pic:pic>
              </a:graphicData>
            </a:graphic>
          </wp:inline>
        </w:drawing>
      </w:r>
    </w:p>
    <w:p w14:paraId="2AE4A8E1" w14:textId="57AE84FF" w:rsidR="00E819B1" w:rsidRPr="00E819B1" w:rsidRDefault="00E819B1" w:rsidP="0099649F">
      <w:pPr>
        <w:pStyle w:val="Caption"/>
        <w:jc w:val="both"/>
      </w:pPr>
      <w:bookmarkStart w:id="2" w:name="_Ref101447617"/>
      <w:r>
        <w:t xml:space="preserve">Figure </w:t>
      </w:r>
      <w:fldSimple w:instr=" SEQ Figure \* ARABIC ">
        <w:r w:rsidR="007417EB">
          <w:rPr>
            <w:noProof/>
          </w:rPr>
          <w:t>3</w:t>
        </w:r>
      </w:fldSimple>
      <w:bookmarkEnd w:id="2"/>
      <w:r w:rsidR="00E426A1">
        <w:t xml:space="preserve"> </w:t>
      </w:r>
      <w:r w:rsidR="00E426A1" w:rsidRPr="0099649F">
        <w:rPr>
          <w:b w:val="0"/>
          <w:bCs w:val="0"/>
        </w:rPr>
        <w:t>Calibration lines of all pore pressure sensors attached between the reference column and the vegetated column: 4 cm depth (a), 14 cm depth (b), 24 cm depth (c), 34 cm depth (d), 44 cm depth (e), 54 cm depth (f ), 64 cm depth (g), 74 cm depth (h), and 84 cm depth (</w:t>
      </w:r>
      <w:proofErr w:type="spellStart"/>
      <w:r w:rsidR="00E426A1" w:rsidRPr="0099649F">
        <w:rPr>
          <w:b w:val="0"/>
          <w:bCs w:val="0"/>
        </w:rPr>
        <w:t>i</w:t>
      </w:r>
      <w:proofErr w:type="spellEnd"/>
      <w:r w:rsidR="00E426A1" w:rsidRPr="0099649F">
        <w:rPr>
          <w:b w:val="0"/>
          <w:bCs w:val="0"/>
        </w:rPr>
        <w:t>).</w:t>
      </w:r>
    </w:p>
    <w:p w14:paraId="713E58AC" w14:textId="7CEF653B" w:rsidR="00E75A17" w:rsidRPr="00F72E5E" w:rsidRDefault="00C24197" w:rsidP="00861734">
      <w:pPr>
        <w:jc w:val="both"/>
      </w:pPr>
      <w:r>
        <w:t xml:space="preserve">A </w:t>
      </w:r>
      <w:r w:rsidR="00E75A17">
        <w:t>water density of 998.774 kg/m</w:t>
      </w:r>
      <w:r w:rsidR="00E75A17">
        <w:rPr>
          <w:sz w:val="14"/>
          <w:szCs w:val="14"/>
        </w:rPr>
        <w:t>3</w:t>
      </w:r>
      <w:r w:rsidR="00E75A17">
        <w:t xml:space="preserve">, corresponding to the constant lab temperature of 17.4 </w:t>
      </w:r>
      <w:r w:rsidR="00E75A17">
        <w:rPr>
          <w:rFonts w:ascii="Fourier-Math-Symbols" w:hAnsi="Fourier-Math-Symbols" w:cs="Fourier-Math-Symbols"/>
          <w:sz w:val="14"/>
          <w:szCs w:val="14"/>
        </w:rPr>
        <w:t>±</w:t>
      </w:r>
      <w:r w:rsidR="00E75A17">
        <w:t>C</w:t>
      </w:r>
      <w:r>
        <w:t>, was used to convert the output of the pore pressure sensors in mV to kPa</w:t>
      </w:r>
      <w:r w:rsidR="00F72E5E">
        <w:t xml:space="preserve">.  </w:t>
      </w:r>
      <w:r w:rsidR="003145A6">
        <w:t>A g</w:t>
      </w:r>
      <w:r w:rsidR="00E75A17" w:rsidRPr="00F72E5E">
        <w:t>ravity acceleration of 9.8125m/s</w:t>
      </w:r>
      <w:r w:rsidR="00E75A17" w:rsidRPr="003145A6">
        <w:rPr>
          <w:vertAlign w:val="superscript"/>
        </w:rPr>
        <w:t>2</w:t>
      </w:r>
      <w:r w:rsidR="003145A6">
        <w:t xml:space="preserve"> corresponds to the </w:t>
      </w:r>
      <w:r w:rsidR="00E75A17" w:rsidRPr="00F72E5E">
        <w:t>latitude of the laboratory (i.e., 52° N). This means that 0.01 m of water</w:t>
      </w:r>
      <w:r w:rsidR="00861734">
        <w:t xml:space="preserve"> </w:t>
      </w:r>
      <w:r w:rsidR="00E75A17" w:rsidRPr="00F72E5E">
        <w:t>results in a pressure increase of 0.01mx 998.774 kg/m</w:t>
      </w:r>
      <w:r w:rsidR="00E75A17" w:rsidRPr="003145A6">
        <w:rPr>
          <w:vertAlign w:val="superscript"/>
        </w:rPr>
        <w:t>3</w:t>
      </w:r>
      <w:r w:rsidR="00E75A17" w:rsidRPr="00F72E5E">
        <w:t xml:space="preserve"> x 9.8125m/s</w:t>
      </w:r>
      <w:r w:rsidR="00E75A17" w:rsidRPr="003145A6">
        <w:rPr>
          <w:vertAlign w:val="superscript"/>
        </w:rPr>
        <w:t>2</w:t>
      </w:r>
      <w:r w:rsidR="00E75A17" w:rsidRPr="00F72E5E">
        <w:t xml:space="preserve"> = 0.098004 kPa.</w:t>
      </w:r>
    </w:p>
    <w:p w14:paraId="0057BC6B" w14:textId="3981592E" w:rsidR="00AB0BCD" w:rsidRDefault="003145A6" w:rsidP="00861734">
      <w:pPr>
        <w:jc w:val="both"/>
      </w:pPr>
      <w:r>
        <w:t>T</w:t>
      </w:r>
      <w:r w:rsidR="00E75A17" w:rsidRPr="00F72E5E">
        <w:t>he</w:t>
      </w:r>
      <w:r>
        <w:t xml:space="preserve"> </w:t>
      </w:r>
      <w:r w:rsidR="00E75A17" w:rsidRPr="00F72E5E">
        <w:t>relative difference in pressure between the reference column and the sediment column</w:t>
      </w:r>
      <w:r>
        <w:t xml:space="preserve"> was calculated </w:t>
      </w:r>
      <w:r w:rsidR="004D318B">
        <w:t xml:space="preserve">with </w:t>
      </w:r>
      <w:r w:rsidR="004D318B" w:rsidRPr="00F72E5E">
        <w:t xml:space="preserve">the equations of the calibration lines in </w:t>
      </w:r>
      <w:r w:rsidR="004D318B">
        <w:fldChar w:fldCharType="begin"/>
      </w:r>
      <w:r w:rsidR="004D318B">
        <w:instrText xml:space="preserve"> REF _Ref101447610 \h </w:instrText>
      </w:r>
      <w:r w:rsidR="00861734">
        <w:instrText xml:space="preserve"> \* MERGEFORMAT </w:instrText>
      </w:r>
      <w:r w:rsidR="004D318B">
        <w:fldChar w:fldCharType="separate"/>
      </w:r>
      <w:r w:rsidR="00A52A5E">
        <w:t xml:space="preserve">Figure </w:t>
      </w:r>
      <w:r w:rsidR="00A52A5E">
        <w:rPr>
          <w:noProof/>
        </w:rPr>
        <w:t>2</w:t>
      </w:r>
      <w:r w:rsidR="004D318B">
        <w:fldChar w:fldCharType="end"/>
      </w:r>
      <w:r w:rsidR="004D318B">
        <w:t xml:space="preserve"> </w:t>
      </w:r>
      <w:r w:rsidR="004D318B" w:rsidRPr="00F72E5E">
        <w:t>and</w:t>
      </w:r>
      <w:r w:rsidR="004D318B">
        <w:t xml:space="preserve"> </w:t>
      </w:r>
      <w:r w:rsidR="004D318B">
        <w:fldChar w:fldCharType="begin"/>
      </w:r>
      <w:r w:rsidR="004D318B">
        <w:instrText xml:space="preserve"> REF _Ref101447617 \h </w:instrText>
      </w:r>
      <w:r w:rsidR="00861734">
        <w:instrText xml:space="preserve"> \* MERGEFORMAT </w:instrText>
      </w:r>
      <w:r w:rsidR="004D318B">
        <w:fldChar w:fldCharType="separate"/>
      </w:r>
      <w:r w:rsidR="00A52A5E">
        <w:t xml:space="preserve">Figure </w:t>
      </w:r>
      <w:r w:rsidR="00A52A5E">
        <w:rPr>
          <w:noProof/>
        </w:rPr>
        <w:t>3</w:t>
      </w:r>
      <w:r w:rsidR="004D318B">
        <w:fldChar w:fldCharType="end"/>
      </w:r>
      <w:r w:rsidR="004D318B">
        <w:t>. F</w:t>
      </w:r>
      <w:r w:rsidR="00E75A17" w:rsidRPr="00F72E5E">
        <w:t>or each pore pressure sensor: pressure (kPa) = 0.098004 (</w:t>
      </w:r>
      <w:proofErr w:type="spellStart"/>
      <w:r w:rsidR="00E75A17" w:rsidRPr="00F72E5E">
        <w:t>amV</w:t>
      </w:r>
      <w:proofErr w:type="spellEnd"/>
      <w:r w:rsidR="00E75A17" w:rsidRPr="00F72E5E">
        <w:t xml:space="preserve"> + b – 87 cm). </w:t>
      </w:r>
      <w:r w:rsidR="00861734">
        <w:t>This is b</w:t>
      </w:r>
      <w:r w:rsidR="00E75A17" w:rsidRPr="00F72E5E">
        <w:t>ecause the</w:t>
      </w:r>
      <w:r w:rsidR="00861734">
        <w:t xml:space="preserve"> </w:t>
      </w:r>
      <w:r w:rsidR="00E75A17" w:rsidRPr="00F72E5E">
        <w:t>water level in the reference column was fixed at 87 cm during the experiment, changes in</w:t>
      </w:r>
      <w:r w:rsidR="00861734">
        <w:t xml:space="preserve"> </w:t>
      </w:r>
      <w:r w:rsidR="00E75A17" w:rsidRPr="00F72E5E">
        <w:t>kPa are directly related to changes in pore pressure in the sediment columns.</w:t>
      </w:r>
    </w:p>
    <w:p w14:paraId="2554C2A1" w14:textId="77777777" w:rsidR="00AB0BCD" w:rsidRDefault="00AB0BCD" w:rsidP="00AB0BCD">
      <w:pPr>
        <w:jc w:val="both"/>
      </w:pPr>
    </w:p>
    <w:p w14:paraId="2D52C1A2" w14:textId="596A7F4F" w:rsidR="00FB2CEB" w:rsidRDefault="00667415" w:rsidP="00FB2CEB">
      <w:pPr>
        <w:pStyle w:val="Heading1"/>
      </w:pPr>
      <w:r>
        <w:t>Experimental</w:t>
      </w:r>
      <w:r w:rsidR="008603C3">
        <w:t xml:space="preserve"> setup</w:t>
      </w:r>
      <w:r>
        <w:t xml:space="preserve"> </w:t>
      </w:r>
      <w:r w:rsidR="00B40ED6">
        <w:t>zoom in</w:t>
      </w:r>
    </w:p>
    <w:p w14:paraId="48CC38C4" w14:textId="71E6D835" w:rsidR="00667415" w:rsidRDefault="00667415" w:rsidP="004301A0">
      <w:pPr>
        <w:jc w:val="both"/>
      </w:pPr>
      <w:r>
        <w:fldChar w:fldCharType="begin"/>
      </w:r>
      <w:r>
        <w:instrText xml:space="preserve"> REF _Ref101448881 \h </w:instrText>
      </w:r>
      <w:r w:rsidR="004301A0">
        <w:instrText xml:space="preserve"> \* MERGEFORMAT </w:instrText>
      </w:r>
      <w:r>
        <w:fldChar w:fldCharType="separate"/>
      </w:r>
      <w:r w:rsidR="00A52A5E">
        <w:t xml:space="preserve">Figure </w:t>
      </w:r>
      <w:r w:rsidR="00A52A5E">
        <w:rPr>
          <w:noProof/>
        </w:rPr>
        <w:t>4</w:t>
      </w:r>
      <w:r>
        <w:fldChar w:fldCharType="end"/>
      </w:r>
      <w:r>
        <w:t xml:space="preserve"> shows </w:t>
      </w:r>
      <w:r w:rsidR="004301A0">
        <w:t xml:space="preserve">a </w:t>
      </w:r>
      <w:r w:rsidR="00665938">
        <w:t>closer look or zoom</w:t>
      </w:r>
      <w:r w:rsidR="002D50CC">
        <w:t xml:space="preserve"> on </w:t>
      </w:r>
      <w:proofErr w:type="spellStart"/>
      <w:r w:rsidR="002D50CC">
        <w:t>the</w:t>
      </w:r>
      <w:r>
        <w:t>experimental</w:t>
      </w:r>
      <w:proofErr w:type="spellEnd"/>
      <w:r>
        <w:t xml:space="preserve"> set-up</w:t>
      </w:r>
      <w:r w:rsidR="002D50CC">
        <w:t>.</w:t>
      </w:r>
    </w:p>
    <w:p w14:paraId="04790C48" w14:textId="40016E1A" w:rsidR="00852EF2" w:rsidRPr="00667415" w:rsidRDefault="00852EF2" w:rsidP="004301A0">
      <w:pPr>
        <w:jc w:val="both"/>
      </w:pPr>
    </w:p>
    <w:p w14:paraId="74CBB1F8" w14:textId="1A078DE4" w:rsidR="008603C3" w:rsidRDefault="008603C3" w:rsidP="008603C3"/>
    <w:p w14:paraId="13E54BF4" w14:textId="23E971EE" w:rsidR="005B70BE" w:rsidRPr="009A24A7" w:rsidRDefault="00964D8B" w:rsidP="00B44618">
      <w:pPr>
        <w:pStyle w:val="Caption"/>
        <w:jc w:val="both"/>
        <w:rPr>
          <w:b w:val="0"/>
          <w:bCs w:val="0"/>
        </w:rPr>
      </w:pPr>
      <w:bookmarkStart w:id="3" w:name="_Ref101448881"/>
      <w:r>
        <w:t xml:space="preserve">Figure </w:t>
      </w:r>
      <w:fldSimple w:instr=" SEQ Figure \* ARABIC ">
        <w:r w:rsidR="007417EB">
          <w:rPr>
            <w:noProof/>
          </w:rPr>
          <w:t>4</w:t>
        </w:r>
      </w:fldSimple>
      <w:bookmarkEnd w:id="3"/>
      <w:r w:rsidR="005B70BE">
        <w:t xml:space="preserve"> </w:t>
      </w:r>
      <w:r w:rsidR="009A24A7" w:rsidRPr="007040E0">
        <w:t>Experimental set-up of the columns, drainage pipes, Mariotte bottles, and location of the sensors</w:t>
      </w:r>
      <w:r w:rsidR="009A24A7">
        <w:t xml:space="preserve"> (</w:t>
      </w:r>
      <w:r w:rsidR="009A24A7" w:rsidRPr="00984A97">
        <w:t>at 0.4, 10.4, 20.4, 30.4, 40.4, 50.4, 60.4, 70.4, and 80.4 cm from the base of the column</w:t>
      </w:r>
      <w:r w:rsidR="009A24A7">
        <w:t>)</w:t>
      </w:r>
      <w:r w:rsidR="009A24A7" w:rsidRPr="007040E0">
        <w:t>.</w:t>
      </w:r>
      <w:r w:rsidR="009A24A7">
        <w:t xml:space="preserve"> </w:t>
      </w:r>
      <w:r w:rsidR="009A24A7">
        <w:lastRenderedPageBreak/>
        <w:t xml:space="preserve">The 88 cm sediment is the value at the end of the experiment. The 88 cm sediment level is the value at the end of the experiment </w:t>
      </w:r>
    </w:p>
    <w:p w14:paraId="70227D91" w14:textId="736C432C" w:rsidR="008603C3" w:rsidRDefault="00265C16" w:rsidP="009A24A7">
      <w:pPr>
        <w:pStyle w:val="Heading1"/>
      </w:pPr>
      <w:r w:rsidRPr="009A24A7">
        <w:t>P</w:t>
      </w:r>
      <w:r w:rsidR="00E41ADB">
        <w:t xml:space="preserve">ore </w:t>
      </w:r>
      <w:r w:rsidR="0002041C">
        <w:t>pressure</w:t>
      </w:r>
      <w:r>
        <w:t xml:space="preserve"> measurements over time</w:t>
      </w:r>
    </w:p>
    <w:p w14:paraId="1B59EDD7" w14:textId="4ED59456" w:rsidR="00611270" w:rsidRPr="00611270" w:rsidRDefault="003A4C7C" w:rsidP="00611270">
      <w:r>
        <w:fldChar w:fldCharType="begin"/>
      </w:r>
      <w:r>
        <w:instrText xml:space="preserve"> REF _Ref101450033 \h </w:instrText>
      </w:r>
      <w:r>
        <w:fldChar w:fldCharType="separate"/>
      </w:r>
      <w:r w:rsidR="00A52A5E">
        <w:t xml:space="preserve">Figure </w:t>
      </w:r>
      <w:r w:rsidR="00A52A5E">
        <w:rPr>
          <w:noProof/>
        </w:rPr>
        <w:t>5</w:t>
      </w:r>
      <w:r>
        <w:fldChar w:fldCharType="end"/>
      </w:r>
      <w:r>
        <w:t xml:space="preserve"> </w:t>
      </w:r>
      <w:r w:rsidRPr="003A4C7C">
        <w:t xml:space="preserve">shows the evolution </w:t>
      </w:r>
      <w:r w:rsidR="00760F76">
        <w:t xml:space="preserve">over time </w:t>
      </w:r>
      <w:r w:rsidRPr="003A4C7C">
        <w:t xml:space="preserve">of the measured </w:t>
      </w:r>
      <w:r w:rsidR="00760F76">
        <w:t>r</w:t>
      </w:r>
      <w:r w:rsidR="00760F76" w:rsidRPr="00760F76">
        <w:t>elative pore pressure</w:t>
      </w:r>
      <w:r w:rsidR="000B332B">
        <w:t xml:space="preserve"> at different heights in the control and vegetated columns.</w:t>
      </w:r>
    </w:p>
    <w:p w14:paraId="77D8339A" w14:textId="20635C5E" w:rsidR="0002041C" w:rsidRDefault="00473B74" w:rsidP="0002041C">
      <w:r>
        <w:rPr>
          <w:noProof/>
        </w:rPr>
        <w:drawing>
          <wp:inline distT="0" distB="0" distL="0" distR="0" wp14:anchorId="40835716" wp14:editId="2EB0192D">
            <wp:extent cx="6208395" cy="23291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2329180"/>
                    </a:xfrm>
                    <a:prstGeom prst="rect">
                      <a:avLst/>
                    </a:prstGeom>
                    <a:noFill/>
                    <a:ln>
                      <a:noFill/>
                    </a:ln>
                  </pic:spPr>
                </pic:pic>
              </a:graphicData>
            </a:graphic>
          </wp:inline>
        </w:drawing>
      </w:r>
    </w:p>
    <w:p w14:paraId="1EDB486F" w14:textId="4657977C" w:rsidR="003A4C7C" w:rsidRDefault="003A4C7C" w:rsidP="00760F76">
      <w:pPr>
        <w:pStyle w:val="Caption"/>
        <w:jc w:val="both"/>
      </w:pPr>
      <w:bookmarkStart w:id="4" w:name="_Ref101450033"/>
      <w:r>
        <w:t xml:space="preserve">Figure </w:t>
      </w:r>
      <w:fldSimple w:instr=" SEQ Figure \* ARABIC ">
        <w:r w:rsidR="007417EB">
          <w:rPr>
            <w:noProof/>
          </w:rPr>
          <w:t>5</w:t>
        </w:r>
      </w:fldSimple>
      <w:bookmarkEnd w:id="4"/>
      <w:r>
        <w:t xml:space="preserve"> </w:t>
      </w:r>
      <w:r w:rsidR="00760F76" w:rsidRPr="00760F76">
        <w:rPr>
          <w:b w:val="0"/>
          <w:bCs w:val="0"/>
        </w:rPr>
        <w:t>Relative pore pressure (kPa) relative to the reference water column at all depths of the control column (a) and the vegetated column (b) for the duration of the experiment. Each pore pressure sensor is connected at the same height at the sediment column and at the reference water column. This reference column has a constant height of water of 87 cm</w:t>
      </w:r>
    </w:p>
    <w:p w14:paraId="14B6F80E" w14:textId="6E3EA317" w:rsidR="00611270" w:rsidRDefault="00001683" w:rsidP="00772138">
      <w:pPr>
        <w:jc w:val="both"/>
      </w:pPr>
      <w:r w:rsidRPr="00001683">
        <w:t>The majority of the pore water sensors installed in the column with no drainage were</w:t>
      </w:r>
      <w:r>
        <w:t xml:space="preserve"> </w:t>
      </w:r>
      <w:r w:rsidRPr="00001683">
        <w:t>defective and stopped working immediately. This happened with all the sensors of the</w:t>
      </w:r>
      <w:r>
        <w:t xml:space="preserve"> </w:t>
      </w:r>
      <w:r w:rsidRPr="00001683">
        <w:t>same (defective) batch. Consequently, from this column there are the pore water pressure</w:t>
      </w:r>
      <w:r>
        <w:t xml:space="preserve"> </w:t>
      </w:r>
      <w:r w:rsidRPr="00001683">
        <w:t>data available at two column heights.</w:t>
      </w:r>
      <w:r>
        <w:t xml:space="preserve"> </w:t>
      </w:r>
      <w:r>
        <w:fldChar w:fldCharType="begin"/>
      </w:r>
      <w:r>
        <w:instrText xml:space="preserve"> REF _Ref101449841 \h  \* MERGEFORMAT </w:instrText>
      </w:r>
      <w:r>
        <w:fldChar w:fldCharType="separate"/>
      </w:r>
      <w:r w:rsidR="00A52A5E">
        <w:t xml:space="preserve">Figure </w:t>
      </w:r>
      <w:r w:rsidR="00A52A5E">
        <w:rPr>
          <w:noProof/>
        </w:rPr>
        <w:t>6</w:t>
      </w:r>
      <w:r>
        <w:fldChar w:fldCharType="end"/>
      </w:r>
      <w:r w:rsidRPr="00001683">
        <w:t xml:space="preserve"> shows the absolute pore water pressure</w:t>
      </w:r>
      <w:r>
        <w:t xml:space="preserve"> </w:t>
      </w:r>
      <w:r w:rsidRPr="00001683">
        <w:t xml:space="preserve">measured by these two sensors and the sensors at the same height of the control </w:t>
      </w:r>
      <w:r w:rsidR="00296DE2">
        <w:t xml:space="preserve"> and vegetated </w:t>
      </w:r>
      <w:r w:rsidRPr="00001683">
        <w:t>column.</w:t>
      </w:r>
      <w:r>
        <w:t xml:space="preserve"> </w:t>
      </w:r>
      <w:r w:rsidRPr="00001683">
        <w:t xml:space="preserve">This figure shows that, 17 cm below the water table (i.e., at </w:t>
      </w:r>
      <w:r w:rsidRPr="00001683">
        <w:rPr>
          <w:i/>
          <w:iCs/>
        </w:rPr>
        <w:t xml:space="preserve">z </w:t>
      </w:r>
      <w:r w:rsidRPr="00001683">
        <w:t>= 60 cm from the bottom), the</w:t>
      </w:r>
      <w:r>
        <w:t xml:space="preserve"> </w:t>
      </w:r>
      <w:r w:rsidRPr="00001683">
        <w:t xml:space="preserve">absolute pore water pressure decreased faster </w:t>
      </w:r>
      <w:r w:rsidR="00790351">
        <w:t xml:space="preserve">at the beginning of the </w:t>
      </w:r>
      <w:r w:rsidR="00392BF7">
        <w:t xml:space="preserve">experiment </w:t>
      </w:r>
      <w:r w:rsidRPr="00001683">
        <w:t>for the control column</w:t>
      </w:r>
      <w:r w:rsidR="00A415B1">
        <w:t xml:space="preserve"> and vegetated column</w:t>
      </w:r>
      <w:r w:rsidRPr="00001683">
        <w:t>. This implies that</w:t>
      </w:r>
      <w:r>
        <w:t xml:space="preserve"> </w:t>
      </w:r>
      <w:r w:rsidRPr="00001683">
        <w:t>excess pore water pressures are dissipated</w:t>
      </w:r>
      <w:r>
        <w:t xml:space="preserve"> </w:t>
      </w:r>
      <w:r w:rsidRPr="00001683">
        <w:t>more rapidly and, therefore, the consolidation</w:t>
      </w:r>
      <w:r>
        <w:t xml:space="preserve"> </w:t>
      </w:r>
      <w:r w:rsidRPr="00001683">
        <w:t xml:space="preserve">rate is larger. Furthermore, </w:t>
      </w:r>
      <w:r>
        <w:t>it</w:t>
      </w:r>
      <w:r w:rsidRPr="00001683">
        <w:t xml:space="preserve"> shows that the uppermost sensor (</w:t>
      </w:r>
      <w:r w:rsidRPr="00001683">
        <w:rPr>
          <w:i/>
          <w:iCs/>
        </w:rPr>
        <w:t xml:space="preserve">z </w:t>
      </w:r>
      <w:r w:rsidRPr="00001683">
        <w:t>= -3 cm)</w:t>
      </w:r>
      <w:r>
        <w:t xml:space="preserve"> </w:t>
      </w:r>
      <w:r w:rsidRPr="00001683">
        <w:t>recorded negative pressures (suctions) for the column with no drainage</w:t>
      </w:r>
      <w:r w:rsidR="00771834">
        <w:t xml:space="preserve"> and the vegetated column</w:t>
      </w:r>
      <w:r>
        <w:t>.</w:t>
      </w:r>
      <w:r w:rsidR="00772138">
        <w:t xml:space="preserve"> This is a different situation than in the control column, where a positive pressure of 0.49 kPa was measured.</w:t>
      </w:r>
    </w:p>
    <w:p w14:paraId="069BCB2C" w14:textId="4748F6AE" w:rsidR="00611270" w:rsidRDefault="00CF27A9" w:rsidP="0002041C">
      <w:r>
        <w:rPr>
          <w:noProof/>
        </w:rPr>
        <w:lastRenderedPageBreak/>
        <w:drawing>
          <wp:inline distT="0" distB="0" distL="0" distR="0" wp14:anchorId="552C5EE8" wp14:editId="43E0003E">
            <wp:extent cx="6208395" cy="3753485"/>
            <wp:effectExtent l="0" t="0" r="1905" b="0"/>
            <wp:docPr id="11" name="Chart 11">
              <a:extLst xmlns:a="http://schemas.openxmlformats.org/drawingml/2006/main">
                <a:ext uri="{FF2B5EF4-FFF2-40B4-BE49-F238E27FC236}">
                  <a16:creationId xmlns:a16="http://schemas.microsoft.com/office/drawing/2014/main" id="{C88F240D-1EFF-46E2-9183-F0BB183E7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253A80" w14:textId="4DC48529" w:rsidR="00FC5811" w:rsidRPr="00442461" w:rsidRDefault="00001683" w:rsidP="00265089">
      <w:pPr>
        <w:pStyle w:val="Caption"/>
        <w:jc w:val="both"/>
      </w:pPr>
      <w:bookmarkStart w:id="5" w:name="_Ref101449841"/>
      <w:r>
        <w:t xml:space="preserve">Figure </w:t>
      </w:r>
      <w:r w:rsidR="007C0616">
        <w:rPr>
          <w:b w:val="0"/>
          <w:bCs w:val="0"/>
        </w:rPr>
        <w:fldChar w:fldCharType="begin"/>
      </w:r>
      <w:r w:rsidR="007C0616">
        <w:rPr>
          <w:b w:val="0"/>
          <w:bCs w:val="0"/>
        </w:rPr>
        <w:instrText xml:space="preserve"> SEQ Figure \* ARABIC </w:instrText>
      </w:r>
      <w:r w:rsidR="007C0616">
        <w:rPr>
          <w:b w:val="0"/>
          <w:bCs w:val="0"/>
        </w:rPr>
        <w:fldChar w:fldCharType="separate"/>
      </w:r>
      <w:r w:rsidR="007417EB">
        <w:rPr>
          <w:noProof/>
        </w:rPr>
        <w:t>6</w:t>
      </w:r>
      <w:r w:rsidR="007C0616">
        <w:rPr>
          <w:b w:val="0"/>
          <w:bCs w:val="0"/>
          <w:noProof/>
        </w:rPr>
        <w:fldChar w:fldCharType="end"/>
      </w:r>
      <w:bookmarkEnd w:id="5"/>
      <w:r w:rsidR="001A25B6">
        <w:t xml:space="preserve">. </w:t>
      </w:r>
      <w:r w:rsidR="001A25B6" w:rsidRPr="001A25B6">
        <w:rPr>
          <w:b w:val="0"/>
          <w:bCs w:val="0"/>
        </w:rPr>
        <w:t>Absolute pore water sensor</w:t>
      </w:r>
      <w:r w:rsidR="004179AF">
        <w:rPr>
          <w:b w:val="0"/>
          <w:bCs w:val="0"/>
        </w:rPr>
        <w:t xml:space="preserve"> measurements</w:t>
      </w:r>
      <w:r w:rsidR="001A25B6" w:rsidRPr="001A25B6">
        <w:rPr>
          <w:b w:val="0"/>
          <w:bCs w:val="0"/>
        </w:rPr>
        <w:t xml:space="preserve"> 3 cm above (labelled as -3 cm) and 17 cm below the water level of 77 cm. </w:t>
      </w:r>
      <w:r w:rsidR="00B44618">
        <w:rPr>
          <w:b w:val="0"/>
          <w:bCs w:val="0"/>
        </w:rPr>
        <w:t>They correspond to an</w:t>
      </w:r>
      <w:r w:rsidR="001A25B6" w:rsidRPr="001A25B6">
        <w:rPr>
          <w:b w:val="0"/>
          <w:bCs w:val="0"/>
        </w:rPr>
        <w:t xml:space="preserve"> absolute height of 80 and 60 cm from the bottom of the column</w:t>
      </w:r>
      <w:r w:rsidR="00B44618">
        <w:rPr>
          <w:b w:val="0"/>
          <w:bCs w:val="0"/>
        </w:rPr>
        <w:t>.</w:t>
      </w:r>
    </w:p>
    <w:p w14:paraId="1404A59B" w14:textId="07355D99" w:rsidR="00740131" w:rsidRDefault="00E26AE8" w:rsidP="00740131">
      <w:pPr>
        <w:pStyle w:val="Heading1"/>
      </w:pPr>
      <w:r>
        <w:t>Conductivity profiles</w:t>
      </w:r>
    </w:p>
    <w:p w14:paraId="16AB94D1" w14:textId="4FF8E7EC" w:rsidR="00785554" w:rsidRPr="00B40ED6" w:rsidRDefault="00432F46" w:rsidP="00432F46">
      <w:pPr>
        <w:jc w:val="both"/>
      </w:pPr>
      <w:r w:rsidRPr="00EE2119">
        <w:rPr>
          <w:rFonts w:cs="Times New Roman"/>
        </w:rPr>
        <w:t xml:space="preserve">The measured water fluxes </w:t>
      </w:r>
      <w:r>
        <w:rPr>
          <w:rFonts w:cs="Times New Roman"/>
        </w:rPr>
        <w:t>(</w:t>
      </w:r>
      <w:r>
        <w:rPr>
          <w:rFonts w:cs="Times New Roman"/>
        </w:rPr>
        <w:fldChar w:fldCharType="begin"/>
      </w:r>
      <w:r>
        <w:rPr>
          <w:rFonts w:cs="Times New Roman"/>
        </w:rPr>
        <w:instrText xml:space="preserve"> REF _Ref101461766 \h </w:instrText>
      </w:r>
      <w:r>
        <w:rPr>
          <w:rFonts w:cs="Times New Roman"/>
        </w:rPr>
      </w:r>
      <w:r>
        <w:rPr>
          <w:rFonts w:cs="Times New Roman"/>
        </w:rPr>
        <w:fldChar w:fldCharType="separate"/>
      </w:r>
      <w:r>
        <w:t xml:space="preserve">Figure </w:t>
      </w:r>
      <w:r>
        <w:rPr>
          <w:noProof/>
        </w:rPr>
        <w:t>3</w:t>
      </w:r>
      <w:r>
        <w:rPr>
          <w:rFonts w:cs="Times New Roman"/>
        </w:rPr>
        <w:fldChar w:fldCharType="end"/>
      </w:r>
      <w:r>
        <w:rPr>
          <w:rFonts w:cs="Times New Roman"/>
        </w:rPr>
        <w:t xml:space="preserve">) </w:t>
      </w:r>
      <w:r w:rsidRPr="00EE2119">
        <w:rPr>
          <w:rFonts w:cs="Times New Roman"/>
        </w:rPr>
        <w:t xml:space="preserve">were used for calculating the hydraulic conductivity using </w:t>
      </w:r>
      <w:proofErr w:type="spellStart"/>
      <w:r w:rsidRPr="00EE2119">
        <w:rPr>
          <w:rFonts w:cs="Times New Roman"/>
        </w:rPr>
        <w:t>Equ</w:t>
      </w:r>
      <w:proofErr w:type="spellEnd"/>
      <w:r w:rsidRPr="00EE2119">
        <w:rPr>
          <w:rFonts w:cs="Times New Roman"/>
        </w:rPr>
        <w:t>. (1).</w:t>
      </w:r>
      <w:r>
        <w:rPr>
          <w:rFonts w:cs="Times New Roman"/>
        </w:rPr>
        <w:t xml:space="preserve"> </w:t>
      </w:r>
      <w:r w:rsidR="007417EB">
        <w:rPr>
          <w:rFonts w:cs="Times New Roman"/>
        </w:rPr>
        <w:fldChar w:fldCharType="begin"/>
      </w:r>
      <w:r w:rsidR="007417EB">
        <w:rPr>
          <w:rFonts w:cs="Times New Roman"/>
        </w:rPr>
        <w:instrText xml:space="preserve"> REF _Ref113449806 \h </w:instrText>
      </w:r>
      <w:r w:rsidR="007417EB">
        <w:rPr>
          <w:rFonts w:cs="Times New Roman"/>
        </w:rPr>
      </w:r>
      <w:r w:rsidR="007417EB">
        <w:rPr>
          <w:rFonts w:cs="Times New Roman"/>
        </w:rPr>
        <w:fldChar w:fldCharType="separate"/>
      </w:r>
      <w:r w:rsidR="007417EB">
        <w:t xml:space="preserve">Figure </w:t>
      </w:r>
      <w:r w:rsidR="007417EB">
        <w:rPr>
          <w:noProof/>
        </w:rPr>
        <w:t>7</w:t>
      </w:r>
      <w:r w:rsidR="007417EB">
        <w:rPr>
          <w:rFonts w:cs="Times New Roman"/>
        </w:rPr>
        <w:fldChar w:fldCharType="end"/>
      </w:r>
      <w:r w:rsidR="0055504F">
        <w:rPr>
          <w:rFonts w:cs="Times New Roman"/>
        </w:rPr>
        <w:t xml:space="preserve"> </w:t>
      </w:r>
      <w:r w:rsidRPr="00EE2119">
        <w:rPr>
          <w:rFonts w:cs="Times New Roman"/>
        </w:rPr>
        <w:t>shows the calculated hydraulic conductivity profiles (</w:t>
      </w:r>
      <w:r w:rsidRPr="00EE2119">
        <w:rPr>
          <w:rFonts w:cs="Times New Roman"/>
          <w:i/>
        </w:rPr>
        <w:t>k</w:t>
      </w:r>
      <w:r w:rsidRPr="00EE2119">
        <w:rPr>
          <w:rFonts w:cs="Times New Roman"/>
        </w:rPr>
        <w:t>(</w:t>
      </w:r>
      <w:r w:rsidRPr="00EE2119">
        <w:rPr>
          <w:rFonts w:cs="Times New Roman"/>
          <w:i/>
        </w:rPr>
        <w:t>z</w:t>
      </w:r>
      <w:r w:rsidRPr="00EE2119">
        <w:rPr>
          <w:rFonts w:cs="Times New Roman"/>
        </w:rPr>
        <w:t xml:space="preserve">) from </w:t>
      </w:r>
      <w:proofErr w:type="spellStart"/>
      <w:r w:rsidRPr="00EE2119">
        <w:rPr>
          <w:rFonts w:cs="Times New Roman"/>
        </w:rPr>
        <w:t>Equ</w:t>
      </w:r>
      <w:proofErr w:type="spellEnd"/>
      <w:r w:rsidRPr="00EE2119">
        <w:rPr>
          <w:rFonts w:cs="Times New Roman"/>
        </w:rPr>
        <w:t>. (1)) of the vegetated column and the control column</w:t>
      </w:r>
      <w:r w:rsidR="00362BF7">
        <w:rPr>
          <w:rFonts w:cs="Times New Roman"/>
        </w:rPr>
        <w:t>, calculated under the assumption that the flow</w:t>
      </w:r>
      <w:r w:rsidR="00B726DB">
        <w:rPr>
          <w:rFonts w:cs="Times New Roman"/>
        </w:rPr>
        <w:t xml:space="preserve"> </w:t>
      </w:r>
      <w:r w:rsidR="00B726DB" w:rsidRPr="00265089">
        <w:rPr>
          <w:rFonts w:cs="Times New Roman"/>
          <w:i/>
          <w:iCs/>
        </w:rPr>
        <w:t>Q</w:t>
      </w:r>
      <w:r w:rsidR="00362BF7">
        <w:rPr>
          <w:rFonts w:cs="Times New Roman"/>
        </w:rPr>
        <w:t xml:space="preserve"> is uniform over depth</w:t>
      </w:r>
      <w:r w:rsidRPr="00EE2119">
        <w:rPr>
          <w:rFonts w:cs="Times New Roman"/>
        </w:rPr>
        <w:t xml:space="preserve">. </w:t>
      </w:r>
      <w:r w:rsidR="00B726DB">
        <w:t>I</w:t>
      </w:r>
      <w:r w:rsidR="00785554">
        <w:t xml:space="preserve">t is questionable if </w:t>
      </w:r>
      <w:r w:rsidR="00B726DB">
        <w:t>this assumption is valid</w:t>
      </w:r>
      <w:r w:rsidR="00E2233F">
        <w:t>,</w:t>
      </w:r>
      <w:r w:rsidR="00B726DB">
        <w:t xml:space="preserve"> as</w:t>
      </w:r>
      <w:r w:rsidR="00785554">
        <w:t xml:space="preserve"> </w:t>
      </w:r>
      <w:r w:rsidR="00B726DB">
        <w:t>m</w:t>
      </w:r>
      <w:r w:rsidR="00785554">
        <w:t>ore permeable parts may attract more flow</w:t>
      </w:r>
      <w:r w:rsidR="008F0C95">
        <w:t xml:space="preserve"> and</w:t>
      </w:r>
      <w:r w:rsidR="00785554">
        <w:t xml:space="preserve"> less permeable parts less flow. So conclusions drawn from </w:t>
      </w:r>
      <w:r w:rsidR="008F0C95">
        <w:t xml:space="preserve">this figure </w:t>
      </w:r>
      <w:r w:rsidR="00785554">
        <w:t>are</w:t>
      </w:r>
      <w:r w:rsidR="00E2233F">
        <w:t>, to a certain extent,</w:t>
      </w:r>
      <w:r w:rsidR="00785554">
        <w:t xml:space="preserve"> uncertain.</w:t>
      </w:r>
    </w:p>
    <w:p w14:paraId="0C589329" w14:textId="746138FD" w:rsidR="00432F46" w:rsidRDefault="00E2233F" w:rsidP="00432F46">
      <w:pPr>
        <w:jc w:val="both"/>
        <w:rPr>
          <w:rFonts w:cs="Times New Roman"/>
        </w:rPr>
      </w:pPr>
      <w:r>
        <w:rPr>
          <w:rFonts w:cs="Times New Roman"/>
        </w:rPr>
        <w:fldChar w:fldCharType="begin"/>
      </w:r>
      <w:r>
        <w:rPr>
          <w:rFonts w:cs="Times New Roman"/>
        </w:rPr>
        <w:instrText xml:space="preserve"> REF _Ref113449806 \h </w:instrText>
      </w:r>
      <w:r>
        <w:rPr>
          <w:rFonts w:cs="Times New Roman"/>
        </w:rPr>
      </w:r>
      <w:r>
        <w:rPr>
          <w:rFonts w:cs="Times New Roman"/>
        </w:rPr>
        <w:fldChar w:fldCharType="separate"/>
      </w:r>
      <w:r>
        <w:t xml:space="preserve">Figure </w:t>
      </w:r>
      <w:r>
        <w:rPr>
          <w:noProof/>
        </w:rPr>
        <w:t>7</w:t>
      </w:r>
      <w:r>
        <w:rPr>
          <w:rFonts w:cs="Times New Roman"/>
        </w:rPr>
        <w:fldChar w:fldCharType="end"/>
      </w:r>
      <w:r>
        <w:rPr>
          <w:rFonts w:cs="Times New Roman"/>
        </w:rPr>
        <w:t xml:space="preserve"> shows that i</w:t>
      </w:r>
      <w:r w:rsidR="00432F46" w:rsidRPr="00EE2119">
        <w:rPr>
          <w:rFonts w:cs="Times New Roman"/>
        </w:rPr>
        <w:t>n the first two days of the experiment (phase 1), the hydraulic conductivity started relatively high on average (8.8 x 10</w:t>
      </w:r>
      <w:r w:rsidR="00432F46" w:rsidRPr="00EE2119">
        <w:rPr>
          <w:rFonts w:cs="Times New Roman"/>
          <w:vertAlign w:val="superscript"/>
        </w:rPr>
        <w:t>-9</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xml:space="preserve"> for the vegetated column and 5.3 x 10</w:t>
      </w:r>
      <w:r w:rsidR="00432F46" w:rsidRPr="00EE2119">
        <w:rPr>
          <w:rFonts w:cs="Times New Roman"/>
          <w:vertAlign w:val="superscript"/>
        </w:rPr>
        <w:t>-9</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xml:space="preserve"> for the control column). The hydraulic conductivity rapidly decreased due to self-weight consolidation in phase 2 to 1.3 x 10</w:t>
      </w:r>
      <w:r w:rsidR="00432F46" w:rsidRPr="00EE2119">
        <w:rPr>
          <w:rFonts w:cs="Times New Roman"/>
          <w:vertAlign w:val="superscript"/>
        </w:rPr>
        <w:t>-11</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xml:space="preserve"> on average in the control column and to 1.1 x 10</w:t>
      </w:r>
      <w:r w:rsidR="00432F46" w:rsidRPr="00EE2119">
        <w:rPr>
          <w:rFonts w:cs="Times New Roman"/>
          <w:vertAlign w:val="superscript"/>
        </w:rPr>
        <w:t>-10</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xml:space="preserve"> on average in the vegetated column. This </w:t>
      </w:r>
      <w:r w:rsidR="00432F46">
        <w:rPr>
          <w:rFonts w:cs="Times New Roman"/>
        </w:rPr>
        <w:t xml:space="preserve">agrees </w:t>
      </w:r>
      <w:r w:rsidR="00432F46" w:rsidRPr="00EE2119">
        <w:rPr>
          <w:rFonts w:cs="Times New Roman"/>
        </w:rPr>
        <w:t>with</w:t>
      </w:r>
      <w:r w:rsidR="00432F46">
        <w:rPr>
          <w:rFonts w:cs="Times New Roman"/>
        </w:rPr>
        <w:t xml:space="preserve"> </w:t>
      </w:r>
      <w:r w:rsidR="00C67377">
        <w:rPr>
          <w:rFonts w:cs="Times New Roman"/>
        </w:rPr>
        <w:t>settling curves</w:t>
      </w:r>
      <w:r w:rsidR="00432F46">
        <w:rPr>
          <w:rFonts w:cs="Times New Roman"/>
        </w:rPr>
        <w:fldChar w:fldCharType="begin"/>
      </w:r>
      <w:r w:rsidR="00432F46">
        <w:rPr>
          <w:rFonts w:cs="Times New Roman"/>
        </w:rPr>
        <w:instrText xml:space="preserve"> REF _Ref101468190 \h </w:instrText>
      </w:r>
      <w:r w:rsidR="00432F46">
        <w:rPr>
          <w:rFonts w:cs="Times New Roman"/>
        </w:rPr>
      </w:r>
      <w:r w:rsidR="00000000">
        <w:rPr>
          <w:rFonts w:cs="Times New Roman"/>
        </w:rPr>
        <w:fldChar w:fldCharType="separate"/>
      </w:r>
      <w:r w:rsidR="00432F46">
        <w:rPr>
          <w:rFonts w:cs="Times New Roman"/>
        </w:rPr>
        <w:fldChar w:fldCharType="end"/>
      </w:r>
      <w:r w:rsidR="00432F46" w:rsidRPr="00EE2119">
        <w:rPr>
          <w:rFonts w:cs="Times New Roman"/>
        </w:rPr>
        <w:t>, which show that the sediment height in both columns lowered rapidly in the first 15 days. The difference in the initial hydraulic conductivities between the control column and the vegetated column might be caused by small disturbances induced when transplanting the reed seedlings at t = 0 days. The hydraulic conductivities in both columns stabilized on average to 3.2 x 10</w:t>
      </w:r>
      <w:r w:rsidR="00432F46" w:rsidRPr="00EE2119">
        <w:rPr>
          <w:rFonts w:cs="Times New Roman"/>
          <w:vertAlign w:val="superscript"/>
        </w:rPr>
        <w:t>-10</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xml:space="preserve"> in the control column and 1.3 x 10</w:t>
      </w:r>
      <w:r w:rsidR="00432F46" w:rsidRPr="00EE2119">
        <w:rPr>
          <w:rFonts w:cs="Times New Roman"/>
          <w:vertAlign w:val="superscript"/>
        </w:rPr>
        <w:t>-9 </w:t>
      </w:r>
      <w:r w:rsidR="00432F46" w:rsidRPr="00EE2119">
        <w:rPr>
          <w:rFonts w:cs="Times New Roman"/>
        </w:rPr>
        <w:t>m s</w:t>
      </w:r>
      <w:r w:rsidR="00432F46" w:rsidRPr="00EE2119">
        <w:rPr>
          <w:rFonts w:cs="Times New Roman"/>
          <w:vertAlign w:val="superscript"/>
        </w:rPr>
        <w:t>-1</w:t>
      </w:r>
      <w:r w:rsidR="00432F46" w:rsidRPr="00EE2119">
        <w:rPr>
          <w:rFonts w:cs="Times New Roman"/>
        </w:rPr>
        <w:t xml:space="preserve"> in the vegetated column. In phase 3, the hydraulic conductivity in the vegetated column averaged at 1.9 x 10</w:t>
      </w:r>
      <w:r w:rsidR="00432F46" w:rsidRPr="00EE2119">
        <w:rPr>
          <w:rFonts w:cs="Times New Roman"/>
          <w:vertAlign w:val="superscript"/>
        </w:rPr>
        <w:t>-10</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while the hydraulic conductivity in the control column averaged at 1.3 x 10</w:t>
      </w:r>
      <w:r w:rsidR="00432F46" w:rsidRPr="00EE2119">
        <w:rPr>
          <w:rFonts w:cs="Times New Roman"/>
          <w:vertAlign w:val="superscript"/>
        </w:rPr>
        <w:t>-10</w:t>
      </w:r>
      <w:r w:rsidR="00432F46" w:rsidRPr="00EE2119">
        <w:rPr>
          <w:rFonts w:cs="Times New Roman"/>
        </w:rPr>
        <w:t xml:space="preserve"> m s</w:t>
      </w:r>
      <w:r w:rsidR="00432F46" w:rsidRPr="00EE2119">
        <w:rPr>
          <w:rFonts w:cs="Times New Roman"/>
          <w:vertAlign w:val="superscript"/>
        </w:rPr>
        <w:t>-1</w:t>
      </w:r>
      <w:r w:rsidR="00432F46" w:rsidRPr="00EE2119">
        <w:rPr>
          <w:rFonts w:cs="Times New Roman"/>
        </w:rPr>
        <w:t xml:space="preserve">. Thus, the hydraulic conductivity increased with a factor 1.4 compared to the control column due to enhanced drainage via transpiration in the phase when plants became active. Note that at t = 0, the hydraulic conductivity computed in the vegetated and non-vegetated columns differ considerably. These differences can be explained by </w:t>
      </w:r>
      <w:proofErr w:type="spellStart"/>
      <w:r w:rsidR="00432F46" w:rsidRPr="00EE2119">
        <w:rPr>
          <w:rFonts w:cs="Times New Roman"/>
        </w:rPr>
        <w:t>Equ</w:t>
      </w:r>
      <w:proofErr w:type="spellEnd"/>
      <w:r w:rsidR="00432F46" w:rsidRPr="00EE2119">
        <w:rPr>
          <w:rFonts w:cs="Times New Roman"/>
        </w:rPr>
        <w:t xml:space="preserve">. </w:t>
      </w:r>
      <w:r w:rsidR="00432F46" w:rsidRPr="00EE2119">
        <w:rPr>
          <w:rFonts w:cs="Times New Roman"/>
        </w:rPr>
        <w:lastRenderedPageBreak/>
        <w:t>(1)</w:t>
      </w:r>
      <w:r w:rsidR="00432F46">
        <w:rPr>
          <w:rFonts w:cs="Times New Roman"/>
        </w:rPr>
        <w:t xml:space="preserve">: </w:t>
      </w:r>
      <w:r w:rsidR="00432F46" w:rsidRPr="00737CA7">
        <w:rPr>
          <w:rFonts w:ascii="Symbol" w:hAnsi="Symbol" w:cstheme="majorHAnsi"/>
          <w:i/>
          <w:szCs w:val="20"/>
        </w:rPr>
        <w:t></w:t>
      </w:r>
      <w:r w:rsidR="00432F46" w:rsidRPr="00EE2119">
        <w:rPr>
          <w:rFonts w:cs="Times New Roman"/>
          <w:i/>
        </w:rPr>
        <w:t>P</w:t>
      </w:r>
      <w:r w:rsidR="00432F46" w:rsidRPr="00EE2119">
        <w:rPr>
          <w:rFonts w:cs="Times New Roman"/>
        </w:rPr>
        <w:t>(</w:t>
      </w:r>
      <w:r w:rsidR="00432F46" w:rsidRPr="00EE2119">
        <w:rPr>
          <w:rFonts w:cs="Times New Roman"/>
          <w:i/>
        </w:rPr>
        <w:t>z</w:t>
      </w:r>
      <w:r w:rsidR="00432F46" w:rsidRPr="00EE2119">
        <w:rPr>
          <w:rFonts w:cs="Times New Roman"/>
        </w:rPr>
        <w:t>)</w:t>
      </w:r>
      <w:r w:rsidR="00432F46">
        <w:rPr>
          <w:rFonts w:cs="Times New Roman"/>
        </w:rPr>
        <w:t xml:space="preserve"> is measured but </w:t>
      </w:r>
      <w:r w:rsidR="00432F46" w:rsidRPr="00EE2119">
        <w:rPr>
          <w:rFonts w:cs="Times New Roman"/>
          <w:i/>
        </w:rPr>
        <w:t>Q</w:t>
      </w:r>
      <w:r w:rsidR="00432F46" w:rsidRPr="00EE2119">
        <w:rPr>
          <w:rFonts w:cs="Times New Roman"/>
        </w:rPr>
        <w:t>(</w:t>
      </w:r>
      <w:r w:rsidR="00432F46" w:rsidRPr="00EE2119">
        <w:rPr>
          <w:rFonts w:cs="Times New Roman"/>
          <w:i/>
        </w:rPr>
        <w:t>z</w:t>
      </w:r>
      <w:r w:rsidR="00432F46" w:rsidRPr="00EE2119">
        <w:rPr>
          <w:rFonts w:cs="Times New Roman"/>
        </w:rPr>
        <w:t>)</w:t>
      </w:r>
      <w:r w:rsidR="00432F46">
        <w:rPr>
          <w:rFonts w:cs="Times New Roman"/>
        </w:rPr>
        <w:t xml:space="preserve"> not</w:t>
      </w:r>
      <w:r w:rsidR="00432F46" w:rsidRPr="00EE2119">
        <w:rPr>
          <w:rFonts w:cs="Times New Roman"/>
        </w:rPr>
        <w:t>, th</w:t>
      </w:r>
      <w:r w:rsidR="00432F46">
        <w:rPr>
          <w:rFonts w:cs="Times New Roman"/>
        </w:rPr>
        <w:t xml:space="preserve">erefore </w:t>
      </w:r>
      <w:r w:rsidR="00432F46" w:rsidRPr="00EE2119">
        <w:rPr>
          <w:rFonts w:cs="Times New Roman"/>
        </w:rPr>
        <w:t>depth-average</w:t>
      </w:r>
      <w:r w:rsidR="00432F46">
        <w:rPr>
          <w:rFonts w:cs="Times New Roman"/>
        </w:rPr>
        <w:t xml:space="preserve">d </w:t>
      </w:r>
      <w:r w:rsidR="00432F46" w:rsidRPr="002076DD">
        <w:rPr>
          <w:rFonts w:cs="Times New Roman"/>
          <w:i/>
          <w:iCs/>
        </w:rPr>
        <w:t>Q</w:t>
      </w:r>
      <w:r w:rsidR="00432F46" w:rsidRPr="00EE2119">
        <w:rPr>
          <w:rFonts w:cs="Times New Roman"/>
        </w:rPr>
        <w:t xml:space="preserve"> value</w:t>
      </w:r>
      <w:r w:rsidR="00432F46">
        <w:rPr>
          <w:rFonts w:cs="Times New Roman"/>
        </w:rPr>
        <w:t xml:space="preserve"> was used</w:t>
      </w:r>
      <w:r w:rsidR="00432F46" w:rsidRPr="00EE2119">
        <w:rPr>
          <w:rFonts w:cs="Times New Roman"/>
        </w:rPr>
        <w:t xml:space="preserve">. However, a larger or smaller </w:t>
      </w:r>
      <w:r w:rsidR="00432F46" w:rsidRPr="00737CA7">
        <w:rPr>
          <w:rFonts w:ascii="Symbol" w:hAnsi="Symbol" w:cstheme="majorHAnsi"/>
          <w:i/>
          <w:szCs w:val="20"/>
        </w:rPr>
        <w:t></w:t>
      </w:r>
      <w:r w:rsidR="00432F46" w:rsidRPr="00EE2119">
        <w:rPr>
          <w:rFonts w:cs="Times New Roman"/>
          <w:i/>
        </w:rPr>
        <w:t>P</w:t>
      </w:r>
      <w:r w:rsidR="00432F46" w:rsidRPr="00EE2119">
        <w:rPr>
          <w:rFonts w:cs="Times New Roman"/>
        </w:rPr>
        <w:t>(</w:t>
      </w:r>
      <w:r w:rsidR="00432F46" w:rsidRPr="00EE2119">
        <w:rPr>
          <w:rFonts w:cs="Times New Roman"/>
          <w:i/>
        </w:rPr>
        <w:t>z</w:t>
      </w:r>
      <w:r w:rsidR="00432F46" w:rsidRPr="00EE2119">
        <w:rPr>
          <w:rFonts w:cs="Times New Roman"/>
        </w:rPr>
        <w:t xml:space="preserve">) would affect </w:t>
      </w:r>
      <w:r w:rsidR="00432F46" w:rsidRPr="00EE2119">
        <w:rPr>
          <w:rFonts w:cs="Times New Roman"/>
          <w:i/>
        </w:rPr>
        <w:t>Q</w:t>
      </w:r>
      <w:r w:rsidR="00432F46" w:rsidRPr="00EE2119">
        <w:rPr>
          <w:rFonts w:cs="Times New Roman"/>
        </w:rPr>
        <w:t xml:space="preserve"> locally. Together with the inherent inhomogeneities in the soil, this leads to errors in </w:t>
      </w:r>
      <w:r w:rsidR="00432F46" w:rsidRPr="00EE2119">
        <w:rPr>
          <w:rFonts w:cs="Times New Roman"/>
          <w:i/>
        </w:rPr>
        <w:t>k</w:t>
      </w:r>
      <w:r w:rsidR="00432F46" w:rsidRPr="00EE2119">
        <w:rPr>
          <w:rFonts w:cs="Times New Roman"/>
        </w:rPr>
        <w:t>(</w:t>
      </w:r>
      <w:r w:rsidR="00432F46" w:rsidRPr="00EE2119">
        <w:rPr>
          <w:rFonts w:cs="Times New Roman"/>
          <w:i/>
        </w:rPr>
        <w:t>z</w:t>
      </w:r>
      <w:r w:rsidR="00432F46" w:rsidRPr="00EE2119">
        <w:rPr>
          <w:rFonts w:cs="Times New Roman"/>
        </w:rPr>
        <w:t>). These errors reduce over time, as flow rates, and thus their absolute errors, decrease over time.</w:t>
      </w:r>
    </w:p>
    <w:p w14:paraId="3D1248BD" w14:textId="77777777" w:rsidR="00432F46" w:rsidRDefault="00432F46" w:rsidP="00432F46">
      <w:pPr>
        <w:tabs>
          <w:tab w:val="left" w:pos="720"/>
        </w:tabs>
        <w:rPr>
          <w:rFonts w:ascii="Arial" w:hAnsi="Arial" w:cs="Arial"/>
          <w:b/>
          <w:noProof/>
          <w:lang w:val="nl-NL" w:eastAsia="nl-NL"/>
        </w:rPr>
      </w:pPr>
      <w:r>
        <w:rPr>
          <w:rFonts w:ascii="Arial" w:hAnsi="Arial" w:cs="Arial"/>
          <w:b/>
          <w:noProof/>
          <w:lang w:val="en-GB" w:eastAsia="en-GB"/>
        </w:rPr>
        <w:drawing>
          <wp:inline distT="0" distB="0" distL="0" distR="0" wp14:anchorId="3D3425CC" wp14:editId="149AD9CE">
            <wp:extent cx="4124325" cy="6191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325" cy="6191250"/>
                    </a:xfrm>
                    <a:prstGeom prst="rect">
                      <a:avLst/>
                    </a:prstGeom>
                    <a:noFill/>
                    <a:ln>
                      <a:noFill/>
                    </a:ln>
                  </pic:spPr>
                </pic:pic>
              </a:graphicData>
            </a:graphic>
          </wp:inline>
        </w:drawing>
      </w:r>
    </w:p>
    <w:p w14:paraId="287866FA" w14:textId="77777777" w:rsidR="00432F46" w:rsidRPr="00FF0022" w:rsidRDefault="00432F46" w:rsidP="00432F46"/>
    <w:p w14:paraId="017D4106" w14:textId="50A51CD4" w:rsidR="00432F46" w:rsidRPr="007040E0" w:rsidRDefault="007417EB" w:rsidP="007417EB">
      <w:pPr>
        <w:pStyle w:val="Caption"/>
        <w:rPr>
          <w:rFonts w:asciiTheme="majorHAnsi" w:hAnsiTheme="majorHAnsi" w:cstheme="majorHAnsi"/>
        </w:rPr>
      </w:pPr>
      <w:bookmarkStart w:id="6" w:name="_Ref113449806"/>
      <w:r>
        <w:t xml:space="preserve">Figure </w:t>
      </w:r>
      <w:fldSimple w:instr=" SEQ Figure \* ARABIC ">
        <w:r>
          <w:rPr>
            <w:noProof/>
          </w:rPr>
          <w:t>7</w:t>
        </w:r>
      </w:fldSimple>
      <w:bookmarkEnd w:id="6"/>
      <w:r>
        <w:t xml:space="preserve"> </w:t>
      </w:r>
      <w:r w:rsidR="00432F46" w:rsidRPr="007040E0">
        <w:rPr>
          <w:rFonts w:asciiTheme="majorHAnsi" w:hAnsiTheme="majorHAnsi" w:cstheme="majorHAnsi"/>
        </w:rPr>
        <w:t>Conductivity profiles (m s</w:t>
      </w:r>
      <w:r w:rsidR="00432F46" w:rsidRPr="007040E0">
        <w:rPr>
          <w:rFonts w:asciiTheme="majorHAnsi" w:hAnsiTheme="majorHAnsi" w:cstheme="majorHAnsi"/>
          <w:vertAlign w:val="superscript"/>
        </w:rPr>
        <w:t>-1</w:t>
      </w:r>
      <w:r w:rsidR="00432F46" w:rsidRPr="007040E0">
        <w:rPr>
          <w:rFonts w:asciiTheme="majorHAnsi" w:hAnsiTheme="majorHAnsi" w:cstheme="majorHAnsi"/>
        </w:rPr>
        <w:t xml:space="preserve">) for the control column (a) and the vegetated column (b) with standard errors. Profiles are averaged for three different time phases: </w:t>
      </w:r>
      <w:r w:rsidR="00432F46" w:rsidRPr="007040E0">
        <w:rPr>
          <w:rFonts w:asciiTheme="majorHAnsi" w:hAnsiTheme="majorHAnsi" w:cstheme="majorHAnsi"/>
        </w:rPr>
        <w:lastRenderedPageBreak/>
        <w:t>1) fast consolidation phase (0-1 days), 2) stable phase (12-40 days), and 3) plant transpiration phase (&gt; 40 days).</w:t>
      </w:r>
    </w:p>
    <w:p w14:paraId="567E998E" w14:textId="4988DE6B" w:rsidR="007417EB" w:rsidRDefault="007417EB" w:rsidP="007417EB">
      <w:pPr>
        <w:jc w:val="both"/>
      </w:pPr>
      <w:r w:rsidRPr="00CD39E6">
        <w:t>Although</w:t>
      </w:r>
      <w:r w:rsidR="0055504F">
        <w:t xml:space="preserve"> </w:t>
      </w:r>
      <w:r w:rsidR="0055504F">
        <w:rPr>
          <w:rFonts w:cs="Times New Roman"/>
        </w:rPr>
        <w:fldChar w:fldCharType="begin"/>
      </w:r>
      <w:r w:rsidR="0055504F">
        <w:rPr>
          <w:rFonts w:cs="Times New Roman"/>
        </w:rPr>
        <w:instrText xml:space="preserve"> REF _Ref113449806 \h </w:instrText>
      </w:r>
      <w:r w:rsidR="0055504F">
        <w:rPr>
          <w:rFonts w:cs="Times New Roman"/>
        </w:rPr>
      </w:r>
      <w:r w:rsidR="0055504F">
        <w:rPr>
          <w:rFonts w:cs="Times New Roman"/>
        </w:rPr>
        <w:fldChar w:fldCharType="separate"/>
      </w:r>
      <w:r w:rsidR="0055504F">
        <w:t xml:space="preserve">Figure </w:t>
      </w:r>
      <w:r w:rsidR="0055504F">
        <w:rPr>
          <w:noProof/>
        </w:rPr>
        <w:t>7</w:t>
      </w:r>
      <w:r w:rsidR="0055504F">
        <w:rPr>
          <w:rFonts w:cs="Times New Roman"/>
        </w:rPr>
        <w:fldChar w:fldCharType="end"/>
      </w:r>
      <w:r w:rsidR="0055504F">
        <w:rPr>
          <w:rFonts w:cs="Times New Roman"/>
        </w:rPr>
        <w:t xml:space="preserve"> </w:t>
      </w:r>
      <w:r w:rsidRPr="00CD39E6">
        <w:t xml:space="preserve"> is not conclusive, it is to be expected that deeper into the soil, where soil density increases, hydraulic conductivity decreases. While roots grow and penetrate the soil, they open drainage channels, facilitating pore water flow along their wall (Orozco-López et al. 2018). </w:t>
      </w:r>
      <w:r w:rsidRPr="009E4F2B">
        <w:t>Thus, it can be assumed that below 60 cm this effective conductivity exceeds the soils own hydraulic conductivity. Water uptake at a depth greater than 60 cm would then mostly originate from above, via the roots. Total pore pressures are measured at the wall of the column, and the local, vegetation-induced under-pressures may not be noticed by the pressure sensors, as being compensated by vertical pore water flow.</w:t>
      </w:r>
    </w:p>
    <w:p w14:paraId="79A34B70" w14:textId="77777777" w:rsidR="004301A0" w:rsidRPr="004301A0" w:rsidRDefault="004301A0" w:rsidP="004301A0"/>
    <w:p w14:paraId="779B9F05" w14:textId="4E00A80C" w:rsidR="00263E3C" w:rsidRPr="00740131" w:rsidRDefault="00263E3C" w:rsidP="003827DB">
      <w:pPr>
        <w:pStyle w:val="NoSpacing"/>
      </w:pPr>
    </w:p>
    <w:p w14:paraId="016169E5" w14:textId="13424FA0" w:rsidR="00450368" w:rsidRDefault="00450368" w:rsidP="00450368">
      <w:pPr>
        <w:pStyle w:val="Heading1"/>
      </w:pPr>
      <w:r>
        <w:t xml:space="preserve">Additional </w:t>
      </w:r>
      <w:r w:rsidR="00CE4ADF">
        <w:t>plant development data</w:t>
      </w:r>
    </w:p>
    <w:p w14:paraId="408DCB09" w14:textId="0A7D6300" w:rsidR="00A32C34" w:rsidRDefault="00BC2D51" w:rsidP="00F74084">
      <w:pPr>
        <w:rPr>
          <w:rFonts w:asciiTheme="majorHAnsi" w:hAnsiTheme="majorHAnsi" w:cstheme="majorHAnsi"/>
          <w:b/>
          <w:noProof/>
          <w:sz w:val="18"/>
          <w:lang w:eastAsia="nl-NL"/>
        </w:rPr>
      </w:pPr>
      <w:r>
        <w:fldChar w:fldCharType="begin"/>
      </w:r>
      <w:r>
        <w:instrText xml:space="preserve"> REF _Ref103610660 \h </w:instrText>
      </w:r>
      <w:r>
        <w:fldChar w:fldCharType="separate"/>
      </w:r>
      <w:r w:rsidR="00A52A5E">
        <w:t xml:space="preserve">Figure </w:t>
      </w:r>
      <w:r w:rsidR="00A52A5E">
        <w:rPr>
          <w:noProof/>
        </w:rPr>
        <w:t>8</w:t>
      </w:r>
      <w:r>
        <w:fldChar w:fldCharType="end"/>
      </w:r>
      <w:r w:rsidR="00F74084">
        <w:t xml:space="preserve"> shows the root surface for </w:t>
      </w:r>
      <w:r w:rsidR="00F74084" w:rsidRPr="00F74084">
        <w:t>unit leaf area</w:t>
      </w:r>
      <w:r w:rsidR="00EC0CD7">
        <w:t>.</w:t>
      </w:r>
      <w:r w:rsidR="00F74084" w:rsidRPr="00F74084">
        <w:t xml:space="preserve"> </w:t>
      </w:r>
      <w:r w:rsidR="00A32C34">
        <w:rPr>
          <w:rFonts w:asciiTheme="majorHAnsi" w:hAnsiTheme="majorHAnsi" w:cstheme="majorHAnsi"/>
          <w:b/>
          <w:noProof/>
          <w:sz w:val="18"/>
          <w:lang w:val="nl-NL" w:eastAsia="nl-NL"/>
        </w:rPr>
        <w:drawing>
          <wp:inline distT="0" distB="0" distL="0" distR="0" wp14:anchorId="5BDCC66A" wp14:editId="3FB4B9A2">
            <wp:extent cx="5727700" cy="3549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549650"/>
                    </a:xfrm>
                    <a:prstGeom prst="rect">
                      <a:avLst/>
                    </a:prstGeom>
                    <a:noFill/>
                    <a:ln>
                      <a:noFill/>
                    </a:ln>
                  </pic:spPr>
                </pic:pic>
              </a:graphicData>
            </a:graphic>
          </wp:inline>
        </w:drawing>
      </w:r>
    </w:p>
    <w:p w14:paraId="474BC33D" w14:textId="4450805A" w:rsidR="00A32C34" w:rsidRPr="00480386" w:rsidRDefault="00A32C34" w:rsidP="00480386">
      <w:pPr>
        <w:pStyle w:val="Caption"/>
        <w:jc w:val="both"/>
        <w:rPr>
          <w:rFonts w:asciiTheme="majorHAnsi" w:hAnsiTheme="majorHAnsi" w:cstheme="majorHAnsi"/>
          <w:b w:val="0"/>
        </w:rPr>
      </w:pPr>
      <w:bookmarkStart w:id="7" w:name="_Ref103610660"/>
      <w:r>
        <w:t xml:space="preserve">Figure </w:t>
      </w:r>
      <w:fldSimple w:instr=" SEQ Figure \* ARABIC ">
        <w:r w:rsidR="00A52A5E">
          <w:rPr>
            <w:noProof/>
          </w:rPr>
          <w:t>8</w:t>
        </w:r>
      </w:fldSimple>
      <w:bookmarkEnd w:id="7"/>
      <w:r>
        <w:t xml:space="preserve"> </w:t>
      </w:r>
      <w:r w:rsidRPr="00EC0CD7">
        <w:rPr>
          <w:rFonts w:asciiTheme="majorHAnsi" w:hAnsiTheme="majorHAnsi" w:cstheme="majorHAnsi"/>
          <w:b w:val="0"/>
          <w:bCs w:val="0"/>
        </w:rPr>
        <w:t>Root surface area per unit leaf area (cm</w:t>
      </w:r>
      <w:r w:rsidRPr="00EC0CD7">
        <w:rPr>
          <w:rFonts w:asciiTheme="majorHAnsi" w:hAnsiTheme="majorHAnsi" w:cstheme="majorHAnsi"/>
          <w:b w:val="0"/>
          <w:bCs w:val="0"/>
          <w:vertAlign w:val="superscript"/>
        </w:rPr>
        <w:t>2</w:t>
      </w:r>
      <w:r w:rsidRPr="00EC0CD7">
        <w:rPr>
          <w:rFonts w:asciiTheme="majorHAnsi" w:hAnsiTheme="majorHAnsi" w:cstheme="majorHAnsi"/>
          <w:b w:val="0"/>
          <w:bCs w:val="0"/>
        </w:rPr>
        <w:t>) across sediment height at four different time steps.</w:t>
      </w:r>
    </w:p>
    <w:p w14:paraId="02B44246" w14:textId="1EC86222" w:rsidR="0074181E" w:rsidRPr="0074181E" w:rsidRDefault="00E06242" w:rsidP="00913F1E">
      <w:pPr>
        <w:jc w:val="both"/>
      </w:pPr>
      <w:r>
        <w:fldChar w:fldCharType="begin"/>
      </w:r>
      <w:r>
        <w:instrText xml:space="preserve"> REF _Ref103610133 \h </w:instrText>
      </w:r>
      <w:r w:rsidR="00AC04BF">
        <w:instrText xml:space="preserve"> \* MERGEFORMAT </w:instrText>
      </w:r>
      <w:r>
        <w:fldChar w:fldCharType="separate"/>
      </w:r>
      <w:r w:rsidR="00A52A5E">
        <w:t xml:space="preserve">Table </w:t>
      </w:r>
      <w:r w:rsidR="00A52A5E">
        <w:rPr>
          <w:noProof/>
        </w:rPr>
        <w:t>1</w:t>
      </w:r>
      <w:r>
        <w:fldChar w:fldCharType="end"/>
      </w:r>
      <w:r>
        <w:t xml:space="preserve"> </w:t>
      </w:r>
      <w:r w:rsidR="00CC7FD9">
        <w:t>shows the plant characteristics and</w:t>
      </w:r>
      <w:r>
        <w:t xml:space="preserve"> </w:t>
      </w:r>
      <w:r>
        <w:fldChar w:fldCharType="begin"/>
      </w:r>
      <w:r>
        <w:instrText xml:space="preserve"> REF _Ref103610138 \h </w:instrText>
      </w:r>
      <w:r w:rsidR="00AC04BF">
        <w:instrText xml:space="preserve"> \* MERGEFORMAT </w:instrText>
      </w:r>
      <w:r>
        <w:fldChar w:fldCharType="separate"/>
      </w:r>
      <w:r w:rsidR="00A52A5E" w:rsidRPr="00E2480D">
        <w:t xml:space="preserve">Table </w:t>
      </w:r>
      <w:r w:rsidR="00A52A5E">
        <w:t>2</w:t>
      </w:r>
      <w:r>
        <w:fldChar w:fldCharType="end"/>
      </w:r>
      <w:r w:rsidR="00CC7FD9">
        <w:t xml:space="preserve"> the photosynthetic parameters.</w:t>
      </w:r>
      <w:r w:rsidR="00D21596">
        <w:t xml:space="preserve"> </w:t>
      </w:r>
      <w:r w:rsidR="00D21596" w:rsidRPr="00D21596">
        <w:t xml:space="preserve">The results in </w:t>
      </w:r>
      <w:r w:rsidR="00D21596">
        <w:fldChar w:fldCharType="begin"/>
      </w:r>
      <w:r w:rsidR="00D21596">
        <w:instrText xml:space="preserve"> REF _Ref103610138 \h </w:instrText>
      </w:r>
      <w:r w:rsidR="00AC04BF">
        <w:instrText xml:space="preserve"> \* MERGEFORMAT </w:instrText>
      </w:r>
      <w:r w:rsidR="00D21596">
        <w:fldChar w:fldCharType="separate"/>
      </w:r>
      <w:r w:rsidR="00A52A5E" w:rsidRPr="00E2480D">
        <w:t xml:space="preserve">Table </w:t>
      </w:r>
      <w:r w:rsidR="00A52A5E">
        <w:t>2</w:t>
      </w:r>
      <w:r w:rsidR="00D21596">
        <w:fldChar w:fldCharType="end"/>
      </w:r>
      <w:r w:rsidR="00D21596">
        <w:t xml:space="preserve"> </w:t>
      </w:r>
      <w:r w:rsidR="00D21596" w:rsidRPr="00D21596">
        <w:t>show that the photosynthesis rates are realistic</w:t>
      </w:r>
      <w:r w:rsidR="00C349A9">
        <w:t xml:space="preserve"> (i.e</w:t>
      </w:r>
      <w:r w:rsidR="00913F1E">
        <w:t>. plants behaved like expected in field conditions</w:t>
      </w:r>
      <w:r w:rsidR="00214122">
        <w:t>, e</w:t>
      </w:r>
      <w:r w:rsidR="001157BE">
        <w:t>.g.</w:t>
      </w:r>
      <w:r w:rsidR="00C4332C">
        <w:t xml:space="preserve"> Ho, 1979</w:t>
      </w:r>
      <w:r w:rsidR="00C349A9">
        <w:t>)</w:t>
      </w:r>
      <w:r w:rsidR="00D21596" w:rsidRPr="00D21596">
        <w:t>, with a maximum rate of the Rubisco carboxylase activity (</w:t>
      </w:r>
      <w:proofErr w:type="spellStart"/>
      <w:r w:rsidR="00D21596" w:rsidRPr="00D21596">
        <w:t>Vcmax</w:t>
      </w:r>
      <w:proofErr w:type="spellEnd"/>
      <w:r w:rsidR="00D21596" w:rsidRPr="00D21596">
        <w:t>) varying between 115 and 39.8 µmol m-2 s-1 and a maximum rate of the photosynthetic electron transport (</w:t>
      </w:r>
      <w:proofErr w:type="spellStart"/>
      <w:r w:rsidR="00D21596" w:rsidRPr="00D21596">
        <w:t>Jmax</w:t>
      </w:r>
      <w:proofErr w:type="spellEnd"/>
      <w:r w:rsidR="00D21596" w:rsidRPr="00D21596">
        <w:t xml:space="preserve">) varying between 161 and 72.9 µmol m-2 s-1. Both variables decreased in time, which indicates a decrease in </w:t>
      </w:r>
      <w:r w:rsidR="00D21596" w:rsidRPr="00D21596">
        <w:lastRenderedPageBreak/>
        <w:t>leaf effectiveness when the leaves of P. australis mature (i.e., photosynthesis and transpiration decrease per unit leaf area).</w:t>
      </w:r>
    </w:p>
    <w:p w14:paraId="6DFF0C9E" w14:textId="2E85E191" w:rsidR="008C63F5" w:rsidRPr="00B17BDF" w:rsidRDefault="00E2480D" w:rsidP="00EC0CD7">
      <w:pPr>
        <w:pStyle w:val="Caption"/>
        <w:jc w:val="both"/>
        <w:rPr>
          <w:rFonts w:asciiTheme="majorHAnsi" w:hAnsiTheme="majorHAnsi" w:cstheme="majorHAnsi"/>
        </w:rPr>
      </w:pPr>
      <w:bookmarkStart w:id="8" w:name="_Ref103610133"/>
      <w:r>
        <w:t xml:space="preserve">Table </w:t>
      </w:r>
      <w:fldSimple w:instr=" SEQ Table \* ARABIC ">
        <w:r w:rsidR="00A52A5E">
          <w:rPr>
            <w:noProof/>
          </w:rPr>
          <w:t>1</w:t>
        </w:r>
      </w:fldSimple>
      <w:bookmarkEnd w:id="8"/>
      <w:r>
        <w:t xml:space="preserve"> </w:t>
      </w:r>
      <w:r w:rsidR="0074181E" w:rsidRPr="00EC0CD7">
        <w:rPr>
          <w:b w:val="0"/>
          <w:bCs w:val="0"/>
        </w:rPr>
        <w:t>Extended table of p</w:t>
      </w:r>
      <w:r w:rsidR="008C63F5" w:rsidRPr="00EC0CD7">
        <w:rPr>
          <w:b w:val="0"/>
          <w:bCs w:val="0"/>
        </w:rPr>
        <w:t>lant characteristics at 40, 71, 88 and 102 days as measured from harvested columns. Root length, root area, root biomass, and root volume are expressed per cm-3 column volume.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1157"/>
        <w:gridCol w:w="1134"/>
        <w:gridCol w:w="1134"/>
        <w:gridCol w:w="1134"/>
        <w:gridCol w:w="1134"/>
      </w:tblGrid>
      <w:tr w:rsidR="008C63F5" w14:paraId="458A0321" w14:textId="77777777" w:rsidTr="009C612F">
        <w:trPr>
          <w:trHeight w:val="454"/>
        </w:trPr>
        <w:tc>
          <w:tcPr>
            <w:tcW w:w="2494" w:type="dxa"/>
            <w:tcBorders>
              <w:top w:val="single" w:sz="4" w:space="0" w:color="auto"/>
              <w:left w:val="nil"/>
              <w:bottom w:val="single" w:sz="4" w:space="0" w:color="auto"/>
              <w:right w:val="nil"/>
            </w:tcBorders>
            <w:vAlign w:val="center"/>
          </w:tcPr>
          <w:p w14:paraId="6C93F452" w14:textId="77777777" w:rsidR="008C63F5" w:rsidRPr="00B17BDF" w:rsidRDefault="008C63F5" w:rsidP="009C612F">
            <w:pPr>
              <w:tabs>
                <w:tab w:val="left" w:pos="720"/>
              </w:tabs>
              <w:rPr>
                <w:rFonts w:asciiTheme="majorHAnsi" w:hAnsiTheme="majorHAnsi" w:cstheme="majorHAnsi"/>
                <w:b/>
                <w:sz w:val="18"/>
                <w:szCs w:val="18"/>
              </w:rPr>
            </w:pPr>
          </w:p>
        </w:tc>
        <w:tc>
          <w:tcPr>
            <w:tcW w:w="1157" w:type="dxa"/>
            <w:tcBorders>
              <w:top w:val="single" w:sz="4" w:space="0" w:color="auto"/>
              <w:left w:val="nil"/>
              <w:bottom w:val="single" w:sz="4" w:space="0" w:color="auto"/>
              <w:right w:val="nil"/>
            </w:tcBorders>
            <w:vAlign w:val="center"/>
          </w:tcPr>
          <w:p w14:paraId="0310CF6D" w14:textId="77777777" w:rsidR="008C63F5" w:rsidRPr="00B17BDF" w:rsidRDefault="008C63F5" w:rsidP="009C612F">
            <w:pPr>
              <w:tabs>
                <w:tab w:val="left" w:pos="720"/>
              </w:tabs>
              <w:rPr>
                <w:rFonts w:asciiTheme="majorHAnsi" w:hAnsiTheme="majorHAnsi" w:cstheme="majorHAnsi"/>
                <w:b/>
                <w:sz w:val="18"/>
                <w:szCs w:val="18"/>
              </w:rPr>
            </w:pPr>
          </w:p>
        </w:tc>
        <w:tc>
          <w:tcPr>
            <w:tcW w:w="1134" w:type="dxa"/>
            <w:tcBorders>
              <w:top w:val="single" w:sz="4" w:space="0" w:color="auto"/>
              <w:left w:val="nil"/>
              <w:bottom w:val="single" w:sz="4" w:space="0" w:color="auto"/>
              <w:right w:val="nil"/>
            </w:tcBorders>
            <w:vAlign w:val="center"/>
            <w:hideMark/>
          </w:tcPr>
          <w:p w14:paraId="36F22FC9"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40 days</w:t>
            </w:r>
          </w:p>
        </w:tc>
        <w:tc>
          <w:tcPr>
            <w:tcW w:w="1134" w:type="dxa"/>
            <w:tcBorders>
              <w:top w:val="single" w:sz="4" w:space="0" w:color="auto"/>
              <w:left w:val="nil"/>
              <w:bottom w:val="single" w:sz="4" w:space="0" w:color="auto"/>
              <w:right w:val="nil"/>
            </w:tcBorders>
            <w:vAlign w:val="center"/>
            <w:hideMark/>
          </w:tcPr>
          <w:p w14:paraId="04200BCA"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71 days</w:t>
            </w:r>
          </w:p>
        </w:tc>
        <w:tc>
          <w:tcPr>
            <w:tcW w:w="1134" w:type="dxa"/>
            <w:tcBorders>
              <w:top w:val="single" w:sz="4" w:space="0" w:color="auto"/>
              <w:left w:val="nil"/>
              <w:bottom w:val="single" w:sz="4" w:space="0" w:color="auto"/>
              <w:right w:val="nil"/>
            </w:tcBorders>
            <w:vAlign w:val="center"/>
            <w:hideMark/>
          </w:tcPr>
          <w:p w14:paraId="5C70FFBA"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88 days</w:t>
            </w:r>
          </w:p>
        </w:tc>
        <w:tc>
          <w:tcPr>
            <w:tcW w:w="1134" w:type="dxa"/>
            <w:tcBorders>
              <w:top w:val="single" w:sz="4" w:space="0" w:color="auto"/>
              <w:left w:val="nil"/>
              <w:bottom w:val="single" w:sz="4" w:space="0" w:color="auto"/>
              <w:right w:val="nil"/>
            </w:tcBorders>
            <w:vAlign w:val="center"/>
            <w:hideMark/>
          </w:tcPr>
          <w:p w14:paraId="760F5703"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102 days</w:t>
            </w:r>
          </w:p>
        </w:tc>
      </w:tr>
      <w:tr w:rsidR="008C63F5" w14:paraId="17365954" w14:textId="77777777" w:rsidTr="009C612F">
        <w:tc>
          <w:tcPr>
            <w:tcW w:w="2494" w:type="dxa"/>
            <w:tcBorders>
              <w:top w:val="single" w:sz="4" w:space="0" w:color="auto"/>
              <w:left w:val="nil"/>
              <w:bottom w:val="nil"/>
              <w:right w:val="nil"/>
            </w:tcBorders>
            <w:hideMark/>
          </w:tcPr>
          <w:p w14:paraId="5AA6D856"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Leaf area</w:t>
            </w:r>
          </w:p>
        </w:tc>
        <w:tc>
          <w:tcPr>
            <w:tcW w:w="1157" w:type="dxa"/>
            <w:tcBorders>
              <w:top w:val="single" w:sz="4" w:space="0" w:color="auto"/>
              <w:left w:val="nil"/>
              <w:bottom w:val="nil"/>
              <w:right w:val="nil"/>
            </w:tcBorders>
            <w:hideMark/>
          </w:tcPr>
          <w:p w14:paraId="4DC642CB" w14:textId="77777777" w:rsidR="008C63F5" w:rsidRPr="00B17BDF" w:rsidRDefault="008C63F5" w:rsidP="009C612F">
            <w:pPr>
              <w:tabs>
                <w:tab w:val="left" w:pos="720"/>
              </w:tabs>
              <w:rPr>
                <w:rFonts w:asciiTheme="majorHAnsi" w:hAnsiTheme="majorHAnsi" w:cstheme="majorHAnsi"/>
                <w:b/>
                <w:sz w:val="18"/>
                <w:szCs w:val="18"/>
                <w:vertAlign w:val="superscript"/>
              </w:rPr>
            </w:pPr>
            <w:r w:rsidRPr="00B17BDF">
              <w:rPr>
                <w:rFonts w:asciiTheme="majorHAnsi" w:hAnsiTheme="majorHAnsi" w:cstheme="majorHAnsi"/>
                <w:b/>
                <w:sz w:val="18"/>
                <w:szCs w:val="18"/>
              </w:rPr>
              <w:t>cm</w:t>
            </w:r>
            <w:r w:rsidRPr="00B17BDF">
              <w:rPr>
                <w:rFonts w:asciiTheme="majorHAnsi" w:hAnsiTheme="majorHAnsi" w:cstheme="majorHAnsi"/>
                <w:b/>
                <w:sz w:val="18"/>
                <w:szCs w:val="18"/>
                <w:vertAlign w:val="superscript"/>
              </w:rPr>
              <w:t>2</w:t>
            </w:r>
          </w:p>
        </w:tc>
        <w:tc>
          <w:tcPr>
            <w:tcW w:w="1134" w:type="dxa"/>
            <w:tcBorders>
              <w:top w:val="single" w:sz="4" w:space="0" w:color="auto"/>
              <w:left w:val="nil"/>
              <w:bottom w:val="nil"/>
              <w:right w:val="nil"/>
            </w:tcBorders>
            <w:hideMark/>
          </w:tcPr>
          <w:p w14:paraId="49FD40A2"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48.8</w:t>
            </w:r>
          </w:p>
        </w:tc>
        <w:tc>
          <w:tcPr>
            <w:tcW w:w="1134" w:type="dxa"/>
            <w:tcBorders>
              <w:top w:val="single" w:sz="4" w:space="0" w:color="auto"/>
              <w:left w:val="nil"/>
              <w:bottom w:val="nil"/>
              <w:right w:val="nil"/>
            </w:tcBorders>
            <w:hideMark/>
          </w:tcPr>
          <w:p w14:paraId="13A56D5B"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189</w:t>
            </w:r>
          </w:p>
        </w:tc>
        <w:tc>
          <w:tcPr>
            <w:tcW w:w="1134" w:type="dxa"/>
            <w:tcBorders>
              <w:top w:val="single" w:sz="4" w:space="0" w:color="auto"/>
              <w:left w:val="nil"/>
              <w:bottom w:val="nil"/>
              <w:right w:val="nil"/>
            </w:tcBorders>
            <w:hideMark/>
          </w:tcPr>
          <w:p w14:paraId="4C61021E"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406</w:t>
            </w:r>
          </w:p>
        </w:tc>
        <w:tc>
          <w:tcPr>
            <w:tcW w:w="1134" w:type="dxa"/>
            <w:tcBorders>
              <w:top w:val="single" w:sz="4" w:space="0" w:color="auto"/>
              <w:left w:val="nil"/>
              <w:bottom w:val="nil"/>
              <w:right w:val="nil"/>
            </w:tcBorders>
            <w:hideMark/>
          </w:tcPr>
          <w:p w14:paraId="409B0C5E"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263</w:t>
            </w:r>
          </w:p>
        </w:tc>
      </w:tr>
      <w:tr w:rsidR="008C63F5" w14:paraId="2C1CC2EB" w14:textId="77777777" w:rsidTr="009C612F">
        <w:tc>
          <w:tcPr>
            <w:tcW w:w="2494" w:type="dxa"/>
            <w:hideMark/>
          </w:tcPr>
          <w:p w14:paraId="1B0DA391"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Leaf biomass</w:t>
            </w:r>
          </w:p>
        </w:tc>
        <w:tc>
          <w:tcPr>
            <w:tcW w:w="1157" w:type="dxa"/>
            <w:hideMark/>
          </w:tcPr>
          <w:p w14:paraId="7548A00E"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gr</w:t>
            </w:r>
          </w:p>
        </w:tc>
        <w:tc>
          <w:tcPr>
            <w:tcW w:w="1134" w:type="dxa"/>
            <w:hideMark/>
          </w:tcPr>
          <w:p w14:paraId="7E3123A1"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0.17</w:t>
            </w:r>
          </w:p>
        </w:tc>
        <w:tc>
          <w:tcPr>
            <w:tcW w:w="1134" w:type="dxa"/>
            <w:hideMark/>
          </w:tcPr>
          <w:p w14:paraId="3E30E315"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0.67</w:t>
            </w:r>
          </w:p>
        </w:tc>
        <w:tc>
          <w:tcPr>
            <w:tcW w:w="1134" w:type="dxa"/>
            <w:hideMark/>
          </w:tcPr>
          <w:p w14:paraId="74845F63"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1.48</w:t>
            </w:r>
          </w:p>
        </w:tc>
        <w:tc>
          <w:tcPr>
            <w:tcW w:w="1134" w:type="dxa"/>
            <w:hideMark/>
          </w:tcPr>
          <w:p w14:paraId="154C531A"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1.00</w:t>
            </w:r>
          </w:p>
        </w:tc>
      </w:tr>
      <w:tr w:rsidR="008C63F5" w14:paraId="423F2EBB" w14:textId="77777777" w:rsidTr="009C612F">
        <w:tc>
          <w:tcPr>
            <w:tcW w:w="2494" w:type="dxa"/>
            <w:hideMark/>
          </w:tcPr>
          <w:p w14:paraId="666E8D3B"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Leaf mass per area (LMA)</w:t>
            </w:r>
          </w:p>
        </w:tc>
        <w:tc>
          <w:tcPr>
            <w:tcW w:w="1157" w:type="dxa"/>
            <w:hideMark/>
          </w:tcPr>
          <w:p w14:paraId="3A2D04CC" w14:textId="77777777" w:rsidR="008C63F5" w:rsidRPr="00B17BDF" w:rsidRDefault="008C63F5" w:rsidP="009C612F">
            <w:pPr>
              <w:tabs>
                <w:tab w:val="left" w:pos="720"/>
              </w:tabs>
              <w:rPr>
                <w:rFonts w:asciiTheme="majorHAnsi" w:hAnsiTheme="majorHAnsi" w:cstheme="majorHAnsi"/>
                <w:b/>
                <w:sz w:val="18"/>
                <w:szCs w:val="18"/>
                <w:vertAlign w:val="superscript"/>
              </w:rPr>
            </w:pPr>
            <w:r w:rsidRPr="00B17BDF">
              <w:rPr>
                <w:rFonts w:asciiTheme="majorHAnsi" w:hAnsiTheme="majorHAnsi" w:cstheme="majorHAnsi"/>
                <w:b/>
                <w:sz w:val="18"/>
                <w:szCs w:val="18"/>
              </w:rPr>
              <w:t>g m</w:t>
            </w:r>
            <w:r w:rsidRPr="00B17BDF">
              <w:rPr>
                <w:rFonts w:asciiTheme="majorHAnsi" w:hAnsiTheme="majorHAnsi" w:cstheme="majorHAnsi"/>
                <w:b/>
                <w:sz w:val="18"/>
                <w:szCs w:val="18"/>
                <w:vertAlign w:val="superscript"/>
              </w:rPr>
              <w:t>2</w:t>
            </w:r>
          </w:p>
        </w:tc>
        <w:tc>
          <w:tcPr>
            <w:tcW w:w="1134" w:type="dxa"/>
            <w:hideMark/>
          </w:tcPr>
          <w:p w14:paraId="6C1DE351"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342</w:t>
            </w:r>
          </w:p>
        </w:tc>
        <w:tc>
          <w:tcPr>
            <w:tcW w:w="1134" w:type="dxa"/>
            <w:hideMark/>
          </w:tcPr>
          <w:p w14:paraId="51A69921"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354</w:t>
            </w:r>
          </w:p>
        </w:tc>
        <w:tc>
          <w:tcPr>
            <w:tcW w:w="1134" w:type="dxa"/>
            <w:hideMark/>
          </w:tcPr>
          <w:p w14:paraId="7F4D66D1"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365</w:t>
            </w:r>
          </w:p>
        </w:tc>
        <w:tc>
          <w:tcPr>
            <w:tcW w:w="1134" w:type="dxa"/>
            <w:hideMark/>
          </w:tcPr>
          <w:p w14:paraId="576E6C57"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382</w:t>
            </w:r>
          </w:p>
        </w:tc>
      </w:tr>
      <w:tr w:rsidR="008C63F5" w14:paraId="0F4FBC13" w14:textId="77777777" w:rsidTr="009C612F">
        <w:tc>
          <w:tcPr>
            <w:tcW w:w="2494" w:type="dxa"/>
            <w:hideMark/>
          </w:tcPr>
          <w:p w14:paraId="0CF08FB5"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Stem biomass</w:t>
            </w:r>
          </w:p>
        </w:tc>
        <w:tc>
          <w:tcPr>
            <w:tcW w:w="1157" w:type="dxa"/>
            <w:hideMark/>
          </w:tcPr>
          <w:p w14:paraId="03C5C915"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gr</w:t>
            </w:r>
          </w:p>
        </w:tc>
        <w:tc>
          <w:tcPr>
            <w:tcW w:w="1134" w:type="dxa"/>
            <w:hideMark/>
          </w:tcPr>
          <w:p w14:paraId="55BFD231"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0.43</w:t>
            </w:r>
          </w:p>
        </w:tc>
        <w:tc>
          <w:tcPr>
            <w:tcW w:w="1134" w:type="dxa"/>
            <w:hideMark/>
          </w:tcPr>
          <w:p w14:paraId="3AEF780B"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1.46</w:t>
            </w:r>
          </w:p>
        </w:tc>
        <w:tc>
          <w:tcPr>
            <w:tcW w:w="1134" w:type="dxa"/>
            <w:hideMark/>
          </w:tcPr>
          <w:p w14:paraId="0FDD1A76"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2.13</w:t>
            </w:r>
          </w:p>
        </w:tc>
        <w:tc>
          <w:tcPr>
            <w:tcW w:w="1134" w:type="dxa"/>
            <w:hideMark/>
          </w:tcPr>
          <w:p w14:paraId="304CD9E4"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2.42</w:t>
            </w:r>
          </w:p>
        </w:tc>
      </w:tr>
      <w:tr w:rsidR="008C63F5" w14:paraId="1F94EBD5" w14:textId="77777777" w:rsidTr="009C612F">
        <w:tc>
          <w:tcPr>
            <w:tcW w:w="2494" w:type="dxa"/>
            <w:hideMark/>
          </w:tcPr>
          <w:p w14:paraId="00EED9E1"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Max. rooting depth</w:t>
            </w:r>
          </w:p>
        </w:tc>
        <w:tc>
          <w:tcPr>
            <w:tcW w:w="1157" w:type="dxa"/>
            <w:hideMark/>
          </w:tcPr>
          <w:p w14:paraId="66295052"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cm</w:t>
            </w:r>
          </w:p>
        </w:tc>
        <w:tc>
          <w:tcPr>
            <w:tcW w:w="1134" w:type="dxa"/>
            <w:hideMark/>
          </w:tcPr>
          <w:p w14:paraId="59FB53D9"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18</w:t>
            </w:r>
          </w:p>
        </w:tc>
        <w:tc>
          <w:tcPr>
            <w:tcW w:w="1134" w:type="dxa"/>
            <w:hideMark/>
          </w:tcPr>
          <w:p w14:paraId="19CC8D04"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48</w:t>
            </w:r>
          </w:p>
        </w:tc>
        <w:tc>
          <w:tcPr>
            <w:tcW w:w="1134" w:type="dxa"/>
            <w:hideMark/>
          </w:tcPr>
          <w:p w14:paraId="574A9C7B"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68</w:t>
            </w:r>
          </w:p>
        </w:tc>
        <w:tc>
          <w:tcPr>
            <w:tcW w:w="1134" w:type="dxa"/>
            <w:hideMark/>
          </w:tcPr>
          <w:p w14:paraId="64620634"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80</w:t>
            </w:r>
          </w:p>
        </w:tc>
      </w:tr>
      <w:tr w:rsidR="008C63F5" w14:paraId="44BD48C4" w14:textId="77777777" w:rsidTr="009C612F">
        <w:tc>
          <w:tcPr>
            <w:tcW w:w="2494" w:type="dxa"/>
            <w:hideMark/>
          </w:tcPr>
          <w:p w14:paraId="2F281648"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Root length</w:t>
            </w:r>
          </w:p>
        </w:tc>
        <w:tc>
          <w:tcPr>
            <w:tcW w:w="1157" w:type="dxa"/>
            <w:hideMark/>
          </w:tcPr>
          <w:p w14:paraId="2FEBA212" w14:textId="77777777" w:rsidR="008C63F5" w:rsidRPr="00B17BDF" w:rsidRDefault="008C63F5" w:rsidP="009C612F">
            <w:pPr>
              <w:tabs>
                <w:tab w:val="left" w:pos="720"/>
              </w:tabs>
              <w:rPr>
                <w:rFonts w:asciiTheme="majorHAnsi" w:hAnsiTheme="majorHAnsi" w:cstheme="majorHAnsi"/>
                <w:b/>
                <w:sz w:val="18"/>
                <w:szCs w:val="18"/>
                <w:vertAlign w:val="superscript"/>
              </w:rPr>
            </w:pPr>
            <w:r w:rsidRPr="00B17BDF">
              <w:rPr>
                <w:rFonts w:asciiTheme="majorHAnsi" w:hAnsiTheme="majorHAnsi" w:cstheme="majorHAnsi"/>
                <w:b/>
                <w:sz w:val="18"/>
                <w:szCs w:val="18"/>
              </w:rPr>
              <w:t>cm cm</w:t>
            </w:r>
            <w:r w:rsidRPr="00B17BDF">
              <w:rPr>
                <w:rFonts w:asciiTheme="majorHAnsi" w:hAnsiTheme="majorHAnsi" w:cstheme="majorHAnsi"/>
                <w:b/>
                <w:sz w:val="18"/>
                <w:szCs w:val="18"/>
                <w:vertAlign w:val="superscript"/>
              </w:rPr>
              <w:t>-3</w:t>
            </w:r>
          </w:p>
        </w:tc>
        <w:tc>
          <w:tcPr>
            <w:tcW w:w="1134" w:type="dxa"/>
            <w:hideMark/>
          </w:tcPr>
          <w:p w14:paraId="7DB5652D"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0.26</w:t>
            </w:r>
          </w:p>
        </w:tc>
        <w:tc>
          <w:tcPr>
            <w:tcW w:w="1134" w:type="dxa"/>
            <w:hideMark/>
          </w:tcPr>
          <w:p w14:paraId="32F76AFB"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0.36</w:t>
            </w:r>
          </w:p>
        </w:tc>
        <w:tc>
          <w:tcPr>
            <w:tcW w:w="1134" w:type="dxa"/>
            <w:hideMark/>
          </w:tcPr>
          <w:p w14:paraId="58CFEDEF"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0.60</w:t>
            </w:r>
          </w:p>
        </w:tc>
        <w:tc>
          <w:tcPr>
            <w:tcW w:w="1134" w:type="dxa"/>
            <w:hideMark/>
          </w:tcPr>
          <w:p w14:paraId="3BE7BFFE"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0.59</w:t>
            </w:r>
          </w:p>
        </w:tc>
      </w:tr>
      <w:tr w:rsidR="008C63F5" w14:paraId="1A36463F" w14:textId="77777777" w:rsidTr="009C612F">
        <w:tc>
          <w:tcPr>
            <w:tcW w:w="2494" w:type="dxa"/>
            <w:hideMark/>
          </w:tcPr>
          <w:p w14:paraId="2C9D6AB6"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Root area</w:t>
            </w:r>
          </w:p>
        </w:tc>
        <w:tc>
          <w:tcPr>
            <w:tcW w:w="1157" w:type="dxa"/>
            <w:hideMark/>
          </w:tcPr>
          <w:p w14:paraId="2E1383FC"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cm</w:t>
            </w:r>
            <w:r w:rsidRPr="00B17BDF">
              <w:rPr>
                <w:rFonts w:asciiTheme="majorHAnsi" w:hAnsiTheme="majorHAnsi" w:cstheme="majorHAnsi"/>
                <w:b/>
                <w:sz w:val="18"/>
                <w:szCs w:val="18"/>
                <w:vertAlign w:val="superscript"/>
              </w:rPr>
              <w:t>2</w:t>
            </w:r>
            <w:r w:rsidRPr="00B17BDF">
              <w:rPr>
                <w:rFonts w:asciiTheme="majorHAnsi" w:hAnsiTheme="majorHAnsi" w:cstheme="majorHAnsi"/>
                <w:b/>
                <w:sz w:val="18"/>
                <w:szCs w:val="18"/>
              </w:rPr>
              <w:t xml:space="preserve"> cm</w:t>
            </w:r>
            <w:r w:rsidRPr="00B17BDF">
              <w:rPr>
                <w:rFonts w:asciiTheme="majorHAnsi" w:hAnsiTheme="majorHAnsi" w:cstheme="majorHAnsi"/>
                <w:b/>
                <w:sz w:val="18"/>
                <w:szCs w:val="18"/>
                <w:vertAlign w:val="superscript"/>
              </w:rPr>
              <w:t>-3</w:t>
            </w:r>
          </w:p>
        </w:tc>
        <w:tc>
          <w:tcPr>
            <w:tcW w:w="1134" w:type="dxa"/>
            <w:hideMark/>
          </w:tcPr>
          <w:p w14:paraId="3DBB3968"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0.07</w:t>
            </w:r>
          </w:p>
        </w:tc>
        <w:tc>
          <w:tcPr>
            <w:tcW w:w="1134" w:type="dxa"/>
            <w:hideMark/>
          </w:tcPr>
          <w:p w14:paraId="529622F9"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0.18</w:t>
            </w:r>
          </w:p>
        </w:tc>
        <w:tc>
          <w:tcPr>
            <w:tcW w:w="1134" w:type="dxa"/>
            <w:hideMark/>
          </w:tcPr>
          <w:p w14:paraId="64C87C47"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0.33</w:t>
            </w:r>
          </w:p>
        </w:tc>
        <w:tc>
          <w:tcPr>
            <w:tcW w:w="1134" w:type="dxa"/>
            <w:hideMark/>
          </w:tcPr>
          <w:p w14:paraId="7A54971E"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0.29</w:t>
            </w:r>
          </w:p>
        </w:tc>
      </w:tr>
      <w:tr w:rsidR="008C63F5" w14:paraId="40231760" w14:textId="77777777" w:rsidTr="009C612F">
        <w:tc>
          <w:tcPr>
            <w:tcW w:w="2494" w:type="dxa"/>
            <w:hideMark/>
          </w:tcPr>
          <w:p w14:paraId="2F31AB8A"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Root biomass</w:t>
            </w:r>
          </w:p>
        </w:tc>
        <w:tc>
          <w:tcPr>
            <w:tcW w:w="1157" w:type="dxa"/>
            <w:hideMark/>
          </w:tcPr>
          <w:p w14:paraId="1F8EA001"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mg cm</w:t>
            </w:r>
            <w:r w:rsidRPr="00B17BDF">
              <w:rPr>
                <w:rFonts w:asciiTheme="majorHAnsi" w:hAnsiTheme="majorHAnsi" w:cstheme="majorHAnsi"/>
                <w:b/>
                <w:sz w:val="18"/>
                <w:szCs w:val="18"/>
                <w:vertAlign w:val="superscript"/>
              </w:rPr>
              <w:t>-3</w:t>
            </w:r>
          </w:p>
        </w:tc>
        <w:tc>
          <w:tcPr>
            <w:tcW w:w="1134" w:type="dxa"/>
            <w:hideMark/>
          </w:tcPr>
          <w:p w14:paraId="3D9D1C28"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0.90</w:t>
            </w:r>
          </w:p>
        </w:tc>
        <w:tc>
          <w:tcPr>
            <w:tcW w:w="1134" w:type="dxa"/>
            <w:hideMark/>
          </w:tcPr>
          <w:p w14:paraId="4F4E038C"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0.80</w:t>
            </w:r>
          </w:p>
        </w:tc>
        <w:tc>
          <w:tcPr>
            <w:tcW w:w="1134" w:type="dxa"/>
            <w:hideMark/>
          </w:tcPr>
          <w:p w14:paraId="7EEAE39A"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1.30</w:t>
            </w:r>
          </w:p>
        </w:tc>
        <w:tc>
          <w:tcPr>
            <w:tcW w:w="1134" w:type="dxa"/>
            <w:hideMark/>
          </w:tcPr>
          <w:p w14:paraId="142A91AB"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1.07</w:t>
            </w:r>
          </w:p>
        </w:tc>
      </w:tr>
      <w:tr w:rsidR="008C63F5" w14:paraId="5A1BC994" w14:textId="77777777" w:rsidTr="009C612F">
        <w:tc>
          <w:tcPr>
            <w:tcW w:w="2494" w:type="dxa"/>
            <w:hideMark/>
          </w:tcPr>
          <w:p w14:paraId="1D4497F1"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Root volume</w:t>
            </w:r>
          </w:p>
        </w:tc>
        <w:tc>
          <w:tcPr>
            <w:tcW w:w="1157" w:type="dxa"/>
            <w:hideMark/>
          </w:tcPr>
          <w:p w14:paraId="6B85B8C3" w14:textId="77777777" w:rsidR="008C63F5" w:rsidRPr="00B17BDF" w:rsidRDefault="008C63F5" w:rsidP="009C612F">
            <w:pPr>
              <w:tabs>
                <w:tab w:val="left" w:pos="720"/>
              </w:tabs>
              <w:rPr>
                <w:rFonts w:asciiTheme="majorHAnsi" w:hAnsiTheme="majorHAnsi" w:cstheme="majorHAnsi"/>
                <w:b/>
                <w:sz w:val="18"/>
                <w:szCs w:val="18"/>
                <w:vertAlign w:val="superscript"/>
              </w:rPr>
            </w:pPr>
            <w:r w:rsidRPr="00B17BDF">
              <w:rPr>
                <w:rFonts w:asciiTheme="majorHAnsi" w:hAnsiTheme="majorHAnsi" w:cstheme="majorHAnsi"/>
                <w:b/>
                <w:sz w:val="18"/>
                <w:szCs w:val="18"/>
              </w:rPr>
              <w:t>mm</w:t>
            </w:r>
            <w:r w:rsidRPr="00B17BDF">
              <w:rPr>
                <w:rFonts w:asciiTheme="majorHAnsi" w:hAnsiTheme="majorHAnsi" w:cstheme="majorHAnsi"/>
                <w:b/>
                <w:sz w:val="18"/>
                <w:szCs w:val="18"/>
                <w:vertAlign w:val="superscript"/>
              </w:rPr>
              <w:t>3</w:t>
            </w:r>
            <w:r w:rsidRPr="00B17BDF">
              <w:rPr>
                <w:rFonts w:asciiTheme="majorHAnsi" w:hAnsiTheme="majorHAnsi" w:cstheme="majorHAnsi"/>
                <w:b/>
                <w:sz w:val="18"/>
                <w:szCs w:val="18"/>
              </w:rPr>
              <w:t xml:space="preserve"> cm</w:t>
            </w:r>
            <w:r w:rsidRPr="00B17BDF">
              <w:rPr>
                <w:rFonts w:asciiTheme="majorHAnsi" w:hAnsiTheme="majorHAnsi" w:cstheme="majorHAnsi"/>
                <w:b/>
                <w:sz w:val="18"/>
                <w:szCs w:val="18"/>
                <w:vertAlign w:val="superscript"/>
              </w:rPr>
              <w:t>-3</w:t>
            </w:r>
          </w:p>
        </w:tc>
        <w:tc>
          <w:tcPr>
            <w:tcW w:w="1134" w:type="dxa"/>
            <w:hideMark/>
          </w:tcPr>
          <w:p w14:paraId="040E043C"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0.42</w:t>
            </w:r>
          </w:p>
        </w:tc>
        <w:tc>
          <w:tcPr>
            <w:tcW w:w="1134" w:type="dxa"/>
            <w:hideMark/>
          </w:tcPr>
          <w:p w14:paraId="28C51AC9"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5.5</w:t>
            </w:r>
          </w:p>
        </w:tc>
        <w:tc>
          <w:tcPr>
            <w:tcW w:w="1134" w:type="dxa"/>
            <w:hideMark/>
          </w:tcPr>
          <w:p w14:paraId="2CA15235"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16</w:t>
            </w:r>
          </w:p>
        </w:tc>
        <w:tc>
          <w:tcPr>
            <w:tcW w:w="1134" w:type="dxa"/>
            <w:hideMark/>
          </w:tcPr>
          <w:p w14:paraId="43DB9624"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15</w:t>
            </w:r>
          </w:p>
        </w:tc>
      </w:tr>
      <w:tr w:rsidR="008C63F5" w14:paraId="009E086E" w14:textId="77777777" w:rsidTr="009C612F">
        <w:tc>
          <w:tcPr>
            <w:tcW w:w="2494" w:type="dxa"/>
            <w:hideMark/>
          </w:tcPr>
          <w:p w14:paraId="77111F2F" w14:textId="77777777" w:rsidR="008C63F5" w:rsidRPr="00B17BDF" w:rsidRDefault="008C63F5" w:rsidP="009C612F">
            <w:pPr>
              <w:tabs>
                <w:tab w:val="left" w:pos="720"/>
              </w:tabs>
              <w:rPr>
                <w:rFonts w:asciiTheme="majorHAnsi" w:hAnsiTheme="majorHAnsi" w:cstheme="majorHAnsi"/>
                <w:b/>
                <w:sz w:val="18"/>
                <w:szCs w:val="18"/>
              </w:rPr>
            </w:pPr>
            <w:proofErr w:type="spellStart"/>
            <w:r w:rsidRPr="00B17BDF">
              <w:rPr>
                <w:rFonts w:asciiTheme="majorHAnsi" w:hAnsiTheme="majorHAnsi" w:cstheme="majorHAnsi"/>
                <w:b/>
                <w:sz w:val="18"/>
                <w:szCs w:val="18"/>
              </w:rPr>
              <w:t>Shoot:Root</w:t>
            </w:r>
            <w:proofErr w:type="spellEnd"/>
            <w:r w:rsidRPr="00B17BDF">
              <w:rPr>
                <w:rFonts w:asciiTheme="majorHAnsi" w:hAnsiTheme="majorHAnsi" w:cstheme="majorHAnsi"/>
                <w:b/>
                <w:sz w:val="18"/>
                <w:szCs w:val="18"/>
              </w:rPr>
              <w:t xml:space="preserve"> ratio</w:t>
            </w:r>
          </w:p>
        </w:tc>
        <w:tc>
          <w:tcPr>
            <w:tcW w:w="1157" w:type="dxa"/>
          </w:tcPr>
          <w:p w14:paraId="66E647E8" w14:textId="77777777" w:rsidR="008C63F5" w:rsidRPr="00B17BDF" w:rsidRDefault="008C63F5" w:rsidP="009C612F">
            <w:pPr>
              <w:tabs>
                <w:tab w:val="left" w:pos="720"/>
              </w:tabs>
              <w:rPr>
                <w:rFonts w:asciiTheme="majorHAnsi" w:hAnsiTheme="majorHAnsi" w:cstheme="majorHAnsi"/>
                <w:b/>
                <w:sz w:val="18"/>
                <w:szCs w:val="18"/>
              </w:rPr>
            </w:pPr>
          </w:p>
        </w:tc>
        <w:tc>
          <w:tcPr>
            <w:tcW w:w="1134" w:type="dxa"/>
            <w:hideMark/>
          </w:tcPr>
          <w:p w14:paraId="2B61769C"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0.49</w:t>
            </w:r>
          </w:p>
        </w:tc>
        <w:tc>
          <w:tcPr>
            <w:tcW w:w="1134" w:type="dxa"/>
            <w:hideMark/>
          </w:tcPr>
          <w:p w14:paraId="551004A7"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0.74</w:t>
            </w:r>
          </w:p>
        </w:tc>
        <w:tc>
          <w:tcPr>
            <w:tcW w:w="1134" w:type="dxa"/>
            <w:hideMark/>
          </w:tcPr>
          <w:p w14:paraId="628F6D88"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0.54</w:t>
            </w:r>
          </w:p>
        </w:tc>
        <w:tc>
          <w:tcPr>
            <w:tcW w:w="1134" w:type="dxa"/>
            <w:hideMark/>
          </w:tcPr>
          <w:p w14:paraId="3369E5B4"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0.53</w:t>
            </w:r>
          </w:p>
        </w:tc>
      </w:tr>
      <w:tr w:rsidR="000F45DB" w14:paraId="34B9E2F9" w14:textId="77777777" w:rsidTr="009C612F">
        <w:tc>
          <w:tcPr>
            <w:tcW w:w="2494" w:type="dxa"/>
          </w:tcPr>
          <w:p w14:paraId="1704745A" w14:textId="22E17065" w:rsidR="000F45DB" w:rsidRPr="00B17BDF" w:rsidRDefault="000F45DB" w:rsidP="000F45DB">
            <w:pPr>
              <w:tabs>
                <w:tab w:val="left" w:pos="720"/>
              </w:tabs>
              <w:rPr>
                <w:rFonts w:asciiTheme="majorHAnsi" w:hAnsiTheme="majorHAnsi" w:cstheme="majorHAnsi"/>
                <w:b/>
                <w:sz w:val="18"/>
                <w:szCs w:val="18"/>
              </w:rPr>
            </w:pPr>
            <w:r>
              <w:rPr>
                <w:rFonts w:asciiTheme="majorHAnsi" w:hAnsiTheme="majorHAnsi" w:cstheme="majorHAnsi"/>
                <w:b/>
                <w:sz w:val="18"/>
                <w:szCs w:val="18"/>
              </w:rPr>
              <w:t>Root volume</w:t>
            </w:r>
          </w:p>
        </w:tc>
        <w:tc>
          <w:tcPr>
            <w:tcW w:w="1157" w:type="dxa"/>
          </w:tcPr>
          <w:p w14:paraId="20F05A64" w14:textId="3DA19F0B" w:rsidR="000F45DB" w:rsidRPr="00B17BDF" w:rsidRDefault="000F45DB" w:rsidP="000F45DB">
            <w:pPr>
              <w:tabs>
                <w:tab w:val="left" w:pos="720"/>
              </w:tabs>
              <w:rPr>
                <w:rFonts w:asciiTheme="majorHAnsi" w:hAnsiTheme="majorHAnsi" w:cstheme="majorHAnsi"/>
                <w:b/>
                <w:sz w:val="18"/>
                <w:szCs w:val="18"/>
              </w:rPr>
            </w:pPr>
            <w:r>
              <w:rPr>
                <w:rFonts w:asciiTheme="majorHAnsi" w:hAnsiTheme="majorHAnsi" w:cstheme="majorHAnsi"/>
                <w:b/>
                <w:sz w:val="18"/>
                <w:szCs w:val="18"/>
              </w:rPr>
              <w:t>cm</w:t>
            </w:r>
            <w:r w:rsidRPr="00AD3E04">
              <w:rPr>
                <w:rFonts w:asciiTheme="majorHAnsi" w:hAnsiTheme="majorHAnsi" w:cstheme="majorHAnsi"/>
                <w:b/>
                <w:sz w:val="18"/>
                <w:szCs w:val="18"/>
                <w:vertAlign w:val="superscript"/>
              </w:rPr>
              <w:t>3</w:t>
            </w:r>
          </w:p>
        </w:tc>
        <w:tc>
          <w:tcPr>
            <w:tcW w:w="1134" w:type="dxa"/>
          </w:tcPr>
          <w:p w14:paraId="3FC882EC" w14:textId="7C5F465A" w:rsidR="000F45DB" w:rsidRPr="00B17BDF" w:rsidRDefault="000F45DB" w:rsidP="000F45DB">
            <w:pPr>
              <w:tabs>
                <w:tab w:val="left" w:pos="720"/>
              </w:tabs>
              <w:rPr>
                <w:rFonts w:asciiTheme="majorHAnsi" w:hAnsiTheme="majorHAnsi" w:cstheme="majorHAnsi"/>
                <w:sz w:val="18"/>
                <w:szCs w:val="18"/>
              </w:rPr>
            </w:pPr>
            <w:r>
              <w:rPr>
                <w:rFonts w:asciiTheme="majorHAnsi" w:hAnsiTheme="majorHAnsi" w:cstheme="majorHAnsi"/>
                <w:sz w:val="18"/>
                <w:szCs w:val="18"/>
              </w:rPr>
              <w:t>2.55</w:t>
            </w:r>
          </w:p>
        </w:tc>
        <w:tc>
          <w:tcPr>
            <w:tcW w:w="1134" w:type="dxa"/>
          </w:tcPr>
          <w:p w14:paraId="0A537459" w14:textId="6E1AF755" w:rsidR="000F45DB" w:rsidRPr="00B17BDF" w:rsidRDefault="000F45DB" w:rsidP="000F45DB">
            <w:pPr>
              <w:tabs>
                <w:tab w:val="left" w:pos="720"/>
              </w:tabs>
              <w:rPr>
                <w:rFonts w:asciiTheme="majorHAnsi" w:hAnsiTheme="majorHAnsi" w:cstheme="majorHAnsi"/>
                <w:sz w:val="18"/>
                <w:szCs w:val="18"/>
              </w:rPr>
            </w:pPr>
            <w:r>
              <w:rPr>
                <w:rFonts w:asciiTheme="majorHAnsi" w:hAnsiTheme="majorHAnsi" w:cstheme="majorHAnsi"/>
                <w:sz w:val="18"/>
                <w:szCs w:val="18"/>
              </w:rPr>
              <w:t>33.66</w:t>
            </w:r>
          </w:p>
        </w:tc>
        <w:tc>
          <w:tcPr>
            <w:tcW w:w="1134" w:type="dxa"/>
          </w:tcPr>
          <w:p w14:paraId="3EA3414A" w14:textId="1B8F75D6" w:rsidR="000F45DB" w:rsidRPr="00B17BDF" w:rsidRDefault="000F45DB" w:rsidP="000F45DB">
            <w:pPr>
              <w:tabs>
                <w:tab w:val="left" w:pos="720"/>
              </w:tabs>
              <w:rPr>
                <w:rFonts w:asciiTheme="majorHAnsi" w:hAnsiTheme="majorHAnsi" w:cstheme="majorHAnsi"/>
                <w:sz w:val="18"/>
                <w:szCs w:val="18"/>
              </w:rPr>
            </w:pPr>
            <w:r>
              <w:rPr>
                <w:rFonts w:asciiTheme="majorHAnsi" w:hAnsiTheme="majorHAnsi" w:cstheme="majorHAnsi"/>
                <w:sz w:val="18"/>
                <w:szCs w:val="18"/>
              </w:rPr>
              <w:t>96.30</w:t>
            </w:r>
          </w:p>
        </w:tc>
        <w:tc>
          <w:tcPr>
            <w:tcW w:w="1134" w:type="dxa"/>
          </w:tcPr>
          <w:p w14:paraId="180C8E40" w14:textId="69A85341" w:rsidR="000F45DB" w:rsidRPr="00B17BDF" w:rsidRDefault="000F45DB" w:rsidP="000F45DB">
            <w:pPr>
              <w:tabs>
                <w:tab w:val="left" w:pos="720"/>
              </w:tabs>
              <w:rPr>
                <w:rFonts w:asciiTheme="majorHAnsi" w:hAnsiTheme="majorHAnsi" w:cstheme="majorHAnsi"/>
                <w:sz w:val="18"/>
                <w:szCs w:val="18"/>
              </w:rPr>
            </w:pPr>
            <w:r>
              <w:rPr>
                <w:rFonts w:asciiTheme="majorHAnsi" w:hAnsiTheme="majorHAnsi" w:cstheme="majorHAnsi"/>
                <w:sz w:val="18"/>
                <w:szCs w:val="18"/>
              </w:rPr>
              <w:t>88.50</w:t>
            </w:r>
          </w:p>
        </w:tc>
      </w:tr>
      <w:tr w:rsidR="008C63F5" w14:paraId="1C434666" w14:textId="77777777" w:rsidTr="009C612F">
        <w:tc>
          <w:tcPr>
            <w:tcW w:w="2494" w:type="dxa"/>
            <w:tcBorders>
              <w:top w:val="nil"/>
              <w:left w:val="nil"/>
              <w:bottom w:val="single" w:sz="4" w:space="0" w:color="auto"/>
              <w:right w:val="nil"/>
            </w:tcBorders>
            <w:hideMark/>
          </w:tcPr>
          <w:p w14:paraId="49B615DD" w14:textId="77777777" w:rsidR="008C63F5" w:rsidRPr="00B17BDF" w:rsidRDefault="008C63F5" w:rsidP="009C612F">
            <w:pPr>
              <w:tabs>
                <w:tab w:val="left" w:pos="720"/>
              </w:tabs>
              <w:rPr>
                <w:rFonts w:asciiTheme="majorHAnsi" w:hAnsiTheme="majorHAnsi" w:cstheme="majorHAnsi"/>
                <w:b/>
                <w:sz w:val="18"/>
                <w:szCs w:val="18"/>
              </w:rPr>
            </w:pPr>
            <w:r w:rsidRPr="00B17BDF">
              <w:rPr>
                <w:rFonts w:asciiTheme="majorHAnsi" w:hAnsiTheme="majorHAnsi" w:cstheme="majorHAnsi"/>
                <w:b/>
                <w:sz w:val="18"/>
                <w:szCs w:val="18"/>
              </w:rPr>
              <w:t>Sediment volume</w:t>
            </w:r>
          </w:p>
        </w:tc>
        <w:tc>
          <w:tcPr>
            <w:tcW w:w="1157" w:type="dxa"/>
            <w:tcBorders>
              <w:top w:val="nil"/>
              <w:left w:val="nil"/>
              <w:bottom w:val="single" w:sz="4" w:space="0" w:color="auto"/>
              <w:right w:val="nil"/>
            </w:tcBorders>
            <w:hideMark/>
          </w:tcPr>
          <w:p w14:paraId="69719813" w14:textId="77777777" w:rsidR="008C63F5" w:rsidRPr="00B17BDF" w:rsidRDefault="008C63F5" w:rsidP="009C612F">
            <w:pPr>
              <w:tabs>
                <w:tab w:val="left" w:pos="720"/>
              </w:tabs>
              <w:rPr>
                <w:rFonts w:asciiTheme="majorHAnsi" w:hAnsiTheme="majorHAnsi" w:cstheme="majorHAnsi"/>
                <w:b/>
                <w:sz w:val="18"/>
                <w:szCs w:val="18"/>
                <w:vertAlign w:val="superscript"/>
              </w:rPr>
            </w:pPr>
            <w:r w:rsidRPr="00B17BDF">
              <w:rPr>
                <w:rFonts w:asciiTheme="majorHAnsi" w:hAnsiTheme="majorHAnsi" w:cstheme="majorHAnsi"/>
                <w:b/>
                <w:sz w:val="18"/>
                <w:szCs w:val="18"/>
              </w:rPr>
              <w:t>cm</w:t>
            </w:r>
            <w:r w:rsidRPr="00B17BDF">
              <w:rPr>
                <w:rFonts w:asciiTheme="majorHAnsi" w:hAnsiTheme="majorHAnsi" w:cstheme="majorHAnsi"/>
                <w:b/>
                <w:sz w:val="18"/>
                <w:szCs w:val="18"/>
                <w:vertAlign w:val="superscript"/>
              </w:rPr>
              <w:t>3</w:t>
            </w:r>
          </w:p>
        </w:tc>
        <w:tc>
          <w:tcPr>
            <w:tcW w:w="1134" w:type="dxa"/>
            <w:tcBorders>
              <w:top w:val="nil"/>
              <w:left w:val="nil"/>
              <w:bottom w:val="single" w:sz="4" w:space="0" w:color="auto"/>
              <w:right w:val="nil"/>
            </w:tcBorders>
            <w:hideMark/>
          </w:tcPr>
          <w:p w14:paraId="45E3FF92"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6469</w:t>
            </w:r>
          </w:p>
        </w:tc>
        <w:tc>
          <w:tcPr>
            <w:tcW w:w="1134" w:type="dxa"/>
            <w:tcBorders>
              <w:top w:val="nil"/>
              <w:left w:val="nil"/>
              <w:bottom w:val="single" w:sz="4" w:space="0" w:color="auto"/>
              <w:right w:val="nil"/>
            </w:tcBorders>
            <w:hideMark/>
          </w:tcPr>
          <w:p w14:paraId="56D068BE"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6432</w:t>
            </w:r>
          </w:p>
        </w:tc>
        <w:tc>
          <w:tcPr>
            <w:tcW w:w="1134" w:type="dxa"/>
            <w:tcBorders>
              <w:top w:val="nil"/>
              <w:left w:val="nil"/>
              <w:bottom w:val="single" w:sz="4" w:space="0" w:color="auto"/>
              <w:right w:val="nil"/>
            </w:tcBorders>
            <w:hideMark/>
          </w:tcPr>
          <w:p w14:paraId="144F1FA9"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6424</w:t>
            </w:r>
          </w:p>
        </w:tc>
        <w:tc>
          <w:tcPr>
            <w:tcW w:w="1134" w:type="dxa"/>
            <w:tcBorders>
              <w:top w:val="nil"/>
              <w:left w:val="nil"/>
              <w:bottom w:val="single" w:sz="4" w:space="0" w:color="auto"/>
              <w:right w:val="nil"/>
            </w:tcBorders>
            <w:hideMark/>
          </w:tcPr>
          <w:p w14:paraId="3A7E59AE" w14:textId="77777777" w:rsidR="008C63F5" w:rsidRPr="00B17BDF" w:rsidRDefault="008C63F5" w:rsidP="009C612F">
            <w:pPr>
              <w:tabs>
                <w:tab w:val="left" w:pos="720"/>
              </w:tabs>
              <w:rPr>
                <w:rFonts w:asciiTheme="majorHAnsi" w:hAnsiTheme="majorHAnsi" w:cstheme="majorHAnsi"/>
                <w:sz w:val="18"/>
                <w:szCs w:val="18"/>
              </w:rPr>
            </w:pPr>
            <w:r w:rsidRPr="00B17BDF">
              <w:rPr>
                <w:rFonts w:asciiTheme="majorHAnsi" w:hAnsiTheme="majorHAnsi" w:cstheme="majorHAnsi"/>
                <w:sz w:val="18"/>
                <w:szCs w:val="18"/>
              </w:rPr>
              <w:t>6414</w:t>
            </w:r>
          </w:p>
        </w:tc>
      </w:tr>
    </w:tbl>
    <w:p w14:paraId="5BF076E4" w14:textId="0CB1D8EE" w:rsidR="008C63F5" w:rsidRDefault="008C63F5" w:rsidP="008C63F5">
      <w:pPr>
        <w:tabs>
          <w:tab w:val="left" w:pos="720"/>
        </w:tabs>
        <w:rPr>
          <w:rFonts w:ascii="Arial" w:hAnsi="Arial" w:cs="Arial"/>
        </w:rPr>
      </w:pPr>
    </w:p>
    <w:p w14:paraId="1DDBC9CD" w14:textId="21BBFF2A" w:rsidR="00086AF0" w:rsidRDefault="00086AF0" w:rsidP="008C63F5">
      <w:pPr>
        <w:tabs>
          <w:tab w:val="left" w:pos="720"/>
        </w:tabs>
        <w:rPr>
          <w:rFonts w:ascii="Arial" w:hAnsi="Arial" w:cs="Arial"/>
        </w:rPr>
      </w:pPr>
    </w:p>
    <w:p w14:paraId="4438B883" w14:textId="0B186A49" w:rsidR="00480386" w:rsidRDefault="00480386" w:rsidP="008C63F5">
      <w:pPr>
        <w:tabs>
          <w:tab w:val="left" w:pos="720"/>
        </w:tabs>
        <w:rPr>
          <w:rFonts w:ascii="Arial" w:hAnsi="Arial" w:cs="Arial"/>
        </w:rPr>
      </w:pPr>
    </w:p>
    <w:p w14:paraId="42B23954" w14:textId="77777777" w:rsidR="00EC0CD7" w:rsidRDefault="00EC0CD7" w:rsidP="008C63F5">
      <w:pPr>
        <w:tabs>
          <w:tab w:val="left" w:pos="720"/>
        </w:tabs>
        <w:rPr>
          <w:rFonts w:ascii="Arial" w:hAnsi="Arial" w:cs="Arial"/>
        </w:rPr>
      </w:pPr>
    </w:p>
    <w:p w14:paraId="5D547338" w14:textId="721FE797" w:rsidR="00E2480D" w:rsidRPr="00EC0CD7" w:rsidRDefault="00E2480D" w:rsidP="00EC0CD7">
      <w:pPr>
        <w:pStyle w:val="Caption"/>
        <w:jc w:val="both"/>
        <w:rPr>
          <w:b w:val="0"/>
          <w:bCs w:val="0"/>
        </w:rPr>
      </w:pPr>
      <w:bookmarkStart w:id="9" w:name="_Ref103610138"/>
      <w:r w:rsidRPr="00E2480D">
        <w:t xml:space="preserve">Table </w:t>
      </w:r>
      <w:fldSimple w:instr=" SEQ Table \* ARABIC ">
        <w:r w:rsidR="00A52A5E">
          <w:rPr>
            <w:noProof/>
          </w:rPr>
          <w:t>2</w:t>
        </w:r>
      </w:fldSimple>
      <w:bookmarkEnd w:id="9"/>
      <w:r w:rsidRPr="00E2480D">
        <w:t xml:space="preserve"> </w:t>
      </w:r>
      <w:r w:rsidRPr="00EC0CD7">
        <w:rPr>
          <w:b w:val="0"/>
          <w:bCs w:val="0"/>
        </w:rPr>
        <w:t>Photosynthetic parameters of P. australis at 61, 81 and 97 days. The maximum rate of Rubisco carboxylase activity (</w:t>
      </w:r>
      <w:proofErr w:type="spellStart"/>
      <w:r w:rsidRPr="00EC0CD7">
        <w:rPr>
          <w:b w:val="0"/>
          <w:bCs w:val="0"/>
        </w:rPr>
        <w:t>Vcmax</w:t>
      </w:r>
      <w:proofErr w:type="spellEnd"/>
      <w:r w:rsidRPr="00EC0CD7">
        <w:rPr>
          <w:b w:val="0"/>
          <w:bCs w:val="0"/>
        </w:rPr>
        <w:t>), the maximum rate of photosynthetic electron transport (</w:t>
      </w:r>
      <w:proofErr w:type="spellStart"/>
      <w:r w:rsidRPr="00EC0CD7">
        <w:rPr>
          <w:b w:val="0"/>
          <w:bCs w:val="0"/>
        </w:rPr>
        <w:t>Jmax</w:t>
      </w:r>
      <w:proofErr w:type="spellEnd"/>
      <w:r w:rsidRPr="00EC0CD7">
        <w:rPr>
          <w:b w:val="0"/>
          <w:bCs w:val="0"/>
        </w:rPr>
        <w:t xml:space="preserve">) and the </w:t>
      </w:r>
      <w:r w:rsidRPr="00EC0CD7">
        <w:rPr>
          <w:b w:val="0"/>
          <w:bCs w:val="0"/>
        </w:rPr>
        <w:lastRenderedPageBreak/>
        <w:t>respiration rate (Rd) are presented (±S.E.) as well as the light compensation point (Γ*). All values are in µmol m-2 s-1.</w:t>
      </w:r>
    </w:p>
    <w:tbl>
      <w:tblPr>
        <w:tblStyle w:val="TableGrid"/>
        <w:tblW w:w="64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916"/>
        <w:gridCol w:w="916"/>
        <w:gridCol w:w="917"/>
        <w:gridCol w:w="917"/>
        <w:gridCol w:w="917"/>
        <w:gridCol w:w="917"/>
      </w:tblGrid>
      <w:tr w:rsidR="00E2480D" w:rsidRPr="00E2480D" w14:paraId="7CF3F2AD" w14:textId="77777777" w:rsidTr="009C612F">
        <w:trPr>
          <w:trHeight w:val="397"/>
        </w:trPr>
        <w:tc>
          <w:tcPr>
            <w:tcW w:w="916" w:type="dxa"/>
            <w:tcBorders>
              <w:top w:val="single" w:sz="4" w:space="0" w:color="auto"/>
              <w:left w:val="nil"/>
              <w:bottom w:val="single" w:sz="4" w:space="0" w:color="auto"/>
              <w:right w:val="nil"/>
            </w:tcBorders>
            <w:vAlign w:val="center"/>
          </w:tcPr>
          <w:p w14:paraId="0BD52495" w14:textId="77777777" w:rsidR="00E2480D" w:rsidRPr="00E2480D" w:rsidRDefault="00E2480D" w:rsidP="00E2480D">
            <w:pPr>
              <w:tabs>
                <w:tab w:val="left" w:pos="720"/>
              </w:tabs>
              <w:rPr>
                <w:rFonts w:ascii="Arial" w:hAnsi="Arial" w:cs="Arial"/>
                <w:b/>
              </w:rPr>
            </w:pPr>
          </w:p>
        </w:tc>
        <w:tc>
          <w:tcPr>
            <w:tcW w:w="1832" w:type="dxa"/>
            <w:gridSpan w:val="2"/>
            <w:tcBorders>
              <w:top w:val="single" w:sz="4" w:space="0" w:color="auto"/>
              <w:left w:val="nil"/>
              <w:bottom w:val="single" w:sz="4" w:space="0" w:color="auto"/>
              <w:right w:val="nil"/>
            </w:tcBorders>
            <w:vAlign w:val="center"/>
            <w:hideMark/>
          </w:tcPr>
          <w:p w14:paraId="0AE91790" w14:textId="77777777" w:rsidR="00E2480D" w:rsidRPr="00E2480D" w:rsidRDefault="00E2480D" w:rsidP="00E2480D">
            <w:pPr>
              <w:tabs>
                <w:tab w:val="left" w:pos="720"/>
              </w:tabs>
              <w:rPr>
                <w:rFonts w:ascii="Arial" w:hAnsi="Arial" w:cs="Arial"/>
                <w:b/>
              </w:rPr>
            </w:pPr>
            <w:r w:rsidRPr="00E2480D">
              <w:rPr>
                <w:rFonts w:ascii="Arial" w:hAnsi="Arial" w:cs="Arial"/>
                <w:b/>
              </w:rPr>
              <w:t>Day 61</w:t>
            </w:r>
          </w:p>
        </w:tc>
        <w:tc>
          <w:tcPr>
            <w:tcW w:w="1834" w:type="dxa"/>
            <w:gridSpan w:val="2"/>
            <w:tcBorders>
              <w:top w:val="single" w:sz="4" w:space="0" w:color="auto"/>
              <w:left w:val="nil"/>
              <w:bottom w:val="single" w:sz="4" w:space="0" w:color="auto"/>
              <w:right w:val="nil"/>
            </w:tcBorders>
            <w:vAlign w:val="center"/>
            <w:hideMark/>
          </w:tcPr>
          <w:p w14:paraId="2B39A1F7" w14:textId="77777777" w:rsidR="00E2480D" w:rsidRPr="00E2480D" w:rsidRDefault="00E2480D" w:rsidP="00E2480D">
            <w:pPr>
              <w:tabs>
                <w:tab w:val="left" w:pos="720"/>
              </w:tabs>
              <w:rPr>
                <w:rFonts w:ascii="Arial" w:hAnsi="Arial" w:cs="Arial"/>
                <w:b/>
              </w:rPr>
            </w:pPr>
            <w:r w:rsidRPr="00E2480D">
              <w:rPr>
                <w:rFonts w:ascii="Arial" w:hAnsi="Arial" w:cs="Arial"/>
                <w:b/>
              </w:rPr>
              <w:t>Day 81</w:t>
            </w:r>
          </w:p>
        </w:tc>
        <w:tc>
          <w:tcPr>
            <w:tcW w:w="1834" w:type="dxa"/>
            <w:gridSpan w:val="2"/>
            <w:tcBorders>
              <w:top w:val="single" w:sz="4" w:space="0" w:color="auto"/>
              <w:left w:val="nil"/>
              <w:bottom w:val="single" w:sz="4" w:space="0" w:color="auto"/>
              <w:right w:val="nil"/>
            </w:tcBorders>
            <w:vAlign w:val="center"/>
            <w:hideMark/>
          </w:tcPr>
          <w:p w14:paraId="5D07527A" w14:textId="77777777" w:rsidR="00E2480D" w:rsidRPr="00E2480D" w:rsidRDefault="00E2480D" w:rsidP="00E2480D">
            <w:pPr>
              <w:tabs>
                <w:tab w:val="left" w:pos="720"/>
              </w:tabs>
              <w:rPr>
                <w:rFonts w:ascii="Arial" w:hAnsi="Arial" w:cs="Arial"/>
                <w:b/>
              </w:rPr>
            </w:pPr>
            <w:r w:rsidRPr="00E2480D">
              <w:rPr>
                <w:rFonts w:ascii="Arial" w:hAnsi="Arial" w:cs="Arial"/>
                <w:b/>
              </w:rPr>
              <w:t>Day 97</w:t>
            </w:r>
          </w:p>
        </w:tc>
      </w:tr>
      <w:tr w:rsidR="00E2480D" w:rsidRPr="00E2480D" w14:paraId="2614EFF9" w14:textId="77777777" w:rsidTr="009C612F">
        <w:trPr>
          <w:trHeight w:val="340"/>
        </w:trPr>
        <w:tc>
          <w:tcPr>
            <w:tcW w:w="916" w:type="dxa"/>
            <w:tcBorders>
              <w:top w:val="single" w:sz="4" w:space="0" w:color="auto"/>
              <w:left w:val="nil"/>
              <w:bottom w:val="nil"/>
              <w:right w:val="nil"/>
            </w:tcBorders>
            <w:vAlign w:val="center"/>
            <w:hideMark/>
          </w:tcPr>
          <w:p w14:paraId="35B1C751" w14:textId="77777777" w:rsidR="00E2480D" w:rsidRPr="00E2480D" w:rsidRDefault="00E2480D" w:rsidP="00E2480D">
            <w:pPr>
              <w:tabs>
                <w:tab w:val="left" w:pos="720"/>
              </w:tabs>
              <w:rPr>
                <w:rFonts w:ascii="Arial" w:hAnsi="Arial" w:cs="Arial"/>
                <w:b/>
                <w:vertAlign w:val="subscript"/>
              </w:rPr>
            </w:pPr>
            <w:proofErr w:type="spellStart"/>
            <w:r w:rsidRPr="00E2480D">
              <w:rPr>
                <w:rFonts w:ascii="Arial" w:hAnsi="Arial" w:cs="Arial"/>
                <w:b/>
              </w:rPr>
              <w:t>V</w:t>
            </w:r>
            <w:r w:rsidRPr="00E2480D">
              <w:rPr>
                <w:rFonts w:ascii="Arial" w:hAnsi="Arial" w:cs="Arial"/>
                <w:b/>
                <w:vertAlign w:val="subscript"/>
              </w:rPr>
              <w:t>cmax</w:t>
            </w:r>
            <w:proofErr w:type="spellEnd"/>
          </w:p>
        </w:tc>
        <w:tc>
          <w:tcPr>
            <w:tcW w:w="916" w:type="dxa"/>
            <w:tcBorders>
              <w:top w:val="single" w:sz="4" w:space="0" w:color="auto"/>
              <w:left w:val="nil"/>
              <w:bottom w:val="nil"/>
              <w:right w:val="nil"/>
            </w:tcBorders>
            <w:vAlign w:val="center"/>
            <w:hideMark/>
          </w:tcPr>
          <w:p w14:paraId="00383AA2" w14:textId="77777777" w:rsidR="00E2480D" w:rsidRPr="00E2480D" w:rsidRDefault="00E2480D" w:rsidP="00E2480D">
            <w:pPr>
              <w:tabs>
                <w:tab w:val="left" w:pos="720"/>
              </w:tabs>
              <w:rPr>
                <w:rFonts w:ascii="Arial" w:hAnsi="Arial" w:cs="Arial"/>
              </w:rPr>
            </w:pPr>
            <w:r w:rsidRPr="00E2480D">
              <w:rPr>
                <w:rFonts w:ascii="Arial" w:hAnsi="Arial" w:cs="Arial"/>
              </w:rPr>
              <w:t>115</w:t>
            </w:r>
          </w:p>
        </w:tc>
        <w:tc>
          <w:tcPr>
            <w:tcW w:w="916" w:type="dxa"/>
            <w:tcBorders>
              <w:top w:val="single" w:sz="4" w:space="0" w:color="auto"/>
              <w:left w:val="nil"/>
              <w:bottom w:val="nil"/>
              <w:right w:val="dotted" w:sz="4" w:space="0" w:color="auto"/>
            </w:tcBorders>
            <w:vAlign w:val="center"/>
            <w:hideMark/>
          </w:tcPr>
          <w:p w14:paraId="082E01EA" w14:textId="77777777" w:rsidR="00E2480D" w:rsidRPr="00E2480D" w:rsidRDefault="00E2480D" w:rsidP="00E2480D">
            <w:pPr>
              <w:tabs>
                <w:tab w:val="left" w:pos="720"/>
              </w:tabs>
              <w:rPr>
                <w:rFonts w:ascii="Arial" w:hAnsi="Arial" w:cs="Arial"/>
                <w:i/>
              </w:rPr>
            </w:pPr>
            <w:r w:rsidRPr="00E2480D">
              <w:rPr>
                <w:rFonts w:ascii="Arial" w:hAnsi="Arial" w:cs="Arial"/>
                <w:i/>
              </w:rPr>
              <w:t>±8.72</w:t>
            </w:r>
          </w:p>
        </w:tc>
        <w:tc>
          <w:tcPr>
            <w:tcW w:w="917" w:type="dxa"/>
            <w:tcBorders>
              <w:top w:val="single" w:sz="4" w:space="0" w:color="auto"/>
              <w:left w:val="dotted" w:sz="4" w:space="0" w:color="auto"/>
              <w:bottom w:val="nil"/>
              <w:right w:val="nil"/>
            </w:tcBorders>
            <w:vAlign w:val="center"/>
            <w:hideMark/>
          </w:tcPr>
          <w:p w14:paraId="680C362A" w14:textId="77777777" w:rsidR="00E2480D" w:rsidRPr="00E2480D" w:rsidRDefault="00E2480D" w:rsidP="00E2480D">
            <w:pPr>
              <w:tabs>
                <w:tab w:val="left" w:pos="720"/>
              </w:tabs>
              <w:rPr>
                <w:rFonts w:ascii="Arial" w:hAnsi="Arial" w:cs="Arial"/>
              </w:rPr>
            </w:pPr>
            <w:r w:rsidRPr="00E2480D">
              <w:rPr>
                <w:rFonts w:ascii="Arial" w:hAnsi="Arial" w:cs="Arial"/>
              </w:rPr>
              <w:t>59.21</w:t>
            </w:r>
          </w:p>
        </w:tc>
        <w:tc>
          <w:tcPr>
            <w:tcW w:w="917" w:type="dxa"/>
            <w:tcBorders>
              <w:top w:val="single" w:sz="4" w:space="0" w:color="auto"/>
              <w:left w:val="nil"/>
              <w:bottom w:val="nil"/>
              <w:right w:val="dotted" w:sz="4" w:space="0" w:color="auto"/>
            </w:tcBorders>
            <w:vAlign w:val="center"/>
            <w:hideMark/>
          </w:tcPr>
          <w:p w14:paraId="3786CE67" w14:textId="77777777" w:rsidR="00E2480D" w:rsidRPr="00E2480D" w:rsidRDefault="00E2480D" w:rsidP="00E2480D">
            <w:pPr>
              <w:tabs>
                <w:tab w:val="left" w:pos="720"/>
              </w:tabs>
              <w:rPr>
                <w:rFonts w:ascii="Arial" w:hAnsi="Arial" w:cs="Arial"/>
                <w:i/>
              </w:rPr>
            </w:pPr>
            <w:r w:rsidRPr="00E2480D">
              <w:rPr>
                <w:rFonts w:ascii="Arial" w:hAnsi="Arial" w:cs="Arial"/>
                <w:i/>
              </w:rPr>
              <w:t>±3.50</w:t>
            </w:r>
          </w:p>
        </w:tc>
        <w:tc>
          <w:tcPr>
            <w:tcW w:w="917" w:type="dxa"/>
            <w:tcBorders>
              <w:top w:val="single" w:sz="4" w:space="0" w:color="auto"/>
              <w:left w:val="dotted" w:sz="4" w:space="0" w:color="auto"/>
              <w:bottom w:val="nil"/>
              <w:right w:val="nil"/>
            </w:tcBorders>
            <w:vAlign w:val="center"/>
            <w:hideMark/>
          </w:tcPr>
          <w:p w14:paraId="49A91837" w14:textId="77777777" w:rsidR="00E2480D" w:rsidRPr="00E2480D" w:rsidRDefault="00E2480D" w:rsidP="00E2480D">
            <w:pPr>
              <w:tabs>
                <w:tab w:val="left" w:pos="720"/>
              </w:tabs>
              <w:rPr>
                <w:rFonts w:ascii="Arial" w:hAnsi="Arial" w:cs="Arial"/>
              </w:rPr>
            </w:pPr>
            <w:r w:rsidRPr="00E2480D">
              <w:rPr>
                <w:rFonts w:ascii="Arial" w:hAnsi="Arial" w:cs="Arial"/>
              </w:rPr>
              <w:t>39.8</w:t>
            </w:r>
          </w:p>
        </w:tc>
        <w:tc>
          <w:tcPr>
            <w:tcW w:w="917" w:type="dxa"/>
            <w:tcBorders>
              <w:top w:val="single" w:sz="4" w:space="0" w:color="auto"/>
              <w:left w:val="nil"/>
              <w:bottom w:val="nil"/>
              <w:right w:val="nil"/>
            </w:tcBorders>
            <w:vAlign w:val="center"/>
            <w:hideMark/>
          </w:tcPr>
          <w:p w14:paraId="7712C4CD" w14:textId="77777777" w:rsidR="00E2480D" w:rsidRPr="00E2480D" w:rsidRDefault="00E2480D" w:rsidP="00E2480D">
            <w:pPr>
              <w:tabs>
                <w:tab w:val="left" w:pos="720"/>
              </w:tabs>
              <w:rPr>
                <w:rFonts w:ascii="Arial" w:hAnsi="Arial" w:cs="Arial"/>
              </w:rPr>
            </w:pPr>
            <w:r w:rsidRPr="00E2480D">
              <w:rPr>
                <w:rFonts w:ascii="Arial" w:hAnsi="Arial" w:cs="Arial"/>
              </w:rPr>
              <w:softHyphen/>
              <w:t>±1.20</w:t>
            </w:r>
          </w:p>
        </w:tc>
      </w:tr>
      <w:tr w:rsidR="00E2480D" w:rsidRPr="00E2480D" w14:paraId="2D582B25" w14:textId="77777777" w:rsidTr="009C612F">
        <w:trPr>
          <w:trHeight w:val="340"/>
        </w:trPr>
        <w:tc>
          <w:tcPr>
            <w:tcW w:w="916" w:type="dxa"/>
            <w:tcBorders>
              <w:top w:val="nil"/>
              <w:left w:val="nil"/>
              <w:bottom w:val="nil"/>
              <w:right w:val="nil"/>
            </w:tcBorders>
            <w:vAlign w:val="center"/>
            <w:hideMark/>
          </w:tcPr>
          <w:p w14:paraId="0C46F4E8" w14:textId="77777777" w:rsidR="00E2480D" w:rsidRPr="00E2480D" w:rsidRDefault="00E2480D" w:rsidP="00E2480D">
            <w:pPr>
              <w:tabs>
                <w:tab w:val="left" w:pos="720"/>
              </w:tabs>
              <w:rPr>
                <w:rFonts w:ascii="Arial" w:hAnsi="Arial" w:cs="Arial"/>
              </w:rPr>
            </w:pPr>
            <w:proofErr w:type="spellStart"/>
            <w:r w:rsidRPr="00E2480D">
              <w:rPr>
                <w:rFonts w:ascii="Arial" w:hAnsi="Arial" w:cs="Arial"/>
                <w:b/>
              </w:rPr>
              <w:t>J</w:t>
            </w:r>
            <w:r w:rsidRPr="00E2480D">
              <w:rPr>
                <w:rFonts w:ascii="Arial" w:hAnsi="Arial" w:cs="Arial"/>
                <w:vertAlign w:val="subscript"/>
              </w:rPr>
              <w:t>max</w:t>
            </w:r>
            <w:proofErr w:type="spellEnd"/>
          </w:p>
        </w:tc>
        <w:tc>
          <w:tcPr>
            <w:tcW w:w="916" w:type="dxa"/>
            <w:tcBorders>
              <w:top w:val="nil"/>
              <w:left w:val="nil"/>
              <w:bottom w:val="nil"/>
              <w:right w:val="nil"/>
            </w:tcBorders>
            <w:vAlign w:val="center"/>
            <w:hideMark/>
          </w:tcPr>
          <w:p w14:paraId="192E2CC5" w14:textId="77777777" w:rsidR="00E2480D" w:rsidRPr="00E2480D" w:rsidRDefault="00E2480D" w:rsidP="00E2480D">
            <w:pPr>
              <w:tabs>
                <w:tab w:val="left" w:pos="720"/>
              </w:tabs>
              <w:rPr>
                <w:rFonts w:ascii="Arial" w:hAnsi="Arial" w:cs="Arial"/>
              </w:rPr>
            </w:pPr>
            <w:r w:rsidRPr="00E2480D">
              <w:rPr>
                <w:rFonts w:ascii="Arial" w:hAnsi="Arial" w:cs="Arial"/>
              </w:rPr>
              <w:t>161</w:t>
            </w:r>
          </w:p>
        </w:tc>
        <w:tc>
          <w:tcPr>
            <w:tcW w:w="916" w:type="dxa"/>
            <w:tcBorders>
              <w:top w:val="nil"/>
              <w:left w:val="nil"/>
              <w:bottom w:val="nil"/>
              <w:right w:val="dotted" w:sz="4" w:space="0" w:color="auto"/>
            </w:tcBorders>
            <w:vAlign w:val="center"/>
            <w:hideMark/>
          </w:tcPr>
          <w:p w14:paraId="1B7835CB" w14:textId="77777777" w:rsidR="00E2480D" w:rsidRPr="00E2480D" w:rsidRDefault="00E2480D" w:rsidP="00E2480D">
            <w:pPr>
              <w:tabs>
                <w:tab w:val="left" w:pos="720"/>
              </w:tabs>
              <w:rPr>
                <w:rFonts w:ascii="Arial" w:hAnsi="Arial" w:cs="Arial"/>
                <w:i/>
              </w:rPr>
            </w:pPr>
            <w:r w:rsidRPr="00E2480D">
              <w:rPr>
                <w:rFonts w:ascii="Arial" w:hAnsi="Arial" w:cs="Arial"/>
                <w:i/>
              </w:rPr>
              <w:t>±6.17</w:t>
            </w:r>
          </w:p>
        </w:tc>
        <w:tc>
          <w:tcPr>
            <w:tcW w:w="917" w:type="dxa"/>
            <w:tcBorders>
              <w:top w:val="nil"/>
              <w:left w:val="dotted" w:sz="4" w:space="0" w:color="auto"/>
              <w:bottom w:val="nil"/>
              <w:right w:val="nil"/>
            </w:tcBorders>
            <w:vAlign w:val="center"/>
            <w:hideMark/>
          </w:tcPr>
          <w:p w14:paraId="6DB4775F" w14:textId="77777777" w:rsidR="00E2480D" w:rsidRPr="00E2480D" w:rsidRDefault="00E2480D" w:rsidP="00E2480D">
            <w:pPr>
              <w:tabs>
                <w:tab w:val="left" w:pos="720"/>
              </w:tabs>
              <w:rPr>
                <w:rFonts w:ascii="Arial" w:hAnsi="Arial" w:cs="Arial"/>
              </w:rPr>
            </w:pPr>
            <w:r w:rsidRPr="00E2480D">
              <w:rPr>
                <w:rFonts w:ascii="Arial" w:hAnsi="Arial" w:cs="Arial"/>
              </w:rPr>
              <w:t>108</w:t>
            </w:r>
          </w:p>
        </w:tc>
        <w:tc>
          <w:tcPr>
            <w:tcW w:w="917" w:type="dxa"/>
            <w:tcBorders>
              <w:top w:val="nil"/>
              <w:left w:val="nil"/>
              <w:bottom w:val="nil"/>
              <w:right w:val="dotted" w:sz="4" w:space="0" w:color="auto"/>
            </w:tcBorders>
            <w:vAlign w:val="center"/>
            <w:hideMark/>
          </w:tcPr>
          <w:p w14:paraId="3F54746B" w14:textId="77777777" w:rsidR="00E2480D" w:rsidRPr="00E2480D" w:rsidRDefault="00E2480D" w:rsidP="00E2480D">
            <w:pPr>
              <w:tabs>
                <w:tab w:val="left" w:pos="720"/>
              </w:tabs>
              <w:rPr>
                <w:rFonts w:ascii="Arial" w:hAnsi="Arial" w:cs="Arial"/>
                <w:i/>
              </w:rPr>
            </w:pPr>
            <w:r w:rsidRPr="00E2480D">
              <w:rPr>
                <w:rFonts w:ascii="Arial" w:hAnsi="Arial" w:cs="Arial"/>
                <w:i/>
              </w:rPr>
              <w:t>±4.84</w:t>
            </w:r>
          </w:p>
        </w:tc>
        <w:tc>
          <w:tcPr>
            <w:tcW w:w="917" w:type="dxa"/>
            <w:tcBorders>
              <w:top w:val="nil"/>
              <w:left w:val="dotted" w:sz="4" w:space="0" w:color="auto"/>
              <w:bottom w:val="nil"/>
              <w:right w:val="nil"/>
            </w:tcBorders>
            <w:vAlign w:val="center"/>
            <w:hideMark/>
          </w:tcPr>
          <w:p w14:paraId="2602FEEB" w14:textId="77777777" w:rsidR="00E2480D" w:rsidRPr="00E2480D" w:rsidRDefault="00E2480D" w:rsidP="00E2480D">
            <w:pPr>
              <w:tabs>
                <w:tab w:val="left" w:pos="720"/>
              </w:tabs>
              <w:rPr>
                <w:rFonts w:ascii="Arial" w:hAnsi="Arial" w:cs="Arial"/>
              </w:rPr>
            </w:pPr>
            <w:r w:rsidRPr="00E2480D">
              <w:rPr>
                <w:rFonts w:ascii="Arial" w:hAnsi="Arial" w:cs="Arial"/>
              </w:rPr>
              <w:t>72.9</w:t>
            </w:r>
          </w:p>
        </w:tc>
        <w:tc>
          <w:tcPr>
            <w:tcW w:w="917" w:type="dxa"/>
            <w:tcBorders>
              <w:top w:val="nil"/>
              <w:left w:val="nil"/>
              <w:bottom w:val="nil"/>
              <w:right w:val="nil"/>
            </w:tcBorders>
            <w:vAlign w:val="center"/>
            <w:hideMark/>
          </w:tcPr>
          <w:p w14:paraId="5BFA533D" w14:textId="77777777" w:rsidR="00E2480D" w:rsidRPr="00E2480D" w:rsidRDefault="00E2480D" w:rsidP="00E2480D">
            <w:pPr>
              <w:tabs>
                <w:tab w:val="left" w:pos="720"/>
              </w:tabs>
              <w:rPr>
                <w:rFonts w:ascii="Arial" w:hAnsi="Arial" w:cs="Arial"/>
              </w:rPr>
            </w:pPr>
            <w:r w:rsidRPr="00E2480D">
              <w:rPr>
                <w:rFonts w:ascii="Arial" w:hAnsi="Arial" w:cs="Arial"/>
              </w:rPr>
              <w:t>±1.89</w:t>
            </w:r>
          </w:p>
        </w:tc>
      </w:tr>
      <w:tr w:rsidR="00E2480D" w:rsidRPr="00E2480D" w14:paraId="09B55396" w14:textId="77777777" w:rsidTr="009C612F">
        <w:trPr>
          <w:trHeight w:val="340"/>
        </w:trPr>
        <w:tc>
          <w:tcPr>
            <w:tcW w:w="916" w:type="dxa"/>
            <w:tcBorders>
              <w:top w:val="nil"/>
              <w:left w:val="nil"/>
              <w:bottom w:val="nil"/>
              <w:right w:val="nil"/>
            </w:tcBorders>
            <w:vAlign w:val="center"/>
            <w:hideMark/>
          </w:tcPr>
          <w:p w14:paraId="2A7BF812" w14:textId="77777777" w:rsidR="00E2480D" w:rsidRPr="00E2480D" w:rsidRDefault="00E2480D" w:rsidP="00E2480D">
            <w:pPr>
              <w:tabs>
                <w:tab w:val="left" w:pos="720"/>
              </w:tabs>
              <w:rPr>
                <w:rFonts w:ascii="Arial" w:hAnsi="Arial" w:cs="Arial"/>
                <w:b/>
                <w:vertAlign w:val="subscript"/>
              </w:rPr>
            </w:pPr>
            <w:r w:rsidRPr="00E2480D">
              <w:rPr>
                <w:rFonts w:ascii="Arial" w:hAnsi="Arial" w:cs="Arial"/>
                <w:b/>
              </w:rPr>
              <w:t>R</w:t>
            </w:r>
            <w:r w:rsidRPr="00E2480D">
              <w:rPr>
                <w:rFonts w:ascii="Arial" w:hAnsi="Arial" w:cs="Arial"/>
                <w:b/>
                <w:vertAlign w:val="subscript"/>
              </w:rPr>
              <w:t>d</w:t>
            </w:r>
          </w:p>
        </w:tc>
        <w:tc>
          <w:tcPr>
            <w:tcW w:w="916" w:type="dxa"/>
            <w:tcBorders>
              <w:top w:val="nil"/>
              <w:left w:val="nil"/>
              <w:bottom w:val="nil"/>
              <w:right w:val="nil"/>
            </w:tcBorders>
            <w:vAlign w:val="center"/>
            <w:hideMark/>
          </w:tcPr>
          <w:p w14:paraId="70E884E8" w14:textId="77777777" w:rsidR="00E2480D" w:rsidRPr="00E2480D" w:rsidRDefault="00E2480D" w:rsidP="00E2480D">
            <w:pPr>
              <w:tabs>
                <w:tab w:val="left" w:pos="720"/>
              </w:tabs>
              <w:rPr>
                <w:rFonts w:ascii="Arial" w:hAnsi="Arial" w:cs="Arial"/>
              </w:rPr>
            </w:pPr>
            <w:r w:rsidRPr="00E2480D">
              <w:rPr>
                <w:rFonts w:ascii="Arial" w:hAnsi="Arial" w:cs="Arial"/>
              </w:rPr>
              <w:t>1.67</w:t>
            </w:r>
          </w:p>
        </w:tc>
        <w:tc>
          <w:tcPr>
            <w:tcW w:w="916" w:type="dxa"/>
            <w:tcBorders>
              <w:top w:val="nil"/>
              <w:left w:val="nil"/>
              <w:bottom w:val="nil"/>
              <w:right w:val="dotted" w:sz="4" w:space="0" w:color="auto"/>
            </w:tcBorders>
            <w:vAlign w:val="center"/>
            <w:hideMark/>
          </w:tcPr>
          <w:p w14:paraId="233FA53B" w14:textId="77777777" w:rsidR="00E2480D" w:rsidRPr="00E2480D" w:rsidRDefault="00E2480D" w:rsidP="00E2480D">
            <w:pPr>
              <w:tabs>
                <w:tab w:val="left" w:pos="720"/>
              </w:tabs>
              <w:rPr>
                <w:rFonts w:ascii="Arial" w:hAnsi="Arial" w:cs="Arial"/>
                <w:i/>
              </w:rPr>
            </w:pPr>
            <w:r w:rsidRPr="00E2480D">
              <w:rPr>
                <w:rFonts w:ascii="Arial" w:hAnsi="Arial" w:cs="Arial"/>
                <w:i/>
              </w:rPr>
              <w:t>±0.68</w:t>
            </w:r>
          </w:p>
        </w:tc>
        <w:tc>
          <w:tcPr>
            <w:tcW w:w="917" w:type="dxa"/>
            <w:tcBorders>
              <w:top w:val="nil"/>
              <w:left w:val="dotted" w:sz="4" w:space="0" w:color="auto"/>
              <w:bottom w:val="nil"/>
              <w:right w:val="nil"/>
            </w:tcBorders>
            <w:vAlign w:val="center"/>
            <w:hideMark/>
          </w:tcPr>
          <w:p w14:paraId="5BB2801B" w14:textId="77777777" w:rsidR="00E2480D" w:rsidRPr="00E2480D" w:rsidRDefault="00E2480D" w:rsidP="00E2480D">
            <w:pPr>
              <w:tabs>
                <w:tab w:val="left" w:pos="720"/>
              </w:tabs>
              <w:rPr>
                <w:rFonts w:ascii="Arial" w:hAnsi="Arial" w:cs="Arial"/>
              </w:rPr>
            </w:pPr>
            <w:r w:rsidRPr="00E2480D">
              <w:rPr>
                <w:rFonts w:ascii="Arial" w:hAnsi="Arial" w:cs="Arial"/>
              </w:rPr>
              <w:t>3.99</w:t>
            </w:r>
          </w:p>
        </w:tc>
        <w:tc>
          <w:tcPr>
            <w:tcW w:w="917" w:type="dxa"/>
            <w:tcBorders>
              <w:top w:val="nil"/>
              <w:left w:val="nil"/>
              <w:bottom w:val="nil"/>
              <w:right w:val="dotted" w:sz="4" w:space="0" w:color="auto"/>
            </w:tcBorders>
            <w:vAlign w:val="center"/>
            <w:hideMark/>
          </w:tcPr>
          <w:p w14:paraId="69E96412" w14:textId="77777777" w:rsidR="00E2480D" w:rsidRPr="00E2480D" w:rsidRDefault="00E2480D" w:rsidP="00E2480D">
            <w:pPr>
              <w:tabs>
                <w:tab w:val="left" w:pos="720"/>
              </w:tabs>
              <w:rPr>
                <w:rFonts w:ascii="Arial" w:hAnsi="Arial" w:cs="Arial"/>
                <w:i/>
              </w:rPr>
            </w:pPr>
            <w:r w:rsidRPr="00E2480D">
              <w:rPr>
                <w:rFonts w:ascii="Arial" w:hAnsi="Arial" w:cs="Arial"/>
                <w:i/>
              </w:rPr>
              <w:t>±0.55</w:t>
            </w:r>
          </w:p>
        </w:tc>
        <w:tc>
          <w:tcPr>
            <w:tcW w:w="917" w:type="dxa"/>
            <w:tcBorders>
              <w:top w:val="nil"/>
              <w:left w:val="dotted" w:sz="4" w:space="0" w:color="auto"/>
              <w:bottom w:val="nil"/>
              <w:right w:val="nil"/>
            </w:tcBorders>
            <w:vAlign w:val="center"/>
            <w:hideMark/>
          </w:tcPr>
          <w:p w14:paraId="39B105B1" w14:textId="77777777" w:rsidR="00E2480D" w:rsidRPr="00E2480D" w:rsidRDefault="00E2480D" w:rsidP="00E2480D">
            <w:pPr>
              <w:tabs>
                <w:tab w:val="left" w:pos="720"/>
              </w:tabs>
              <w:rPr>
                <w:rFonts w:ascii="Arial" w:hAnsi="Arial" w:cs="Arial"/>
              </w:rPr>
            </w:pPr>
            <w:r w:rsidRPr="00E2480D">
              <w:rPr>
                <w:rFonts w:ascii="Arial" w:hAnsi="Arial" w:cs="Arial"/>
              </w:rPr>
              <w:t>0.46</w:t>
            </w:r>
          </w:p>
        </w:tc>
        <w:tc>
          <w:tcPr>
            <w:tcW w:w="917" w:type="dxa"/>
            <w:tcBorders>
              <w:top w:val="nil"/>
              <w:left w:val="nil"/>
              <w:bottom w:val="nil"/>
              <w:right w:val="nil"/>
            </w:tcBorders>
            <w:vAlign w:val="center"/>
            <w:hideMark/>
          </w:tcPr>
          <w:p w14:paraId="57343A81" w14:textId="77777777" w:rsidR="00E2480D" w:rsidRPr="00E2480D" w:rsidRDefault="00E2480D" w:rsidP="00E2480D">
            <w:pPr>
              <w:tabs>
                <w:tab w:val="left" w:pos="720"/>
              </w:tabs>
              <w:rPr>
                <w:rFonts w:ascii="Arial" w:hAnsi="Arial" w:cs="Arial"/>
              </w:rPr>
            </w:pPr>
            <w:r w:rsidRPr="00E2480D">
              <w:rPr>
                <w:rFonts w:ascii="Arial" w:hAnsi="Arial" w:cs="Arial"/>
              </w:rPr>
              <w:t>±0.18</w:t>
            </w:r>
          </w:p>
        </w:tc>
      </w:tr>
      <w:tr w:rsidR="00E2480D" w:rsidRPr="00E2480D" w14:paraId="3DA68AAE" w14:textId="77777777" w:rsidTr="009C612F">
        <w:trPr>
          <w:trHeight w:val="340"/>
        </w:trPr>
        <w:tc>
          <w:tcPr>
            <w:tcW w:w="916" w:type="dxa"/>
            <w:tcBorders>
              <w:top w:val="nil"/>
              <w:left w:val="nil"/>
              <w:bottom w:val="single" w:sz="4" w:space="0" w:color="auto"/>
              <w:right w:val="nil"/>
            </w:tcBorders>
            <w:vAlign w:val="center"/>
            <w:hideMark/>
          </w:tcPr>
          <w:p w14:paraId="0C546A7A" w14:textId="77777777" w:rsidR="00E2480D" w:rsidRPr="00E2480D" w:rsidRDefault="00E2480D" w:rsidP="00E2480D">
            <w:pPr>
              <w:tabs>
                <w:tab w:val="left" w:pos="720"/>
              </w:tabs>
              <w:rPr>
                <w:rFonts w:ascii="Arial" w:hAnsi="Arial" w:cs="Arial"/>
                <w:b/>
              </w:rPr>
            </w:pPr>
            <w:r w:rsidRPr="00E2480D">
              <w:rPr>
                <w:rFonts w:ascii="Arial" w:hAnsi="Arial" w:cs="Arial"/>
                <w:b/>
              </w:rPr>
              <w:t>Γ*</w:t>
            </w:r>
          </w:p>
        </w:tc>
        <w:tc>
          <w:tcPr>
            <w:tcW w:w="916" w:type="dxa"/>
            <w:tcBorders>
              <w:top w:val="nil"/>
              <w:left w:val="nil"/>
              <w:bottom w:val="single" w:sz="4" w:space="0" w:color="auto"/>
              <w:right w:val="nil"/>
            </w:tcBorders>
            <w:vAlign w:val="center"/>
            <w:hideMark/>
          </w:tcPr>
          <w:p w14:paraId="1D857AA7" w14:textId="77777777" w:rsidR="00E2480D" w:rsidRPr="00E2480D" w:rsidRDefault="00E2480D" w:rsidP="00E2480D">
            <w:pPr>
              <w:tabs>
                <w:tab w:val="left" w:pos="720"/>
              </w:tabs>
              <w:rPr>
                <w:rFonts w:ascii="Arial" w:hAnsi="Arial" w:cs="Arial"/>
              </w:rPr>
            </w:pPr>
            <w:r w:rsidRPr="00E2480D">
              <w:rPr>
                <w:rFonts w:ascii="Arial" w:hAnsi="Arial" w:cs="Arial"/>
              </w:rPr>
              <w:t>28.79</w:t>
            </w:r>
          </w:p>
        </w:tc>
        <w:tc>
          <w:tcPr>
            <w:tcW w:w="916" w:type="dxa"/>
            <w:tcBorders>
              <w:top w:val="nil"/>
              <w:left w:val="nil"/>
              <w:bottom w:val="single" w:sz="4" w:space="0" w:color="auto"/>
              <w:right w:val="dotted" w:sz="4" w:space="0" w:color="auto"/>
            </w:tcBorders>
            <w:vAlign w:val="center"/>
            <w:hideMark/>
          </w:tcPr>
          <w:p w14:paraId="24BF1237" w14:textId="77777777" w:rsidR="00E2480D" w:rsidRPr="00E2480D" w:rsidRDefault="00E2480D" w:rsidP="00E2480D">
            <w:pPr>
              <w:tabs>
                <w:tab w:val="left" w:pos="720"/>
              </w:tabs>
              <w:rPr>
                <w:rFonts w:ascii="Arial" w:hAnsi="Arial" w:cs="Arial"/>
                <w:i/>
              </w:rPr>
            </w:pPr>
            <w:r w:rsidRPr="00E2480D">
              <w:rPr>
                <w:rFonts w:ascii="Arial" w:hAnsi="Arial" w:cs="Arial"/>
                <w:i/>
              </w:rPr>
              <w:t>-</w:t>
            </w:r>
          </w:p>
        </w:tc>
        <w:tc>
          <w:tcPr>
            <w:tcW w:w="917" w:type="dxa"/>
            <w:tcBorders>
              <w:top w:val="nil"/>
              <w:left w:val="dotted" w:sz="4" w:space="0" w:color="auto"/>
              <w:bottom w:val="single" w:sz="4" w:space="0" w:color="auto"/>
              <w:right w:val="nil"/>
            </w:tcBorders>
            <w:vAlign w:val="center"/>
            <w:hideMark/>
          </w:tcPr>
          <w:p w14:paraId="512A8EA3" w14:textId="77777777" w:rsidR="00E2480D" w:rsidRPr="00E2480D" w:rsidRDefault="00E2480D" w:rsidP="00E2480D">
            <w:pPr>
              <w:tabs>
                <w:tab w:val="left" w:pos="720"/>
              </w:tabs>
              <w:rPr>
                <w:rFonts w:ascii="Arial" w:hAnsi="Arial" w:cs="Arial"/>
              </w:rPr>
            </w:pPr>
            <w:r w:rsidRPr="00E2480D">
              <w:rPr>
                <w:rFonts w:ascii="Arial" w:hAnsi="Arial" w:cs="Arial"/>
              </w:rPr>
              <w:t>28.84</w:t>
            </w:r>
          </w:p>
        </w:tc>
        <w:tc>
          <w:tcPr>
            <w:tcW w:w="917" w:type="dxa"/>
            <w:tcBorders>
              <w:top w:val="nil"/>
              <w:left w:val="nil"/>
              <w:bottom w:val="single" w:sz="4" w:space="0" w:color="auto"/>
              <w:right w:val="dotted" w:sz="4" w:space="0" w:color="auto"/>
            </w:tcBorders>
            <w:vAlign w:val="center"/>
            <w:hideMark/>
          </w:tcPr>
          <w:p w14:paraId="68AEE811" w14:textId="77777777" w:rsidR="00E2480D" w:rsidRPr="00E2480D" w:rsidRDefault="00E2480D" w:rsidP="00E2480D">
            <w:pPr>
              <w:tabs>
                <w:tab w:val="left" w:pos="720"/>
              </w:tabs>
              <w:rPr>
                <w:rFonts w:ascii="Arial" w:hAnsi="Arial" w:cs="Arial"/>
                <w:i/>
              </w:rPr>
            </w:pPr>
            <w:r w:rsidRPr="00E2480D">
              <w:rPr>
                <w:rFonts w:ascii="Arial" w:hAnsi="Arial" w:cs="Arial"/>
                <w:i/>
              </w:rPr>
              <w:t>-</w:t>
            </w:r>
          </w:p>
        </w:tc>
        <w:tc>
          <w:tcPr>
            <w:tcW w:w="917" w:type="dxa"/>
            <w:tcBorders>
              <w:top w:val="nil"/>
              <w:left w:val="dotted" w:sz="4" w:space="0" w:color="auto"/>
              <w:bottom w:val="single" w:sz="4" w:space="0" w:color="auto"/>
              <w:right w:val="nil"/>
            </w:tcBorders>
            <w:vAlign w:val="center"/>
            <w:hideMark/>
          </w:tcPr>
          <w:p w14:paraId="1909C0C0" w14:textId="77777777" w:rsidR="00E2480D" w:rsidRPr="00E2480D" w:rsidRDefault="00E2480D" w:rsidP="00E2480D">
            <w:pPr>
              <w:tabs>
                <w:tab w:val="left" w:pos="720"/>
              </w:tabs>
              <w:rPr>
                <w:rFonts w:ascii="Arial" w:hAnsi="Arial" w:cs="Arial"/>
              </w:rPr>
            </w:pPr>
            <w:r w:rsidRPr="00E2480D">
              <w:rPr>
                <w:rFonts w:ascii="Arial" w:hAnsi="Arial" w:cs="Arial"/>
              </w:rPr>
              <w:t>28.63</w:t>
            </w:r>
          </w:p>
        </w:tc>
        <w:tc>
          <w:tcPr>
            <w:tcW w:w="917" w:type="dxa"/>
            <w:tcBorders>
              <w:top w:val="nil"/>
              <w:left w:val="nil"/>
              <w:bottom w:val="single" w:sz="4" w:space="0" w:color="auto"/>
              <w:right w:val="nil"/>
            </w:tcBorders>
            <w:vAlign w:val="center"/>
            <w:hideMark/>
          </w:tcPr>
          <w:p w14:paraId="263440CC" w14:textId="77777777" w:rsidR="00E2480D" w:rsidRPr="00E2480D" w:rsidRDefault="00E2480D" w:rsidP="00E2480D">
            <w:pPr>
              <w:tabs>
                <w:tab w:val="left" w:pos="720"/>
              </w:tabs>
              <w:rPr>
                <w:rFonts w:ascii="Arial" w:hAnsi="Arial" w:cs="Arial"/>
              </w:rPr>
            </w:pPr>
            <w:r w:rsidRPr="00E2480D">
              <w:rPr>
                <w:rFonts w:ascii="Arial" w:hAnsi="Arial" w:cs="Arial"/>
              </w:rPr>
              <w:t>-</w:t>
            </w:r>
          </w:p>
        </w:tc>
      </w:tr>
    </w:tbl>
    <w:p w14:paraId="0A966AB8" w14:textId="77777777" w:rsidR="00A32C34" w:rsidRDefault="00A32C34" w:rsidP="00A6038D">
      <w:pPr>
        <w:jc w:val="both"/>
      </w:pPr>
    </w:p>
    <w:p w14:paraId="4788D8A7" w14:textId="108CB222" w:rsidR="00A32C34" w:rsidRDefault="00A32C34" w:rsidP="00A6038D">
      <w:pPr>
        <w:jc w:val="both"/>
      </w:pPr>
      <w:r w:rsidRPr="00A35CDF">
        <w:t>More detailed information on photosynthetic parameters is presented in</w:t>
      </w:r>
      <w:r w:rsidR="00C13842">
        <w:t xml:space="preserve"> </w:t>
      </w:r>
      <w:r w:rsidR="00C13842">
        <w:fldChar w:fldCharType="begin"/>
      </w:r>
      <w:r w:rsidR="00C13842">
        <w:instrText xml:space="preserve"> REF _Ref103611162 \h </w:instrText>
      </w:r>
      <w:r w:rsidR="00A6038D">
        <w:instrText xml:space="preserve"> \* MERGEFORMAT </w:instrText>
      </w:r>
      <w:r w:rsidR="00C13842">
        <w:fldChar w:fldCharType="separate"/>
      </w:r>
      <w:r w:rsidR="00A52A5E">
        <w:t xml:space="preserve">Figure </w:t>
      </w:r>
      <w:r w:rsidR="00A52A5E">
        <w:rPr>
          <w:noProof/>
        </w:rPr>
        <w:t>9</w:t>
      </w:r>
      <w:r w:rsidR="00C13842">
        <w:fldChar w:fldCharType="end"/>
      </w:r>
      <w:r>
        <w:t>, which shows</w:t>
      </w:r>
      <w:r w:rsidRPr="00A35CDF">
        <w:t xml:space="preserve"> net CO</w:t>
      </w:r>
      <w:r w:rsidRPr="00A35CDF">
        <w:rPr>
          <w:vertAlign w:val="subscript"/>
        </w:rPr>
        <w:t>2</w:t>
      </w:r>
      <w:r w:rsidRPr="00A35CDF">
        <w:t xml:space="preserve"> assimilation rates versus light intensity.</w:t>
      </w:r>
    </w:p>
    <w:p w14:paraId="21EB1BDC" w14:textId="53988722" w:rsidR="00481D10" w:rsidRDefault="00481D10" w:rsidP="00480386">
      <w:pPr>
        <w:jc w:val="both"/>
      </w:pPr>
    </w:p>
    <w:p w14:paraId="1D8516BE" w14:textId="7602742E" w:rsidR="00481D10" w:rsidRDefault="00481D10" w:rsidP="00480386">
      <w:pPr>
        <w:jc w:val="both"/>
      </w:pPr>
      <w:r>
        <w:rPr>
          <w:noProof/>
        </w:rPr>
        <w:lastRenderedPageBreak/>
        <w:drawing>
          <wp:inline distT="0" distB="0" distL="0" distR="0" wp14:anchorId="2F9E4AB4" wp14:editId="36342FBE">
            <wp:extent cx="5387502" cy="49301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502" cy="4930140"/>
                    </a:xfrm>
                    <a:prstGeom prst="rect">
                      <a:avLst/>
                    </a:prstGeom>
                    <a:noFill/>
                    <a:ln>
                      <a:noFill/>
                    </a:ln>
                  </pic:spPr>
                </pic:pic>
              </a:graphicData>
            </a:graphic>
          </wp:inline>
        </w:drawing>
      </w:r>
    </w:p>
    <w:p w14:paraId="71EBED14" w14:textId="5DEBDF24" w:rsidR="004648D6" w:rsidRDefault="00927EEC" w:rsidP="00CC64EC">
      <w:pPr>
        <w:pStyle w:val="Caption"/>
        <w:jc w:val="both"/>
        <w:rPr>
          <w:b w:val="0"/>
          <w:bCs w:val="0"/>
        </w:rPr>
      </w:pPr>
      <w:bookmarkStart w:id="10" w:name="_Ref103611162"/>
      <w:r>
        <w:t xml:space="preserve">Figure </w:t>
      </w:r>
      <w:fldSimple w:instr=" SEQ Figure \* ARABIC ">
        <w:r w:rsidR="00A52A5E">
          <w:rPr>
            <w:noProof/>
          </w:rPr>
          <w:t>9</w:t>
        </w:r>
      </w:fldSimple>
      <w:bookmarkEnd w:id="10"/>
      <w:r w:rsidRPr="00EC0CD7">
        <w:rPr>
          <w:b w:val="0"/>
          <w:bCs w:val="0"/>
        </w:rPr>
        <w:t xml:space="preserve">. Net CO2 assimilation rates </w:t>
      </w:r>
      <w:r w:rsidR="00B12998" w:rsidRPr="00EC0CD7">
        <w:rPr>
          <w:b w:val="0"/>
          <w:bCs w:val="0"/>
        </w:rPr>
        <w:t>(</w:t>
      </w:r>
      <w:r w:rsidR="00EC0CD7" w:rsidRPr="00EC0CD7">
        <w:rPr>
          <w:b w:val="0"/>
          <w:bCs w:val="0"/>
        </w:rPr>
        <w:t>µ</w:t>
      </w:r>
      <w:r w:rsidR="00B12998" w:rsidRPr="00EC0CD7">
        <w:rPr>
          <w:b w:val="0"/>
          <w:bCs w:val="0"/>
        </w:rPr>
        <w:t>mol m-2 s-1) versus light intensity (PAR) at 61, 81 and 97 days after the start of the experiment. The vertical grey dotted line represents the light condition during the experiment (140 PAR).</w:t>
      </w:r>
    </w:p>
    <w:p w14:paraId="3CDC4810" w14:textId="084A0A58" w:rsidR="00A34CEC" w:rsidRDefault="00A34CEC" w:rsidP="00A34CEC">
      <w:pPr>
        <w:pStyle w:val="NoSpacing"/>
      </w:pPr>
    </w:p>
    <w:p w14:paraId="0FA9C8F3" w14:textId="14F3D862" w:rsidR="00C4332C" w:rsidRDefault="00C4332C" w:rsidP="00C4332C">
      <w:pPr>
        <w:pStyle w:val="Heading1"/>
      </w:pPr>
      <w:r>
        <w:t>Additional references</w:t>
      </w:r>
    </w:p>
    <w:p w14:paraId="009F87D1" w14:textId="77777777" w:rsidR="00A34CEC" w:rsidRDefault="00A34CEC" w:rsidP="00A34CEC">
      <w:pPr>
        <w:pStyle w:val="NoSpacing"/>
      </w:pPr>
    </w:p>
    <w:p w14:paraId="5351B86B" w14:textId="21B865EA" w:rsidR="00A34CEC" w:rsidRPr="00A34CEC" w:rsidRDefault="00A34CEC" w:rsidP="00265089">
      <w:pPr>
        <w:pStyle w:val="NoSpacing"/>
      </w:pPr>
      <w:r>
        <w:rPr>
          <w:rFonts w:ascii="Segoe UI" w:hAnsi="Segoe UI" w:cs="Segoe UI"/>
          <w:color w:val="333333"/>
          <w:shd w:val="clear" w:color="auto" w:fill="FCFCFC"/>
        </w:rPr>
        <w:t xml:space="preserve">Ho, Y.B. Shoot development and production studies of phragmites Australis (Cav.) </w:t>
      </w:r>
      <w:proofErr w:type="spellStart"/>
      <w:r>
        <w:rPr>
          <w:rFonts w:ascii="Segoe UI" w:hAnsi="Segoe UI" w:cs="Segoe UI"/>
          <w:color w:val="333333"/>
          <w:shd w:val="clear" w:color="auto" w:fill="FCFCFC"/>
        </w:rPr>
        <w:t>Trin</w:t>
      </w:r>
      <w:proofErr w:type="spellEnd"/>
      <w:r>
        <w:rPr>
          <w:rFonts w:ascii="Segoe UI" w:hAnsi="Segoe UI" w:cs="Segoe UI"/>
          <w:color w:val="333333"/>
          <w:shd w:val="clear" w:color="auto" w:fill="FCFCFC"/>
        </w:rPr>
        <w:t xml:space="preserve">. Ex </w:t>
      </w:r>
      <w:proofErr w:type="spellStart"/>
      <w:r>
        <w:rPr>
          <w:rFonts w:ascii="Segoe UI" w:hAnsi="Segoe UI" w:cs="Segoe UI"/>
          <w:color w:val="333333"/>
          <w:shd w:val="clear" w:color="auto" w:fill="FCFCFC"/>
        </w:rPr>
        <w:t>Steudel</w:t>
      </w:r>
      <w:proofErr w:type="spellEnd"/>
      <w:r>
        <w:rPr>
          <w:rFonts w:ascii="Segoe UI" w:hAnsi="Segoe UI" w:cs="Segoe UI"/>
          <w:color w:val="333333"/>
          <w:shd w:val="clear" w:color="auto" w:fill="FCFCFC"/>
        </w:rPr>
        <w:t xml:space="preserve"> in Scottish Lochs. </w:t>
      </w:r>
      <w:proofErr w:type="spellStart"/>
      <w:r>
        <w:rPr>
          <w:rFonts w:ascii="Segoe UI" w:hAnsi="Segoe UI" w:cs="Segoe UI"/>
          <w:i/>
          <w:iCs/>
          <w:color w:val="333333"/>
          <w:shd w:val="clear" w:color="auto" w:fill="FCFCFC"/>
        </w:rPr>
        <w:t>Hydrobiologia</w:t>
      </w:r>
      <w:proofErr w:type="spellEnd"/>
      <w:r>
        <w:rPr>
          <w:rFonts w:ascii="Segoe UI" w:hAnsi="Segoe UI" w:cs="Segoe UI"/>
          <w:color w:val="333333"/>
          <w:shd w:val="clear" w:color="auto" w:fill="FCFCFC"/>
        </w:rPr>
        <w:t> </w:t>
      </w:r>
      <w:r>
        <w:rPr>
          <w:rFonts w:ascii="Segoe UI" w:hAnsi="Segoe UI" w:cs="Segoe UI"/>
          <w:b/>
          <w:bCs/>
          <w:color w:val="333333"/>
          <w:shd w:val="clear" w:color="auto" w:fill="FCFCFC"/>
        </w:rPr>
        <w:t>64</w:t>
      </w:r>
      <w:r>
        <w:rPr>
          <w:rFonts w:ascii="Segoe UI" w:hAnsi="Segoe UI" w:cs="Segoe UI"/>
          <w:color w:val="333333"/>
          <w:shd w:val="clear" w:color="auto" w:fill="FCFCFC"/>
        </w:rPr>
        <w:t>, 215–222 (1979). </w:t>
      </w:r>
    </w:p>
    <w:p w14:paraId="7B4AD885" w14:textId="77777777" w:rsidR="00450368" w:rsidRPr="00C5304C" w:rsidRDefault="00450368" w:rsidP="00450368"/>
    <w:p w14:paraId="5B748A48" w14:textId="77777777" w:rsidR="008603C3" w:rsidRPr="00C5304C" w:rsidRDefault="008603C3" w:rsidP="008603C3"/>
    <w:sectPr w:rsidR="008603C3" w:rsidRPr="00C5304C"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F0A7B" w14:textId="77777777" w:rsidR="008D79B2" w:rsidRDefault="008D79B2" w:rsidP="00117666">
      <w:pPr>
        <w:spacing w:after="0"/>
      </w:pPr>
      <w:r>
        <w:separator/>
      </w:r>
    </w:p>
  </w:endnote>
  <w:endnote w:type="continuationSeparator" w:id="0">
    <w:p w14:paraId="47A65F72" w14:textId="77777777" w:rsidR="008D79B2" w:rsidRDefault="008D79B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rier-Math-Symbol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62991" w14:textId="77777777" w:rsidR="008D79B2" w:rsidRDefault="008D79B2" w:rsidP="00117666">
      <w:pPr>
        <w:spacing w:after="0"/>
      </w:pPr>
      <w:r>
        <w:separator/>
      </w:r>
    </w:p>
  </w:footnote>
  <w:footnote w:type="continuationSeparator" w:id="0">
    <w:p w14:paraId="17DB8219" w14:textId="77777777" w:rsidR="008D79B2" w:rsidRDefault="008D79B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42952368">
    <w:abstractNumId w:val="0"/>
  </w:num>
  <w:num w:numId="2" w16cid:durableId="1344359285">
    <w:abstractNumId w:val="4"/>
  </w:num>
  <w:num w:numId="3" w16cid:durableId="77529654">
    <w:abstractNumId w:val="1"/>
  </w:num>
  <w:num w:numId="4" w16cid:durableId="571085974">
    <w:abstractNumId w:val="5"/>
  </w:num>
  <w:num w:numId="5" w16cid:durableId="100532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3782211">
    <w:abstractNumId w:val="3"/>
  </w:num>
  <w:num w:numId="7" w16cid:durableId="1865896391">
    <w:abstractNumId w:val="6"/>
  </w:num>
  <w:num w:numId="8" w16cid:durableId="1816683439">
    <w:abstractNumId w:val="6"/>
  </w:num>
  <w:num w:numId="9" w16cid:durableId="2000960500">
    <w:abstractNumId w:val="6"/>
  </w:num>
  <w:num w:numId="10" w16cid:durableId="1399012352">
    <w:abstractNumId w:val="6"/>
  </w:num>
  <w:num w:numId="11" w16cid:durableId="728499478">
    <w:abstractNumId w:val="6"/>
  </w:num>
  <w:num w:numId="12" w16cid:durableId="2108846251">
    <w:abstractNumId w:val="6"/>
  </w:num>
  <w:num w:numId="13" w16cid:durableId="578095620">
    <w:abstractNumId w:val="3"/>
  </w:num>
  <w:num w:numId="14" w16cid:durableId="141309291">
    <w:abstractNumId w:val="2"/>
  </w:num>
  <w:num w:numId="15" w16cid:durableId="689382227">
    <w:abstractNumId w:val="2"/>
  </w:num>
  <w:num w:numId="16" w16cid:durableId="682979941">
    <w:abstractNumId w:val="2"/>
  </w:num>
  <w:num w:numId="17" w16cid:durableId="341978845">
    <w:abstractNumId w:val="2"/>
  </w:num>
  <w:num w:numId="18" w16cid:durableId="1983346259">
    <w:abstractNumId w:val="2"/>
  </w:num>
  <w:num w:numId="19" w16cid:durableId="6744974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118C"/>
    <w:rsid w:val="00001683"/>
    <w:rsid w:val="0001436A"/>
    <w:rsid w:val="0002041C"/>
    <w:rsid w:val="00034304"/>
    <w:rsid w:val="00035434"/>
    <w:rsid w:val="00052A14"/>
    <w:rsid w:val="000677F3"/>
    <w:rsid w:val="00077D53"/>
    <w:rsid w:val="00086AF0"/>
    <w:rsid w:val="000B332B"/>
    <w:rsid w:val="000B531B"/>
    <w:rsid w:val="000F45DB"/>
    <w:rsid w:val="00105FD9"/>
    <w:rsid w:val="001157BE"/>
    <w:rsid w:val="00117666"/>
    <w:rsid w:val="001518B8"/>
    <w:rsid w:val="001549D3"/>
    <w:rsid w:val="00160065"/>
    <w:rsid w:val="00164C2D"/>
    <w:rsid w:val="00165B71"/>
    <w:rsid w:val="00172B41"/>
    <w:rsid w:val="00177D84"/>
    <w:rsid w:val="001A0C14"/>
    <w:rsid w:val="001A25B6"/>
    <w:rsid w:val="00214122"/>
    <w:rsid w:val="00263E3C"/>
    <w:rsid w:val="00265089"/>
    <w:rsid w:val="00265C16"/>
    <w:rsid w:val="00267D18"/>
    <w:rsid w:val="00274347"/>
    <w:rsid w:val="002868E2"/>
    <w:rsid w:val="002869C3"/>
    <w:rsid w:val="002936E4"/>
    <w:rsid w:val="00296DE2"/>
    <w:rsid w:val="002B4A57"/>
    <w:rsid w:val="002C07CE"/>
    <w:rsid w:val="002C74CA"/>
    <w:rsid w:val="002D50CC"/>
    <w:rsid w:val="003123F4"/>
    <w:rsid w:val="00313552"/>
    <w:rsid w:val="003145A6"/>
    <w:rsid w:val="003544FB"/>
    <w:rsid w:val="00362BF7"/>
    <w:rsid w:val="003827DB"/>
    <w:rsid w:val="00387CD0"/>
    <w:rsid w:val="00392BF7"/>
    <w:rsid w:val="003A4C7C"/>
    <w:rsid w:val="003B3D37"/>
    <w:rsid w:val="003D2F2D"/>
    <w:rsid w:val="003D7497"/>
    <w:rsid w:val="003F2786"/>
    <w:rsid w:val="00401590"/>
    <w:rsid w:val="00407FBF"/>
    <w:rsid w:val="004179AF"/>
    <w:rsid w:val="004301A0"/>
    <w:rsid w:val="00432F46"/>
    <w:rsid w:val="00442461"/>
    <w:rsid w:val="00447801"/>
    <w:rsid w:val="00450368"/>
    <w:rsid w:val="00452E9C"/>
    <w:rsid w:val="004648D6"/>
    <w:rsid w:val="004735C8"/>
    <w:rsid w:val="00473B74"/>
    <w:rsid w:val="00480386"/>
    <w:rsid w:val="00481D10"/>
    <w:rsid w:val="004947A6"/>
    <w:rsid w:val="004961FF"/>
    <w:rsid w:val="004B3505"/>
    <w:rsid w:val="004C3028"/>
    <w:rsid w:val="004D1D46"/>
    <w:rsid w:val="004D318B"/>
    <w:rsid w:val="00517A89"/>
    <w:rsid w:val="005250F2"/>
    <w:rsid w:val="0055504F"/>
    <w:rsid w:val="005622C4"/>
    <w:rsid w:val="00575217"/>
    <w:rsid w:val="0058219D"/>
    <w:rsid w:val="00593EEA"/>
    <w:rsid w:val="005A5EEE"/>
    <w:rsid w:val="005B70BE"/>
    <w:rsid w:val="00606EEF"/>
    <w:rsid w:val="00611270"/>
    <w:rsid w:val="00621E9D"/>
    <w:rsid w:val="006375C7"/>
    <w:rsid w:val="00654E8F"/>
    <w:rsid w:val="00660D05"/>
    <w:rsid w:val="00665938"/>
    <w:rsid w:val="00667415"/>
    <w:rsid w:val="006820B1"/>
    <w:rsid w:val="006B50FC"/>
    <w:rsid w:val="006B7D14"/>
    <w:rsid w:val="006E02BF"/>
    <w:rsid w:val="006F4410"/>
    <w:rsid w:val="00701727"/>
    <w:rsid w:val="0070446C"/>
    <w:rsid w:val="0070566C"/>
    <w:rsid w:val="00714C50"/>
    <w:rsid w:val="007248CD"/>
    <w:rsid w:val="00725A7D"/>
    <w:rsid w:val="00740131"/>
    <w:rsid w:val="007417EB"/>
    <w:rsid w:val="0074181E"/>
    <w:rsid w:val="007501BE"/>
    <w:rsid w:val="0075320F"/>
    <w:rsid w:val="007549F7"/>
    <w:rsid w:val="00760F76"/>
    <w:rsid w:val="007652CD"/>
    <w:rsid w:val="00771834"/>
    <w:rsid w:val="00772138"/>
    <w:rsid w:val="0077433D"/>
    <w:rsid w:val="00777366"/>
    <w:rsid w:val="00785554"/>
    <w:rsid w:val="00790351"/>
    <w:rsid w:val="00790BB3"/>
    <w:rsid w:val="007C0616"/>
    <w:rsid w:val="007C206C"/>
    <w:rsid w:val="007F1040"/>
    <w:rsid w:val="008002C4"/>
    <w:rsid w:val="00817DD6"/>
    <w:rsid w:val="0083759F"/>
    <w:rsid w:val="00852215"/>
    <w:rsid w:val="00852EF2"/>
    <w:rsid w:val="008603C3"/>
    <w:rsid w:val="00861734"/>
    <w:rsid w:val="0087604F"/>
    <w:rsid w:val="00885156"/>
    <w:rsid w:val="00895AA8"/>
    <w:rsid w:val="008C63F5"/>
    <w:rsid w:val="008D79B2"/>
    <w:rsid w:val="008F0C95"/>
    <w:rsid w:val="00913F1E"/>
    <w:rsid w:val="009151AA"/>
    <w:rsid w:val="00922C28"/>
    <w:rsid w:val="00927EEC"/>
    <w:rsid w:val="009322AD"/>
    <w:rsid w:val="0093429D"/>
    <w:rsid w:val="00943573"/>
    <w:rsid w:val="00964134"/>
    <w:rsid w:val="00964D8B"/>
    <w:rsid w:val="0096617D"/>
    <w:rsid w:val="00970F7D"/>
    <w:rsid w:val="00994A3D"/>
    <w:rsid w:val="0099649F"/>
    <w:rsid w:val="009A24A7"/>
    <w:rsid w:val="009C2B12"/>
    <w:rsid w:val="009C4279"/>
    <w:rsid w:val="009E4007"/>
    <w:rsid w:val="009E4612"/>
    <w:rsid w:val="009F157D"/>
    <w:rsid w:val="00A174D9"/>
    <w:rsid w:val="00A21000"/>
    <w:rsid w:val="00A32C34"/>
    <w:rsid w:val="00A34CEC"/>
    <w:rsid w:val="00A415B1"/>
    <w:rsid w:val="00A52A5E"/>
    <w:rsid w:val="00A6038D"/>
    <w:rsid w:val="00AA4D24"/>
    <w:rsid w:val="00AB0BCD"/>
    <w:rsid w:val="00AB6715"/>
    <w:rsid w:val="00AC04BF"/>
    <w:rsid w:val="00AF1185"/>
    <w:rsid w:val="00B12998"/>
    <w:rsid w:val="00B1671E"/>
    <w:rsid w:val="00B25EB8"/>
    <w:rsid w:val="00B31A90"/>
    <w:rsid w:val="00B37F4D"/>
    <w:rsid w:val="00B40ED6"/>
    <w:rsid w:val="00B44618"/>
    <w:rsid w:val="00B45C36"/>
    <w:rsid w:val="00B5753A"/>
    <w:rsid w:val="00B726DB"/>
    <w:rsid w:val="00BA2F62"/>
    <w:rsid w:val="00BB492D"/>
    <w:rsid w:val="00BC2D51"/>
    <w:rsid w:val="00BD519D"/>
    <w:rsid w:val="00BF3148"/>
    <w:rsid w:val="00C13842"/>
    <w:rsid w:val="00C21C7F"/>
    <w:rsid w:val="00C24197"/>
    <w:rsid w:val="00C349A9"/>
    <w:rsid w:val="00C35DC6"/>
    <w:rsid w:val="00C4332C"/>
    <w:rsid w:val="00C43944"/>
    <w:rsid w:val="00C52A7B"/>
    <w:rsid w:val="00C5304C"/>
    <w:rsid w:val="00C56BAF"/>
    <w:rsid w:val="00C67377"/>
    <w:rsid w:val="00C679AA"/>
    <w:rsid w:val="00C75972"/>
    <w:rsid w:val="00C822E9"/>
    <w:rsid w:val="00C95843"/>
    <w:rsid w:val="00CC64EC"/>
    <w:rsid w:val="00CC7FD9"/>
    <w:rsid w:val="00CD066B"/>
    <w:rsid w:val="00CE4ADF"/>
    <w:rsid w:val="00CE4FEE"/>
    <w:rsid w:val="00CF27A9"/>
    <w:rsid w:val="00D060CF"/>
    <w:rsid w:val="00D16362"/>
    <w:rsid w:val="00D21596"/>
    <w:rsid w:val="00D66F1A"/>
    <w:rsid w:val="00DB59C3"/>
    <w:rsid w:val="00DC259A"/>
    <w:rsid w:val="00DE23E8"/>
    <w:rsid w:val="00E06242"/>
    <w:rsid w:val="00E06A6E"/>
    <w:rsid w:val="00E21077"/>
    <w:rsid w:val="00E2233F"/>
    <w:rsid w:val="00E2480D"/>
    <w:rsid w:val="00E26AE8"/>
    <w:rsid w:val="00E41ADB"/>
    <w:rsid w:val="00E426A1"/>
    <w:rsid w:val="00E52377"/>
    <w:rsid w:val="00E537AD"/>
    <w:rsid w:val="00E6403B"/>
    <w:rsid w:val="00E64E17"/>
    <w:rsid w:val="00E75A17"/>
    <w:rsid w:val="00E819B1"/>
    <w:rsid w:val="00E866C9"/>
    <w:rsid w:val="00EA3D3C"/>
    <w:rsid w:val="00EC090A"/>
    <w:rsid w:val="00EC0CD7"/>
    <w:rsid w:val="00ED20B5"/>
    <w:rsid w:val="00EE259D"/>
    <w:rsid w:val="00EE76D4"/>
    <w:rsid w:val="00F404D0"/>
    <w:rsid w:val="00F46900"/>
    <w:rsid w:val="00F50495"/>
    <w:rsid w:val="00F61D89"/>
    <w:rsid w:val="00F72E5E"/>
    <w:rsid w:val="00F74084"/>
    <w:rsid w:val="00F83C76"/>
    <w:rsid w:val="00FB2CEB"/>
    <w:rsid w:val="00FB334D"/>
    <w:rsid w:val="00FC5811"/>
    <w:rsid w:val="00FC7A1B"/>
    <w:rsid w:val="00FD0786"/>
    <w:rsid w:val="00FF0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26508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annl-my.sharepoint.com/personal/maria_barcielarial_han_nl/Documents/00_HAN_/00_HAN_/05_Abstracts_deliverables/16_PaperVeg/0_DATA_files/Step5b_Vegcons_correct_permeability_mbrv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Control -3 cm</c:v>
          </c:tx>
          <c:spPr>
            <a:ln w="19050" cap="rnd">
              <a:solidFill>
                <a:schemeClr val="tx1"/>
              </a:solidFill>
              <a:round/>
            </a:ln>
            <a:effectLst/>
          </c:spPr>
          <c:marker>
            <c:symbol val="diamond"/>
            <c:size val="8"/>
            <c:spPr>
              <a:solidFill>
                <a:schemeClr val="tx1"/>
              </a:solidFill>
              <a:ln w="9525">
                <a:solidFill>
                  <a:schemeClr val="tx1"/>
                </a:solidFill>
              </a:ln>
              <a:effectLst/>
            </c:spPr>
          </c:marker>
          <c:xVal>
            <c:numRef>
              <c:f>'appendixfigcomparison pore pres'!$C$2:$C$66</c:f>
              <c:numCache>
                <c:formatCode>General</c:formatCode>
                <c:ptCount val="65"/>
                <c:pt idx="0">
                  <c:v>0</c:v>
                </c:pt>
                <c:pt idx="1">
                  <c:v>1</c:v>
                </c:pt>
                <c:pt idx="2">
                  <c:v>12</c:v>
                </c:pt>
                <c:pt idx="3">
                  <c:v>13</c:v>
                </c:pt>
                <c:pt idx="4">
                  <c:v>14</c:v>
                </c:pt>
                <c:pt idx="5">
                  <c:v>15</c:v>
                </c:pt>
                <c:pt idx="6">
                  <c:v>16</c:v>
                </c:pt>
                <c:pt idx="7">
                  <c:v>17</c:v>
                </c:pt>
                <c:pt idx="8">
                  <c:v>19</c:v>
                </c:pt>
                <c:pt idx="9">
                  <c:v>20</c:v>
                </c:pt>
                <c:pt idx="10">
                  <c:v>21</c:v>
                </c:pt>
                <c:pt idx="11">
                  <c:v>32</c:v>
                </c:pt>
                <c:pt idx="12">
                  <c:v>33</c:v>
                </c:pt>
                <c:pt idx="13">
                  <c:v>35</c:v>
                </c:pt>
                <c:pt idx="14">
                  <c:v>36</c:v>
                </c:pt>
                <c:pt idx="15">
                  <c:v>38</c:v>
                </c:pt>
                <c:pt idx="16">
                  <c:v>39</c:v>
                </c:pt>
                <c:pt idx="17">
                  <c:v>40</c:v>
                </c:pt>
                <c:pt idx="18">
                  <c:v>41</c:v>
                </c:pt>
                <c:pt idx="19">
                  <c:v>42</c:v>
                </c:pt>
                <c:pt idx="20">
                  <c:v>43</c:v>
                </c:pt>
                <c:pt idx="21">
                  <c:v>45</c:v>
                </c:pt>
                <c:pt idx="22">
                  <c:v>46</c:v>
                </c:pt>
                <c:pt idx="23">
                  <c:v>47</c:v>
                </c:pt>
                <c:pt idx="24">
                  <c:v>54</c:v>
                </c:pt>
                <c:pt idx="25">
                  <c:v>55</c:v>
                </c:pt>
                <c:pt idx="26">
                  <c:v>56</c:v>
                </c:pt>
                <c:pt idx="27">
                  <c:v>57</c:v>
                </c:pt>
                <c:pt idx="28">
                  <c:v>58</c:v>
                </c:pt>
                <c:pt idx="29">
                  <c:v>59</c:v>
                </c:pt>
                <c:pt idx="30">
                  <c:v>60</c:v>
                </c:pt>
                <c:pt idx="31">
                  <c:v>78</c:v>
                </c:pt>
                <c:pt idx="32">
                  <c:v>79</c:v>
                </c:pt>
                <c:pt idx="33">
                  <c:v>82</c:v>
                </c:pt>
                <c:pt idx="34">
                  <c:v>86</c:v>
                </c:pt>
                <c:pt idx="35">
                  <c:v>87</c:v>
                </c:pt>
                <c:pt idx="36">
                  <c:v>88</c:v>
                </c:pt>
                <c:pt idx="37">
                  <c:v>91</c:v>
                </c:pt>
                <c:pt idx="38">
                  <c:v>92</c:v>
                </c:pt>
                <c:pt idx="39">
                  <c:v>93</c:v>
                </c:pt>
                <c:pt idx="40">
                  <c:v>94</c:v>
                </c:pt>
                <c:pt idx="41">
                  <c:v>95</c:v>
                </c:pt>
                <c:pt idx="42">
                  <c:v>96</c:v>
                </c:pt>
                <c:pt idx="43">
                  <c:v>97</c:v>
                </c:pt>
                <c:pt idx="44">
                  <c:v>98</c:v>
                </c:pt>
                <c:pt idx="45">
                  <c:v>99</c:v>
                </c:pt>
                <c:pt idx="46">
                  <c:v>100</c:v>
                </c:pt>
                <c:pt idx="47">
                  <c:v>104</c:v>
                </c:pt>
                <c:pt idx="48">
                  <c:v>105</c:v>
                </c:pt>
                <c:pt idx="49">
                  <c:v>109</c:v>
                </c:pt>
                <c:pt idx="50">
                  <c:v>111</c:v>
                </c:pt>
                <c:pt idx="51">
                  <c:v>112</c:v>
                </c:pt>
                <c:pt idx="52">
                  <c:v>113</c:v>
                </c:pt>
                <c:pt idx="53">
                  <c:v>114</c:v>
                </c:pt>
                <c:pt idx="54">
                  <c:v>115</c:v>
                </c:pt>
                <c:pt idx="55">
                  <c:v>116</c:v>
                </c:pt>
                <c:pt idx="56">
                  <c:v>117</c:v>
                </c:pt>
                <c:pt idx="57">
                  <c:v>118</c:v>
                </c:pt>
                <c:pt idx="58">
                  <c:v>119</c:v>
                </c:pt>
                <c:pt idx="59">
                  <c:v>120</c:v>
                </c:pt>
                <c:pt idx="60">
                  <c:v>121</c:v>
                </c:pt>
                <c:pt idx="61">
                  <c:v>122</c:v>
                </c:pt>
                <c:pt idx="62">
                  <c:v>123</c:v>
                </c:pt>
                <c:pt idx="63">
                  <c:v>127</c:v>
                </c:pt>
                <c:pt idx="64">
                  <c:v>128</c:v>
                </c:pt>
              </c:numCache>
            </c:numRef>
          </c:xVal>
          <c:yVal>
            <c:numRef>
              <c:f>'appendixfigcomparison pore pres'!$G$2:$G$67</c:f>
              <c:numCache>
                <c:formatCode>General</c:formatCode>
                <c:ptCount val="66"/>
                <c:pt idx="0">
                  <c:v>2.479363308529011</c:v>
                </c:pt>
                <c:pt idx="1">
                  <c:v>2.3283518795173905</c:v>
                </c:pt>
                <c:pt idx="2">
                  <c:v>1.1123214860115105</c:v>
                </c:pt>
                <c:pt idx="3">
                  <c:v>1.2369716033772258</c:v>
                </c:pt>
                <c:pt idx="4">
                  <c:v>1.1008304114891136</c:v>
                </c:pt>
                <c:pt idx="5">
                  <c:v>1.1101336907098234</c:v>
                </c:pt>
                <c:pt idx="6">
                  <c:v>1.2306445562701098</c:v>
                </c:pt>
                <c:pt idx="7">
                  <c:v>0.88251626021351215</c:v>
                </c:pt>
                <c:pt idx="8">
                  <c:v>0.68534822755564906</c:v>
                </c:pt>
                <c:pt idx="9">
                  <c:v>0.71986397061312979</c:v>
                </c:pt>
                <c:pt idx="10">
                  <c:v>0.69028058580042417</c:v>
                </c:pt>
                <c:pt idx="11">
                  <c:v>0.44415213696531419</c:v>
                </c:pt>
                <c:pt idx="12">
                  <c:v>0.38243368753201296</c:v>
                </c:pt>
                <c:pt idx="13">
                  <c:v>0.38243368753201296</c:v>
                </c:pt>
                <c:pt idx="14">
                  <c:v>0.29758341215830858</c:v>
                </c:pt>
                <c:pt idx="15">
                  <c:v>0.29758341215830858</c:v>
                </c:pt>
                <c:pt idx="16">
                  <c:v>0.33424587638697428</c:v>
                </c:pt>
                <c:pt idx="17">
                  <c:v>0.2903358354460252</c:v>
                </c:pt>
                <c:pt idx="18">
                  <c:v>0.28725731431923979</c:v>
                </c:pt>
                <c:pt idx="19">
                  <c:v>0.29107070040151001</c:v>
                </c:pt>
                <c:pt idx="20">
                  <c:v>0.31897681628878649</c:v>
                </c:pt>
                <c:pt idx="21">
                  <c:v>0.24185744100692103</c:v>
                </c:pt>
                <c:pt idx="22">
                  <c:v>0.29392631219809723</c:v>
                </c:pt>
                <c:pt idx="23">
                  <c:v>0.28042935830149129</c:v>
                </c:pt>
                <c:pt idx="24">
                  <c:v>0.31088401512115532</c:v>
                </c:pt>
                <c:pt idx="25">
                  <c:v>0.32108851226224666</c:v>
                </c:pt>
                <c:pt idx="26">
                  <c:v>0.33576627454106267</c:v>
                </c:pt>
                <c:pt idx="27">
                  <c:v>0.33017968711565082</c:v>
                </c:pt>
                <c:pt idx="28">
                  <c:v>0.33649020673372748</c:v>
                </c:pt>
                <c:pt idx="29">
                  <c:v>0.3372215399248672</c:v>
                </c:pt>
                <c:pt idx="30">
                  <c:v>0.27036379935936605</c:v>
                </c:pt>
                <c:pt idx="31">
                  <c:v>-5.4811661996956973E-2</c:v>
                </c:pt>
                <c:pt idx="32">
                  <c:v>0.48202522217999433</c:v>
                </c:pt>
                <c:pt idx="33">
                  <c:v>0.48563259859243313</c:v>
                </c:pt>
                <c:pt idx="34">
                  <c:v>0.43951720933006794</c:v>
                </c:pt>
                <c:pt idx="35">
                  <c:v>0.38879246935111811</c:v>
                </c:pt>
                <c:pt idx="36">
                  <c:v>0.3935099242400249</c:v>
                </c:pt>
                <c:pt idx="37">
                  <c:v>0.38665377987694388</c:v>
                </c:pt>
                <c:pt idx="38">
                  <c:v>0.4102013646155529</c:v>
                </c:pt>
                <c:pt idx="39">
                  <c:v>0.45304287884646766</c:v>
                </c:pt>
                <c:pt idx="40">
                  <c:v>0.46233890952063028</c:v>
                </c:pt>
                <c:pt idx="41">
                  <c:v>0.43964392857584589</c:v>
                </c:pt>
                <c:pt idx="42">
                  <c:v>0.44452249114096332</c:v>
                </c:pt>
                <c:pt idx="43">
                  <c:v>0.45725743694658516</c:v>
                </c:pt>
                <c:pt idx="44">
                  <c:v>0.38150577494102977</c:v>
                </c:pt>
                <c:pt idx="45">
                  <c:v>0.30622508747025423</c:v>
                </c:pt>
                <c:pt idx="46">
                  <c:v>0.29704895797152703</c:v>
                </c:pt>
                <c:pt idx="47">
                  <c:v>0.3000651322317972</c:v>
                </c:pt>
                <c:pt idx="48">
                  <c:v>0.29194878633317567</c:v>
                </c:pt>
                <c:pt idx="49">
                  <c:v>0.31745931417204498</c:v>
                </c:pt>
                <c:pt idx="50">
                  <c:v>0.34844340589981859</c:v>
                </c:pt>
                <c:pt idx="51">
                  <c:v>0.35702838556832972</c:v>
                </c:pt>
                <c:pt idx="52">
                  <c:v>0.37892549959938276</c:v>
                </c:pt>
                <c:pt idx="53">
                  <c:v>0.38183819403879293</c:v>
                </c:pt>
                <c:pt idx="54">
                  <c:v>0.40605905049530333</c:v>
                </c:pt>
                <c:pt idx="55">
                  <c:v>0.43548823556327476</c:v>
                </c:pt>
                <c:pt idx="56">
                  <c:v>0.44252582744674662</c:v>
                </c:pt>
                <c:pt idx="57">
                  <c:v>0.44830288958378861</c:v>
                </c:pt>
                <c:pt idx="58">
                  <c:v>0.44508222738339742</c:v>
                </c:pt>
                <c:pt idx="59">
                  <c:v>0.4582605112637903</c:v>
                </c:pt>
                <c:pt idx="60">
                  <c:v>0.4006168922070843</c:v>
                </c:pt>
                <c:pt idx="61">
                  <c:v>0.32907977172285313</c:v>
                </c:pt>
                <c:pt idx="62">
                  <c:v>0.32644563267557752</c:v>
                </c:pt>
                <c:pt idx="63">
                  <c:v>0.32584721101986591</c:v>
                </c:pt>
                <c:pt idx="64">
                  <c:v>0.35174451111085708</c:v>
                </c:pt>
                <c:pt idx="65">
                  <c:v>0.38044073998358136</c:v>
                </c:pt>
              </c:numCache>
            </c:numRef>
          </c:yVal>
          <c:smooth val="0"/>
          <c:extLst>
            <c:ext xmlns:c16="http://schemas.microsoft.com/office/drawing/2014/chart" uri="{C3380CC4-5D6E-409C-BE32-E72D297353CC}">
              <c16:uniqueId val="{00000000-983A-4E45-B658-8C251DCC96E2}"/>
            </c:ext>
          </c:extLst>
        </c:ser>
        <c:ser>
          <c:idx val="1"/>
          <c:order val="1"/>
          <c:tx>
            <c:v>Vegetated -3 cm</c:v>
          </c:tx>
          <c:spPr>
            <a:ln w="19050" cap="rnd">
              <a:solidFill>
                <a:schemeClr val="accent3"/>
              </a:solidFill>
              <a:round/>
            </a:ln>
            <a:effectLst/>
          </c:spPr>
          <c:marker>
            <c:symbol val="triangle"/>
            <c:size val="9"/>
            <c:spPr>
              <a:solidFill>
                <a:schemeClr val="accent3"/>
              </a:solidFill>
              <a:ln w="9525">
                <a:solidFill>
                  <a:schemeClr val="accent3"/>
                </a:solidFill>
              </a:ln>
              <a:effectLst/>
            </c:spPr>
          </c:marker>
          <c:xVal>
            <c:numRef>
              <c:f>'appendixfigcomparison pore pres'!$B$2:$B$54</c:f>
              <c:numCache>
                <c:formatCode>General</c:formatCode>
                <c:ptCount val="53"/>
                <c:pt idx="0">
                  <c:v>0</c:v>
                </c:pt>
                <c:pt idx="1">
                  <c:v>1</c:v>
                </c:pt>
                <c:pt idx="2">
                  <c:v>19</c:v>
                </c:pt>
                <c:pt idx="3">
                  <c:v>20</c:v>
                </c:pt>
                <c:pt idx="4">
                  <c:v>21</c:v>
                </c:pt>
                <c:pt idx="5">
                  <c:v>32</c:v>
                </c:pt>
                <c:pt idx="6">
                  <c:v>33</c:v>
                </c:pt>
                <c:pt idx="7">
                  <c:v>35</c:v>
                </c:pt>
                <c:pt idx="8">
                  <c:v>36</c:v>
                </c:pt>
                <c:pt idx="9">
                  <c:v>46</c:v>
                </c:pt>
                <c:pt idx="10">
                  <c:v>47</c:v>
                </c:pt>
                <c:pt idx="11">
                  <c:v>54</c:v>
                </c:pt>
                <c:pt idx="12">
                  <c:v>55</c:v>
                </c:pt>
                <c:pt idx="13">
                  <c:v>56</c:v>
                </c:pt>
                <c:pt idx="14">
                  <c:v>57</c:v>
                </c:pt>
                <c:pt idx="15">
                  <c:v>58</c:v>
                </c:pt>
                <c:pt idx="16">
                  <c:v>59</c:v>
                </c:pt>
                <c:pt idx="17">
                  <c:v>60</c:v>
                </c:pt>
                <c:pt idx="18">
                  <c:v>78</c:v>
                </c:pt>
                <c:pt idx="19">
                  <c:v>79</c:v>
                </c:pt>
                <c:pt idx="20">
                  <c:v>82</c:v>
                </c:pt>
                <c:pt idx="21">
                  <c:v>86</c:v>
                </c:pt>
                <c:pt idx="22">
                  <c:v>87</c:v>
                </c:pt>
                <c:pt idx="23">
                  <c:v>88</c:v>
                </c:pt>
                <c:pt idx="24">
                  <c:v>91</c:v>
                </c:pt>
                <c:pt idx="25">
                  <c:v>92</c:v>
                </c:pt>
                <c:pt idx="26">
                  <c:v>93</c:v>
                </c:pt>
                <c:pt idx="27">
                  <c:v>94</c:v>
                </c:pt>
                <c:pt idx="28">
                  <c:v>95</c:v>
                </c:pt>
                <c:pt idx="29">
                  <c:v>96</c:v>
                </c:pt>
                <c:pt idx="30">
                  <c:v>97</c:v>
                </c:pt>
                <c:pt idx="31">
                  <c:v>98</c:v>
                </c:pt>
                <c:pt idx="32">
                  <c:v>99</c:v>
                </c:pt>
                <c:pt idx="33">
                  <c:v>100</c:v>
                </c:pt>
                <c:pt idx="34">
                  <c:v>104</c:v>
                </c:pt>
                <c:pt idx="35">
                  <c:v>105</c:v>
                </c:pt>
                <c:pt idx="36">
                  <c:v>109</c:v>
                </c:pt>
                <c:pt idx="37">
                  <c:v>111</c:v>
                </c:pt>
                <c:pt idx="38">
                  <c:v>112</c:v>
                </c:pt>
                <c:pt idx="39">
                  <c:v>113</c:v>
                </c:pt>
                <c:pt idx="40">
                  <c:v>114</c:v>
                </c:pt>
                <c:pt idx="41">
                  <c:v>115</c:v>
                </c:pt>
                <c:pt idx="42">
                  <c:v>116</c:v>
                </c:pt>
                <c:pt idx="43">
                  <c:v>117</c:v>
                </c:pt>
                <c:pt idx="44">
                  <c:v>118</c:v>
                </c:pt>
                <c:pt idx="45">
                  <c:v>119</c:v>
                </c:pt>
                <c:pt idx="46">
                  <c:v>120</c:v>
                </c:pt>
                <c:pt idx="47">
                  <c:v>121</c:v>
                </c:pt>
                <c:pt idx="48">
                  <c:v>122</c:v>
                </c:pt>
                <c:pt idx="49">
                  <c:v>123</c:v>
                </c:pt>
                <c:pt idx="50">
                  <c:v>127</c:v>
                </c:pt>
                <c:pt idx="51">
                  <c:v>128</c:v>
                </c:pt>
                <c:pt idx="52">
                  <c:v>129</c:v>
                </c:pt>
              </c:numCache>
            </c:numRef>
          </c:xVal>
          <c:yVal>
            <c:numRef>
              <c:f>'appendixfigcomparison pore pres'!$E$2:$E$54</c:f>
              <c:numCache>
                <c:formatCode>General</c:formatCode>
                <c:ptCount val="53"/>
                <c:pt idx="0">
                  <c:v>1.1373066442368946</c:v>
                </c:pt>
                <c:pt idx="1">
                  <c:v>1.0322375122874732</c:v>
                </c:pt>
                <c:pt idx="2">
                  <c:v>0.40108109662577973</c:v>
                </c:pt>
                <c:pt idx="3">
                  <c:v>0.33894142664220256</c:v>
                </c:pt>
                <c:pt idx="4">
                  <c:v>0.15376040577804534</c:v>
                </c:pt>
                <c:pt idx="5">
                  <c:v>0.32871544720042961</c:v>
                </c:pt>
                <c:pt idx="6">
                  <c:v>0.310512294500291</c:v>
                </c:pt>
                <c:pt idx="7">
                  <c:v>0.2563516740900661</c:v>
                </c:pt>
                <c:pt idx="8">
                  <c:v>0.25365916630116042</c:v>
                </c:pt>
                <c:pt idx="9">
                  <c:v>-0.36249679361139264</c:v>
                </c:pt>
                <c:pt idx="10">
                  <c:v>-0.34705287175849009</c:v>
                </c:pt>
                <c:pt idx="11">
                  <c:v>5.5836333895546653E-2</c:v>
                </c:pt>
                <c:pt idx="12">
                  <c:v>-6.726395121629769E-2</c:v>
                </c:pt>
                <c:pt idx="13">
                  <c:v>5.1033275107549958E-2</c:v>
                </c:pt>
                <c:pt idx="14">
                  <c:v>-0.12046489612712874</c:v>
                </c:pt>
                <c:pt idx="15">
                  <c:v>0.36453575250886822</c:v>
                </c:pt>
                <c:pt idx="16">
                  <c:v>0.38172097017526124</c:v>
                </c:pt>
                <c:pt idx="17">
                  <c:v>0.44744899064776533</c:v>
                </c:pt>
                <c:pt idx="18">
                  <c:v>-1.1622139372300331</c:v>
                </c:pt>
                <c:pt idx="19">
                  <c:v>-1.2418363314351599</c:v>
                </c:pt>
                <c:pt idx="20">
                  <c:v>-0.97282157466295216</c:v>
                </c:pt>
                <c:pt idx="21">
                  <c:v>-1.2795105257720842</c:v>
                </c:pt>
                <c:pt idx="22">
                  <c:v>-1.2783208275022173</c:v>
                </c:pt>
                <c:pt idx="23">
                  <c:v>-1.2525731640175173</c:v>
                </c:pt>
                <c:pt idx="24">
                  <c:v>-1.3296658720413852</c:v>
                </c:pt>
                <c:pt idx="25">
                  <c:v>-1.3370345672238422</c:v>
                </c:pt>
                <c:pt idx="26">
                  <c:v>-1.338308949315794</c:v>
                </c:pt>
                <c:pt idx="27">
                  <c:v>-1.322527099402877</c:v>
                </c:pt>
                <c:pt idx="28">
                  <c:v>-1.3119018901089934</c:v>
                </c:pt>
                <c:pt idx="29">
                  <c:v>-1.2941373191782151</c:v>
                </c:pt>
                <c:pt idx="30">
                  <c:v>-1.2936722392224027</c:v>
                </c:pt>
                <c:pt idx="31">
                  <c:v>-1.251327846331288</c:v>
                </c:pt>
                <c:pt idx="32">
                  <c:v>-1.3000243405413516</c:v>
                </c:pt>
                <c:pt idx="33">
                  <c:v>-1.2863618462036244</c:v>
                </c:pt>
                <c:pt idx="34">
                  <c:v>-1.3262755156194039</c:v>
                </c:pt>
                <c:pt idx="35">
                  <c:v>-1.3366528537649551</c:v>
                </c:pt>
                <c:pt idx="36">
                  <c:v>-1.2461309170550741</c:v>
                </c:pt>
                <c:pt idx="37">
                  <c:v>-1.2955412214239228</c:v>
                </c:pt>
                <c:pt idx="38">
                  <c:v>-1.3276056200919255</c:v>
                </c:pt>
                <c:pt idx="39">
                  <c:v>-1.2840827556292367</c:v>
                </c:pt>
                <c:pt idx="40">
                  <c:v>-1.3067306613370149</c:v>
                </c:pt>
                <c:pt idx="41">
                  <c:v>-1.3465587544058262</c:v>
                </c:pt>
                <c:pt idx="42">
                  <c:v>-1.3224993155626583</c:v>
                </c:pt>
                <c:pt idx="43">
                  <c:v>-1.3124207035709747</c:v>
                </c:pt>
                <c:pt idx="44">
                  <c:v>-1.2730945970315157</c:v>
                </c:pt>
                <c:pt idx="45">
                  <c:v>-1.2815105171289902</c:v>
                </c:pt>
                <c:pt idx="46">
                  <c:v>-1.3130842909086917</c:v>
                </c:pt>
                <c:pt idx="47">
                  <c:v>-1.3823329234563779</c:v>
                </c:pt>
                <c:pt idx="48">
                  <c:v>-1.3681939911198571</c:v>
                </c:pt>
                <c:pt idx="49">
                  <c:v>-1.3095232840877236</c:v>
                </c:pt>
                <c:pt idx="50">
                  <c:v>-1.1983316256936307</c:v>
                </c:pt>
                <c:pt idx="51">
                  <c:v>-1.2409408279196805</c:v>
                </c:pt>
                <c:pt idx="52">
                  <c:v>-1.3222717909884625</c:v>
                </c:pt>
              </c:numCache>
            </c:numRef>
          </c:yVal>
          <c:smooth val="0"/>
          <c:extLst>
            <c:ext xmlns:c16="http://schemas.microsoft.com/office/drawing/2014/chart" uri="{C3380CC4-5D6E-409C-BE32-E72D297353CC}">
              <c16:uniqueId val="{00000001-983A-4E45-B658-8C251DCC96E2}"/>
            </c:ext>
          </c:extLst>
        </c:ser>
        <c:ser>
          <c:idx val="2"/>
          <c:order val="2"/>
          <c:tx>
            <c:v>No drainage -3 cm</c:v>
          </c:tx>
          <c:spPr>
            <a:ln w="19050" cap="rnd">
              <a:solidFill>
                <a:schemeClr val="tx1"/>
              </a:solidFill>
              <a:round/>
            </a:ln>
            <a:effectLst/>
          </c:spPr>
          <c:marker>
            <c:symbol val="diamond"/>
            <c:size val="8"/>
            <c:spPr>
              <a:noFill/>
              <a:ln w="9525">
                <a:solidFill>
                  <a:schemeClr val="tx1"/>
                </a:solidFill>
              </a:ln>
              <a:effectLst/>
            </c:spPr>
          </c:marker>
          <c:xVal>
            <c:numRef>
              <c:f>'appendixfigcomparison pore pres'!$D$2:$D$63</c:f>
              <c:numCache>
                <c:formatCode>General</c:formatCode>
                <c:ptCount val="62"/>
                <c:pt idx="0">
                  <c:v>0</c:v>
                </c:pt>
                <c:pt idx="1">
                  <c:v>1</c:v>
                </c:pt>
                <c:pt idx="2">
                  <c:v>12</c:v>
                </c:pt>
                <c:pt idx="3">
                  <c:v>13</c:v>
                </c:pt>
                <c:pt idx="4">
                  <c:v>14</c:v>
                </c:pt>
                <c:pt idx="5">
                  <c:v>15</c:v>
                </c:pt>
                <c:pt idx="6">
                  <c:v>16</c:v>
                </c:pt>
                <c:pt idx="7">
                  <c:v>17</c:v>
                </c:pt>
                <c:pt idx="8">
                  <c:v>19</c:v>
                </c:pt>
                <c:pt idx="9">
                  <c:v>20</c:v>
                </c:pt>
                <c:pt idx="10">
                  <c:v>21</c:v>
                </c:pt>
                <c:pt idx="11">
                  <c:v>32</c:v>
                </c:pt>
                <c:pt idx="12">
                  <c:v>33</c:v>
                </c:pt>
                <c:pt idx="13">
                  <c:v>35</c:v>
                </c:pt>
                <c:pt idx="14">
                  <c:v>36</c:v>
                </c:pt>
                <c:pt idx="15">
                  <c:v>38</c:v>
                </c:pt>
                <c:pt idx="16">
                  <c:v>39</c:v>
                </c:pt>
                <c:pt idx="17">
                  <c:v>40</c:v>
                </c:pt>
                <c:pt idx="18">
                  <c:v>41</c:v>
                </c:pt>
                <c:pt idx="19">
                  <c:v>42</c:v>
                </c:pt>
                <c:pt idx="20">
                  <c:v>43</c:v>
                </c:pt>
                <c:pt idx="21">
                  <c:v>45</c:v>
                </c:pt>
                <c:pt idx="22">
                  <c:v>46</c:v>
                </c:pt>
                <c:pt idx="23">
                  <c:v>47</c:v>
                </c:pt>
                <c:pt idx="24">
                  <c:v>54</c:v>
                </c:pt>
                <c:pt idx="25">
                  <c:v>55</c:v>
                </c:pt>
                <c:pt idx="26">
                  <c:v>56</c:v>
                </c:pt>
                <c:pt idx="27">
                  <c:v>57</c:v>
                </c:pt>
                <c:pt idx="28">
                  <c:v>79</c:v>
                </c:pt>
                <c:pt idx="29">
                  <c:v>82</c:v>
                </c:pt>
                <c:pt idx="30">
                  <c:v>86</c:v>
                </c:pt>
                <c:pt idx="31">
                  <c:v>87</c:v>
                </c:pt>
                <c:pt idx="32">
                  <c:v>88</c:v>
                </c:pt>
                <c:pt idx="33">
                  <c:v>91</c:v>
                </c:pt>
                <c:pt idx="34">
                  <c:v>92</c:v>
                </c:pt>
                <c:pt idx="35">
                  <c:v>93</c:v>
                </c:pt>
                <c:pt idx="36">
                  <c:v>94</c:v>
                </c:pt>
                <c:pt idx="37">
                  <c:v>95</c:v>
                </c:pt>
                <c:pt idx="38">
                  <c:v>96</c:v>
                </c:pt>
                <c:pt idx="39">
                  <c:v>97</c:v>
                </c:pt>
                <c:pt idx="40">
                  <c:v>98</c:v>
                </c:pt>
                <c:pt idx="41">
                  <c:v>99</c:v>
                </c:pt>
                <c:pt idx="42">
                  <c:v>100</c:v>
                </c:pt>
                <c:pt idx="43">
                  <c:v>104</c:v>
                </c:pt>
                <c:pt idx="44">
                  <c:v>105</c:v>
                </c:pt>
                <c:pt idx="45">
                  <c:v>109</c:v>
                </c:pt>
                <c:pt idx="46">
                  <c:v>111</c:v>
                </c:pt>
                <c:pt idx="47">
                  <c:v>112</c:v>
                </c:pt>
                <c:pt idx="48">
                  <c:v>113</c:v>
                </c:pt>
                <c:pt idx="49">
                  <c:v>114</c:v>
                </c:pt>
                <c:pt idx="50">
                  <c:v>115</c:v>
                </c:pt>
                <c:pt idx="51">
                  <c:v>116</c:v>
                </c:pt>
                <c:pt idx="52">
                  <c:v>117</c:v>
                </c:pt>
                <c:pt idx="53">
                  <c:v>118</c:v>
                </c:pt>
                <c:pt idx="54">
                  <c:v>119</c:v>
                </c:pt>
                <c:pt idx="55">
                  <c:v>120</c:v>
                </c:pt>
                <c:pt idx="56">
                  <c:v>121</c:v>
                </c:pt>
                <c:pt idx="57">
                  <c:v>122</c:v>
                </c:pt>
                <c:pt idx="58">
                  <c:v>123</c:v>
                </c:pt>
                <c:pt idx="59">
                  <c:v>127</c:v>
                </c:pt>
                <c:pt idx="60">
                  <c:v>128</c:v>
                </c:pt>
                <c:pt idx="61">
                  <c:v>129</c:v>
                </c:pt>
              </c:numCache>
            </c:numRef>
          </c:xVal>
          <c:yVal>
            <c:numRef>
              <c:f>'appendixfigcomparison pore pres'!$I$2:$I$63</c:f>
              <c:numCache>
                <c:formatCode>General</c:formatCode>
                <c:ptCount val="62"/>
                <c:pt idx="0">
                  <c:v>1.6385612818850179</c:v>
                </c:pt>
                <c:pt idx="1">
                  <c:v>1.8924686749893627</c:v>
                </c:pt>
                <c:pt idx="2">
                  <c:v>1.147448144212835</c:v>
                </c:pt>
                <c:pt idx="3">
                  <c:v>1.1116040061734569</c:v>
                </c:pt>
                <c:pt idx="4">
                  <c:v>1.0845196657758205</c:v>
                </c:pt>
                <c:pt idx="5">
                  <c:v>1.046335435307834</c:v>
                </c:pt>
                <c:pt idx="6">
                  <c:v>1.0196821313111208</c:v>
                </c:pt>
                <c:pt idx="7">
                  <c:v>0.96821892694270772</c:v>
                </c:pt>
                <c:pt idx="8">
                  <c:v>0.82974939018750049</c:v>
                </c:pt>
                <c:pt idx="9">
                  <c:v>0.78106970138374798</c:v>
                </c:pt>
                <c:pt idx="10">
                  <c:v>0.72184470883517216</c:v>
                </c:pt>
                <c:pt idx="11">
                  <c:v>0.55335907241627325</c:v>
                </c:pt>
                <c:pt idx="12">
                  <c:v>0.53968207635546683</c:v>
                </c:pt>
                <c:pt idx="13">
                  <c:v>0.48594382800076641</c:v>
                </c:pt>
                <c:pt idx="14">
                  <c:v>0.46405745298829304</c:v>
                </c:pt>
                <c:pt idx="15">
                  <c:v>0.4485008562820153</c:v>
                </c:pt>
                <c:pt idx="16">
                  <c:v>0.42693296719982776</c:v>
                </c:pt>
                <c:pt idx="17">
                  <c:v>0.37828049391852098</c:v>
                </c:pt>
                <c:pt idx="18">
                  <c:v>0.35923892025809817</c:v>
                </c:pt>
                <c:pt idx="19">
                  <c:v>0.37146343570108203</c:v>
                </c:pt>
                <c:pt idx="20">
                  <c:v>0.35830223146430451</c:v>
                </c:pt>
                <c:pt idx="21">
                  <c:v>0.28228300855613536</c:v>
                </c:pt>
                <c:pt idx="22">
                  <c:v>0.22819288588557801</c:v>
                </c:pt>
                <c:pt idx="23">
                  <c:v>-0.25821115540454742</c:v>
                </c:pt>
                <c:pt idx="24">
                  <c:v>0.63398069314953009</c:v>
                </c:pt>
                <c:pt idx="25">
                  <c:v>0.59370909616357703</c:v>
                </c:pt>
                <c:pt idx="26">
                  <c:v>0.63398069314953009</c:v>
                </c:pt>
                <c:pt idx="27">
                  <c:v>0.47664654673553392</c:v>
                </c:pt>
                <c:pt idx="28">
                  <c:v>-0.69387955530245027</c:v>
                </c:pt>
                <c:pt idx="29">
                  <c:v>-0.81235425530488337</c:v>
                </c:pt>
                <c:pt idx="30">
                  <c:v>-0.70590100184975257</c:v>
                </c:pt>
                <c:pt idx="31">
                  <c:v>-0.69916352375869828</c:v>
                </c:pt>
                <c:pt idx="32">
                  <c:v>-0.70579833543520587</c:v>
                </c:pt>
                <c:pt idx="33">
                  <c:v>-0.64848114744298757</c:v>
                </c:pt>
                <c:pt idx="34">
                  <c:v>-0.62574509885824947</c:v>
                </c:pt>
                <c:pt idx="35">
                  <c:v>-0.6225270283494081</c:v>
                </c:pt>
                <c:pt idx="36">
                  <c:v>-0.65715827491255629</c:v>
                </c:pt>
                <c:pt idx="37">
                  <c:v>-0.68699146358400409</c:v>
                </c:pt>
                <c:pt idx="38">
                  <c:v>-0.69287256007968046</c:v>
                </c:pt>
                <c:pt idx="39">
                  <c:v>-0.72858065954554585</c:v>
                </c:pt>
                <c:pt idx="40">
                  <c:v>-0.80206428243582939</c:v>
                </c:pt>
                <c:pt idx="41">
                  <c:v>-0.87816086050446629</c:v>
                </c:pt>
                <c:pt idx="42">
                  <c:v>-0.9565341831957811</c:v>
                </c:pt>
                <c:pt idx="43">
                  <c:v>-0.9091270873064069</c:v>
                </c:pt>
                <c:pt idx="44">
                  <c:v>-0.82788295411284663</c:v>
                </c:pt>
                <c:pt idx="45">
                  <c:v>-0.77400077093475173</c:v>
                </c:pt>
                <c:pt idx="46">
                  <c:v>-0.74232120132689927</c:v>
                </c:pt>
                <c:pt idx="47">
                  <c:v>-0.6867682122859734</c:v>
                </c:pt>
                <c:pt idx="48">
                  <c:v>-0.71768240464344213</c:v>
                </c:pt>
                <c:pt idx="49">
                  <c:v>-0.66523411602912319</c:v>
                </c:pt>
                <c:pt idx="50">
                  <c:v>-0.60090949778961822</c:v>
                </c:pt>
                <c:pt idx="51">
                  <c:v>-0.61532585148405639</c:v>
                </c:pt>
                <c:pt idx="52">
                  <c:v>-0.60507556557235997</c:v>
                </c:pt>
                <c:pt idx="53">
                  <c:v>-0.63148685370725455</c:v>
                </c:pt>
                <c:pt idx="54">
                  <c:v>-0.59434435631307159</c:v>
                </c:pt>
                <c:pt idx="55">
                  <c:v>-0.63191382165035448</c:v>
                </c:pt>
                <c:pt idx="56">
                  <c:v>-0.70222174712696639</c:v>
                </c:pt>
                <c:pt idx="57">
                  <c:v>-0.69213216999246108</c:v>
                </c:pt>
                <c:pt idx="58">
                  <c:v>-0.71363759902747936</c:v>
                </c:pt>
                <c:pt idx="59">
                  <c:v>-0.73135163823629268</c:v>
                </c:pt>
                <c:pt idx="60">
                  <c:v>-0.69497119558744436</c:v>
                </c:pt>
                <c:pt idx="61">
                  <c:v>-0.61954132840733511</c:v>
                </c:pt>
              </c:numCache>
            </c:numRef>
          </c:yVal>
          <c:smooth val="0"/>
          <c:extLst>
            <c:ext xmlns:c16="http://schemas.microsoft.com/office/drawing/2014/chart" uri="{C3380CC4-5D6E-409C-BE32-E72D297353CC}">
              <c16:uniqueId val="{00000002-983A-4E45-B658-8C251DCC96E2}"/>
            </c:ext>
          </c:extLst>
        </c:ser>
        <c:ser>
          <c:idx val="3"/>
          <c:order val="3"/>
          <c:tx>
            <c:v>Control 17 cm</c:v>
          </c:tx>
          <c:spPr>
            <a:ln w="19050" cap="rnd">
              <a:solidFill>
                <a:schemeClr val="tx1"/>
              </a:solidFill>
              <a:round/>
            </a:ln>
            <a:effectLst/>
          </c:spPr>
          <c:marker>
            <c:symbol val="circle"/>
            <c:size val="7"/>
            <c:spPr>
              <a:solidFill>
                <a:schemeClr val="tx1"/>
              </a:solidFill>
              <a:ln w="9525">
                <a:solidFill>
                  <a:schemeClr val="tx1"/>
                </a:solidFill>
              </a:ln>
              <a:effectLst/>
            </c:spPr>
          </c:marker>
          <c:xVal>
            <c:numRef>
              <c:f>'appendixfigcomparison pore pres'!$C$2:$C$67</c:f>
              <c:numCache>
                <c:formatCode>General</c:formatCode>
                <c:ptCount val="66"/>
                <c:pt idx="0">
                  <c:v>0</c:v>
                </c:pt>
                <c:pt idx="1">
                  <c:v>1</c:v>
                </c:pt>
                <c:pt idx="2">
                  <c:v>12</c:v>
                </c:pt>
                <c:pt idx="3">
                  <c:v>13</c:v>
                </c:pt>
                <c:pt idx="4">
                  <c:v>14</c:v>
                </c:pt>
                <c:pt idx="5">
                  <c:v>15</c:v>
                </c:pt>
                <c:pt idx="6">
                  <c:v>16</c:v>
                </c:pt>
                <c:pt idx="7">
                  <c:v>17</c:v>
                </c:pt>
                <c:pt idx="8">
                  <c:v>19</c:v>
                </c:pt>
                <c:pt idx="9">
                  <c:v>20</c:v>
                </c:pt>
                <c:pt idx="10">
                  <c:v>21</c:v>
                </c:pt>
                <c:pt idx="11">
                  <c:v>32</c:v>
                </c:pt>
                <c:pt idx="12">
                  <c:v>33</c:v>
                </c:pt>
                <c:pt idx="13">
                  <c:v>35</c:v>
                </c:pt>
                <c:pt idx="14">
                  <c:v>36</c:v>
                </c:pt>
                <c:pt idx="15">
                  <c:v>38</c:v>
                </c:pt>
                <c:pt idx="16">
                  <c:v>39</c:v>
                </c:pt>
                <c:pt idx="17">
                  <c:v>40</c:v>
                </c:pt>
                <c:pt idx="18">
                  <c:v>41</c:v>
                </c:pt>
                <c:pt idx="19">
                  <c:v>42</c:v>
                </c:pt>
                <c:pt idx="20">
                  <c:v>43</c:v>
                </c:pt>
                <c:pt idx="21">
                  <c:v>45</c:v>
                </c:pt>
                <c:pt idx="22">
                  <c:v>46</c:v>
                </c:pt>
                <c:pt idx="23">
                  <c:v>47</c:v>
                </c:pt>
                <c:pt idx="24">
                  <c:v>54</c:v>
                </c:pt>
                <c:pt idx="25">
                  <c:v>55</c:v>
                </c:pt>
                <c:pt idx="26">
                  <c:v>56</c:v>
                </c:pt>
                <c:pt idx="27">
                  <c:v>57</c:v>
                </c:pt>
                <c:pt idx="28">
                  <c:v>58</c:v>
                </c:pt>
                <c:pt idx="29">
                  <c:v>59</c:v>
                </c:pt>
                <c:pt idx="30">
                  <c:v>60</c:v>
                </c:pt>
                <c:pt idx="31">
                  <c:v>78</c:v>
                </c:pt>
                <c:pt idx="32">
                  <c:v>79</c:v>
                </c:pt>
                <c:pt idx="33">
                  <c:v>82</c:v>
                </c:pt>
                <c:pt idx="34">
                  <c:v>86</c:v>
                </c:pt>
                <c:pt idx="35">
                  <c:v>87</c:v>
                </c:pt>
                <c:pt idx="36">
                  <c:v>88</c:v>
                </c:pt>
                <c:pt idx="37">
                  <c:v>91</c:v>
                </c:pt>
                <c:pt idx="38">
                  <c:v>92</c:v>
                </c:pt>
                <c:pt idx="39">
                  <c:v>93</c:v>
                </c:pt>
                <c:pt idx="40">
                  <c:v>94</c:v>
                </c:pt>
                <c:pt idx="41">
                  <c:v>95</c:v>
                </c:pt>
                <c:pt idx="42">
                  <c:v>96</c:v>
                </c:pt>
                <c:pt idx="43">
                  <c:v>97</c:v>
                </c:pt>
                <c:pt idx="44">
                  <c:v>98</c:v>
                </c:pt>
                <c:pt idx="45">
                  <c:v>99</c:v>
                </c:pt>
                <c:pt idx="46">
                  <c:v>100</c:v>
                </c:pt>
                <c:pt idx="47">
                  <c:v>104</c:v>
                </c:pt>
                <c:pt idx="48">
                  <c:v>105</c:v>
                </c:pt>
                <c:pt idx="49">
                  <c:v>109</c:v>
                </c:pt>
                <c:pt idx="50">
                  <c:v>111</c:v>
                </c:pt>
                <c:pt idx="51">
                  <c:v>112</c:v>
                </c:pt>
                <c:pt idx="52">
                  <c:v>113</c:v>
                </c:pt>
                <c:pt idx="53">
                  <c:v>114</c:v>
                </c:pt>
                <c:pt idx="54">
                  <c:v>115</c:v>
                </c:pt>
                <c:pt idx="55">
                  <c:v>116</c:v>
                </c:pt>
                <c:pt idx="56">
                  <c:v>117</c:v>
                </c:pt>
                <c:pt idx="57">
                  <c:v>118</c:v>
                </c:pt>
                <c:pt idx="58">
                  <c:v>119</c:v>
                </c:pt>
                <c:pt idx="59">
                  <c:v>120</c:v>
                </c:pt>
                <c:pt idx="60">
                  <c:v>121</c:v>
                </c:pt>
                <c:pt idx="61">
                  <c:v>122</c:v>
                </c:pt>
                <c:pt idx="62">
                  <c:v>123</c:v>
                </c:pt>
                <c:pt idx="63">
                  <c:v>127</c:v>
                </c:pt>
                <c:pt idx="64">
                  <c:v>128</c:v>
                </c:pt>
                <c:pt idx="65">
                  <c:v>129</c:v>
                </c:pt>
              </c:numCache>
            </c:numRef>
          </c:xVal>
          <c:yVal>
            <c:numRef>
              <c:f>'appendixfigcomparison pore pres'!$H$2:$H$67</c:f>
              <c:numCache>
                <c:formatCode>General</c:formatCode>
                <c:ptCount val="66"/>
                <c:pt idx="0">
                  <c:v>3.7379575283694617</c:v>
                </c:pt>
                <c:pt idx="1">
                  <c:v>3.3091189434354074</c:v>
                </c:pt>
                <c:pt idx="2">
                  <c:v>1.9134448603378424</c:v>
                </c:pt>
                <c:pt idx="3">
                  <c:v>1.8670537449973366</c:v>
                </c:pt>
                <c:pt idx="4">
                  <c:v>1.8122810366913868</c:v>
                </c:pt>
                <c:pt idx="5">
                  <c:v>1.7639268166169013</c:v>
                </c:pt>
                <c:pt idx="6">
                  <c:v>1.7195961613516166</c:v>
                </c:pt>
                <c:pt idx="7">
                  <c:v>1.686667778138693</c:v>
                </c:pt>
                <c:pt idx="8">
                  <c:v>1.5526447842206166</c:v>
                </c:pt>
                <c:pt idx="9">
                  <c:v>1.525255760854249</c:v>
                </c:pt>
                <c:pt idx="10">
                  <c:v>1.4935937999258697</c:v>
                </c:pt>
                <c:pt idx="11">
                  <c:v>1.2990318615101613</c:v>
                </c:pt>
                <c:pt idx="12">
                  <c:v>1.3364596723357058</c:v>
                </c:pt>
                <c:pt idx="13">
                  <c:v>1.3364596723357058</c:v>
                </c:pt>
                <c:pt idx="14">
                  <c:v>1.3909032185782313</c:v>
                </c:pt>
                <c:pt idx="15">
                  <c:v>1.3909032185782313</c:v>
                </c:pt>
                <c:pt idx="16">
                  <c:v>1.3837034627508089</c:v>
                </c:pt>
                <c:pt idx="17">
                  <c:v>1.385329385684074</c:v>
                </c:pt>
                <c:pt idx="18">
                  <c:v>1.3739554728814658</c:v>
                </c:pt>
                <c:pt idx="19">
                  <c:v>1.3730778875030309</c:v>
                </c:pt>
                <c:pt idx="20">
                  <c:v>1.3518043837931331</c:v>
                </c:pt>
                <c:pt idx="21">
                  <c:v>1.3736430583221881</c:v>
                </c:pt>
                <c:pt idx="22">
                  <c:v>1.3556483938103487</c:v>
                </c:pt>
                <c:pt idx="23">
                  <c:v>1.3458151283655793</c:v>
                </c:pt>
                <c:pt idx="24">
                  <c:v>1.4148684658552815</c:v>
                </c:pt>
                <c:pt idx="25">
                  <c:v>1.4068841815439919</c:v>
                </c:pt>
                <c:pt idx="26">
                  <c:v>1.4070644342052847</c:v>
                </c:pt>
                <c:pt idx="27">
                  <c:v>1.3957884293139826</c:v>
                </c:pt>
                <c:pt idx="28">
                  <c:v>1.3670744805184873</c:v>
                </c:pt>
                <c:pt idx="29">
                  <c:v>1.3525592520016763</c:v>
                </c:pt>
                <c:pt idx="30">
                  <c:v>1.3892090686362564</c:v>
                </c:pt>
                <c:pt idx="31">
                  <c:v>1.4926698503441413</c:v>
                </c:pt>
                <c:pt idx="32">
                  <c:v>1.4868559900289824</c:v>
                </c:pt>
                <c:pt idx="33">
                  <c:v>1.5731751608451365</c:v>
                </c:pt>
                <c:pt idx="34">
                  <c:v>1.6794632841085297</c:v>
                </c:pt>
                <c:pt idx="35">
                  <c:v>1.7019882967014142</c:v>
                </c:pt>
                <c:pt idx="36">
                  <c:v>1.730774828958288</c:v>
                </c:pt>
                <c:pt idx="37">
                  <c:v>1.7726702218910302</c:v>
                </c:pt>
                <c:pt idx="38">
                  <c:v>1.7044255792285261</c:v>
                </c:pt>
                <c:pt idx="39">
                  <c:v>1.6237031503425348</c:v>
                </c:pt>
                <c:pt idx="40">
                  <c:v>1.5663459245309699</c:v>
                </c:pt>
                <c:pt idx="41">
                  <c:v>1.5191524489384809</c:v>
                </c:pt>
                <c:pt idx="42">
                  <c:v>1.4786927379407977</c:v>
                </c:pt>
                <c:pt idx="43">
                  <c:v>1.4203702399129869</c:v>
                </c:pt>
                <c:pt idx="44">
                  <c:v>1.4321196349862977</c:v>
                </c:pt>
                <c:pt idx="45">
                  <c:v>1.4743447136212129</c:v>
                </c:pt>
                <c:pt idx="46">
                  <c:v>1.4997985684899426</c:v>
                </c:pt>
                <c:pt idx="47">
                  <c:v>1.551976460059953</c:v>
                </c:pt>
                <c:pt idx="48">
                  <c:v>1.5867031171340129</c:v>
                </c:pt>
                <c:pt idx="49">
                  <c:v>1.8154044301911878</c:v>
                </c:pt>
                <c:pt idx="50">
                  <c:v>1.8303773107436792</c:v>
                </c:pt>
                <c:pt idx="51">
                  <c:v>1.8400146750756459</c:v>
                </c:pt>
                <c:pt idx="52">
                  <c:v>1.7881598339818634</c:v>
                </c:pt>
                <c:pt idx="53">
                  <c:v>1.7399498572023449</c:v>
                </c:pt>
                <c:pt idx="54">
                  <c:v>1.705723666954825</c:v>
                </c:pt>
                <c:pt idx="55">
                  <c:v>1.6774589066852319</c:v>
                </c:pt>
                <c:pt idx="56">
                  <c:v>1.6524135773723323</c:v>
                </c:pt>
                <c:pt idx="57">
                  <c:v>1.6292602432170855</c:v>
                </c:pt>
                <c:pt idx="58">
                  <c:v>1.6131132973296505</c:v>
                </c:pt>
                <c:pt idx="59">
                  <c:v>1.5296147054677485</c:v>
                </c:pt>
                <c:pt idx="60">
                  <c:v>1.4300692198867546</c:v>
                </c:pt>
                <c:pt idx="61">
                  <c:v>1.4217013714618874</c:v>
                </c:pt>
                <c:pt idx="62">
                  <c:v>1.4146164715874692</c:v>
                </c:pt>
                <c:pt idx="63">
                  <c:v>1.3548535543344014</c:v>
                </c:pt>
                <c:pt idx="64">
                  <c:v>1.3413277819490597</c:v>
                </c:pt>
                <c:pt idx="65">
                  <c:v>1.3261606017751131</c:v>
                </c:pt>
              </c:numCache>
            </c:numRef>
          </c:yVal>
          <c:smooth val="0"/>
          <c:extLst>
            <c:ext xmlns:c16="http://schemas.microsoft.com/office/drawing/2014/chart" uri="{C3380CC4-5D6E-409C-BE32-E72D297353CC}">
              <c16:uniqueId val="{00000003-983A-4E45-B658-8C251DCC96E2}"/>
            </c:ext>
          </c:extLst>
        </c:ser>
        <c:ser>
          <c:idx val="4"/>
          <c:order val="4"/>
          <c:tx>
            <c:v>Vegetated 17 cm</c:v>
          </c:tx>
          <c:spPr>
            <a:ln w="19050" cap="rnd">
              <a:solidFill>
                <a:schemeClr val="accent3"/>
              </a:solidFill>
              <a:round/>
            </a:ln>
            <a:effectLst/>
          </c:spPr>
          <c:marker>
            <c:symbol val="x"/>
            <c:size val="7"/>
            <c:spPr>
              <a:noFill/>
              <a:ln w="9525">
                <a:solidFill>
                  <a:schemeClr val="accent3"/>
                </a:solidFill>
              </a:ln>
              <a:effectLst/>
            </c:spPr>
          </c:marker>
          <c:xVal>
            <c:numRef>
              <c:f>'appendixfigcomparison pore pres'!$B$2:$B$54</c:f>
              <c:numCache>
                <c:formatCode>General</c:formatCode>
                <c:ptCount val="53"/>
                <c:pt idx="0">
                  <c:v>0</c:v>
                </c:pt>
                <c:pt idx="1">
                  <c:v>1</c:v>
                </c:pt>
                <c:pt idx="2">
                  <c:v>19</c:v>
                </c:pt>
                <c:pt idx="3">
                  <c:v>20</c:v>
                </c:pt>
                <c:pt idx="4">
                  <c:v>21</c:v>
                </c:pt>
                <c:pt idx="5">
                  <c:v>32</c:v>
                </c:pt>
                <c:pt idx="6">
                  <c:v>33</c:v>
                </c:pt>
                <c:pt idx="7">
                  <c:v>35</c:v>
                </c:pt>
                <c:pt idx="8">
                  <c:v>36</c:v>
                </c:pt>
                <c:pt idx="9">
                  <c:v>46</c:v>
                </c:pt>
                <c:pt idx="10">
                  <c:v>47</c:v>
                </c:pt>
                <c:pt idx="11">
                  <c:v>54</c:v>
                </c:pt>
                <c:pt idx="12">
                  <c:v>55</c:v>
                </c:pt>
                <c:pt idx="13">
                  <c:v>56</c:v>
                </c:pt>
                <c:pt idx="14">
                  <c:v>57</c:v>
                </c:pt>
                <c:pt idx="15">
                  <c:v>58</c:v>
                </c:pt>
                <c:pt idx="16">
                  <c:v>59</c:v>
                </c:pt>
                <c:pt idx="17">
                  <c:v>60</c:v>
                </c:pt>
                <c:pt idx="18">
                  <c:v>78</c:v>
                </c:pt>
                <c:pt idx="19">
                  <c:v>79</c:v>
                </c:pt>
                <c:pt idx="20">
                  <c:v>82</c:v>
                </c:pt>
                <c:pt idx="21">
                  <c:v>86</c:v>
                </c:pt>
                <c:pt idx="22">
                  <c:v>87</c:v>
                </c:pt>
                <c:pt idx="23">
                  <c:v>88</c:v>
                </c:pt>
                <c:pt idx="24">
                  <c:v>91</c:v>
                </c:pt>
                <c:pt idx="25">
                  <c:v>92</c:v>
                </c:pt>
                <c:pt idx="26">
                  <c:v>93</c:v>
                </c:pt>
                <c:pt idx="27">
                  <c:v>94</c:v>
                </c:pt>
                <c:pt idx="28">
                  <c:v>95</c:v>
                </c:pt>
                <c:pt idx="29">
                  <c:v>96</c:v>
                </c:pt>
                <c:pt idx="30">
                  <c:v>97</c:v>
                </c:pt>
                <c:pt idx="31">
                  <c:v>98</c:v>
                </c:pt>
                <c:pt idx="32">
                  <c:v>99</c:v>
                </c:pt>
                <c:pt idx="33">
                  <c:v>100</c:v>
                </c:pt>
                <c:pt idx="34">
                  <c:v>104</c:v>
                </c:pt>
                <c:pt idx="35">
                  <c:v>105</c:v>
                </c:pt>
                <c:pt idx="36">
                  <c:v>109</c:v>
                </c:pt>
                <c:pt idx="37">
                  <c:v>111</c:v>
                </c:pt>
                <c:pt idx="38">
                  <c:v>112</c:v>
                </c:pt>
                <c:pt idx="39">
                  <c:v>113</c:v>
                </c:pt>
                <c:pt idx="40">
                  <c:v>114</c:v>
                </c:pt>
                <c:pt idx="41">
                  <c:v>115</c:v>
                </c:pt>
                <c:pt idx="42">
                  <c:v>116</c:v>
                </c:pt>
                <c:pt idx="43">
                  <c:v>117</c:v>
                </c:pt>
                <c:pt idx="44">
                  <c:v>118</c:v>
                </c:pt>
                <c:pt idx="45">
                  <c:v>119</c:v>
                </c:pt>
                <c:pt idx="46">
                  <c:v>120</c:v>
                </c:pt>
                <c:pt idx="47">
                  <c:v>121</c:v>
                </c:pt>
                <c:pt idx="48">
                  <c:v>122</c:v>
                </c:pt>
                <c:pt idx="49">
                  <c:v>123</c:v>
                </c:pt>
                <c:pt idx="50">
                  <c:v>127</c:v>
                </c:pt>
                <c:pt idx="51">
                  <c:v>128</c:v>
                </c:pt>
                <c:pt idx="52">
                  <c:v>129</c:v>
                </c:pt>
              </c:numCache>
            </c:numRef>
          </c:xVal>
          <c:yVal>
            <c:numRef>
              <c:f>'appendixfigcomparison pore pres'!$F$2:$F$68</c:f>
              <c:numCache>
                <c:formatCode>General</c:formatCode>
                <c:ptCount val="67"/>
                <c:pt idx="0">
                  <c:v>3.1616287119661823</c:v>
                </c:pt>
                <c:pt idx="1">
                  <c:v>2.8021547401553435</c:v>
                </c:pt>
                <c:pt idx="2">
                  <c:v>1.5699670916024975</c:v>
                </c:pt>
                <c:pt idx="3">
                  <c:v>1.5229832103461656</c:v>
                </c:pt>
                <c:pt idx="4">
                  <c:v>1.4599876889493455</c:v>
                </c:pt>
                <c:pt idx="5">
                  <c:v>1.4082993834525188</c:v>
                </c:pt>
                <c:pt idx="6">
                  <c:v>1.3577866349880461</c:v>
                </c:pt>
                <c:pt idx="7">
                  <c:v>1.3492566575454996</c:v>
                </c:pt>
                <c:pt idx="8">
                  <c:v>1.201550765595172</c:v>
                </c:pt>
                <c:pt idx="9">
                  <c:v>1.1845615240669705</c:v>
                </c:pt>
                <c:pt idx="10">
                  <c:v>1.1682713532378106</c:v>
                </c:pt>
                <c:pt idx="11">
                  <c:v>1.0808614373335559</c:v>
                </c:pt>
                <c:pt idx="12">
                  <c:v>1.0549451586007905</c:v>
                </c:pt>
                <c:pt idx="13">
                  <c:v>1.1098497310829443</c:v>
                </c:pt>
                <c:pt idx="14">
                  <c:v>1.1117735707935057</c:v>
                </c:pt>
                <c:pt idx="15">
                  <c:v>1.1313375517611413</c:v>
                </c:pt>
                <c:pt idx="16">
                  <c:v>1.1655494740862531</c:v>
                </c:pt>
                <c:pt idx="17">
                  <c:v>1.2011568392190342</c:v>
                </c:pt>
                <c:pt idx="18">
                  <c:v>1.1998999967967616</c:v>
                </c:pt>
                <c:pt idx="19">
                  <c:v>1.1880096289845847</c:v>
                </c:pt>
                <c:pt idx="20">
                  <c:v>1.1854505702156024</c:v>
                </c:pt>
                <c:pt idx="21">
                  <c:v>1.1024892688790191</c:v>
                </c:pt>
                <c:pt idx="22">
                  <c:v>1.1112015483167652</c:v>
                </c:pt>
                <c:pt idx="23">
                  <c:v>1.1230384924508456</c:v>
                </c:pt>
                <c:pt idx="24">
                  <c:v>0.94553600647687497</c:v>
                </c:pt>
                <c:pt idx="25">
                  <c:v>0.95553585467015401</c:v>
                </c:pt>
                <c:pt idx="26">
                  <c:v>0.94673951116383326</c:v>
                </c:pt>
                <c:pt idx="27">
                  <c:v>0.95379249867549487</c:v>
                </c:pt>
                <c:pt idx="28">
                  <c:v>0.90016850923586134</c:v>
                </c:pt>
                <c:pt idx="29">
                  <c:v>0.92681804482026631</c:v>
                </c:pt>
                <c:pt idx="30">
                  <c:v>0.91517405461008172</c:v>
                </c:pt>
                <c:pt idx="31">
                  <c:v>0.63283845233263469</c:v>
                </c:pt>
                <c:pt idx="32">
                  <c:v>0.72032363321241499</c:v>
                </c:pt>
                <c:pt idx="33">
                  <c:v>0.76137593900731848</c:v>
                </c:pt>
                <c:pt idx="34">
                  <c:v>0.7822904959071133</c:v>
                </c:pt>
                <c:pt idx="35">
                  <c:v>0.72756263793909759</c:v>
                </c:pt>
                <c:pt idx="36">
                  <c:v>0.74135590779910898</c:v>
                </c:pt>
                <c:pt idx="37">
                  <c:v>0.73813361257709476</c:v>
                </c:pt>
                <c:pt idx="38">
                  <c:v>0.64504901643495116</c:v>
                </c:pt>
                <c:pt idx="39">
                  <c:v>0.65637282768990035</c:v>
                </c:pt>
                <c:pt idx="40">
                  <c:v>0.65237341062530985</c:v>
                </c:pt>
                <c:pt idx="41">
                  <c:v>0.64854469433422279</c:v>
                </c:pt>
                <c:pt idx="42">
                  <c:v>0.64135332547430268</c:v>
                </c:pt>
                <c:pt idx="43">
                  <c:v>0.63759163291345566</c:v>
                </c:pt>
                <c:pt idx="44">
                  <c:v>0.62655346840968162</c:v>
                </c:pt>
                <c:pt idx="45">
                  <c:v>0.6164212289335087</c:v>
                </c:pt>
                <c:pt idx="46">
                  <c:v>0.62758223211227504</c:v>
                </c:pt>
                <c:pt idx="47">
                  <c:v>0.66042989190774914</c:v>
                </c:pt>
                <c:pt idx="48">
                  <c:v>0.61790726571417554</c:v>
                </c:pt>
                <c:pt idx="49">
                  <c:v>0.73143082098758327</c:v>
                </c:pt>
                <c:pt idx="50">
                  <c:v>0.7400803411985406</c:v>
                </c:pt>
                <c:pt idx="51">
                  <c:v>0.764030456372921</c:v>
                </c:pt>
                <c:pt idx="52">
                  <c:v>0.79280706672170931</c:v>
                </c:pt>
                <c:pt idx="53">
                  <c:v>0.83333244840868459</c:v>
                </c:pt>
                <c:pt idx="54">
                  <c:v>0.84291006825925452</c:v>
                </c:pt>
                <c:pt idx="55">
                  <c:v>0.83901406123930511</c:v>
                </c:pt>
                <c:pt idx="56">
                  <c:v>0.83226597025322335</c:v>
                </c:pt>
                <c:pt idx="57">
                  <c:v>0.83950300394283306</c:v>
                </c:pt>
                <c:pt idx="58">
                  <c:v>0.84354125607885311</c:v>
                </c:pt>
                <c:pt idx="59">
                  <c:v>0.84703265166910158</c:v>
                </c:pt>
                <c:pt idx="60">
                  <c:v>0.79859070645939134</c:v>
                </c:pt>
                <c:pt idx="61">
                  <c:v>0.76548604325557701</c:v>
                </c:pt>
                <c:pt idx="62">
                  <c:v>0.77257641364358731</c:v>
                </c:pt>
                <c:pt idx="63">
                  <c:v>0.77520356132844559</c:v>
                </c:pt>
                <c:pt idx="64">
                  <c:v>0.76226154508430688</c:v>
                </c:pt>
                <c:pt idx="65">
                  <c:v>0.80592396864812232</c:v>
                </c:pt>
                <c:pt idx="66">
                  <c:v>0.8335940338424852</c:v>
                </c:pt>
              </c:numCache>
            </c:numRef>
          </c:yVal>
          <c:smooth val="0"/>
          <c:extLst>
            <c:ext xmlns:c16="http://schemas.microsoft.com/office/drawing/2014/chart" uri="{C3380CC4-5D6E-409C-BE32-E72D297353CC}">
              <c16:uniqueId val="{00000004-983A-4E45-B658-8C251DCC96E2}"/>
            </c:ext>
          </c:extLst>
        </c:ser>
        <c:ser>
          <c:idx val="5"/>
          <c:order val="5"/>
          <c:tx>
            <c:v>No drainage 17 cm</c:v>
          </c:tx>
          <c:spPr>
            <a:ln w="19050" cap="rnd">
              <a:solidFill>
                <a:schemeClr val="tx1"/>
              </a:solidFill>
              <a:round/>
            </a:ln>
            <a:effectLst/>
          </c:spPr>
          <c:marker>
            <c:symbol val="circle"/>
            <c:size val="7"/>
            <c:spPr>
              <a:noFill/>
              <a:ln w="9525">
                <a:solidFill>
                  <a:schemeClr val="tx1"/>
                </a:solidFill>
              </a:ln>
              <a:effectLst/>
            </c:spPr>
          </c:marker>
          <c:xVal>
            <c:numRef>
              <c:f>'appendixfigcomparison pore pres'!$D$2:$D$63</c:f>
              <c:numCache>
                <c:formatCode>General</c:formatCode>
                <c:ptCount val="62"/>
                <c:pt idx="0">
                  <c:v>0</c:v>
                </c:pt>
                <c:pt idx="1">
                  <c:v>1</c:v>
                </c:pt>
                <c:pt idx="2">
                  <c:v>12</c:v>
                </c:pt>
                <c:pt idx="3">
                  <c:v>13</c:v>
                </c:pt>
                <c:pt idx="4">
                  <c:v>14</c:v>
                </c:pt>
                <c:pt idx="5">
                  <c:v>15</c:v>
                </c:pt>
                <c:pt idx="6">
                  <c:v>16</c:v>
                </c:pt>
                <c:pt idx="7">
                  <c:v>17</c:v>
                </c:pt>
                <c:pt idx="8">
                  <c:v>19</c:v>
                </c:pt>
                <c:pt idx="9">
                  <c:v>20</c:v>
                </c:pt>
                <c:pt idx="10">
                  <c:v>21</c:v>
                </c:pt>
                <c:pt idx="11">
                  <c:v>32</c:v>
                </c:pt>
                <c:pt idx="12">
                  <c:v>33</c:v>
                </c:pt>
                <c:pt idx="13">
                  <c:v>35</c:v>
                </c:pt>
                <c:pt idx="14">
                  <c:v>36</c:v>
                </c:pt>
                <c:pt idx="15">
                  <c:v>38</c:v>
                </c:pt>
                <c:pt idx="16">
                  <c:v>39</c:v>
                </c:pt>
                <c:pt idx="17">
                  <c:v>40</c:v>
                </c:pt>
                <c:pt idx="18">
                  <c:v>41</c:v>
                </c:pt>
                <c:pt idx="19">
                  <c:v>42</c:v>
                </c:pt>
                <c:pt idx="20">
                  <c:v>43</c:v>
                </c:pt>
                <c:pt idx="21">
                  <c:v>45</c:v>
                </c:pt>
                <c:pt idx="22">
                  <c:v>46</c:v>
                </c:pt>
                <c:pt idx="23">
                  <c:v>47</c:v>
                </c:pt>
                <c:pt idx="24">
                  <c:v>54</c:v>
                </c:pt>
                <c:pt idx="25">
                  <c:v>55</c:v>
                </c:pt>
                <c:pt idx="26">
                  <c:v>56</c:v>
                </c:pt>
                <c:pt idx="27">
                  <c:v>57</c:v>
                </c:pt>
                <c:pt idx="28">
                  <c:v>79</c:v>
                </c:pt>
                <c:pt idx="29">
                  <c:v>82</c:v>
                </c:pt>
                <c:pt idx="30">
                  <c:v>86</c:v>
                </c:pt>
                <c:pt idx="31">
                  <c:v>87</c:v>
                </c:pt>
                <c:pt idx="32">
                  <c:v>88</c:v>
                </c:pt>
                <c:pt idx="33">
                  <c:v>91</c:v>
                </c:pt>
                <c:pt idx="34">
                  <c:v>92</c:v>
                </c:pt>
                <c:pt idx="35">
                  <c:v>93</c:v>
                </c:pt>
                <c:pt idx="36">
                  <c:v>94</c:v>
                </c:pt>
                <c:pt idx="37">
                  <c:v>95</c:v>
                </c:pt>
                <c:pt idx="38">
                  <c:v>96</c:v>
                </c:pt>
                <c:pt idx="39">
                  <c:v>97</c:v>
                </c:pt>
                <c:pt idx="40">
                  <c:v>98</c:v>
                </c:pt>
                <c:pt idx="41">
                  <c:v>99</c:v>
                </c:pt>
                <c:pt idx="42">
                  <c:v>100</c:v>
                </c:pt>
                <c:pt idx="43">
                  <c:v>104</c:v>
                </c:pt>
                <c:pt idx="44">
                  <c:v>105</c:v>
                </c:pt>
                <c:pt idx="45">
                  <c:v>109</c:v>
                </c:pt>
                <c:pt idx="46">
                  <c:v>111</c:v>
                </c:pt>
                <c:pt idx="47">
                  <c:v>112</c:v>
                </c:pt>
                <c:pt idx="48">
                  <c:v>113</c:v>
                </c:pt>
                <c:pt idx="49">
                  <c:v>114</c:v>
                </c:pt>
                <c:pt idx="50">
                  <c:v>115</c:v>
                </c:pt>
                <c:pt idx="51">
                  <c:v>116</c:v>
                </c:pt>
                <c:pt idx="52">
                  <c:v>117</c:v>
                </c:pt>
                <c:pt idx="53">
                  <c:v>118</c:v>
                </c:pt>
                <c:pt idx="54">
                  <c:v>119</c:v>
                </c:pt>
                <c:pt idx="55">
                  <c:v>120</c:v>
                </c:pt>
                <c:pt idx="56">
                  <c:v>121</c:v>
                </c:pt>
                <c:pt idx="57">
                  <c:v>122</c:v>
                </c:pt>
                <c:pt idx="58">
                  <c:v>123</c:v>
                </c:pt>
                <c:pt idx="59">
                  <c:v>127</c:v>
                </c:pt>
                <c:pt idx="60">
                  <c:v>128</c:v>
                </c:pt>
                <c:pt idx="61">
                  <c:v>129</c:v>
                </c:pt>
              </c:numCache>
            </c:numRef>
          </c:xVal>
          <c:yVal>
            <c:numRef>
              <c:f>'appendixfigcomparison pore pres'!$J$2:$J$64</c:f>
              <c:numCache>
                <c:formatCode>General</c:formatCode>
                <c:ptCount val="63"/>
                <c:pt idx="0">
                  <c:v>4.2833160560529073</c:v>
                </c:pt>
                <c:pt idx="1">
                  <c:v>4.2544696513148734</c:v>
                </c:pt>
                <c:pt idx="2">
                  <c:v>3.2815920557069838</c:v>
                </c:pt>
                <c:pt idx="3">
                  <c:v>3.2350669582930611</c:v>
                </c:pt>
                <c:pt idx="4">
                  <c:v>3.2018135382903536</c:v>
                </c:pt>
                <c:pt idx="5">
                  <c:v>3.1719378175092312</c:v>
                </c:pt>
                <c:pt idx="6">
                  <c:v>3.1459347403660409</c:v>
                </c:pt>
                <c:pt idx="7">
                  <c:v>3.1261503714166987</c:v>
                </c:pt>
                <c:pt idx="8">
                  <c:v>3.0224464777145656</c:v>
                </c:pt>
                <c:pt idx="9">
                  <c:v>2.9971903328715244</c:v>
                </c:pt>
                <c:pt idx="10">
                  <c:v>2.9878863100699542</c:v>
                </c:pt>
                <c:pt idx="11">
                  <c:v>2.6843193408514368</c:v>
                </c:pt>
                <c:pt idx="12">
                  <c:v>2.6761572366476418</c:v>
                </c:pt>
                <c:pt idx="13">
                  <c:v>2.6183664348210542</c:v>
                </c:pt>
                <c:pt idx="14">
                  <c:v>2.5873798324835642</c:v>
                </c:pt>
                <c:pt idx="15">
                  <c:v>2.5757506722957677</c:v>
                </c:pt>
                <c:pt idx="16">
                  <c:v>2.5409773022894666</c:v>
                </c:pt>
                <c:pt idx="17">
                  <c:v>2.4740392879965132</c:v>
                </c:pt>
                <c:pt idx="18">
                  <c:v>2.4489976824431183</c:v>
                </c:pt>
                <c:pt idx="19">
                  <c:v>2.423789063661018</c:v>
                </c:pt>
                <c:pt idx="20">
                  <c:v>2.38492356500669</c:v>
                </c:pt>
                <c:pt idx="21">
                  <c:v>2.3562826116632123</c:v>
                </c:pt>
                <c:pt idx="22">
                  <c:v>2.2795152391430866</c:v>
                </c:pt>
                <c:pt idx="23">
                  <c:v>2.238648106642493</c:v>
                </c:pt>
                <c:pt idx="24">
                  <c:v>2.0216080358002699</c:v>
                </c:pt>
                <c:pt idx="25">
                  <c:v>1.9835515893918276</c:v>
                </c:pt>
                <c:pt idx="26">
                  <c:v>1.9578928974146388</c:v>
                </c:pt>
                <c:pt idx="27">
                  <c:v>1.8941780225332334</c:v>
                </c:pt>
                <c:pt idx="28">
                  <c:v>1.0656229023013257</c:v>
                </c:pt>
                <c:pt idx="29">
                  <c:v>1.0358463775527496</c:v>
                </c:pt>
                <c:pt idx="30">
                  <c:v>1.0588812285475517</c:v>
                </c:pt>
                <c:pt idx="31">
                  <c:v>0.9159662943681941</c:v>
                </c:pt>
                <c:pt idx="32">
                  <c:v>0.89204181469494914</c:v>
                </c:pt>
                <c:pt idx="33">
                  <c:v>0.86249516036193019</c:v>
                </c:pt>
                <c:pt idx="34">
                  <c:v>1.0420329806342539</c:v>
                </c:pt>
                <c:pt idx="35">
                  <c:v>1.057186717189843</c:v>
                </c:pt>
                <c:pt idx="36">
                  <c:v>1.0688914124461204</c:v>
                </c:pt>
                <c:pt idx="37">
                  <c:v>1.0662206603122029</c:v>
                </c:pt>
                <c:pt idx="38">
                  <c:v>1.0331111156096031</c:v>
                </c:pt>
                <c:pt idx="39">
                  <c:v>0.9907689793276826</c:v>
                </c:pt>
                <c:pt idx="40">
                  <c:v>0.89609647721776597</c:v>
                </c:pt>
                <c:pt idx="41">
                  <c:v>0.82436695641211299</c:v>
                </c:pt>
                <c:pt idx="42">
                  <c:v>0.93724210179487044</c:v>
                </c:pt>
                <c:pt idx="43">
                  <c:v>0.97766894626137146</c:v>
                </c:pt>
                <c:pt idx="44">
                  <c:v>1.0428432822830704</c:v>
                </c:pt>
                <c:pt idx="45">
                  <c:v>0.98164630594794589</c:v>
                </c:pt>
                <c:pt idx="46">
                  <c:v>1.0095472483080807</c:v>
                </c:pt>
                <c:pt idx="47">
                  <c:v>0.96769848665943559</c:v>
                </c:pt>
                <c:pt idx="48">
                  <c:v>0.94364961856002427</c:v>
                </c:pt>
                <c:pt idx="49">
                  <c:v>0.98093521218484514</c:v>
                </c:pt>
                <c:pt idx="50">
                  <c:v>0.94663009231904671</c:v>
                </c:pt>
                <c:pt idx="51">
                  <c:v>0.95227259579503465</c:v>
                </c:pt>
                <c:pt idx="52">
                  <c:v>1.0435926215412821</c:v>
                </c:pt>
                <c:pt idx="53">
                  <c:v>1.0631304109602404</c:v>
                </c:pt>
                <c:pt idx="54">
                  <c:v>1.0792204850044353</c:v>
                </c:pt>
                <c:pt idx="55">
                  <c:v>1.0870505007080256</c:v>
                </c:pt>
                <c:pt idx="56">
                  <c:v>1.0183038673935536</c:v>
                </c:pt>
                <c:pt idx="57">
                  <c:v>0.95081014881134185</c:v>
                </c:pt>
                <c:pt idx="58">
                  <c:v>0.9624807859702833</c:v>
                </c:pt>
                <c:pt idx="59">
                  <c:v>0.99431772135702312</c:v>
                </c:pt>
                <c:pt idx="60">
                  <c:v>0.97847996691672612</c:v>
                </c:pt>
                <c:pt idx="61">
                  <c:v>0.97358602153495988</c:v>
                </c:pt>
                <c:pt idx="62">
                  <c:v>0.97198886737621826</c:v>
                </c:pt>
              </c:numCache>
            </c:numRef>
          </c:yVal>
          <c:smooth val="0"/>
          <c:extLst>
            <c:ext xmlns:c16="http://schemas.microsoft.com/office/drawing/2014/chart" uri="{C3380CC4-5D6E-409C-BE32-E72D297353CC}">
              <c16:uniqueId val="{00000005-983A-4E45-B658-8C251DCC96E2}"/>
            </c:ext>
          </c:extLst>
        </c:ser>
        <c:dLbls>
          <c:showLegendKey val="0"/>
          <c:showVal val="0"/>
          <c:showCatName val="0"/>
          <c:showSerName val="0"/>
          <c:showPercent val="0"/>
          <c:showBubbleSize val="0"/>
        </c:dLbls>
        <c:axId val="575269632"/>
        <c:axId val="575262744"/>
      </c:scatterChart>
      <c:valAx>
        <c:axId val="57526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5262744"/>
        <c:crossesAt val="-2"/>
        <c:crossBetween val="midCat"/>
      </c:valAx>
      <c:valAx>
        <c:axId val="575262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Pore water pressure [kPa</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5269632"/>
        <c:crossesAt val="-2"/>
        <c:crossBetween val="midCat"/>
      </c:valAx>
      <c:spPr>
        <a:noFill/>
        <a:ln>
          <a:solidFill>
            <a:schemeClr val="bg1">
              <a:lumMod val="65000"/>
            </a:schemeClr>
          </a:solidFill>
        </a:ln>
        <a:effectLst/>
      </c:spPr>
    </c:plotArea>
    <c:legend>
      <c:legendPos val="r"/>
      <c:layout>
        <c:manualLayout>
          <c:xMode val="edge"/>
          <c:yMode val="edge"/>
          <c:x val="0.58069227231836895"/>
          <c:y val="4.021908719743366E-2"/>
          <c:w val="0.27745882792573606"/>
          <c:h val="0.295088391471880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Frontiers</cp:lastModifiedBy>
  <cp:revision>13</cp:revision>
  <cp:lastPrinted>2013-10-03T12:51:00Z</cp:lastPrinted>
  <dcterms:created xsi:type="dcterms:W3CDTF">2022-12-20T14:26:00Z</dcterms:created>
  <dcterms:modified xsi:type="dcterms:W3CDTF">2023-01-27T17:20:00Z</dcterms:modified>
</cp:coreProperties>
</file>