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E91715" w14:textId="764FECE9" w:rsidR="0028070E" w:rsidRDefault="0028070E" w:rsidP="00403984">
      <w:pPr>
        <w:jc w:val="center"/>
        <w:rPr>
          <w:b/>
          <w:bCs/>
          <w:sz w:val="44"/>
          <w:szCs w:val="44"/>
          <w:lang w:val="en-GB"/>
        </w:rPr>
      </w:pPr>
      <w:r w:rsidRPr="0028070E">
        <w:rPr>
          <w:b/>
          <w:bCs/>
          <w:sz w:val="44"/>
          <w:szCs w:val="44"/>
          <w:lang w:val="en-GB"/>
        </w:rPr>
        <w:t>Supporting Information</w:t>
      </w:r>
    </w:p>
    <w:p w14:paraId="200A87CC" w14:textId="77777777" w:rsidR="005533C3" w:rsidRPr="00CD298E" w:rsidRDefault="005533C3" w:rsidP="005533C3">
      <w:pPr>
        <w:keepNext/>
        <w:keepLines/>
        <w:spacing w:after="0" w:line="360" w:lineRule="auto"/>
        <w:contextualSpacing/>
        <w:mirrorIndents/>
        <w:jc w:val="both"/>
        <w:outlineLvl w:val="0"/>
        <w:rPr>
          <w:rFonts w:ascii="Calibri" w:eastAsia="Calibri" w:hAnsi="Calibri" w:cs="Calibri"/>
          <w:b/>
          <w:sz w:val="20"/>
          <w:szCs w:val="20"/>
          <w:lang w:val="en-US"/>
        </w:rPr>
      </w:pPr>
      <w:bookmarkStart w:id="0" w:name="_Hlk89970516"/>
      <w:r w:rsidRPr="00CD298E">
        <w:rPr>
          <w:rFonts w:ascii="Calibri" w:eastAsia="Calibri" w:hAnsi="Calibri" w:cs="Calibri"/>
          <w:b/>
          <w:sz w:val="20"/>
          <w:szCs w:val="20"/>
          <w:lang w:val="en-US"/>
        </w:rPr>
        <w:t xml:space="preserve">Anisotropic topographies restore endothelial monolayer integrity and </w:t>
      </w:r>
      <w:r>
        <w:rPr>
          <w:rFonts w:ascii="Calibri" w:eastAsia="Calibri" w:hAnsi="Calibri" w:cs="Calibri"/>
          <w:b/>
          <w:sz w:val="20"/>
          <w:szCs w:val="20"/>
          <w:lang w:val="en-US"/>
        </w:rPr>
        <w:t>promote</w:t>
      </w:r>
      <w:r w:rsidRPr="00CD298E">
        <w:rPr>
          <w:rFonts w:ascii="Calibri" w:eastAsia="Calibri" w:hAnsi="Calibri" w:cs="Calibri"/>
          <w:b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  <w:lang w:val="en-US"/>
        </w:rPr>
        <w:t xml:space="preserve">the </w:t>
      </w:r>
      <w:r w:rsidRPr="00CD298E">
        <w:rPr>
          <w:rFonts w:ascii="Calibri" w:eastAsia="Calibri" w:hAnsi="Calibri" w:cs="Calibri"/>
          <w:b/>
          <w:sz w:val="20"/>
          <w:szCs w:val="20"/>
          <w:lang w:val="en-US"/>
        </w:rPr>
        <w:t xml:space="preserve">proliferation of senescent endothelial cells </w:t>
      </w:r>
    </w:p>
    <w:p w14:paraId="4F084E1D" w14:textId="77777777" w:rsidR="005533C3" w:rsidRPr="005533C3" w:rsidRDefault="005533C3" w:rsidP="005533C3">
      <w:pPr>
        <w:spacing w:after="0" w:line="360" w:lineRule="auto"/>
        <w:contextualSpacing/>
        <w:mirrorIndents/>
        <w:jc w:val="both"/>
        <w:rPr>
          <w:rFonts w:ascii="Calibri" w:eastAsia="Times New Roman" w:hAnsi="Calibri" w:cs="Calibri"/>
          <w:b/>
          <w:sz w:val="20"/>
          <w:szCs w:val="20"/>
          <w:lang w:val="en-GB"/>
        </w:rPr>
      </w:pPr>
    </w:p>
    <w:p w14:paraId="76CF19A1" w14:textId="046746D4" w:rsidR="00D87D8A" w:rsidRPr="00F24F87" w:rsidRDefault="00D87D8A" w:rsidP="00D87D8A">
      <w:pPr>
        <w:spacing w:after="0" w:line="360" w:lineRule="auto"/>
        <w:contextualSpacing/>
        <w:mirrorIndents/>
        <w:jc w:val="both"/>
        <w:rPr>
          <w:rFonts w:ascii="Calibri" w:eastAsia="Arial" w:hAnsi="Calibri" w:cs="Calibri"/>
          <w:b/>
          <w:bCs/>
          <w:sz w:val="20"/>
          <w:szCs w:val="20"/>
          <w:lang w:val="en-GB"/>
        </w:rPr>
      </w:pPr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Vasileios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Exarchos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</w:t>
      </w:r>
      <w:r w:rsidRPr="59104150">
        <w:rPr>
          <w:rFonts w:ascii="Calibri" w:hAnsi="Calibri" w:cs="Calibri"/>
          <w:sz w:val="20"/>
          <w:szCs w:val="20"/>
          <w:lang w:val="en-US"/>
        </w:rPr>
        <w:t xml:space="preserve">Sebastian </w:t>
      </w:r>
      <w:proofErr w:type="spellStart"/>
      <w:r w:rsidRPr="59104150">
        <w:rPr>
          <w:rFonts w:ascii="Calibri" w:hAnsi="Calibri" w:cs="Calibri"/>
          <w:sz w:val="20"/>
          <w:szCs w:val="20"/>
          <w:lang w:val="en-US"/>
        </w:rPr>
        <w:t>Neuber</w:t>
      </w:r>
      <w:r w:rsidRPr="59104150">
        <w:rPr>
          <w:rFonts w:ascii="Calibri" w:hAnsi="Calibri" w:cs="Calibri"/>
          <w:sz w:val="20"/>
          <w:szCs w:val="20"/>
          <w:vertAlign w:val="superscript"/>
          <w:lang w:val="en-US"/>
        </w:rPr>
        <w:t>a,b</w:t>
      </w:r>
      <w:proofErr w:type="spellEnd"/>
      <w:r w:rsidRPr="59104150">
        <w:rPr>
          <w:rFonts w:ascii="Calibri" w:hAnsi="Calibri" w:cs="Calibri"/>
          <w:sz w:val="20"/>
          <w:szCs w:val="20"/>
          <w:lang w:val="en-US"/>
        </w:rPr>
        <w:t xml:space="preserve">, </w:t>
      </w:r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Heike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Meyborg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Costanza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Giampietro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c,d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Nafsika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Chala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e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Silvia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Moimas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e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Hristian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Hinkov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Friedrich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Kaufmann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Francesca M.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Pramotton</w:t>
      </w:r>
      <w:r w:rsidR="002E67BE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c,d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Katrin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 Krüger </w:t>
      </w:r>
      <w:proofErr w:type="spellStart"/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a,b,f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Hector Rodriguez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Cetina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Biefer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 </w:t>
      </w:r>
      <w:proofErr w:type="spellStart"/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</w:t>
      </w:r>
      <w:r w:rsidR="002E67BE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,g</w:t>
      </w:r>
      <w:proofErr w:type="spellEnd"/>
      <w:r w:rsidRPr="59104150">
        <w:rPr>
          <w:rFonts w:ascii="Calibri" w:hAnsi="Calibri" w:cs="Calibri"/>
          <w:sz w:val="20"/>
          <w:szCs w:val="20"/>
          <w:lang w:val="en-US"/>
        </w:rPr>
        <w:t>,</w:t>
      </w:r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 Nikola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Cesarovic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a,h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Dimos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Poulikakos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e</w:t>
      </w:r>
      <w:proofErr w:type="spellEnd"/>
      <w:r w:rsidR="002E67BE">
        <w:rPr>
          <w:rFonts w:ascii="Calibri" w:eastAsia="Arial" w:hAnsi="Calibri" w:cs="Calibri"/>
          <w:sz w:val="20"/>
          <w:szCs w:val="20"/>
          <w:lang w:val="en-GB"/>
        </w:rPr>
        <w:t xml:space="preserve">, Volkmar </w:t>
      </w:r>
      <w:proofErr w:type="spellStart"/>
      <w:r w:rsidR="002E67BE">
        <w:rPr>
          <w:rFonts w:ascii="Calibri" w:eastAsia="Arial" w:hAnsi="Calibri" w:cs="Calibri"/>
          <w:sz w:val="20"/>
          <w:szCs w:val="20"/>
          <w:lang w:val="en-GB"/>
        </w:rPr>
        <w:t>Falk</w:t>
      </w:r>
      <w:r w:rsidR="002E67BE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,f,h,i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Maximilian Y.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Emmert</w:t>
      </w:r>
      <w:r w:rsidR="002E67BE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a,b,f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,h</w:t>
      </w:r>
      <w:r w:rsidR="002E67BE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,j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Aldo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Ferrari</w:t>
      </w:r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c,d,e</w:t>
      </w:r>
      <w:proofErr w:type="spellEnd"/>
      <w:r w:rsidRPr="00F24F87">
        <w:rPr>
          <w:rFonts w:ascii="Calibri" w:eastAsia="Arial" w:hAnsi="Calibri" w:cs="Calibri"/>
          <w:sz w:val="20"/>
          <w:szCs w:val="20"/>
          <w:lang w:val="en-GB"/>
        </w:rPr>
        <w:t xml:space="preserve">, Timo Z. </w:t>
      </w:r>
      <w:proofErr w:type="spellStart"/>
      <w:r w:rsidRPr="00F24F87">
        <w:rPr>
          <w:rFonts w:ascii="Calibri" w:eastAsia="Arial" w:hAnsi="Calibri" w:cs="Calibri"/>
          <w:sz w:val="20"/>
          <w:szCs w:val="20"/>
          <w:lang w:val="en-GB"/>
        </w:rPr>
        <w:t>Nazari-Shafti</w:t>
      </w:r>
      <w:r w:rsidR="002E67BE">
        <w:rPr>
          <w:rFonts w:ascii="Calibri" w:eastAsia="Arial" w:hAnsi="Calibri" w:cs="Calibri"/>
          <w:sz w:val="20"/>
          <w:szCs w:val="20"/>
          <w:vertAlign w:val="superscript"/>
          <w:lang w:val="en-GB"/>
        </w:rPr>
        <w:t>a,b,h</w:t>
      </w:r>
      <w:bookmarkStart w:id="1" w:name="_GoBack"/>
      <w:bookmarkEnd w:id="1"/>
      <w:proofErr w:type="spellEnd"/>
      <w:r w:rsidRPr="00F24F87">
        <w:rPr>
          <w:rFonts w:ascii="Calibri" w:eastAsia="Arial" w:hAnsi="Calibri" w:cs="Calibri"/>
          <w:sz w:val="20"/>
          <w:szCs w:val="20"/>
          <w:vertAlign w:val="superscript"/>
          <w:lang w:val="en-GB"/>
        </w:rPr>
        <w:t xml:space="preserve"> </w:t>
      </w:r>
      <w:r w:rsidRPr="00F24F87">
        <w:rPr>
          <w:rFonts w:ascii="Calibri" w:eastAsia="Arial" w:hAnsi="Calibri" w:cs="Calibri"/>
          <w:b/>
          <w:bCs/>
          <w:sz w:val="20"/>
          <w:szCs w:val="20"/>
          <w:lang w:val="en-GB"/>
        </w:rPr>
        <w:t>*</w:t>
      </w:r>
    </w:p>
    <w:p w14:paraId="5DB0EA41" w14:textId="77777777" w:rsidR="005533C3" w:rsidRPr="00F24F87" w:rsidRDefault="005533C3" w:rsidP="005533C3">
      <w:pPr>
        <w:spacing w:after="0" w:line="276" w:lineRule="auto"/>
        <w:contextualSpacing/>
        <w:mirrorIndents/>
        <w:jc w:val="both"/>
        <w:rPr>
          <w:rFonts w:ascii="Calibri" w:eastAsia="Arial" w:hAnsi="Calibri" w:cs="Calibri"/>
          <w:b/>
          <w:bCs/>
          <w:sz w:val="20"/>
          <w:szCs w:val="20"/>
          <w:lang w:val="en-GB"/>
        </w:rPr>
      </w:pPr>
    </w:p>
    <w:p w14:paraId="6717A7D6" w14:textId="77777777" w:rsidR="005533C3" w:rsidRPr="001A494F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eastAsia="Arial" w:cstheme="minorHAnsi"/>
          <w:sz w:val="20"/>
          <w:szCs w:val="20"/>
        </w:rPr>
      </w:pPr>
      <w:r>
        <w:rPr>
          <w:rFonts w:ascii="Calibri" w:eastAsia="Arial" w:hAnsi="Calibri" w:cs="Calibri"/>
          <w:sz w:val="20"/>
          <w:szCs w:val="20"/>
        </w:rPr>
        <w:t xml:space="preserve">Cardiosurgical Research Group, </w:t>
      </w:r>
      <w:r w:rsidRPr="00CC7A4C">
        <w:rPr>
          <w:rFonts w:ascii="Calibri" w:eastAsia="Arial" w:hAnsi="Calibri" w:cs="Calibri"/>
          <w:sz w:val="20"/>
          <w:szCs w:val="20"/>
        </w:rPr>
        <w:t>Department of Cardiothoracic and Vascular Surgery</w:t>
      </w:r>
      <w:r w:rsidRPr="00EC6C28">
        <w:rPr>
          <w:rFonts w:ascii="Calibri" w:eastAsia="Arial" w:hAnsi="Calibri" w:cs="Calibri"/>
          <w:sz w:val="20"/>
          <w:szCs w:val="20"/>
        </w:rPr>
        <w:t xml:space="preserve">, German Heart Center </w:t>
      </w:r>
      <w:r w:rsidRPr="001A494F">
        <w:rPr>
          <w:rFonts w:eastAsia="Arial" w:cstheme="minorHAnsi"/>
          <w:sz w:val="20"/>
          <w:szCs w:val="20"/>
        </w:rPr>
        <w:t>Berlin, 13353 Berlin, Germany</w:t>
      </w:r>
    </w:p>
    <w:p w14:paraId="118EAFFC" w14:textId="77777777" w:rsidR="005533C3" w:rsidRPr="00C16D64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eastAsia="Arial" w:cstheme="minorHAnsi"/>
          <w:sz w:val="20"/>
          <w:szCs w:val="20"/>
        </w:rPr>
      </w:pPr>
      <w:r w:rsidRPr="001A494F">
        <w:rPr>
          <w:rFonts w:cstheme="minorHAnsi"/>
          <w:color w:val="000000"/>
          <w:sz w:val="20"/>
          <w:szCs w:val="20"/>
        </w:rPr>
        <w:t xml:space="preserve">Translational Cardiovascular Regenerative Technologies Group, </w:t>
      </w:r>
      <w:r w:rsidRPr="00C16D64">
        <w:rPr>
          <w:rFonts w:eastAsia="Arial" w:cstheme="minorHAnsi"/>
          <w:sz w:val="20"/>
          <w:szCs w:val="20"/>
        </w:rPr>
        <w:t>Berlin Institute of Health at Charité – Universitätsmedizin Berlin, BIH Center for Regenerative Therapies, 13353 Berlin, Germany</w:t>
      </w:r>
    </w:p>
    <w:p w14:paraId="2A0217F6" w14:textId="77777777" w:rsidR="005533C3" w:rsidRPr="000662CB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sz w:val="20"/>
          <w:szCs w:val="20"/>
        </w:rPr>
      </w:pPr>
      <w:r w:rsidRPr="001A494F">
        <w:rPr>
          <w:rFonts w:eastAsia="Arial" w:cstheme="minorHAnsi"/>
          <w:sz w:val="20"/>
          <w:szCs w:val="20"/>
        </w:rPr>
        <w:t xml:space="preserve">Experimental Continuum Mechanics, </w:t>
      </w:r>
      <w:r w:rsidRPr="001A494F">
        <w:rPr>
          <w:rFonts w:eastAsia="Arial" w:cstheme="minorHAnsi"/>
          <w:color w:val="000000" w:themeColor="text1"/>
          <w:sz w:val="20"/>
          <w:szCs w:val="20"/>
        </w:rPr>
        <w:t xml:space="preserve">Empa Swiss Federal Laboratories for Materials Science and </w:t>
      </w: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>Technolog</w:t>
      </w:r>
      <w:r>
        <w:rPr>
          <w:rFonts w:ascii="Calibri" w:eastAsia="Arial" w:hAnsi="Calibri" w:cs="Calibri"/>
          <w:color w:val="000000" w:themeColor="text1"/>
          <w:sz w:val="20"/>
          <w:szCs w:val="20"/>
        </w:rPr>
        <w:t>y</w:t>
      </w: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 xml:space="preserve">, 8600 </w:t>
      </w:r>
      <w:proofErr w:type="spellStart"/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>Dübendorf</w:t>
      </w:r>
      <w:proofErr w:type="spellEnd"/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>, Switzerland</w:t>
      </w:r>
    </w:p>
    <w:p w14:paraId="2D5E01CC" w14:textId="77777777" w:rsidR="005533C3" w:rsidRPr="000662CB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color w:val="000000" w:themeColor="text1"/>
          <w:sz w:val="20"/>
          <w:szCs w:val="20"/>
        </w:rPr>
      </w:pPr>
      <w:r w:rsidRPr="00281EA8">
        <w:rPr>
          <w:rFonts w:ascii="Calibri" w:eastAsia="Arial" w:hAnsi="Calibri" w:cs="Calibri"/>
          <w:sz w:val="20"/>
          <w:szCs w:val="20"/>
        </w:rPr>
        <w:t>Institute for Mechanical Systems, Department of Mechanical and Process Engineering, ETH Zurich, 8092 Z</w:t>
      </w:r>
      <w:r>
        <w:rPr>
          <w:rFonts w:ascii="Calibri" w:eastAsia="Arial" w:hAnsi="Calibri" w:cs="Calibri"/>
          <w:sz w:val="20"/>
          <w:szCs w:val="20"/>
        </w:rPr>
        <w:t>u</w:t>
      </w:r>
      <w:r w:rsidRPr="00281EA8">
        <w:rPr>
          <w:rFonts w:ascii="Calibri" w:eastAsia="Arial" w:hAnsi="Calibri" w:cs="Calibri"/>
          <w:sz w:val="20"/>
          <w:szCs w:val="20"/>
        </w:rPr>
        <w:t>rich, Switzerland</w:t>
      </w:r>
    </w:p>
    <w:p w14:paraId="0A77C940" w14:textId="0D7248F9" w:rsidR="005533C3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sz w:val="20"/>
          <w:szCs w:val="20"/>
        </w:rPr>
      </w:pPr>
      <w:r w:rsidRPr="00281EA8">
        <w:rPr>
          <w:rFonts w:ascii="Calibri" w:eastAsia="Arial" w:hAnsi="Calibri" w:cs="Calibri"/>
          <w:sz w:val="20"/>
          <w:szCs w:val="20"/>
        </w:rPr>
        <w:t>Laboratory of Thermodynamics in Emerging Technologies, Department of Mechanical and Process Engineering, ETH Zurich, 8092 Z</w:t>
      </w: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>ü</w:t>
      </w:r>
      <w:r w:rsidRPr="00281EA8">
        <w:rPr>
          <w:rFonts w:ascii="Calibri" w:eastAsia="Arial" w:hAnsi="Calibri" w:cs="Calibri"/>
          <w:sz w:val="20"/>
          <w:szCs w:val="20"/>
        </w:rPr>
        <w:t>rich, Switzerland</w:t>
      </w:r>
    </w:p>
    <w:p w14:paraId="3070636F" w14:textId="3F2E4303" w:rsidR="005533C3" w:rsidRDefault="005533C3" w:rsidP="002E67BE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sz w:val="20"/>
          <w:szCs w:val="20"/>
        </w:rPr>
      </w:pPr>
      <w:r w:rsidRPr="002E67BE">
        <w:rPr>
          <w:rFonts w:ascii="Calibri" w:eastAsia="Arial" w:hAnsi="Calibri" w:cs="Calibri"/>
          <w:sz w:val="20"/>
          <w:szCs w:val="20"/>
        </w:rPr>
        <w:t>Clinic for Cardiovascular Surgery, Charité – Universitätsmedizin Berlin, 13353 Berlin, Germany</w:t>
      </w:r>
    </w:p>
    <w:p w14:paraId="6CCDAE91" w14:textId="016F1CD5" w:rsidR="002E67BE" w:rsidRDefault="002E67BE" w:rsidP="002E67BE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sz w:val="20"/>
          <w:szCs w:val="20"/>
        </w:rPr>
      </w:pPr>
      <w:r w:rsidRPr="002E67BE">
        <w:rPr>
          <w:rFonts w:ascii="Calibri" w:eastAsia="Arial" w:hAnsi="Calibri" w:cs="Calibri"/>
          <w:sz w:val="20"/>
          <w:szCs w:val="20"/>
        </w:rPr>
        <w:t xml:space="preserve">Department of Cardiac Surgery, City Hospital of Zürich, Site </w:t>
      </w:r>
      <w:proofErr w:type="spellStart"/>
      <w:r w:rsidRPr="002E67BE">
        <w:rPr>
          <w:rFonts w:ascii="Calibri" w:eastAsia="Arial" w:hAnsi="Calibri" w:cs="Calibri"/>
          <w:sz w:val="20"/>
          <w:szCs w:val="20"/>
        </w:rPr>
        <w:t>Triemli</w:t>
      </w:r>
      <w:proofErr w:type="spellEnd"/>
    </w:p>
    <w:p w14:paraId="683C3CB0" w14:textId="7665EC7C" w:rsidR="002E67BE" w:rsidRPr="002E67BE" w:rsidRDefault="002E67BE" w:rsidP="002E67BE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sz w:val="20"/>
          <w:szCs w:val="20"/>
        </w:rPr>
      </w:pPr>
      <w:r w:rsidRPr="002E67BE">
        <w:rPr>
          <w:rFonts w:ascii="Calibri" w:eastAsia="Arial" w:hAnsi="Calibri" w:cs="Calibri"/>
          <w:sz w:val="20"/>
          <w:szCs w:val="20"/>
        </w:rPr>
        <w:t xml:space="preserve">Department for Cardiovascular and Thoracic Surgery, German Heart </w:t>
      </w:r>
      <w:proofErr w:type="spellStart"/>
      <w:r w:rsidRPr="002E67BE">
        <w:rPr>
          <w:rFonts w:ascii="Calibri" w:eastAsia="Arial" w:hAnsi="Calibri" w:cs="Calibri"/>
          <w:sz w:val="20"/>
          <w:szCs w:val="20"/>
        </w:rPr>
        <w:t>Center</w:t>
      </w:r>
      <w:proofErr w:type="spellEnd"/>
      <w:r w:rsidRPr="002E67BE">
        <w:rPr>
          <w:rFonts w:ascii="Calibri" w:eastAsia="Arial" w:hAnsi="Calibri" w:cs="Calibri"/>
          <w:sz w:val="20"/>
          <w:szCs w:val="20"/>
        </w:rPr>
        <w:t xml:space="preserve"> Berlin, Berlin, Germany.</w:t>
      </w:r>
    </w:p>
    <w:p w14:paraId="62A3623A" w14:textId="77777777" w:rsidR="005533C3" w:rsidRPr="00281EA8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color w:val="000000" w:themeColor="text1"/>
          <w:sz w:val="20"/>
          <w:szCs w:val="20"/>
        </w:rPr>
      </w:pP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>Department of Health Sciences and Technology, ETH Z</w:t>
      </w:r>
      <w:r>
        <w:rPr>
          <w:rFonts w:ascii="Calibri" w:eastAsia="Arial" w:hAnsi="Calibri" w:cs="Calibri"/>
          <w:color w:val="000000" w:themeColor="text1"/>
          <w:sz w:val="20"/>
          <w:szCs w:val="20"/>
        </w:rPr>
        <w:t>u</w:t>
      </w: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 xml:space="preserve">rich, </w:t>
      </w:r>
      <w:r>
        <w:rPr>
          <w:rFonts w:ascii="Calibri" w:eastAsia="Arial" w:hAnsi="Calibri" w:cs="Calibri"/>
          <w:color w:val="000000" w:themeColor="text1"/>
          <w:sz w:val="20"/>
          <w:szCs w:val="20"/>
        </w:rPr>
        <w:t xml:space="preserve">8093 </w:t>
      </w: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>Zurich, Switzerland</w:t>
      </w:r>
    </w:p>
    <w:p w14:paraId="30FC4129" w14:textId="71498EE1" w:rsidR="005533C3" w:rsidRDefault="005533C3" w:rsidP="005533C3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color w:val="000000" w:themeColor="text1"/>
          <w:sz w:val="20"/>
          <w:szCs w:val="20"/>
        </w:rPr>
      </w:pP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 xml:space="preserve">Institute for Regenerative Medicine, University of Zurich, </w:t>
      </w:r>
      <w:r>
        <w:rPr>
          <w:rFonts w:ascii="Calibri" w:eastAsia="Arial" w:hAnsi="Calibri" w:cs="Calibri"/>
          <w:color w:val="000000" w:themeColor="text1"/>
          <w:sz w:val="20"/>
          <w:szCs w:val="20"/>
        </w:rPr>
        <w:t xml:space="preserve">8044 </w:t>
      </w:r>
      <w:r w:rsidRPr="00281EA8">
        <w:rPr>
          <w:rFonts w:ascii="Calibri" w:eastAsia="Arial" w:hAnsi="Calibri" w:cs="Calibri"/>
          <w:color w:val="000000" w:themeColor="text1"/>
          <w:sz w:val="20"/>
          <w:szCs w:val="20"/>
        </w:rPr>
        <w:t xml:space="preserve">Zurich, Switzerland, </w:t>
      </w:r>
    </w:p>
    <w:p w14:paraId="2DFB42ED" w14:textId="2B406206" w:rsidR="00DC18FA" w:rsidRPr="00DC18FA" w:rsidRDefault="00DC18FA" w:rsidP="00DC18FA">
      <w:pPr>
        <w:pStyle w:val="Listenabsatz"/>
        <w:numPr>
          <w:ilvl w:val="0"/>
          <w:numId w:val="1"/>
        </w:numPr>
        <w:spacing w:after="0" w:line="360" w:lineRule="auto"/>
        <w:mirrorIndents/>
        <w:jc w:val="both"/>
        <w:rPr>
          <w:rFonts w:ascii="Calibri" w:eastAsia="Arial" w:hAnsi="Calibri" w:cs="Calibri"/>
          <w:color w:val="000000" w:themeColor="text1"/>
          <w:sz w:val="20"/>
          <w:szCs w:val="20"/>
        </w:rPr>
      </w:pPr>
      <w:r w:rsidRPr="001F1005">
        <w:rPr>
          <w:rFonts w:ascii="Calibri" w:eastAsia="Arial" w:hAnsi="Calibri" w:cs="Calibri"/>
          <w:color w:val="000000" w:themeColor="text1"/>
          <w:sz w:val="20"/>
          <w:szCs w:val="20"/>
        </w:rPr>
        <w:t>Berlin Institute of Health at Charité – Universitätsmedizin Berlin,</w:t>
      </w:r>
      <w:r>
        <w:rPr>
          <w:rFonts w:ascii="Calibri" w:eastAsia="Arial" w:hAnsi="Calibri" w:cs="Calibri"/>
          <w:color w:val="000000" w:themeColor="text1"/>
          <w:sz w:val="20"/>
          <w:szCs w:val="20"/>
        </w:rPr>
        <w:t xml:space="preserve"> </w:t>
      </w:r>
      <w:r w:rsidRPr="001F1005">
        <w:rPr>
          <w:rFonts w:ascii="Calibri" w:eastAsia="Arial" w:hAnsi="Calibri" w:cs="Calibri"/>
          <w:color w:val="000000" w:themeColor="text1"/>
          <w:sz w:val="20"/>
          <w:szCs w:val="20"/>
        </w:rPr>
        <w:t xml:space="preserve">BIH Biomedical Innovation Academy, BIH Charité (Junior) (Digital) Clinician Scientist Program, </w:t>
      </w:r>
      <w:proofErr w:type="spellStart"/>
      <w:r w:rsidRPr="001F1005">
        <w:rPr>
          <w:rFonts w:ascii="Calibri" w:eastAsia="Arial" w:hAnsi="Calibri" w:cs="Calibri"/>
          <w:color w:val="000000" w:themeColor="text1"/>
          <w:sz w:val="20"/>
          <w:szCs w:val="20"/>
        </w:rPr>
        <w:t>Charitéplatz</w:t>
      </w:r>
      <w:proofErr w:type="spellEnd"/>
      <w:r w:rsidRPr="001F1005">
        <w:rPr>
          <w:rFonts w:ascii="Calibri" w:eastAsia="Arial" w:hAnsi="Calibri" w:cs="Calibri"/>
          <w:color w:val="000000" w:themeColor="text1"/>
          <w:sz w:val="20"/>
          <w:szCs w:val="20"/>
        </w:rPr>
        <w:t xml:space="preserve"> 1, 10117 Berlin, Germany</w:t>
      </w:r>
    </w:p>
    <w:bookmarkEnd w:id="0"/>
    <w:p w14:paraId="13C24293" w14:textId="2ED478A2" w:rsidR="00E376CA" w:rsidRDefault="005533C3" w:rsidP="007E5E91">
      <w:pPr>
        <w:spacing w:after="0" w:line="360" w:lineRule="auto"/>
        <w:ind w:left="360"/>
        <w:mirrorIndents/>
        <w:jc w:val="both"/>
        <w:rPr>
          <w:rFonts w:ascii="Calibri" w:eastAsia="Arial" w:hAnsi="Calibri" w:cs="Calibri"/>
          <w:color w:val="000000" w:themeColor="text1"/>
          <w:sz w:val="20"/>
          <w:szCs w:val="20"/>
          <w:lang w:val="en-US"/>
        </w:rPr>
      </w:pPr>
      <w:r w:rsidRPr="00C16D64">
        <w:rPr>
          <w:rFonts w:ascii="Calibri" w:eastAsia="Arial" w:hAnsi="Calibri" w:cs="Calibri"/>
          <w:color w:val="000000" w:themeColor="text1"/>
          <w:sz w:val="20"/>
          <w:szCs w:val="20"/>
          <w:lang w:val="en-US"/>
        </w:rPr>
        <w:t>*      Corresponding author</w:t>
      </w:r>
    </w:p>
    <w:p w14:paraId="53528060" w14:textId="77777777" w:rsidR="007E5E91" w:rsidRPr="007E5E91" w:rsidRDefault="007E5E91" w:rsidP="00403984">
      <w:pPr>
        <w:spacing w:after="0" w:line="360" w:lineRule="auto"/>
        <w:mirrorIndents/>
        <w:jc w:val="both"/>
        <w:rPr>
          <w:rFonts w:ascii="Calibri" w:eastAsia="Arial" w:hAnsi="Calibri" w:cs="Calibri"/>
          <w:color w:val="000000" w:themeColor="text1"/>
          <w:sz w:val="20"/>
          <w:szCs w:val="20"/>
          <w:lang w:val="en-US"/>
        </w:rPr>
      </w:pPr>
    </w:p>
    <w:p w14:paraId="002DFE3B" w14:textId="5D34D615" w:rsidR="00236FE0" w:rsidRDefault="007E5E91" w:rsidP="007E5E91">
      <w:pPr>
        <w:rPr>
          <w:rFonts w:ascii="Calibri" w:eastAsia="Times New Roman" w:hAnsi="Calibri" w:cs="Calibri"/>
          <w:color w:val="000000" w:themeColor="text1"/>
          <w:sz w:val="20"/>
          <w:szCs w:val="20"/>
          <w:lang w:val="en-GB"/>
        </w:rPr>
      </w:pPr>
      <w:r>
        <w:rPr>
          <w:rFonts w:ascii="Calibri" w:eastAsia="Times New Roman" w:hAnsi="Calibri" w:cs="Calibri"/>
          <w:bCs/>
          <w:noProof/>
          <w:color w:val="000000"/>
          <w:sz w:val="20"/>
          <w:szCs w:val="20"/>
          <w:lang w:val="de-DE" w:eastAsia="de-DE"/>
        </w:rPr>
        <w:drawing>
          <wp:inline distT="0" distB="0" distL="0" distR="0" wp14:anchorId="38E20B25" wp14:editId="7AE63ED8">
            <wp:extent cx="5828665" cy="1718409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79" cy="172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val="en-GB"/>
        </w:rPr>
        <w:t>F</w:t>
      </w:r>
      <w:r w:rsidR="0028070E" w:rsidRPr="0028070E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val="en-GB"/>
        </w:rPr>
        <w:t>igure S</w:t>
      </w:r>
      <w:r w:rsidR="00F24F87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val="en-GB"/>
        </w:rPr>
        <w:t>1</w:t>
      </w:r>
      <w:r w:rsidR="0028070E" w:rsidRPr="0028070E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val="en-GB"/>
        </w:rPr>
        <w:t>:</w:t>
      </w:r>
      <w:r w:rsidR="0028070E" w:rsidRPr="0028070E">
        <w:rPr>
          <w:rFonts w:ascii="Calibri" w:eastAsia="Times New Roman" w:hAnsi="Calibri" w:cs="Calibri"/>
          <w:color w:val="000000" w:themeColor="text1"/>
          <w:sz w:val="20"/>
          <w:szCs w:val="20"/>
          <w:lang w:val="en-GB"/>
        </w:rPr>
        <w:t xml:space="preserve"> </w:t>
      </w:r>
      <w:r w:rsidR="0028070E" w:rsidRPr="0028070E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val="en-GB"/>
        </w:rPr>
        <w:t xml:space="preserve">Morphology and surface marker expression of isolated HUVECs and HUMSCs under </w:t>
      </w:r>
      <w:r w:rsidR="0028070E" w:rsidRPr="0028070E">
        <w:rPr>
          <w:rFonts w:ascii="Calibri" w:eastAsia="Times New Roman" w:hAnsi="Calibri" w:cs="Calibri"/>
          <w:b/>
          <w:bCs/>
          <w:i/>
          <w:iCs/>
          <w:color w:val="000000" w:themeColor="text1"/>
          <w:sz w:val="20"/>
          <w:szCs w:val="20"/>
          <w:lang w:val="en-GB"/>
        </w:rPr>
        <w:t>in vitro</w:t>
      </w:r>
      <w:r w:rsidR="0028070E" w:rsidRPr="0028070E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lang w:val="en-GB"/>
        </w:rPr>
        <w:t xml:space="preserve"> conditions.</w:t>
      </w:r>
      <w:r w:rsidR="0028070E" w:rsidRPr="0028070E">
        <w:rPr>
          <w:rFonts w:ascii="Calibri" w:eastAsia="Times New Roman" w:hAnsi="Calibri" w:cs="Calibri"/>
          <w:color w:val="000000" w:themeColor="text1"/>
          <w:sz w:val="20"/>
          <w:szCs w:val="20"/>
          <w:lang w:val="en-GB"/>
        </w:rPr>
        <w:t xml:space="preserve"> </w:t>
      </w:r>
    </w:p>
    <w:p w14:paraId="462DF5FA" w14:textId="7071E766" w:rsidR="0028070E" w:rsidRDefault="009A5A0E" w:rsidP="00254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mirrorIndents/>
        <w:jc w:val="both"/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</w:pPr>
      <w:r w:rsidRPr="009A5A0E"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GB"/>
        </w:rPr>
        <w:lastRenderedPageBreak/>
        <w:t>HUVECs isolated from fresh umbilical cords formed a confluent monolayer with a typical cobblestone morphology after 3 population doublings (PDs) under in vitro conditions (Figure S2a). They were positive for typical endothelial surface markers such as CD31 and CD105; contamination of HUVECs with spindle-shaped HUMSCs was ruled out by screening for CD90 (Figure S2b-c).</w:t>
      </w:r>
      <w:r w:rsidRPr="00254CCD"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="00236FE0" w:rsidRPr="00254CCD"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GB"/>
        </w:rPr>
        <w:t>(a)</w:t>
      </w:r>
      <w:r w:rsidR="00254CCD" w:rsidRPr="00254CCD"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GB"/>
        </w:rPr>
        <w:t xml:space="preserve"> </w:t>
      </w:r>
      <w:r w:rsidR="0028070E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Phase-contrast image of a confluent HUVEC monolayer at low passage level (3 PDs) with cobblestone</w:t>
      </w:r>
      <w:r w:rsidR="00D83873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</w:t>
      </w:r>
      <w:r w:rsidR="0028070E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morphology, b. Phase-contrast image of a confluent HUMSC monolayer at low passage level (3 PDs)</w:t>
      </w:r>
      <w:r w:rsidR="005C22C3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</w:t>
      </w:r>
      <w:r w:rsidR="0028070E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with spindle shape morphology, c. Mean fluorescence intensity of CD31, CD105 and CD90 for HUVECs and HUMSCs at low passage level (3 PDs) after flow cytometry analysis. Data </w:t>
      </w:r>
      <w:r w:rsidR="00E57674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represent the mean and standard error of the mean of 3 donors </w:t>
      </w:r>
      <w:r w:rsidR="0028070E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with more than 1,000 cells per condition</w:t>
      </w:r>
      <w:r w:rsidR="00E57674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.</w:t>
      </w:r>
      <w:r w:rsidR="0028070E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****, p≤0.0001; ns, not significant. In a and b, images were taken with the same magnification; scale bar, 200 µm.</w:t>
      </w:r>
      <w:r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</w:t>
      </w:r>
    </w:p>
    <w:p w14:paraId="227EF3AD" w14:textId="7340A69F" w:rsidR="00587AB4" w:rsidRDefault="00587AB4" w:rsidP="00254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mirrorIndents/>
        <w:jc w:val="both"/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GB"/>
        </w:rPr>
      </w:pPr>
    </w:p>
    <w:p w14:paraId="124504E5" w14:textId="77777777" w:rsidR="00403984" w:rsidRPr="00254CCD" w:rsidRDefault="00403984" w:rsidP="00254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mirrorIndents/>
        <w:jc w:val="both"/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GB"/>
        </w:rPr>
      </w:pPr>
    </w:p>
    <w:p w14:paraId="67E4B72C" w14:textId="0E45B0FB" w:rsidR="00236FE0" w:rsidRPr="000F0030" w:rsidRDefault="002613EC" w:rsidP="00771A7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mirrorIndents/>
        <w:jc w:val="both"/>
        <w:rPr>
          <w:rFonts w:ascii="Calibri" w:eastAsia="Calibri" w:hAnsi="Calibri" w:cs="Calibri"/>
          <w:sz w:val="20"/>
          <w:szCs w:val="20"/>
          <w:lang w:val="en-GB"/>
        </w:rPr>
      </w:pPr>
      <w:r>
        <w:rPr>
          <w:rFonts w:ascii="Calibri" w:eastAsia="Calibri" w:hAnsi="Calibri" w:cs="Calibri"/>
          <w:noProof/>
          <w:sz w:val="20"/>
          <w:szCs w:val="20"/>
          <w:lang w:val="de-DE" w:eastAsia="de-DE"/>
        </w:rPr>
        <w:drawing>
          <wp:inline distT="0" distB="0" distL="0" distR="0" wp14:anchorId="6ACC7034" wp14:editId="69EC4C08">
            <wp:extent cx="5740791" cy="568543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45" cy="569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52623" w14:textId="0F422B2E" w:rsidR="00254CCD" w:rsidRDefault="00236FE0" w:rsidP="00254CCD">
      <w:pPr>
        <w:spacing w:after="0" w:line="240" w:lineRule="auto"/>
        <w:jc w:val="both"/>
        <w:rPr>
          <w:rFonts w:eastAsia="Times New Roman" w:cs="Times New Roman"/>
          <w:i/>
          <w:sz w:val="20"/>
          <w:szCs w:val="20"/>
          <w:lang w:val="en-GB" w:eastAsia="el-GR"/>
        </w:rPr>
      </w:pPr>
      <w:r w:rsidRPr="004903BC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>Figure</w:t>
      </w:r>
      <w:r w:rsidR="00254CCD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 xml:space="preserve"> </w:t>
      </w:r>
      <w:r w:rsidR="004F5326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>S</w:t>
      </w:r>
      <w:r w:rsidR="00F24F87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>2</w:t>
      </w:r>
      <w:r w:rsidRPr="004903BC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 xml:space="preserve">: </w:t>
      </w:r>
      <w:r w:rsidRPr="00835CB4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>In vitro</w:t>
      </w:r>
      <w:r w:rsidRPr="004903BC">
        <w:rPr>
          <w:rFonts w:eastAsia="Times New Roman" w:cs="Times New Roman"/>
          <w:b/>
          <w:bCs/>
          <w:i/>
          <w:sz w:val="20"/>
          <w:szCs w:val="20"/>
          <w:lang w:val="en-GB" w:eastAsia="el-GR"/>
        </w:rPr>
        <w:t xml:space="preserve"> expansion induce replicative senescence.</w:t>
      </w:r>
      <w:r w:rsidRPr="004903BC">
        <w:rPr>
          <w:rFonts w:eastAsia="Times New Roman" w:cs="Times New Roman"/>
          <w:b/>
          <w:i/>
          <w:sz w:val="20"/>
          <w:szCs w:val="20"/>
          <w:lang w:val="en-GB" w:eastAsia="el-GR"/>
        </w:rPr>
        <w:t xml:space="preserve"> </w:t>
      </w:r>
      <w:r w:rsidR="00254CCD">
        <w:rPr>
          <w:rFonts w:eastAsia="Times New Roman" w:cs="Times New Roman"/>
          <w:i/>
          <w:sz w:val="20"/>
          <w:szCs w:val="20"/>
          <w:lang w:val="en-GB" w:eastAsia="el-GR"/>
        </w:rPr>
        <w:t xml:space="preserve"> </w:t>
      </w:r>
    </w:p>
    <w:p w14:paraId="1AEB1982" w14:textId="671C7D68" w:rsidR="00EB2BE9" w:rsidRDefault="009A5A0E" w:rsidP="00787ED1">
      <w:pPr>
        <w:pStyle w:val="Listenabsatz"/>
        <w:spacing w:after="0" w:line="240" w:lineRule="auto"/>
        <w:ind w:left="0"/>
        <w:jc w:val="both"/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</w:pPr>
      <w:r w:rsidRPr="009A5A0E">
        <w:rPr>
          <w:rFonts w:ascii="Calibri" w:eastAsia="Calibri" w:hAnsi="Calibri" w:cs="Calibri"/>
          <w:i/>
          <w:sz w:val="20"/>
          <w:szCs w:val="20"/>
          <w:lang w:val="en-US"/>
        </w:rPr>
        <w:t>To induce replicative senescence (RS), HUVECs were seeded at a density of 20,000 cells/cm² on plates coated with 1.5% gelatin and passaged at 80-90% confluence until they reached RS. Cell cycle arrest was observed after a total of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 xml:space="preserve"> 14±1.4 weeks and 17±0.2 PDs (Figure S3a). </w:t>
      </w:r>
      <w:r w:rsidRPr="009A5A0E">
        <w:rPr>
          <w:rFonts w:ascii="Calibri" w:eastAsia="Calibri" w:hAnsi="Calibri" w:cs="Calibri"/>
          <w:i/>
          <w:sz w:val="20"/>
          <w:szCs w:val="20"/>
          <w:lang w:val="en-US"/>
        </w:rPr>
        <w:t xml:space="preserve">Conversely, the mean PDT generally increased with an increase in the number of passages during cell expansion (Figure S3b). 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Senescent HUVECS expressed higher levels of</w:t>
      </w:r>
      <w:r w:rsidRPr="009A5A0E">
        <w:rPr>
          <w:i/>
          <w:lang w:val="en-GB"/>
        </w:rPr>
        <w:t xml:space="preserve"> 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phosphorylated histone H2AX (γ-H2AX), which is indicative of an increase in DNA damage: in 74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>±2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% of HUVECS after 3 PDs and 52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>±1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% after 17 PDs γ-H2AX foci were not detected (Figure S3c). The percentage of cells showing 1-3 γ-H2AX foci was 23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>±1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% after 3 PDs and 40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>±2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% after 17 PDs, and 3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>±1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% and 6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>±4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 xml:space="preserve">% of the cells had more than 4 </w:t>
      </w:r>
      <w:bookmarkStart w:id="2" w:name="OLE_LINK5"/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>γ-H2AX foci after 3 and 17 PDs, respectively</w:t>
      </w:r>
      <w:bookmarkEnd w:id="2"/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 xml:space="preserve"> (Figure S3c)</w:t>
      </w:r>
      <w:r w:rsidRPr="009A5A0E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. 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t xml:space="preserve">As expected, intracellular SA-β-gal accumulation increased over time and was 70±2% when the growth of the HUVECs reached the plateau (Figure S3d, Figure S5). </w:t>
      </w:r>
      <w:r w:rsidRPr="009A5A0E">
        <w:rPr>
          <w:rFonts w:eastAsia="Times New Roman" w:cs="Times New Roman"/>
          <w:i/>
          <w:sz w:val="20"/>
          <w:szCs w:val="20"/>
          <w:lang w:val="en-US" w:eastAsia="el-GR"/>
        </w:rPr>
        <w:lastRenderedPageBreak/>
        <w:t xml:space="preserve">In addition, relative telomere lengths of HUVECs decreased up to 50% of their initial length during in vitro expansion (Figure S3e). </w:t>
      </w:r>
      <w:bookmarkStart w:id="3" w:name="OLE_LINK1"/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GB" w:eastAsia="el-GR"/>
        </w:rPr>
        <w:t xml:space="preserve">Furthermore, a progressive change in the whole monolayer architecture was observed during in vitro expansion: after 3 PDs, HUVECs showed single ovoid nuclei and a cobblestone-like </w:t>
      </w:r>
      <w:bookmarkEnd w:id="3"/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GB" w:eastAsia="el-GR"/>
        </w:rPr>
        <w:t>morphology</w:t>
      </w:r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US" w:eastAsia="el-GR"/>
        </w:rPr>
        <w:t xml:space="preserve"> but were significantly enlarged and lost their ability to form high confluent monolayers after 17 PDs (Figure S3f and Figures S5a and S5b).</w:t>
      </w:r>
      <w:r w:rsidRPr="009A5A0E">
        <w:rPr>
          <w:rFonts w:ascii="Calibri" w:eastAsia="Times New Roman" w:hAnsi="Calibri" w:cs="Calibri"/>
          <w:i/>
          <w:color w:val="000000" w:themeColor="text1"/>
          <w:sz w:val="20"/>
          <w:szCs w:val="20"/>
          <w:lang w:val="en-US" w:eastAsia="el-GR"/>
        </w:rPr>
        <w:t xml:space="preserve"> </w:t>
      </w:r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US" w:eastAsia="el-GR"/>
        </w:rPr>
        <w:t xml:space="preserve">The total cell surface of HUVECs increased from </w:t>
      </w:r>
      <w:r w:rsidRPr="009A5A0E">
        <w:rPr>
          <w:rFonts w:ascii="Calibri" w:eastAsia="Times New Roman" w:hAnsi="Calibri" w:cs="Calibri"/>
          <w:i/>
          <w:color w:val="000000" w:themeColor="text1"/>
          <w:sz w:val="20"/>
          <w:szCs w:val="20"/>
          <w:lang w:val="en-GB" w:eastAsia="el-GR"/>
        </w:rPr>
        <w:t xml:space="preserve">1,180±51 µm² </w:t>
      </w:r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GB" w:eastAsia="el-GR"/>
        </w:rPr>
        <w:t>after 3 PDs</w:t>
      </w:r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US" w:eastAsia="el-GR"/>
        </w:rPr>
        <w:t xml:space="preserve"> to </w:t>
      </w:r>
      <w:r w:rsidRPr="009A5A0E">
        <w:rPr>
          <w:rFonts w:ascii="Calibri" w:eastAsia="Times New Roman" w:hAnsi="Calibri" w:cs="Calibri"/>
          <w:i/>
          <w:color w:val="000000" w:themeColor="text1"/>
          <w:sz w:val="20"/>
          <w:szCs w:val="20"/>
          <w:lang w:val="en-GB" w:eastAsia="el-GR"/>
        </w:rPr>
        <w:t xml:space="preserve">4,181±138 µm² </w:t>
      </w:r>
      <w:r w:rsidRPr="009A5A0E">
        <w:rPr>
          <w:rFonts w:ascii="Calibri" w:eastAsia="Times New Roman" w:hAnsi="Calibri" w:cs="Calibri"/>
          <w:bCs/>
          <w:i/>
          <w:color w:val="000000" w:themeColor="text1"/>
          <w:sz w:val="20"/>
          <w:szCs w:val="20"/>
          <w:lang w:val="en-US" w:eastAsia="el-GR"/>
        </w:rPr>
        <w:t>after 17 PDs.</w:t>
      </w:r>
      <w:r w:rsidRPr="009A5A0E">
        <w:rPr>
          <w:rFonts w:eastAsia="Times New Roman" w:cs="Times New Roman"/>
          <w:i/>
          <w:sz w:val="20"/>
          <w:szCs w:val="20"/>
          <w:lang w:val="en-GB" w:eastAsia="el-GR"/>
        </w:rPr>
        <w:t xml:space="preserve"> </w:t>
      </w:r>
      <w:r w:rsidRPr="009A5A0E">
        <w:rPr>
          <w:rFonts w:ascii="Calibri" w:eastAsia="Times New Roman" w:hAnsi="Calibri" w:cs="Calibri"/>
          <w:i/>
          <w:color w:val="000000" w:themeColor="text1"/>
          <w:sz w:val="20"/>
          <w:szCs w:val="20"/>
          <w:lang w:val="en-US" w:eastAsia="el-GR"/>
        </w:rPr>
        <w:t xml:space="preserve">In conclusion, extensive </w:t>
      </w:r>
      <w:r w:rsidRPr="009A5A0E">
        <w:rPr>
          <w:rFonts w:ascii="Calibri" w:eastAsia="Times New Roman" w:hAnsi="Calibri" w:cs="Calibri"/>
          <w:i/>
          <w:iCs/>
          <w:color w:val="000000" w:themeColor="text1"/>
          <w:sz w:val="20"/>
          <w:szCs w:val="20"/>
          <w:lang w:val="en-US" w:eastAsia="el-GR"/>
        </w:rPr>
        <w:t>in vitro</w:t>
      </w:r>
      <w:r w:rsidRPr="009A5A0E">
        <w:rPr>
          <w:rFonts w:ascii="Calibri" w:eastAsia="Times New Roman" w:hAnsi="Calibri" w:cs="Calibri"/>
          <w:i/>
          <w:color w:val="000000" w:themeColor="text1"/>
          <w:sz w:val="20"/>
          <w:szCs w:val="20"/>
          <w:lang w:val="en-US" w:eastAsia="el-GR"/>
        </w:rPr>
        <w:t xml:space="preserve"> expansion of HUVECs progressively decreased their growth characteristics</w:t>
      </w:r>
      <w:r w:rsidRPr="009A5A0E">
        <w:rPr>
          <w:i/>
          <w:lang w:val="en-GB"/>
        </w:rPr>
        <w:t xml:space="preserve">, </w:t>
      </w:r>
      <w:r w:rsidRPr="009A5A0E">
        <w:rPr>
          <w:i/>
          <w:sz w:val="20"/>
          <w:szCs w:val="20"/>
          <w:lang w:val="en-GB"/>
        </w:rPr>
        <w:t xml:space="preserve">significantly </w:t>
      </w:r>
      <w:r w:rsidRPr="009A5A0E">
        <w:rPr>
          <w:rFonts w:ascii="Calibri" w:eastAsia="Times New Roman" w:hAnsi="Calibri" w:cs="Calibri"/>
          <w:i/>
          <w:color w:val="000000" w:themeColor="text1"/>
          <w:sz w:val="20"/>
          <w:szCs w:val="20"/>
          <w:lang w:val="en-US" w:eastAsia="el-GR"/>
        </w:rPr>
        <w:t>increased their size and induced RS, as evidenced by increased SA-β-gal activity, significant formation of DNA double-strand breaks and significant telomere attrition.</w:t>
      </w:r>
      <w:r>
        <w:rPr>
          <w:rFonts w:eastAsia="Times New Roman" w:cs="Times New Roman"/>
          <w:i/>
          <w:sz w:val="20"/>
          <w:szCs w:val="20"/>
          <w:lang w:val="en-GB" w:eastAsia="el-GR"/>
        </w:rPr>
        <w:t xml:space="preserve">  </w:t>
      </w:r>
      <w:r w:rsidR="00236FE0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a</w:t>
      </w:r>
      <w:r w:rsidR="00236FE0">
        <w:rPr>
          <w:rFonts w:eastAsia="Times New Roman" w:cs="Times New Roman"/>
          <w:i/>
          <w:sz w:val="20"/>
          <w:szCs w:val="20"/>
          <w:lang w:val="en-GB" w:eastAsia="el-GR"/>
        </w:rPr>
        <w:t>)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Cumulative growth curve during expansion of HUVECs isolated from three different umbilical cords, </w:t>
      </w:r>
      <w:r w:rsidR="00236FE0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b</w:t>
      </w:r>
      <w:r w:rsidR="00236FE0">
        <w:rPr>
          <w:rFonts w:eastAsia="Times New Roman" w:cs="Times New Roman"/>
          <w:i/>
          <w:sz w:val="20"/>
          <w:szCs w:val="20"/>
          <w:lang w:val="en-GB" w:eastAsia="el-GR"/>
        </w:rPr>
        <w:t>)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PDT of HUVECs during </w:t>
      </w:r>
      <w:r w:rsidR="00236FE0" w:rsidRPr="00835CB4">
        <w:rPr>
          <w:rFonts w:eastAsia="Times New Roman" w:cs="Times New Roman"/>
          <w:i/>
          <w:sz w:val="20"/>
          <w:szCs w:val="20"/>
          <w:lang w:val="en-GB" w:eastAsia="el-GR"/>
        </w:rPr>
        <w:t>in vitro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expansion, </w:t>
      </w:r>
      <w:r w:rsidR="00236FE0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>c</w:t>
      </w:r>
      <w:r w:rsidR="00236FE0">
        <w:rPr>
          <w:rFonts w:eastAsia="Times New Roman" w:cs="Times New Roman"/>
          <w:i/>
          <w:sz w:val="20"/>
          <w:szCs w:val="20"/>
          <w:lang w:val="en-GB" w:eastAsia="el-GR"/>
        </w:rPr>
        <w:t>)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Percentage of cells presenting multiple γ-H2AX foci after 3 and 17 PDs, </w:t>
      </w:r>
      <w:r w:rsidR="002613EC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d</w:t>
      </w:r>
      <w:r w:rsidR="002613EC">
        <w:rPr>
          <w:rFonts w:eastAsia="Times New Roman" w:cs="Times New Roman"/>
          <w:i/>
          <w:sz w:val="20"/>
          <w:szCs w:val="20"/>
          <w:lang w:val="en-GB" w:eastAsia="el-GR"/>
        </w:rPr>
        <w:t>)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Percentage of SA-</w:t>
      </w:r>
      <w:r w:rsidR="00236FE0" w:rsidRPr="004903BC">
        <w:rPr>
          <w:rFonts w:eastAsia="Times New Roman" w:cs="Times New Roman"/>
          <w:i/>
          <w:sz w:val="20"/>
          <w:szCs w:val="20"/>
          <w:lang w:val="en-US" w:eastAsia="el-GR"/>
        </w:rPr>
        <w:t>β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-gal-positive cells after 3 and 17 PDs, </w:t>
      </w:r>
      <w:r w:rsidR="0006206D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e</w:t>
      </w:r>
      <w:r w:rsidR="0006206D">
        <w:rPr>
          <w:rFonts w:eastAsia="Times New Roman" w:cs="Times New Roman"/>
          <w:i/>
          <w:sz w:val="20"/>
          <w:szCs w:val="20"/>
          <w:lang w:val="en-GB" w:eastAsia="el-GR"/>
        </w:rPr>
        <w:t>)</w:t>
      </w:r>
      <w:r w:rsidR="00236FE0" w:rsidRPr="00236FE0">
        <w:rPr>
          <w:i/>
          <w:sz w:val="20"/>
          <w:szCs w:val="20"/>
          <w:lang w:val="en-GB"/>
        </w:rPr>
        <w:t xml:space="preserve"> </w:t>
      </w:r>
      <w:r w:rsidR="00236FE0" w:rsidRPr="00236FE0">
        <w:rPr>
          <w:rFonts w:eastAsia="Times New Roman" w:cs="Times New Roman"/>
          <w:i/>
          <w:sz w:val="20"/>
          <w:szCs w:val="20"/>
          <w:lang w:val="en-GB" w:eastAsia="el-GR"/>
        </w:rPr>
        <w:t>R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elative telomere length in relation to the number of PDs of HUVECs during </w:t>
      </w:r>
      <w:r w:rsidR="00236FE0" w:rsidRPr="00835CB4">
        <w:rPr>
          <w:rFonts w:eastAsia="Times New Roman" w:cs="Times New Roman"/>
          <w:i/>
          <w:sz w:val="20"/>
          <w:szCs w:val="20"/>
          <w:lang w:val="en-GB" w:eastAsia="el-GR"/>
        </w:rPr>
        <w:t>in vitro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expansion</w:t>
      </w:r>
      <w:r w:rsidR="00D25C02">
        <w:rPr>
          <w:rFonts w:eastAsia="Times New Roman" w:cs="Times New Roman"/>
          <w:i/>
          <w:sz w:val="20"/>
          <w:szCs w:val="20"/>
          <w:lang w:val="en-GB" w:eastAsia="el-GR"/>
        </w:rPr>
        <w:t xml:space="preserve">, </w:t>
      </w:r>
      <w:r w:rsidR="00787ED1">
        <w:rPr>
          <w:rFonts w:eastAsia="Times New Roman" w:cs="Times New Roman"/>
          <w:i/>
          <w:iCs/>
          <w:sz w:val="20"/>
          <w:szCs w:val="20"/>
          <w:lang w:val="en-GB" w:eastAsia="el-GR"/>
        </w:rPr>
        <w:t>(</w:t>
      </w:r>
      <w:r w:rsidR="00D25C02">
        <w:rPr>
          <w:rFonts w:eastAsia="Times New Roman" w:cs="Times New Roman"/>
          <w:i/>
          <w:iCs/>
          <w:sz w:val="20"/>
          <w:szCs w:val="20"/>
          <w:lang w:val="en-GB" w:eastAsia="el-GR"/>
        </w:rPr>
        <w:t>f</w:t>
      </w:r>
      <w:r w:rsidR="00787ED1">
        <w:rPr>
          <w:rFonts w:eastAsia="Times New Roman" w:cs="Times New Roman"/>
          <w:i/>
          <w:iCs/>
          <w:sz w:val="20"/>
          <w:szCs w:val="20"/>
          <w:lang w:val="en-GB" w:eastAsia="el-GR"/>
        </w:rPr>
        <w:t xml:space="preserve">) </w:t>
      </w:r>
      <w:r w:rsidR="00787ED1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>Representative light microscopy images of HUVECs during expansion stained for SA-</w:t>
      </w:r>
      <w:r w:rsidR="00787ED1" w:rsidRPr="00254CCD">
        <w:rPr>
          <w:rFonts w:eastAsia="Times New Roman" w:cs="Times New Roman"/>
          <w:i/>
          <w:iCs/>
          <w:sz w:val="20"/>
          <w:szCs w:val="20"/>
          <w:lang w:val="en-US" w:eastAsia="el-GR"/>
        </w:rPr>
        <w:t>β</w:t>
      </w:r>
      <w:r w:rsidR="00787ED1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>-gal (green-blue) after 3 (left), 10 (middle) and 17 (right) PDs.</w:t>
      </w:r>
      <w:r w:rsidR="00787ED1" w:rsidRPr="00254CCD">
        <w:rPr>
          <w:rFonts w:ascii="Calibri" w:eastAsia="Times New Roman" w:hAnsi="Calibri" w:cs="Calibri"/>
          <w:i/>
          <w:iCs/>
          <w:color w:val="000000"/>
          <w:sz w:val="20"/>
          <w:szCs w:val="20"/>
          <w:lang w:val="en-GB"/>
        </w:rPr>
        <w:t xml:space="preserve"> </w:t>
      </w:r>
      <w:r w:rsidR="00787ED1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Cell density measured at the end of each passage when the monolayer was 80-90% confluent</w:t>
      </w:r>
      <w:r w:rsidR="00787ED1" w:rsidRPr="00254CCD">
        <w:rPr>
          <w:rFonts w:ascii="Calibri" w:eastAsia="Times New Roman" w:hAnsi="Calibri" w:cs="Calibri"/>
          <w:i/>
          <w:iCs/>
          <w:color w:val="000000"/>
          <w:sz w:val="20"/>
          <w:szCs w:val="20"/>
          <w:lang w:val="en-GB"/>
        </w:rPr>
        <w:t>. Scale bar, 200 µm.</w:t>
      </w:r>
      <w:r w:rsidR="00787ED1">
        <w:rPr>
          <w:rFonts w:ascii="Calibri" w:eastAsia="Times New Roman" w:hAnsi="Calibri" w:cs="Calibri"/>
          <w:i/>
          <w:iCs/>
          <w:color w:val="000000"/>
          <w:sz w:val="20"/>
          <w:szCs w:val="20"/>
          <w:lang w:val="en-GB"/>
        </w:rPr>
        <w:t xml:space="preserve"> 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In </w:t>
      </w:r>
      <w:r w:rsidR="0006206D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a–</w:t>
      </w:r>
      <w:r w:rsidR="00E81050">
        <w:rPr>
          <w:rFonts w:eastAsia="Times New Roman" w:cs="Times New Roman"/>
          <w:i/>
          <w:sz w:val="20"/>
          <w:szCs w:val="20"/>
          <w:lang w:val="en-GB" w:eastAsia="el-GR"/>
        </w:rPr>
        <w:t>e</w:t>
      </w:r>
      <w:r w:rsidR="0006206D">
        <w:rPr>
          <w:rFonts w:eastAsia="Times New Roman" w:cs="Times New Roman"/>
          <w:i/>
          <w:sz w:val="20"/>
          <w:szCs w:val="20"/>
          <w:lang w:val="en-GB" w:eastAsia="el-GR"/>
        </w:rPr>
        <w:t>)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</w:t>
      </w:r>
      <w:bookmarkStart w:id="4" w:name="_Hlk73455750"/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>data represent the mean and</w:t>
      </w:r>
      <w:bookmarkEnd w:id="4"/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 standard error of </w:t>
      </w:r>
      <w:r w:rsidR="009B4778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the </w:t>
      </w:r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mean </w:t>
      </w:r>
      <w:r w:rsidR="009B4778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>off</w:t>
      </w:r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 3 donors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 </w:t>
      </w:r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with 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more than 275 cells per condition for the analysis of DNA damage,</w:t>
      </w:r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 more than 2,800 cells per condition for the analysis of 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>SA-</w:t>
      </w:r>
      <w:r w:rsidR="00236FE0" w:rsidRPr="004903BC">
        <w:rPr>
          <w:rFonts w:eastAsia="Times New Roman" w:cs="Times New Roman"/>
          <w:i/>
          <w:sz w:val="20"/>
          <w:szCs w:val="20"/>
          <w:lang w:val="en-US" w:eastAsia="el-GR"/>
        </w:rPr>
        <w:t>β</w:t>
      </w:r>
      <w:r w:rsidR="00236FE0" w:rsidRPr="004903BC">
        <w:rPr>
          <w:rFonts w:eastAsia="Times New Roman" w:cs="Times New Roman"/>
          <w:i/>
          <w:sz w:val="20"/>
          <w:szCs w:val="20"/>
          <w:lang w:val="en-GB" w:eastAsia="el-GR"/>
        </w:rPr>
        <w:t xml:space="preserve">-gal activity, more than 100,000 cells per condition for the relative telomere length measurement and </w:t>
      </w:r>
      <w:r w:rsidR="00236FE0" w:rsidRPr="00236FE0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more than 2,800 cells per condition for the cell area measurement. </w:t>
      </w:r>
      <w:r w:rsidR="00236FE0" w:rsidRPr="0006206D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**, p≤0.01; ***, p≤0.001; ****, </w:t>
      </w:r>
      <w:bookmarkStart w:id="5" w:name="OLE_LINK6"/>
      <w:r w:rsidR="00236FE0" w:rsidRPr="0006206D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>p≤0.0001</w:t>
      </w:r>
      <w:bookmarkEnd w:id="5"/>
      <w:r w:rsidR="00236FE0" w:rsidRPr="0006206D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>; ns, not significant.</w:t>
      </w:r>
    </w:p>
    <w:p w14:paraId="4B03DC37" w14:textId="77777777" w:rsidR="00403984" w:rsidRDefault="00403984" w:rsidP="00787ED1">
      <w:pPr>
        <w:pStyle w:val="Listenabsatz"/>
        <w:spacing w:after="0" w:line="240" w:lineRule="auto"/>
        <w:ind w:left="0"/>
        <w:jc w:val="both"/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</w:pPr>
    </w:p>
    <w:p w14:paraId="06C84E7F" w14:textId="7E2B8865" w:rsidR="00D55850" w:rsidRDefault="00136107" w:rsidP="00403984">
      <w:pPr>
        <w:rPr>
          <w:rFonts w:ascii="Calibri" w:eastAsia="Times New Roman" w:hAnsi="Calibri" w:cs="Calibri"/>
          <w:bCs/>
          <w:noProof/>
          <w:color w:val="000000"/>
          <w:sz w:val="20"/>
          <w:szCs w:val="20"/>
          <w:lang w:val="en-GB"/>
        </w:rPr>
      </w:pPr>
      <w:r>
        <w:rPr>
          <w:rFonts w:ascii="Calibri" w:eastAsia="Times New Roman" w:hAnsi="Calibri" w:cs="Calibri"/>
          <w:bCs/>
          <w:noProof/>
          <w:color w:val="000000"/>
          <w:sz w:val="20"/>
          <w:szCs w:val="20"/>
          <w:lang w:val="de-DE" w:eastAsia="de-DE"/>
        </w:rPr>
        <w:drawing>
          <wp:inline distT="0" distB="0" distL="0" distR="0" wp14:anchorId="13C4707B" wp14:editId="77B2A60C">
            <wp:extent cx="5790567" cy="3644265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91" cy="3648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A5589" w14:textId="101CA1F0" w:rsidR="00E020D0" w:rsidRDefault="00D55850" w:rsidP="00254CCD">
      <w:pPr>
        <w:spacing w:after="0" w:line="240" w:lineRule="auto"/>
        <w:jc w:val="both"/>
        <w:rPr>
          <w:rFonts w:eastAsia="Times New Roman" w:cs="Times New Roman"/>
          <w:b/>
          <w:bCs/>
          <w:sz w:val="20"/>
          <w:szCs w:val="20"/>
          <w:lang w:val="en-GB" w:eastAsia="el-GR"/>
        </w:rPr>
      </w:pPr>
      <w:r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>Figure S</w:t>
      </w:r>
      <w:r w:rsidR="00F24F87">
        <w:rPr>
          <w:rFonts w:eastAsia="Times New Roman" w:cs="Times New Roman"/>
          <w:b/>
          <w:bCs/>
          <w:sz w:val="20"/>
          <w:szCs w:val="20"/>
          <w:lang w:val="en-GB" w:eastAsia="el-GR"/>
        </w:rPr>
        <w:t>3</w:t>
      </w:r>
      <w:r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 xml:space="preserve">: </w:t>
      </w:r>
      <w:r w:rsidR="00544E45"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 xml:space="preserve">Morphological alterations of HUVECs during in vitro expansion.   </w:t>
      </w:r>
    </w:p>
    <w:p w14:paraId="525B0640" w14:textId="4A803087" w:rsidR="00D83873" w:rsidRDefault="00254CCD" w:rsidP="00254CCD">
      <w:pPr>
        <w:spacing w:line="240" w:lineRule="auto"/>
        <w:jc w:val="both"/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</w:pPr>
      <w:r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(</w:t>
      </w:r>
      <w:r w:rsidR="00E020D0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a</w:t>
      </w:r>
      <w:r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)</w:t>
      </w:r>
      <w:r w:rsidR="00E020D0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 xml:space="preserve"> </w:t>
      </w:r>
      <w:r w:rsidR="00E020D0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 xml:space="preserve">Representative light microscopy images of HUVECs after 3, 10 and 17 PDs </w:t>
      </w:r>
      <w:r w:rsidR="00E020D0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show progressive increase of the cell size during in vitro expansion</w:t>
      </w:r>
      <w:r w:rsidR="00E020D0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>.</w:t>
      </w:r>
      <w:r w:rsidR="00C838A7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 xml:space="preserve"> </w:t>
      </w:r>
      <w:r w:rsidR="00771A77">
        <w:rPr>
          <w:rFonts w:eastAsia="Times New Roman" w:cs="Times New Roman"/>
          <w:i/>
          <w:iCs/>
          <w:sz w:val="20"/>
          <w:szCs w:val="20"/>
          <w:lang w:val="en-GB" w:eastAsia="el-GR"/>
        </w:rPr>
        <w:t>Red</w:t>
      </w:r>
      <w:r w:rsidR="00771A77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 xml:space="preserve"> </w:t>
      </w:r>
      <w:r w:rsidR="00C838A7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>asterisks show sites of monolayers disruption.</w:t>
      </w:r>
      <w:r w:rsidR="00E020D0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Scale bar, 200 µm</w:t>
      </w:r>
      <w:r w:rsidR="00D83873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 xml:space="preserve">. </w:t>
      </w:r>
      <w:r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(</w:t>
      </w:r>
      <w:r w:rsidR="00D83873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b</w:t>
      </w:r>
      <w:r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>)</w:t>
      </w:r>
      <w:r w:rsidR="00D83873" w:rsidRPr="00254CCD"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  <w:t xml:space="preserve"> Cell density measured at the end of each passage when the monolayer was 80-90% confluent</w:t>
      </w:r>
      <w:r w:rsidR="00D83873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.</w:t>
      </w:r>
      <w:r w:rsidR="00136107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</w:t>
      </w:r>
      <w:r w:rsidR="00136107">
        <w:rPr>
          <w:rFonts w:eastAsia="Times New Roman" w:cs="Times New Roman"/>
          <w:i/>
          <w:sz w:val="20"/>
          <w:szCs w:val="20"/>
          <w:lang w:val="en-GB" w:eastAsia="el-GR"/>
        </w:rPr>
        <w:t>(</w:t>
      </w:r>
      <w:r w:rsidR="00136107">
        <w:rPr>
          <w:rFonts w:ascii="Calibri" w:eastAsia="Times New Roman" w:hAnsi="Calibri" w:cs="Calibri"/>
          <w:i/>
          <w:sz w:val="20"/>
          <w:szCs w:val="20"/>
          <w:lang w:val="en-GB" w:eastAsia="el-GR"/>
        </w:rPr>
        <w:t>c)</w:t>
      </w:r>
      <w:r w:rsidR="00136107" w:rsidRPr="004903BC">
        <w:rPr>
          <w:rFonts w:ascii="Calibri" w:eastAsia="Times New Roman" w:hAnsi="Calibri" w:cs="Calibri"/>
          <w:i/>
          <w:sz w:val="20"/>
          <w:szCs w:val="20"/>
          <w:lang w:val="en-GB" w:eastAsia="el-GR"/>
        </w:rPr>
        <w:t xml:space="preserve"> Progressive increase of the cell size during </w:t>
      </w:r>
      <w:r w:rsidR="00136107" w:rsidRPr="00835CB4">
        <w:rPr>
          <w:rFonts w:ascii="Calibri" w:eastAsia="Times New Roman" w:hAnsi="Calibri" w:cs="Calibri"/>
          <w:i/>
          <w:sz w:val="20"/>
          <w:szCs w:val="20"/>
          <w:lang w:val="en-GB" w:eastAsia="el-GR"/>
        </w:rPr>
        <w:t>in vitro</w:t>
      </w:r>
      <w:r w:rsidR="00136107" w:rsidRPr="004903BC">
        <w:rPr>
          <w:rFonts w:ascii="Calibri" w:eastAsia="Times New Roman" w:hAnsi="Calibri" w:cs="Calibri"/>
          <w:i/>
          <w:sz w:val="20"/>
          <w:szCs w:val="20"/>
          <w:lang w:val="en-GB" w:eastAsia="el-GR"/>
        </w:rPr>
        <w:t xml:space="preserve"> expansion</w:t>
      </w:r>
      <w:r w:rsidR="00136107" w:rsidRPr="004903BC">
        <w:rPr>
          <w:rFonts w:eastAsia="Times New Roman" w:cs="Times New Roman"/>
          <w:i/>
          <w:sz w:val="20"/>
          <w:szCs w:val="20"/>
          <w:lang w:val="en-GB" w:eastAsia="el-GR"/>
        </w:rPr>
        <w:t>.</w:t>
      </w:r>
      <w:r w:rsidR="00D83873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 xml:space="preserve"> </w:t>
      </w:r>
      <w:r w:rsidR="00CB176B" w:rsidRPr="00254CCD">
        <w:rPr>
          <w:rFonts w:eastAsia="Times New Roman" w:cs="Times New Roman"/>
          <w:i/>
          <w:iCs/>
          <w:sz w:val="20"/>
          <w:szCs w:val="20"/>
          <w:lang w:val="en-GB" w:eastAsia="el-GR"/>
        </w:rPr>
        <w:t>D</w:t>
      </w:r>
      <w:r w:rsidR="00D83873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ata represent the mean and error bars of 3 donors.</w:t>
      </w:r>
      <w:r w:rsidR="00CB176B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</w:t>
      </w:r>
      <w:r w:rsidR="00CB176B" w:rsidRPr="00254CCD">
        <w:rPr>
          <w:rFonts w:eastAsia="Times New Roman" w:cs="Times New Roman"/>
          <w:i/>
          <w:iCs/>
          <w:color w:val="000000"/>
          <w:sz w:val="20"/>
          <w:szCs w:val="20"/>
          <w:lang w:val="en-GB" w:eastAsia="el-GR"/>
        </w:rPr>
        <w:t xml:space="preserve">*, p&lt;0.05; </w:t>
      </w:r>
      <w:r w:rsidR="00D36788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>**, p≤0.01;</w:t>
      </w:r>
      <w:r w:rsidR="00136107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 xml:space="preserve"> </w:t>
      </w:r>
      <w:r w:rsidR="00136107" w:rsidRPr="0006206D">
        <w:rPr>
          <w:rFonts w:ascii="Calibri" w:eastAsia="Times New Roman" w:hAnsi="Calibri" w:cs="Calibri"/>
          <w:bCs/>
          <w:i/>
          <w:color w:val="000000"/>
          <w:sz w:val="20"/>
          <w:szCs w:val="20"/>
          <w:lang w:val="en-GB"/>
        </w:rPr>
        <w:t>***, p≤0.001;</w:t>
      </w:r>
      <w:r w:rsidR="00D36788" w:rsidRPr="00254CCD"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t xml:space="preserve"> </w:t>
      </w:r>
      <w:r w:rsidR="00CB176B" w:rsidRPr="00254CCD">
        <w:rPr>
          <w:rFonts w:eastAsia="Times New Roman" w:cs="Times New Roman"/>
          <w:i/>
          <w:iCs/>
          <w:color w:val="000000"/>
          <w:sz w:val="20"/>
          <w:szCs w:val="20"/>
          <w:lang w:val="en-GB" w:eastAsia="el-GR"/>
        </w:rPr>
        <w:t>ns, not significant.</w:t>
      </w:r>
    </w:p>
    <w:p w14:paraId="37250F2D" w14:textId="244A3F3D" w:rsidR="00EB2BE9" w:rsidRDefault="00EB2BE9">
      <w:pPr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</w:pPr>
      <w:r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  <w:br w:type="page"/>
      </w:r>
    </w:p>
    <w:p w14:paraId="4F68C906" w14:textId="77777777" w:rsidR="00137247" w:rsidRDefault="00137247" w:rsidP="00254CCD">
      <w:pPr>
        <w:spacing w:line="240" w:lineRule="auto"/>
        <w:jc w:val="both"/>
        <w:rPr>
          <w:rFonts w:ascii="Calibri" w:eastAsia="Times New Roman" w:hAnsi="Calibri" w:cs="Calibri"/>
          <w:bCs/>
          <w:i/>
          <w:iCs/>
          <w:color w:val="000000"/>
          <w:sz w:val="20"/>
          <w:szCs w:val="20"/>
          <w:lang w:val="en-GB"/>
        </w:rPr>
      </w:pPr>
    </w:p>
    <w:p w14:paraId="0A16A55F" w14:textId="77777777" w:rsidR="00137247" w:rsidRDefault="00137247" w:rsidP="00137247">
      <w:pPr>
        <w:rPr>
          <w:b/>
          <w:bCs/>
          <w:sz w:val="44"/>
          <w:szCs w:val="44"/>
          <w:lang w:val="en-GB"/>
        </w:rPr>
      </w:pPr>
      <w:r>
        <w:rPr>
          <w:b/>
          <w:bCs/>
          <w:noProof/>
          <w:sz w:val="44"/>
          <w:szCs w:val="44"/>
          <w:lang w:val="de-DE" w:eastAsia="de-DE"/>
        </w:rPr>
        <w:drawing>
          <wp:inline distT="0" distB="0" distL="0" distR="0" wp14:anchorId="1F0D4F1B" wp14:editId="5CA07521">
            <wp:extent cx="2719070" cy="2585085"/>
            <wp:effectExtent l="0" t="0" r="508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2EB8E" w14:textId="07599638" w:rsidR="00137247" w:rsidRPr="00CB370B" w:rsidRDefault="00137247" w:rsidP="00137247">
      <w:pPr>
        <w:spacing w:after="0" w:line="360" w:lineRule="auto"/>
        <w:jc w:val="both"/>
        <w:rPr>
          <w:rFonts w:eastAsia="Times New Roman" w:cs="Times New Roman"/>
          <w:b/>
          <w:sz w:val="20"/>
          <w:szCs w:val="20"/>
          <w:lang w:val="en-GB" w:eastAsia="el-GR"/>
        </w:rPr>
      </w:pPr>
      <w:r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>Figure S</w:t>
      </w:r>
      <w:r w:rsidR="00F24F87">
        <w:rPr>
          <w:rFonts w:eastAsia="Times New Roman" w:cs="Times New Roman"/>
          <w:b/>
          <w:bCs/>
          <w:sz w:val="20"/>
          <w:szCs w:val="20"/>
          <w:lang w:val="en-GB" w:eastAsia="el-GR"/>
        </w:rPr>
        <w:t>4</w:t>
      </w:r>
      <w:r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 xml:space="preserve">: </w:t>
      </w:r>
      <w:r>
        <w:rPr>
          <w:rFonts w:ascii="Calibri" w:hAnsi="Calibri" w:cs="Calibri"/>
          <w:b/>
          <w:sz w:val="20"/>
          <w:szCs w:val="20"/>
          <w:lang w:val="en-GB"/>
        </w:rPr>
        <w:t>S</w:t>
      </w:r>
      <w:r w:rsidRPr="00CB370B">
        <w:rPr>
          <w:rFonts w:ascii="Calibri" w:hAnsi="Calibri" w:cs="Calibri"/>
          <w:b/>
          <w:sz w:val="20"/>
          <w:szCs w:val="20"/>
          <w:lang w:val="en-GB"/>
        </w:rPr>
        <w:t>urface with gratings</w:t>
      </w:r>
      <w:r>
        <w:rPr>
          <w:rFonts w:ascii="Calibri" w:hAnsi="Calibri" w:cs="Calibri"/>
          <w:b/>
          <w:sz w:val="20"/>
          <w:szCs w:val="20"/>
          <w:lang w:val="en-GB"/>
        </w:rPr>
        <w:t xml:space="preserve"> </w:t>
      </w:r>
      <w:r w:rsidRPr="00CB370B">
        <w:rPr>
          <w:rFonts w:ascii="Calibri" w:hAnsi="Calibri" w:cs="Calibri"/>
          <w:b/>
          <w:sz w:val="20"/>
          <w:szCs w:val="20"/>
          <w:lang w:val="en-GB"/>
        </w:rPr>
        <w:t>of 1 µm depth and height</w:t>
      </w:r>
      <w:r w:rsidR="0041343C">
        <w:rPr>
          <w:rFonts w:ascii="Calibri" w:hAnsi="Calibri" w:cs="Calibri"/>
          <w:b/>
          <w:sz w:val="20"/>
          <w:szCs w:val="20"/>
          <w:lang w:val="en-GB"/>
        </w:rPr>
        <w:t>.</w:t>
      </w:r>
    </w:p>
    <w:p w14:paraId="33A36959" w14:textId="6FED80BA" w:rsidR="00137247" w:rsidRPr="00771A77" w:rsidRDefault="00137247" w:rsidP="00137247">
      <w:pPr>
        <w:rPr>
          <w:i/>
          <w:iCs/>
          <w:sz w:val="20"/>
          <w:szCs w:val="20"/>
          <w:lang w:val="en-US"/>
        </w:rPr>
      </w:pPr>
      <w:r w:rsidRPr="00771A77">
        <w:rPr>
          <w:i/>
          <w:iCs/>
          <w:sz w:val="20"/>
          <w:szCs w:val="20"/>
          <w:lang w:val="en-US"/>
        </w:rPr>
        <w:t xml:space="preserve">For the </w:t>
      </w:r>
      <w:r w:rsidR="00514746">
        <w:rPr>
          <w:i/>
          <w:iCs/>
          <w:sz w:val="20"/>
          <w:szCs w:val="20"/>
          <w:lang w:val="en-US"/>
        </w:rPr>
        <w:t>scanning electron microscope</w:t>
      </w:r>
      <w:r w:rsidRPr="00771A77">
        <w:rPr>
          <w:i/>
          <w:iCs/>
          <w:sz w:val="20"/>
          <w:szCs w:val="20"/>
          <w:lang w:val="en-US"/>
        </w:rPr>
        <w:t xml:space="preserve"> images</w:t>
      </w:r>
      <w:r w:rsidR="0041343C" w:rsidRPr="00771A77">
        <w:rPr>
          <w:i/>
          <w:iCs/>
          <w:sz w:val="20"/>
          <w:szCs w:val="20"/>
          <w:lang w:val="en-US"/>
        </w:rPr>
        <w:t>,</w:t>
      </w:r>
      <w:r w:rsidRPr="00771A77">
        <w:rPr>
          <w:i/>
          <w:iCs/>
          <w:sz w:val="20"/>
          <w:szCs w:val="20"/>
          <w:lang w:val="en-US"/>
        </w:rPr>
        <w:t xml:space="preserve"> the specimens were sputter-coated with gold/palladium using a BAL-TEC SCD-050 sputter coater and imaged with a Zeiss ULTRA 55 SE. Scale bar</w:t>
      </w:r>
      <w:r w:rsidR="0041343C" w:rsidRPr="00771A77">
        <w:rPr>
          <w:i/>
          <w:iCs/>
          <w:sz w:val="20"/>
          <w:szCs w:val="20"/>
          <w:lang w:val="en-US"/>
        </w:rPr>
        <w:t>,</w:t>
      </w:r>
      <w:r w:rsidRPr="00771A77">
        <w:rPr>
          <w:i/>
          <w:iCs/>
          <w:sz w:val="20"/>
          <w:szCs w:val="20"/>
          <w:lang w:val="en-US"/>
        </w:rPr>
        <w:t xml:space="preserve"> 5 µm. Measurements of gratings showed mean grating size of 0.96 ±0.6 µm</w:t>
      </w:r>
    </w:p>
    <w:p w14:paraId="748FEC71" w14:textId="77777777" w:rsidR="00137247" w:rsidRPr="00254CCD" w:rsidRDefault="00137247" w:rsidP="00254CCD">
      <w:pPr>
        <w:spacing w:line="240" w:lineRule="auto"/>
        <w:jc w:val="both"/>
        <w:rPr>
          <w:rFonts w:ascii="Calibri" w:eastAsia="Times New Roman" w:hAnsi="Calibri" w:cs="Calibri"/>
          <w:i/>
          <w:iCs/>
          <w:sz w:val="20"/>
          <w:szCs w:val="20"/>
          <w:lang w:val="en-GB" w:eastAsia="el-GR"/>
        </w:rPr>
      </w:pPr>
    </w:p>
    <w:p w14:paraId="4232694F" w14:textId="1C237264" w:rsidR="002E54E1" w:rsidRPr="002E54E1" w:rsidRDefault="00544E45" w:rsidP="002E54E1">
      <w:pPr>
        <w:spacing w:after="0" w:line="360" w:lineRule="auto"/>
        <w:jc w:val="both"/>
        <w:rPr>
          <w:rFonts w:eastAsia="Times New Roman" w:cs="Times New Roman"/>
          <w:b/>
          <w:bCs/>
          <w:sz w:val="20"/>
          <w:szCs w:val="20"/>
          <w:lang w:val="en-GB" w:eastAsia="el-GR"/>
        </w:rPr>
      </w:pPr>
      <w:r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 xml:space="preserve">       </w:t>
      </w:r>
      <w:r w:rsidR="00D375DD" w:rsidRPr="00544E45">
        <w:rPr>
          <w:rFonts w:eastAsia="Times New Roman" w:cs="Times New Roman"/>
          <w:b/>
          <w:bCs/>
          <w:sz w:val="20"/>
          <w:szCs w:val="20"/>
          <w:lang w:val="en-GB" w:eastAsia="el-GR"/>
        </w:rPr>
        <w:t xml:space="preserve">   </w:t>
      </w:r>
    </w:p>
    <w:p w14:paraId="7B7F1707" w14:textId="01F4B80F" w:rsidR="00514746" w:rsidRPr="00514746" w:rsidRDefault="002E54E1" w:rsidP="00EB2BE9">
      <w:pPr>
        <w:spacing w:after="0" w:line="240" w:lineRule="auto"/>
        <w:ind w:left="720" w:hanging="720"/>
        <w:jc w:val="both"/>
        <w:rPr>
          <w:rFonts w:ascii="Calibri" w:hAnsi="Calibri" w:cs="Calibri"/>
          <w:b/>
          <w:bCs/>
          <w:noProof/>
          <w:szCs w:val="20"/>
          <w:lang w:val="en-GB"/>
        </w:rPr>
      </w:pPr>
      <w:r w:rsidRPr="00771A77">
        <w:rPr>
          <w:rFonts w:ascii="Calibri" w:hAnsi="Calibri"/>
          <w:b/>
          <w:bCs/>
          <w:noProof/>
          <w:sz w:val="20"/>
          <w:szCs w:val="20"/>
          <w:lang w:val="en-GB"/>
        </w:rPr>
        <w:fldChar w:fldCharType="begin"/>
      </w:r>
      <w:r w:rsidRPr="00771A77">
        <w:rPr>
          <w:b/>
          <w:bCs/>
          <w:sz w:val="20"/>
          <w:szCs w:val="20"/>
          <w:lang w:val="en-GB"/>
        </w:rPr>
        <w:instrText xml:space="preserve"> ADDIN EN.REFLIST </w:instrText>
      </w:r>
      <w:r w:rsidRPr="00771A77">
        <w:rPr>
          <w:rFonts w:ascii="Calibri" w:hAnsi="Calibri"/>
          <w:b/>
          <w:bCs/>
          <w:noProof/>
          <w:sz w:val="20"/>
          <w:szCs w:val="20"/>
          <w:lang w:val="en-GB"/>
        </w:rPr>
        <w:fldChar w:fldCharType="separate"/>
      </w:r>
    </w:p>
    <w:p w14:paraId="0C29B32E" w14:textId="2C19F956" w:rsidR="00514746" w:rsidRDefault="00514746" w:rsidP="00514746">
      <w:pPr>
        <w:spacing w:line="240" w:lineRule="auto"/>
        <w:jc w:val="both"/>
        <w:rPr>
          <w:rFonts w:ascii="Calibri" w:hAnsi="Calibri"/>
          <w:noProof/>
          <w:sz w:val="20"/>
          <w:szCs w:val="20"/>
          <w:lang w:val="en-US"/>
        </w:rPr>
      </w:pPr>
    </w:p>
    <w:p w14:paraId="220CC565" w14:textId="4C76FF37" w:rsidR="00D375DD" w:rsidRPr="00CF5986" w:rsidRDefault="002E54E1" w:rsidP="00771A77">
      <w:pPr>
        <w:jc w:val="both"/>
        <w:rPr>
          <w:b/>
          <w:bCs/>
          <w:sz w:val="20"/>
          <w:szCs w:val="20"/>
          <w:lang w:val="en-GB"/>
        </w:rPr>
      </w:pPr>
      <w:r w:rsidRPr="00771A77">
        <w:rPr>
          <w:b/>
          <w:bCs/>
          <w:sz w:val="20"/>
          <w:szCs w:val="20"/>
          <w:lang w:val="en-GB"/>
        </w:rPr>
        <w:fldChar w:fldCharType="end"/>
      </w:r>
    </w:p>
    <w:sectPr w:rsidR="00D375DD" w:rsidRPr="00CF59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79F"/>
    <w:multiLevelType w:val="hybridMultilevel"/>
    <w:tmpl w:val="A55C6358"/>
    <w:lvl w:ilvl="0" w:tplc="A120C8D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3D06"/>
    <w:multiLevelType w:val="hybridMultilevel"/>
    <w:tmpl w:val="50A2C08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C0041"/>
    <w:multiLevelType w:val="hybridMultilevel"/>
    <w:tmpl w:val="97366AE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7345F"/>
    <w:multiLevelType w:val="hybridMultilevel"/>
    <w:tmpl w:val="0B983C3E"/>
    <w:lvl w:ilvl="0" w:tplc="85220AB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62205"/>
    <w:multiLevelType w:val="hybridMultilevel"/>
    <w:tmpl w:val="0398232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72BA5"/>
    <w:multiLevelType w:val="hybridMultilevel"/>
    <w:tmpl w:val="0372AA9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5550C"/>
    <w:multiLevelType w:val="hybridMultilevel"/>
    <w:tmpl w:val="4770E506"/>
    <w:lvl w:ilvl="0" w:tplc="AC54AAD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A35BA"/>
    <w:multiLevelType w:val="hybridMultilevel"/>
    <w:tmpl w:val="A9FCAC3C"/>
    <w:lvl w:ilvl="0" w:tplc="251C122A">
      <w:start w:val="1"/>
      <w:numFmt w:val="lowerLetter"/>
      <w:lvlText w:val="%1."/>
      <w:lvlJc w:val="left"/>
      <w:pPr>
        <w:ind w:left="720" w:hanging="360"/>
      </w:pPr>
    </w:lvl>
    <w:lvl w:ilvl="1" w:tplc="562E875C">
      <w:start w:val="1"/>
      <w:numFmt w:val="lowerLetter"/>
      <w:lvlText w:val="%2."/>
      <w:lvlJc w:val="left"/>
      <w:pPr>
        <w:ind w:left="1440" w:hanging="360"/>
      </w:pPr>
    </w:lvl>
    <w:lvl w:ilvl="2" w:tplc="673CF8D0">
      <w:start w:val="1"/>
      <w:numFmt w:val="lowerRoman"/>
      <w:lvlText w:val="%3."/>
      <w:lvlJc w:val="right"/>
      <w:pPr>
        <w:ind w:left="2160" w:hanging="180"/>
      </w:pPr>
    </w:lvl>
    <w:lvl w:ilvl="3" w:tplc="E92E32D0">
      <w:start w:val="1"/>
      <w:numFmt w:val="decimal"/>
      <w:lvlText w:val="%4."/>
      <w:lvlJc w:val="left"/>
      <w:pPr>
        <w:ind w:left="2880" w:hanging="360"/>
      </w:pPr>
    </w:lvl>
    <w:lvl w:ilvl="4" w:tplc="E556B92E">
      <w:start w:val="1"/>
      <w:numFmt w:val="lowerLetter"/>
      <w:lvlText w:val="%5."/>
      <w:lvlJc w:val="left"/>
      <w:pPr>
        <w:ind w:left="3600" w:hanging="360"/>
      </w:pPr>
    </w:lvl>
    <w:lvl w:ilvl="5" w:tplc="A7AAD308">
      <w:start w:val="1"/>
      <w:numFmt w:val="lowerRoman"/>
      <w:lvlText w:val="%6."/>
      <w:lvlJc w:val="right"/>
      <w:pPr>
        <w:ind w:left="4320" w:hanging="180"/>
      </w:pPr>
    </w:lvl>
    <w:lvl w:ilvl="6" w:tplc="8A2641EE">
      <w:start w:val="1"/>
      <w:numFmt w:val="decimal"/>
      <w:lvlText w:val="%7."/>
      <w:lvlJc w:val="left"/>
      <w:pPr>
        <w:ind w:left="5040" w:hanging="360"/>
      </w:pPr>
    </w:lvl>
    <w:lvl w:ilvl="7" w:tplc="9B9E6826">
      <w:start w:val="1"/>
      <w:numFmt w:val="lowerLetter"/>
      <w:lvlText w:val="%8."/>
      <w:lvlJc w:val="left"/>
      <w:pPr>
        <w:ind w:left="5760" w:hanging="360"/>
      </w:pPr>
    </w:lvl>
    <w:lvl w:ilvl="8" w:tplc="D66A206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8070E"/>
    <w:rsid w:val="0006206D"/>
    <w:rsid w:val="000C39CC"/>
    <w:rsid w:val="00125673"/>
    <w:rsid w:val="00126981"/>
    <w:rsid w:val="00136107"/>
    <w:rsid w:val="00137247"/>
    <w:rsid w:val="001407ED"/>
    <w:rsid w:val="00146160"/>
    <w:rsid w:val="001C72ED"/>
    <w:rsid w:val="00200932"/>
    <w:rsid w:val="00204716"/>
    <w:rsid w:val="00236FE0"/>
    <w:rsid w:val="00254CCD"/>
    <w:rsid w:val="002613EC"/>
    <w:rsid w:val="0028070E"/>
    <w:rsid w:val="002D3AD1"/>
    <w:rsid w:val="002E20C4"/>
    <w:rsid w:val="002E54E1"/>
    <w:rsid w:val="002E67BE"/>
    <w:rsid w:val="0030071C"/>
    <w:rsid w:val="00330F00"/>
    <w:rsid w:val="003432DD"/>
    <w:rsid w:val="0035723F"/>
    <w:rsid w:val="00360C7D"/>
    <w:rsid w:val="00403984"/>
    <w:rsid w:val="0041343C"/>
    <w:rsid w:val="00497A7A"/>
    <w:rsid w:val="004A23EF"/>
    <w:rsid w:val="004D68D8"/>
    <w:rsid w:val="004D7797"/>
    <w:rsid w:val="004F376E"/>
    <w:rsid w:val="004F5326"/>
    <w:rsid w:val="00514746"/>
    <w:rsid w:val="00544E45"/>
    <w:rsid w:val="005533C3"/>
    <w:rsid w:val="00587AB4"/>
    <w:rsid w:val="005915FC"/>
    <w:rsid w:val="005C0690"/>
    <w:rsid w:val="005C22C3"/>
    <w:rsid w:val="005D2628"/>
    <w:rsid w:val="005D5E52"/>
    <w:rsid w:val="00663C08"/>
    <w:rsid w:val="006D65F7"/>
    <w:rsid w:val="00723057"/>
    <w:rsid w:val="00771A77"/>
    <w:rsid w:val="00772AC0"/>
    <w:rsid w:val="00785CB7"/>
    <w:rsid w:val="00787ED1"/>
    <w:rsid w:val="007A26B8"/>
    <w:rsid w:val="007E2363"/>
    <w:rsid w:val="007E5E91"/>
    <w:rsid w:val="008000F1"/>
    <w:rsid w:val="00805693"/>
    <w:rsid w:val="00830CC7"/>
    <w:rsid w:val="0085234F"/>
    <w:rsid w:val="0086728C"/>
    <w:rsid w:val="00893B59"/>
    <w:rsid w:val="008D2BE2"/>
    <w:rsid w:val="008E170C"/>
    <w:rsid w:val="008F27F8"/>
    <w:rsid w:val="009042D8"/>
    <w:rsid w:val="00921BE9"/>
    <w:rsid w:val="00945CF5"/>
    <w:rsid w:val="00972B73"/>
    <w:rsid w:val="0098228D"/>
    <w:rsid w:val="009A5A0E"/>
    <w:rsid w:val="009B4778"/>
    <w:rsid w:val="009B6E9B"/>
    <w:rsid w:val="009C2E3A"/>
    <w:rsid w:val="009E679E"/>
    <w:rsid w:val="009E6D2C"/>
    <w:rsid w:val="009F201F"/>
    <w:rsid w:val="00A2255B"/>
    <w:rsid w:val="00AE1844"/>
    <w:rsid w:val="00AE7E7B"/>
    <w:rsid w:val="00AF242A"/>
    <w:rsid w:val="00AF4539"/>
    <w:rsid w:val="00B16BD4"/>
    <w:rsid w:val="00B21317"/>
    <w:rsid w:val="00B37B73"/>
    <w:rsid w:val="00B42E73"/>
    <w:rsid w:val="00B54A1C"/>
    <w:rsid w:val="00BB4D5C"/>
    <w:rsid w:val="00BC2FAC"/>
    <w:rsid w:val="00BC5D54"/>
    <w:rsid w:val="00BD2A25"/>
    <w:rsid w:val="00BF7D2C"/>
    <w:rsid w:val="00C36CDB"/>
    <w:rsid w:val="00C46BF1"/>
    <w:rsid w:val="00C77BC0"/>
    <w:rsid w:val="00C838A7"/>
    <w:rsid w:val="00C9103D"/>
    <w:rsid w:val="00CB176B"/>
    <w:rsid w:val="00CB370B"/>
    <w:rsid w:val="00CF10D7"/>
    <w:rsid w:val="00CF5986"/>
    <w:rsid w:val="00D1053B"/>
    <w:rsid w:val="00D24920"/>
    <w:rsid w:val="00D25C02"/>
    <w:rsid w:val="00D36788"/>
    <w:rsid w:val="00D375DD"/>
    <w:rsid w:val="00D37DCD"/>
    <w:rsid w:val="00D41FB5"/>
    <w:rsid w:val="00D55850"/>
    <w:rsid w:val="00D809C5"/>
    <w:rsid w:val="00D83873"/>
    <w:rsid w:val="00D87D8A"/>
    <w:rsid w:val="00D917FB"/>
    <w:rsid w:val="00DA5C91"/>
    <w:rsid w:val="00DC0AA6"/>
    <w:rsid w:val="00DC18FA"/>
    <w:rsid w:val="00DC6454"/>
    <w:rsid w:val="00DC7393"/>
    <w:rsid w:val="00DD787B"/>
    <w:rsid w:val="00DF2057"/>
    <w:rsid w:val="00E020D0"/>
    <w:rsid w:val="00E274AD"/>
    <w:rsid w:val="00E376CA"/>
    <w:rsid w:val="00E57674"/>
    <w:rsid w:val="00E81050"/>
    <w:rsid w:val="00E91827"/>
    <w:rsid w:val="00EB2BE9"/>
    <w:rsid w:val="00EF3E5A"/>
    <w:rsid w:val="00EF7889"/>
    <w:rsid w:val="00F24F87"/>
    <w:rsid w:val="00F5477F"/>
    <w:rsid w:val="00F63C2D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7ABC7"/>
  <w15:chartTrackingRefBased/>
  <w15:docId w15:val="{89F4DF02-A564-4265-9325-1C4588E17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28070E"/>
    <w:pPr>
      <w:ind w:left="720"/>
      <w:contextualSpacing/>
    </w:pPr>
    <w:rPr>
      <w:lang w:val="en-I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070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8070E"/>
    <w:pPr>
      <w:spacing w:line="240" w:lineRule="auto"/>
    </w:pPr>
    <w:rPr>
      <w:sz w:val="20"/>
      <w:szCs w:val="20"/>
      <w:lang w:val="en-I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8070E"/>
    <w:rPr>
      <w:sz w:val="20"/>
      <w:szCs w:val="20"/>
      <w:lang w:val="en-I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3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33C3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39CC"/>
    <w:rPr>
      <w:b/>
      <w:bCs/>
      <w:lang w:val="el-G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39CC"/>
    <w:rPr>
      <w:b/>
      <w:bCs/>
      <w:sz w:val="20"/>
      <w:szCs w:val="20"/>
      <w:lang w:val="en-IE"/>
    </w:rPr>
  </w:style>
  <w:style w:type="paragraph" w:styleId="berarbeitung">
    <w:name w:val="Revision"/>
    <w:hidden/>
    <w:uiPriority w:val="99"/>
    <w:semiHidden/>
    <w:rsid w:val="00125673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2E54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character" w:customStyle="1" w:styleId="html-italic">
    <w:name w:val="html-italic"/>
    <w:basedOn w:val="Absatz-Standardschriftart"/>
    <w:rsid w:val="002E54E1"/>
  </w:style>
  <w:style w:type="paragraph" w:customStyle="1" w:styleId="EndNoteBibliographyTitle">
    <w:name w:val="EndNote Bibliography Title"/>
    <w:basedOn w:val="Standard"/>
    <w:link w:val="EndNoteBibliographyTitleZchn"/>
    <w:rsid w:val="002E54E1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2E54E1"/>
    <w:rPr>
      <w:lang w:val="en-IE"/>
    </w:rPr>
  </w:style>
  <w:style w:type="character" w:customStyle="1" w:styleId="EndNoteBibliographyTitleZchn">
    <w:name w:val="EndNote Bibliography Title Zchn"/>
    <w:basedOn w:val="ListenabsatzZchn"/>
    <w:link w:val="EndNoteBibliographyTitle"/>
    <w:rsid w:val="002E54E1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2E54E1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Zchn">
    <w:name w:val="EndNote Bibliography Zchn"/>
    <w:basedOn w:val="ListenabsatzZchn"/>
    <w:link w:val="EndNoteBibliography"/>
    <w:rsid w:val="002E54E1"/>
    <w:rPr>
      <w:rFonts w:ascii="Calibri" w:hAnsi="Calibri"/>
      <w:noProof/>
      <w:lang w:val="en-US"/>
    </w:rPr>
  </w:style>
  <w:style w:type="character" w:styleId="Hyperlink">
    <w:name w:val="Hyperlink"/>
    <w:basedOn w:val="Absatz-Standardschriftart"/>
    <w:uiPriority w:val="99"/>
    <w:unhideWhenUsed/>
    <w:rsid w:val="002E54E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E5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809C9-CDA7-4A4F-B9D8-5B4A63500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946</Words>
  <Characters>5964</Characters>
  <Application>Microsoft Office Word</Application>
  <DocSecurity>4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 Exarchos</dc:creator>
  <cp:keywords/>
  <dc:description/>
  <cp:lastModifiedBy>Nazari-Shafti, Mir-Timo</cp:lastModifiedBy>
  <cp:revision>2</cp:revision>
  <cp:lastPrinted>2022-02-17T15:18:00Z</cp:lastPrinted>
  <dcterms:created xsi:type="dcterms:W3CDTF">2022-09-26T12:14:00Z</dcterms:created>
  <dcterms:modified xsi:type="dcterms:W3CDTF">2022-09-26T12:14:00Z</dcterms:modified>
</cp:coreProperties>
</file>