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BD2" w:rsidRDefault="00305BD2" w:rsidP="00305BD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S1. Patients Demography and Clinicopathologic Characteristics in TTS and TAC Groups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1"/>
        <w:gridCol w:w="1301"/>
        <w:gridCol w:w="1909"/>
        <w:gridCol w:w="1898"/>
        <w:gridCol w:w="1898"/>
        <w:gridCol w:w="309"/>
        <w:gridCol w:w="1898"/>
        <w:gridCol w:w="1898"/>
        <w:gridCol w:w="648"/>
      </w:tblGrid>
      <w:tr w:rsidR="00305BD2" w:rsidTr="00676B4B">
        <w:trPr>
          <w:trHeight w:val="289"/>
        </w:trPr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 xml:space="preserve">Characteristics </w:t>
            </w: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All patients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TTS, weeks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TAC, weeks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≤ 5 weeks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&gt; 5 weeks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≤ 6 weeks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&gt; 6 weeks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b/>
                <w:bCs/>
                <w:color w:val="000000"/>
                <w:sz w:val="20"/>
                <w:szCs w:val="20"/>
              </w:rPr>
              <w:t>p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Patients Number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209/350 (59.71)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141/350 (40.29)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jc w:val="center"/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232/350 (66.29)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118/350 (33.71)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Age, median [IQR], y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60.00 [53.00 to 64.00]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59.00 [53.00 to 64.00]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60.00 [53.00 to 66.00]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.24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58.00 [52.00 to 63.00]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61.00 [56.25 to 66.00]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.001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BMI, median [IQR], (kg/m2)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23.74 [21.63 to 26.00]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23.73 [21.71 to 25.95]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23.81 [21.45 to 26.15]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23.88 [21.79 to 26.28]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23.28 [21.11 to 25.50]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.06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Operative Time [IQR], min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202.50 [171.00 to 243.75]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201.00 [169.00 to 244.00]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204.00 [175.00 to 242.00]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205.50 [170.75 to 244.00]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200.00 [171.25 to 242.00]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.85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Blood Loss [IQR], ml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100.00 [80.00 to 179.25]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100.00 [80.00 to 150.00]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100.00 [85.00 to 200.00]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.69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100.00 [78.75 to 186.00]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100.00 [100.00 to 159.75]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.47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Stay-time [IQR], days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10.00 [9.00 to 13.00]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10.00 [9.00 to 13.00]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10.00 [9.00 to 14.00]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.49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10.00 [9.00 to 12.00]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12.00 [9.00 to 15.75]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&lt;0.001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Sex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273/350 (78.00)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158/209 (75.60)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115/141 (81.56)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.23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182/232 (78.45)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91/118 (77.12)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.88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77/350 (22.00)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51/209 (24.40)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26/141 (18.44)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50/232 (21.55)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27/118 (22.88)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ASA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23/350 (6.57)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16/209 (7.66)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7/141 (4.96)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.59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16/232 (6.90)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7/118 (5.93)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.89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286/350 (81.71)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168/209 (80.38)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118/141 (83.69)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188/232 (81.03)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98/118 (83.05)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41/350 (11.71)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25/209 (11.96)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16/141 (11.35)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28/232 (12.07)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13/118 (11.02)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ECOG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264/350 (75.43)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162/209 (77.51)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102/141 (72.34)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.33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179/232 (77.16)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85/118 (72.03)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.36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1~3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86/350 (24.57)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47/209 (22.49)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39/141 (27.66)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53/232 (22.84)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33/118 (27.97)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Gastrectomy  (%) </w:t>
            </w:r>
            <w:r>
              <w:rPr>
                <w:rFonts w:ascii="Arial" w:eastAsia="SimSun" w:hAnsi="Arial" w:cs="Arial"/>
                <w:color w:val="000000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143/350 (40.86)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85/209 (40.67)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58/141 (41.13)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.70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90/232 (38.79)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53/118 (44.92)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.23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Distal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183/350 (52.29)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109/209 (52.15)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74/141 (52.48)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129/232 (55.60)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54/118 (45.76)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Proximal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19/350 (5.43)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13/209 (6.22)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6/141 (4.26)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11/232 (4.74)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8/118 (6.78)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A-T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5/350 (1.43)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2/209 (0.96)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3/141 (2.13)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2/232 (0.86)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3/118 (2.54)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Surgery Approach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Laparoscopic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163/350 (46.57)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96/209 (45.93)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67/141 (47.52)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.86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104/232 (44.83)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59/118 (50.00)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.42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Open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187/350 (53.43)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113/209 (54.07)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74/141 (52.48)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128/232 (55.17)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59/118 (50.00)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Complications, CD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244/350 (69.71)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146/209 (69.86)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98/141 (69.50)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.77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173/232 (74.57)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71/118 (60.17)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.01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1-2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66/350 (18.86)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41/209 (19.62)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25/141 (17.73)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39/232 (16.81)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27/118 (22.88)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3-4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40/350 (11.43)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22/209 (10.53)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18/141 (12.77)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20/232 (8.62)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20/118 (16.95)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Location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Upper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105/350 (30.00)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64/209 (30.62)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41/141 (29.08)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.58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62/232 (26.72)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43/118 (36.44)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.29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Middle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54/350 (15.43)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31/209 (14.83)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23/141 (16.31)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36/232 (15.52)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18/118 (15.25)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Lower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177/350 (50.57)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108/209 (51.67)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69/141 (48.94)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124/232 (53.45)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53/118 (44.92)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Diffuse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14/350 (4.00)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6/209 (2.87)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8/141 (5.67)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10/232 (4.31)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4/118 (3.39)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Diameter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≤2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159/350 (45.43)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96/209 (45.93)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63/141 (44.68)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103/232 (44.40)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56/118 (47.46)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.34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2-5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142/350 (40.57)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85/209 (40.67)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57/141 (40.43)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92/232 (39.66)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50/118 (42.37)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&gt;5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49/350 (14.00)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28/209 (13.40)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21/141 (14.89)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37/232 (15.95)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12/118 (10.17)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Differentiation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Well-Moderate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183/350 (52.29)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111/209 (53.11)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72/141 (51.06)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.79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121/232 (52.16)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62/118 (52.54)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.99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Poor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167/350 (47.71)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98/209 (46.89)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69/141 (48.94)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111/232 (47.84)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56/118 (47.46)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Signet-ring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292/350 (83.43)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182/209 (87.08)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110/141 (78.01)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195/232 (84.05)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97/118 (82.20)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.77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58/350 (16.57)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27/209 (12.92)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31/141 (21.99)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37/232 (15.95)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21/118 (17.80)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Vascular Invasion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236/350 (67.43)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150/209 (71.77)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86/141 (60.99)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159/232 (68.53)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77/118 (65.25)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.62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114/350 (32.57)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59/209 (28.23)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55/141 (39.01)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73/232 (31.47)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41/118 (34.75)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ypT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27/350 (7.71)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15/209 (7.18)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12/141 (8.51)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18/232 (7.76)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9/118 (7.63)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.98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T1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42/350 (12.00)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24/209 (11.48)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18/141 (12.77)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29/232 (12.50)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13/118 (11.02)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64/350 (18.29)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40/209 (19.14)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24/141 (17.02)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42/232 (18.10)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22/118 (18.64)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89/350 (25.43)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56/209 (26.79)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33/141 (23.40)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57/232 (24.57)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32/118 (27.12)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T4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128/350 (36.57)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74/209 (35.41)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54/141 (38.30)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86/232 (37.07)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42/118 (35.59)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ypN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161/350 (46.00)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98/209 (46.89)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63/141 (44.68)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.25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105/232 (45.26)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56/118 (47.46)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.43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N1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70/350 (20.00)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45/209 (21.53)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25/141 (17.73)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52/232 (22.41)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18/118 (15.25)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59/350 (16.86)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37/209 (17.70)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22/141 (15.60)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38/232 (16.38)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21/118 (17.80)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60/350 (17.14)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29/209 (13.88)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31/141 (21.99)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37/232 (15.95)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23/118 (19.49)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pCR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326/350 (93.14)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197/209 (94.26)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129/141 (91.49)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217/232 (93.53)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109/118 (92.37)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.86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24/350 (6.86)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12/209 (5.74)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12/141 (8.51)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15/232 (6.47)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9/118 (7.63)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NACT Cycle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≤2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181/350 (51.71)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107/209 (51.20)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74/141 (52.48)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.90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119/232 (51.29)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62/118 (52.54)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.91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&gt;2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169/350 (48.29)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102/209 (48.80)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67/141 (47.52)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113/232 (48.71)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56/118 (47.46)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NACT Regime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SOX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238/350 (68.00)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146/209 (69.86)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92/141 (65.25)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.43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159/232 (68.53)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79/118 (66.95)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.86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XELOX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112/350 (32.00)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63/209 (30.14)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49/141 (34.75)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73/232 (31.47)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39/118 (33.05)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lastRenderedPageBreak/>
              <w:t>AC Cycle (%)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≤4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196/350 (56.00)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119/209 (56.94)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77/141 (54.61)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.75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121/232 (52.16)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75/118 (63.56)</w:t>
            </w:r>
          </w:p>
        </w:tc>
        <w:tc>
          <w:tcPr>
            <w:tcW w:w="0" w:type="auto"/>
            <w:vMerge w:val="restart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.06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&gt;4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154/350 (44.00)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90/209 (43.06)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64/141 (45.39)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111/232 (47.84)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43/118 (36.44)</w:t>
            </w:r>
          </w:p>
        </w:tc>
        <w:tc>
          <w:tcPr>
            <w:tcW w:w="0" w:type="auto"/>
            <w:vMerge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  <w:tr w:rsidR="00305BD2" w:rsidTr="00676B4B">
        <w:trPr>
          <w:trHeight w:val="289"/>
        </w:trPr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 xml:space="preserve">AC Regime (%) 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SOX or other</w:t>
            </w:r>
            <w:r w:rsidRPr="008904A8">
              <w:rPr>
                <w:rFonts w:ascii="Arial" w:eastAsia="SimSun" w:hAnsi="Arial" w:cs="Arial"/>
                <w:color w:val="000000"/>
                <w:sz w:val="20"/>
                <w:szCs w:val="20"/>
                <w:vertAlign w:val="superscript"/>
              </w:rPr>
              <w:t xml:space="preserve"> c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247/350 (70.57)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149/209 (71.29)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98/141 (69.50)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.81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164/232 (70.69)</w:t>
            </w:r>
          </w:p>
        </w:tc>
        <w:tc>
          <w:tcPr>
            <w:tcW w:w="0" w:type="auto"/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83/118 (70.34)</w:t>
            </w:r>
          </w:p>
        </w:tc>
        <w:tc>
          <w:tcPr>
            <w:tcW w:w="0" w:type="auto"/>
            <w:vMerge w:val="restart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.99</w:t>
            </w:r>
          </w:p>
        </w:tc>
      </w:tr>
      <w:tr w:rsidR="00305BD2" w:rsidTr="00676B4B">
        <w:trPr>
          <w:trHeight w:val="289"/>
        </w:trPr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XELOX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103/350 (29.43)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60/209 (28.71)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43/141 (30.50)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68/232 (29.31)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SimSun" w:hAnsi="Arial" w:cs="Arial"/>
                <w:color w:val="000000"/>
                <w:sz w:val="20"/>
                <w:szCs w:val="20"/>
              </w:rPr>
              <w:t>35/118 (29.66)</w:t>
            </w:r>
          </w:p>
        </w:tc>
        <w:tc>
          <w:tcPr>
            <w:tcW w:w="0" w:type="auto"/>
            <w:vMerge/>
            <w:tcBorders>
              <w:bottom w:val="single" w:sz="4" w:space="0" w:color="000000"/>
            </w:tcBorders>
            <w:vAlign w:val="center"/>
          </w:tcPr>
          <w:p w:rsidR="00305BD2" w:rsidRDefault="00305BD2" w:rsidP="00676B4B">
            <w:pPr>
              <w:rPr>
                <w:rFonts w:ascii="Arial" w:eastAsia="SimSun" w:hAnsi="Arial" w:cs="Arial"/>
                <w:color w:val="000000"/>
                <w:sz w:val="20"/>
                <w:szCs w:val="20"/>
              </w:rPr>
            </w:pPr>
          </w:p>
        </w:tc>
      </w:tr>
    </w:tbl>
    <w:p w:rsidR="00305BD2" w:rsidRDefault="00305BD2" w:rsidP="00305BD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vertAlign w:val="superscript"/>
        </w:rPr>
        <w:t>a</w:t>
      </w:r>
      <w:r>
        <w:rPr>
          <w:rFonts w:ascii="Arial" w:hAnsi="Arial" w:cs="Arial"/>
          <w:sz w:val="16"/>
          <w:szCs w:val="16"/>
        </w:rPr>
        <w:t xml:space="preserve"> Values in parentheses and brackets are percentages and  interquartile range respectively.  </w:t>
      </w:r>
      <w:r>
        <w:rPr>
          <w:rFonts w:ascii="Arial" w:hAnsi="Arial" w:cs="Arial"/>
          <w:sz w:val="16"/>
          <w:szCs w:val="16"/>
          <w:vertAlign w:val="superscript"/>
        </w:rPr>
        <w:t>b</w:t>
      </w:r>
      <w:r>
        <w:rPr>
          <w:rFonts w:ascii="Arial" w:hAnsi="Arial" w:cs="Arial"/>
          <w:sz w:val="16"/>
          <w:szCs w:val="16"/>
        </w:rPr>
        <w:t xml:space="preserve"> Calculated by Fisher exact test. </w:t>
      </w:r>
      <w:r w:rsidRPr="00C50F3E">
        <w:rPr>
          <w:rFonts w:ascii="Arial" w:hAnsi="Arial" w:cs="Arial"/>
          <w:sz w:val="16"/>
          <w:szCs w:val="16"/>
          <w:vertAlign w:val="superscript"/>
        </w:rPr>
        <w:t>C</w:t>
      </w:r>
      <w:r>
        <w:rPr>
          <w:rFonts w:ascii="Arial" w:hAnsi="Arial" w:cs="Arial"/>
          <w:sz w:val="16"/>
          <w:szCs w:val="16"/>
        </w:rPr>
        <w:t xml:space="preserve"> Other regimes included S-1 (n=13) and S-1 or capecitabine plus paclitaxel (n=12).</w:t>
      </w:r>
    </w:p>
    <w:p w:rsidR="00DF354D" w:rsidRPr="00305BD2" w:rsidRDefault="00305BD2" w:rsidP="0068567B">
      <w:r>
        <w:rPr>
          <w:rFonts w:ascii="Arial" w:hAnsi="Arial" w:cs="Arial"/>
          <w:sz w:val="16"/>
          <w:szCs w:val="16"/>
        </w:rPr>
        <w:t xml:space="preserve">Abbreviation: TTS: Time to Surgery; TAC: Time to Adjuvant Chemotherapy; IQR: Interquartile Range; BMI: Body Mass Index; ASA: American Society of Anesthesiologists; ECOG: Eastern Cooperative Oncology Group; AT: Abdominal-Thoracic surgery; CD:Clavein-Dindo Classification; pCR: pathological Complete Response; NACT: Neoadjuvant Chemotherapy; SOX: S-1 plus Oxaliplatin Chemotherapy; XELOX: Capecitabine plus Oxaliplatin Chemotherapy; AC: Adjuvant Chemotherapy. </w:t>
      </w:r>
      <w:bookmarkStart w:id="0" w:name="_GoBack"/>
      <w:bookmarkEnd w:id="0"/>
    </w:p>
    <w:sectPr w:rsidR="00DF354D" w:rsidRPr="00305BD2" w:rsidSect="0068567B">
      <w:pgSz w:w="16840" w:h="11900" w:orient="landscape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altName w:val="Sylfaen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imes New Roman Regular">
    <w:altName w:val="Times New Roman"/>
    <w:panose1 w:val="020B0604020202020204"/>
    <w:charset w:val="00"/>
    <w:family w:val="roman"/>
    <w:pitch w:val="default"/>
    <w:sig w:usb0="E0000AFF" w:usb1="00007843" w:usb2="00000001" w:usb3="00000000" w:csb0="400001BF" w:csb1="DFF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158"/>
    <w:rsid w:val="AFAB8B94"/>
    <w:rsid w:val="000108E5"/>
    <w:rsid w:val="00031B8B"/>
    <w:rsid w:val="00035AFF"/>
    <w:rsid w:val="00040ECA"/>
    <w:rsid w:val="00067E48"/>
    <w:rsid w:val="00094DDA"/>
    <w:rsid w:val="0009710A"/>
    <w:rsid w:val="000E4637"/>
    <w:rsid w:val="00125994"/>
    <w:rsid w:val="00140153"/>
    <w:rsid w:val="00153A08"/>
    <w:rsid w:val="00157888"/>
    <w:rsid w:val="00176CAA"/>
    <w:rsid w:val="00194ECE"/>
    <w:rsid w:val="001A5FFB"/>
    <w:rsid w:val="001B6BFE"/>
    <w:rsid w:val="0020006F"/>
    <w:rsid w:val="00254381"/>
    <w:rsid w:val="00291303"/>
    <w:rsid w:val="002C3CB3"/>
    <w:rsid w:val="00305BD2"/>
    <w:rsid w:val="00373C51"/>
    <w:rsid w:val="00383B70"/>
    <w:rsid w:val="00383EB8"/>
    <w:rsid w:val="003A449C"/>
    <w:rsid w:val="003D7774"/>
    <w:rsid w:val="003E0E39"/>
    <w:rsid w:val="004755BE"/>
    <w:rsid w:val="0048767A"/>
    <w:rsid w:val="004B41CE"/>
    <w:rsid w:val="004C1A3B"/>
    <w:rsid w:val="004F127C"/>
    <w:rsid w:val="00505819"/>
    <w:rsid w:val="0053288E"/>
    <w:rsid w:val="0055371B"/>
    <w:rsid w:val="005734DE"/>
    <w:rsid w:val="00602E68"/>
    <w:rsid w:val="00645D7A"/>
    <w:rsid w:val="00647DB9"/>
    <w:rsid w:val="00676B4B"/>
    <w:rsid w:val="0068567B"/>
    <w:rsid w:val="006B4E5F"/>
    <w:rsid w:val="006B601E"/>
    <w:rsid w:val="00700462"/>
    <w:rsid w:val="00724C0A"/>
    <w:rsid w:val="0074136A"/>
    <w:rsid w:val="0075445F"/>
    <w:rsid w:val="0076157E"/>
    <w:rsid w:val="00762E43"/>
    <w:rsid w:val="00795588"/>
    <w:rsid w:val="007A74FD"/>
    <w:rsid w:val="007B375D"/>
    <w:rsid w:val="007C011D"/>
    <w:rsid w:val="00807D3E"/>
    <w:rsid w:val="00853278"/>
    <w:rsid w:val="008904A8"/>
    <w:rsid w:val="008B5478"/>
    <w:rsid w:val="008D3881"/>
    <w:rsid w:val="00931DF1"/>
    <w:rsid w:val="009323AA"/>
    <w:rsid w:val="009521DC"/>
    <w:rsid w:val="00952FD8"/>
    <w:rsid w:val="00954960"/>
    <w:rsid w:val="009B5A20"/>
    <w:rsid w:val="009E0633"/>
    <w:rsid w:val="009F6F6E"/>
    <w:rsid w:val="00AA454F"/>
    <w:rsid w:val="00AD6909"/>
    <w:rsid w:val="00AF5EE8"/>
    <w:rsid w:val="00B23B8D"/>
    <w:rsid w:val="00B4066E"/>
    <w:rsid w:val="00B40BD4"/>
    <w:rsid w:val="00B4663A"/>
    <w:rsid w:val="00B51915"/>
    <w:rsid w:val="00B81CF7"/>
    <w:rsid w:val="00BF3E75"/>
    <w:rsid w:val="00BF6E00"/>
    <w:rsid w:val="00C42158"/>
    <w:rsid w:val="00C77E16"/>
    <w:rsid w:val="00CC3163"/>
    <w:rsid w:val="00CD6B5C"/>
    <w:rsid w:val="00D14BA7"/>
    <w:rsid w:val="00D2207A"/>
    <w:rsid w:val="00D43B04"/>
    <w:rsid w:val="00D75494"/>
    <w:rsid w:val="00D817FD"/>
    <w:rsid w:val="00D82013"/>
    <w:rsid w:val="00DB6BF8"/>
    <w:rsid w:val="00DE0BFD"/>
    <w:rsid w:val="00DF354D"/>
    <w:rsid w:val="00E17A52"/>
    <w:rsid w:val="00E6335D"/>
    <w:rsid w:val="00E81F3B"/>
    <w:rsid w:val="00EB6070"/>
    <w:rsid w:val="00EC0336"/>
    <w:rsid w:val="00EC2A64"/>
    <w:rsid w:val="00ED1F8B"/>
    <w:rsid w:val="00F8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0473D44"/>
  <w15:docId w15:val="{24128197-6671-1944-90EA-F0FBDDB9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B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next w:val="BodyA"/>
    <w:link w:val="Heading2Char"/>
    <w:qFormat/>
    <w:pPr>
      <w:keepNext/>
      <w:outlineLvl w:val="1"/>
    </w:pPr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lang w:val="zh-TW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link w:val="BodyAChar"/>
    <w:qFormat/>
    <w:pPr>
      <w:spacing w:before="24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zh-TW" w:eastAsia="zh-TW"/>
    </w:rPr>
  </w:style>
  <w:style w:type="character" w:customStyle="1" w:styleId="Heading2Char">
    <w:name w:val="Heading 2 Char"/>
    <w:basedOn w:val="DefaultParagraphFont"/>
    <w:link w:val="Heading2"/>
    <w:qFormat/>
    <w:rPr>
      <w:rFonts w:ascii="Helvetica Neue" w:eastAsia="Arial Unicode MS" w:hAnsi="Helvetica Neue" w:cs="Arial Unicode MS"/>
      <w:b/>
      <w:bCs/>
      <w:color w:val="000000"/>
      <w:sz w:val="32"/>
      <w:szCs w:val="32"/>
      <w:u w:color="000000"/>
      <w:lang w:val="zh-TW" w:eastAsia="zh-TW"/>
    </w:rPr>
  </w:style>
  <w:style w:type="character" w:customStyle="1" w:styleId="Heading1Char">
    <w:name w:val="Heading 1 Char"/>
    <w:basedOn w:val="DefaultParagraphFont"/>
    <w:link w:val="Heading1"/>
    <w:uiPriority w:val="9"/>
    <w:rsid w:val="00305BD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305B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305BD2"/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qFormat/>
    <w:rsid w:val="00305BD2"/>
    <w:rPr>
      <w:rFonts w:eastAsia="Arial Unicode MS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305BD2"/>
    <w:rPr>
      <w:rFonts w:ascii="Times New Roman" w:eastAsia="Arial Unicode MS" w:hAnsi="Times New Roman" w:cs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305BD2"/>
    <w:rPr>
      <w:rFonts w:ascii="Segoe UI" w:eastAsia="Arial Unicode MS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305BD2"/>
    <w:rPr>
      <w:rFonts w:ascii="Segoe UI" w:eastAsia="Arial Unicode MS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05BD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305BD2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rsid w:val="00305BD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305BD2"/>
    <w:rPr>
      <w:sz w:val="24"/>
      <w:szCs w:val="24"/>
    </w:rPr>
  </w:style>
  <w:style w:type="paragraph" w:styleId="NormalWeb">
    <w:name w:val="Normal (Web)"/>
    <w:basedOn w:val="Normal"/>
    <w:uiPriority w:val="99"/>
    <w:unhideWhenUsed/>
    <w:qFormat/>
    <w:rsid w:val="00305BD2"/>
    <w:rPr>
      <w:rFonts w:eastAsia="Arial Unicode MS"/>
      <w:lang w:eastAsia="en-US"/>
    </w:rPr>
  </w:style>
  <w:style w:type="paragraph" w:styleId="Title">
    <w:name w:val="Title"/>
    <w:next w:val="BodyA"/>
    <w:link w:val="TitleChar"/>
    <w:qFormat/>
    <w:rsid w:val="00305BD2"/>
    <w:pPr>
      <w:keepNext/>
      <w:spacing w:before="240"/>
      <w:jc w:val="both"/>
    </w:pPr>
    <w:rPr>
      <w:rFonts w:ascii="Times New Roman" w:eastAsia="Arial Unicode MS" w:hAnsi="Times New Roman" w:cs="Arial Unicode MS"/>
      <w:b/>
      <w:bCs/>
      <w:color w:val="000000"/>
      <w:sz w:val="44"/>
      <w:szCs w:val="44"/>
      <w:u w:color="000000"/>
      <w:lang w:val="zh-TW" w:eastAsia="zh-TW"/>
    </w:rPr>
  </w:style>
  <w:style w:type="character" w:customStyle="1" w:styleId="TitleChar">
    <w:name w:val="Title Char"/>
    <w:basedOn w:val="DefaultParagraphFont"/>
    <w:link w:val="Title"/>
    <w:rsid w:val="00305BD2"/>
    <w:rPr>
      <w:rFonts w:ascii="Times New Roman" w:eastAsia="Arial Unicode MS" w:hAnsi="Times New Roman" w:cs="Arial Unicode MS"/>
      <w:b/>
      <w:bCs/>
      <w:color w:val="000000"/>
      <w:sz w:val="44"/>
      <w:szCs w:val="44"/>
      <w:u w:color="000000"/>
      <w:lang w:val="zh-TW" w:eastAsia="zh-TW"/>
    </w:rPr>
  </w:style>
  <w:style w:type="character" w:styleId="Hyperlink">
    <w:name w:val="Hyperlink"/>
    <w:qFormat/>
    <w:rsid w:val="00305BD2"/>
    <w:rPr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305BD2"/>
    <w:rPr>
      <w:sz w:val="16"/>
      <w:szCs w:val="16"/>
    </w:rPr>
  </w:style>
  <w:style w:type="paragraph" w:customStyle="1" w:styleId="HeaderFooter">
    <w:name w:val="Header &amp; Footer"/>
    <w:qFormat/>
    <w:rsid w:val="00305BD2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Heading">
    <w:name w:val="Heading"/>
    <w:next w:val="BodyA"/>
    <w:qFormat/>
    <w:rsid w:val="00305BD2"/>
    <w:pPr>
      <w:keepNext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lang w:val="zh-TW" w:eastAsia="zh-TW"/>
    </w:rPr>
  </w:style>
  <w:style w:type="paragraph" w:customStyle="1" w:styleId="Revision1">
    <w:name w:val="Revision1"/>
    <w:hidden/>
    <w:uiPriority w:val="99"/>
    <w:semiHidden/>
    <w:qFormat/>
    <w:rsid w:val="00305BD2"/>
    <w:rPr>
      <w:rFonts w:ascii="Times New Roman" w:eastAsia="Arial Unicode MS" w:hAnsi="Times New Roman" w:cs="Times New Roman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305BD2"/>
    <w:rPr>
      <w:color w:val="605E5C"/>
      <w:shd w:val="clear" w:color="auto" w:fill="E1DFDD"/>
    </w:rPr>
  </w:style>
  <w:style w:type="character" w:customStyle="1" w:styleId="font31">
    <w:name w:val="font31"/>
    <w:basedOn w:val="DefaultParagraphFont"/>
    <w:rsid w:val="00305BD2"/>
    <w:rPr>
      <w:rFonts w:ascii="Times New Roman Regular" w:hAnsi="Times New Roman Regular" w:hint="default"/>
      <w:b/>
      <w:bCs/>
      <w:color w:val="000000"/>
      <w:sz w:val="20"/>
      <w:szCs w:val="20"/>
      <w:u w:val="none"/>
    </w:rPr>
  </w:style>
  <w:style w:type="character" w:customStyle="1" w:styleId="font91">
    <w:name w:val="font91"/>
    <w:basedOn w:val="DefaultParagraphFont"/>
    <w:rsid w:val="00305BD2"/>
    <w:rPr>
      <w:rFonts w:ascii="Times New Roman Regular" w:hAnsi="Times New Roman Regular" w:hint="default"/>
      <w:b/>
      <w:bCs/>
      <w:color w:val="000000"/>
      <w:sz w:val="20"/>
      <w:szCs w:val="20"/>
      <w:u w:val="none"/>
      <w:vertAlign w:val="superscript"/>
    </w:rPr>
  </w:style>
  <w:style w:type="character" w:customStyle="1" w:styleId="font51">
    <w:name w:val="font51"/>
    <w:basedOn w:val="DefaultParagraphFont"/>
    <w:rsid w:val="00305BD2"/>
    <w:rPr>
      <w:rFonts w:ascii="Times New Roman Regular" w:hAnsi="Times New Roman Regular" w:hint="default"/>
      <w:color w:val="000000"/>
      <w:sz w:val="20"/>
      <w:szCs w:val="20"/>
      <w:u w:val="none"/>
    </w:rPr>
  </w:style>
  <w:style w:type="character" w:customStyle="1" w:styleId="font81">
    <w:name w:val="font81"/>
    <w:basedOn w:val="DefaultParagraphFont"/>
    <w:rsid w:val="00305BD2"/>
    <w:rPr>
      <w:rFonts w:ascii="Times New Roman Regular" w:hAnsi="Times New Roman Regular" w:hint="default"/>
      <w:color w:val="000000"/>
      <w:sz w:val="20"/>
      <w:szCs w:val="20"/>
      <w:u w:val="none"/>
      <w:vertAlign w:val="superscript"/>
    </w:rPr>
  </w:style>
  <w:style w:type="character" w:customStyle="1" w:styleId="font01">
    <w:name w:val="font01"/>
    <w:basedOn w:val="DefaultParagraphFont"/>
    <w:rsid w:val="00305BD2"/>
    <w:rPr>
      <w:rFonts w:ascii="Times New Roman Regular" w:hAnsi="Times New Roman Regular" w:hint="default"/>
      <w:color w:val="000000"/>
      <w:sz w:val="20"/>
      <w:szCs w:val="20"/>
      <w:u w:val="none"/>
      <w:vertAlign w:val="superscript"/>
    </w:rPr>
  </w:style>
  <w:style w:type="character" w:customStyle="1" w:styleId="font11">
    <w:name w:val="font11"/>
    <w:basedOn w:val="DefaultParagraphFont"/>
    <w:rsid w:val="00305BD2"/>
    <w:rPr>
      <w:rFonts w:ascii="Times New Roman Regular" w:hAnsi="Times New Roman Regular" w:hint="default"/>
      <w:b/>
      <w:bCs/>
      <w:color w:val="000000"/>
      <w:sz w:val="20"/>
      <w:szCs w:val="20"/>
      <w:u w:val="none"/>
      <w:vertAlign w:val="superscript"/>
    </w:rPr>
  </w:style>
  <w:style w:type="character" w:customStyle="1" w:styleId="font41">
    <w:name w:val="font41"/>
    <w:basedOn w:val="DefaultParagraphFont"/>
    <w:rsid w:val="00305BD2"/>
    <w:rPr>
      <w:rFonts w:ascii="Times New Roman Regular" w:hAnsi="Times New Roman Regular" w:hint="default"/>
      <w:color w:val="000000"/>
      <w:sz w:val="20"/>
      <w:szCs w:val="20"/>
      <w:u w:val="none"/>
    </w:rPr>
  </w:style>
  <w:style w:type="paragraph" w:customStyle="1" w:styleId="msonormal0">
    <w:name w:val="msonormal"/>
    <w:basedOn w:val="Normal"/>
    <w:rsid w:val="00305BD2"/>
    <w:pPr>
      <w:spacing w:before="100" w:beforeAutospacing="1" w:after="100" w:afterAutospacing="1"/>
    </w:pPr>
  </w:style>
  <w:style w:type="paragraph" w:customStyle="1" w:styleId="font0">
    <w:name w:val="font0"/>
    <w:basedOn w:val="Normal"/>
    <w:rsid w:val="00305BD2"/>
    <w:pPr>
      <w:spacing w:before="100" w:beforeAutospacing="1" w:after="100" w:afterAutospacing="1"/>
    </w:pPr>
    <w:rPr>
      <w:rFonts w:ascii="Times New Roman Regular" w:hAnsi="Times New Roman Regular"/>
      <w:color w:val="000000"/>
      <w:sz w:val="20"/>
      <w:szCs w:val="20"/>
      <w:vertAlign w:val="superscript"/>
    </w:rPr>
  </w:style>
  <w:style w:type="paragraph" w:customStyle="1" w:styleId="font1">
    <w:name w:val="font1"/>
    <w:basedOn w:val="Normal"/>
    <w:rsid w:val="00305BD2"/>
    <w:pPr>
      <w:spacing w:before="100" w:beforeAutospacing="1" w:after="100" w:afterAutospacing="1"/>
    </w:pPr>
    <w:rPr>
      <w:rFonts w:ascii="Times New Roman Regular" w:hAnsi="Times New Roman Regular"/>
      <w:color w:val="000000"/>
      <w:sz w:val="20"/>
      <w:szCs w:val="20"/>
    </w:rPr>
  </w:style>
  <w:style w:type="paragraph" w:customStyle="1" w:styleId="et2">
    <w:name w:val="et2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">
    <w:name w:val="et3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4">
    <w:name w:val="et4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5">
    <w:name w:val="et5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">
    <w:name w:val="et6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7">
    <w:name w:val="et7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13">
    <w:name w:val="et13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14">
    <w:name w:val="et14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15">
    <w:name w:val="et15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16">
    <w:name w:val="et16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17">
    <w:name w:val="et17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1">
    <w:name w:val="et21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3">
    <w:name w:val="et23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4">
    <w:name w:val="et24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5">
    <w:name w:val="et25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6">
    <w:name w:val="et26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7">
    <w:name w:val="et27"/>
    <w:basedOn w:val="Normal"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28">
    <w:name w:val="et28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2">
    <w:name w:val="et32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3">
    <w:name w:val="et33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4">
    <w:name w:val="et34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7">
    <w:name w:val="et37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8">
    <w:name w:val="et38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39">
    <w:name w:val="et39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40">
    <w:name w:val="et40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42">
    <w:name w:val="et42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45">
    <w:name w:val="et45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48">
    <w:name w:val="et48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58">
    <w:name w:val="et58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59">
    <w:name w:val="et59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0">
    <w:name w:val="et60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1">
    <w:name w:val="et61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2">
    <w:name w:val="et62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3">
    <w:name w:val="et63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4">
    <w:name w:val="et64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5">
    <w:name w:val="et65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7">
    <w:name w:val="et67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8">
    <w:name w:val="et68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paragraph" w:customStyle="1" w:styleId="et69">
    <w:name w:val="et69"/>
    <w:basedOn w:val="Normal"/>
    <w:qFormat/>
    <w:rsid w:val="00305BD2"/>
    <w:pPr>
      <w:spacing w:before="100" w:beforeAutospacing="1" w:after="100" w:afterAutospacing="1"/>
      <w:textAlignment w:val="center"/>
    </w:pPr>
    <w:rPr>
      <w:rFonts w:ascii="Times New Roman Regular" w:hAnsi="Times New Roman Regular"/>
      <w:color w:val="000000"/>
    </w:rPr>
  </w:style>
  <w:style w:type="character" w:customStyle="1" w:styleId="font61">
    <w:name w:val="font61"/>
    <w:basedOn w:val="DefaultParagraphFont"/>
    <w:qFormat/>
    <w:rsid w:val="00305BD2"/>
    <w:rPr>
      <w:rFonts w:ascii="Times New Roman Regular" w:hAnsi="Times New Roman Regular" w:hint="default"/>
      <w:color w:val="000000"/>
      <w:sz w:val="20"/>
      <w:szCs w:val="20"/>
      <w:u w:val="none"/>
    </w:rPr>
  </w:style>
  <w:style w:type="character" w:customStyle="1" w:styleId="font71">
    <w:name w:val="font71"/>
    <w:basedOn w:val="DefaultParagraphFont"/>
    <w:qFormat/>
    <w:rsid w:val="00305BD2"/>
    <w:rPr>
      <w:rFonts w:ascii="Times New Roman Regular" w:hAnsi="Times New Roman Regular" w:hint="default"/>
      <w:b/>
      <w:bCs/>
      <w:color w:val="000000"/>
      <w:sz w:val="20"/>
      <w:szCs w:val="20"/>
      <w:u w:val="none"/>
    </w:rPr>
  </w:style>
  <w:style w:type="character" w:customStyle="1" w:styleId="font21">
    <w:name w:val="font21"/>
    <w:basedOn w:val="DefaultParagraphFont"/>
    <w:qFormat/>
    <w:rsid w:val="00305BD2"/>
    <w:rPr>
      <w:rFonts w:ascii="Times New Roman Regular" w:hAnsi="Times New Roman Regular" w:hint="default"/>
      <w:color w:val="000000"/>
      <w:sz w:val="20"/>
      <w:szCs w:val="20"/>
      <w:u w:val="none"/>
    </w:rPr>
  </w:style>
  <w:style w:type="paragraph" w:customStyle="1" w:styleId="ListParagraph1">
    <w:name w:val="List Paragraph1"/>
    <w:basedOn w:val="Normal"/>
    <w:uiPriority w:val="34"/>
    <w:qFormat/>
    <w:rsid w:val="00305BD2"/>
    <w:pPr>
      <w:ind w:left="720"/>
      <w:contextualSpacing/>
    </w:pPr>
    <w:rPr>
      <w:rFonts w:eastAsia="Arial Unicode MS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05BD2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305BD2"/>
    <w:pPr>
      <w:jc w:val="center"/>
    </w:pPr>
    <w:rPr>
      <w:rFonts w:eastAsia="Arial Unicode MS"/>
      <w:color w:val="000000"/>
      <w:u w:color="000000"/>
      <w:lang w:val="zh-TW" w:eastAsia="en-US"/>
    </w:rPr>
  </w:style>
  <w:style w:type="character" w:customStyle="1" w:styleId="BodyAChar">
    <w:name w:val="Body A Char"/>
    <w:basedOn w:val="DefaultParagraphFont"/>
    <w:link w:val="BodyA"/>
    <w:rsid w:val="00305BD2"/>
    <w:rPr>
      <w:rFonts w:ascii="Times New Roman" w:eastAsia="Arial Unicode MS" w:hAnsi="Times New Roman" w:cs="Arial Unicode MS"/>
      <w:color w:val="000000"/>
      <w:sz w:val="24"/>
      <w:szCs w:val="24"/>
      <w:u w:color="000000"/>
      <w:lang w:val="zh-TW" w:eastAsia="zh-TW"/>
    </w:rPr>
  </w:style>
  <w:style w:type="character" w:customStyle="1" w:styleId="EndNoteBibliographyTitleChar">
    <w:name w:val="EndNote Bibliography Title Char"/>
    <w:basedOn w:val="BodyAChar"/>
    <w:link w:val="EndNoteBibliographyTitle"/>
    <w:rsid w:val="00305BD2"/>
    <w:rPr>
      <w:rFonts w:ascii="Times New Roman" w:eastAsia="Arial Unicode MS" w:hAnsi="Times New Roman" w:cs="Times New Roman"/>
      <w:color w:val="000000"/>
      <w:sz w:val="24"/>
      <w:szCs w:val="24"/>
      <w:u w:color="000000"/>
      <w:lang w:val="zh-TW" w:eastAsia="en-US"/>
    </w:rPr>
  </w:style>
  <w:style w:type="paragraph" w:customStyle="1" w:styleId="EndNoteBibliography">
    <w:name w:val="EndNote Bibliography"/>
    <w:basedOn w:val="Normal"/>
    <w:link w:val="EndNoteBibliographyChar"/>
    <w:rsid w:val="00305BD2"/>
    <w:pPr>
      <w:spacing w:line="360" w:lineRule="auto"/>
    </w:pPr>
    <w:rPr>
      <w:rFonts w:eastAsia="Arial Unicode MS"/>
      <w:color w:val="000000"/>
      <w:u w:color="000000"/>
      <w:lang w:val="zh-TW" w:eastAsia="en-US"/>
    </w:rPr>
  </w:style>
  <w:style w:type="character" w:customStyle="1" w:styleId="EndNoteBibliographyChar">
    <w:name w:val="EndNote Bibliography Char"/>
    <w:basedOn w:val="BodyAChar"/>
    <w:link w:val="EndNoteBibliography"/>
    <w:rsid w:val="00305BD2"/>
    <w:rPr>
      <w:rFonts w:ascii="Times New Roman" w:eastAsia="Arial Unicode MS" w:hAnsi="Times New Roman" w:cs="Times New Roman"/>
      <w:color w:val="000000"/>
      <w:sz w:val="24"/>
      <w:szCs w:val="24"/>
      <w:u w:color="000000"/>
      <w:lang w:val="zh-TW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05BD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05BD2"/>
    <w:rPr>
      <w:rFonts w:ascii="Times New Roman" w:eastAsia="Arial Unicode MS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t</cp:lastModifiedBy>
  <cp:revision>47</cp:revision>
  <dcterms:created xsi:type="dcterms:W3CDTF">2021-11-14T20:54:00Z</dcterms:created>
  <dcterms:modified xsi:type="dcterms:W3CDTF">2021-12-18T13:07:00Z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