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09C9" w14:textId="08F41694" w:rsidR="00D44723" w:rsidRPr="0097238F" w:rsidRDefault="006C0C63" w:rsidP="0097238F">
      <w:pPr>
        <w:spacing w:line="480" w:lineRule="auto"/>
        <w:jc w:val="center"/>
        <w:rPr>
          <w:b/>
          <w:bCs/>
          <w:color w:val="000000" w:themeColor="text1"/>
          <w:sz w:val="32"/>
          <w:szCs w:val="32"/>
          <w:lang w:val="en-US"/>
        </w:rPr>
      </w:pPr>
      <w:r w:rsidRPr="0061250B">
        <w:rPr>
          <w:b/>
          <w:bCs/>
          <w:color w:val="000000" w:themeColor="text1"/>
          <w:sz w:val="32"/>
          <w:szCs w:val="32"/>
          <w:lang w:val="en-US"/>
        </w:rPr>
        <w:t>Past</w:t>
      </w:r>
      <w:r w:rsidR="005C002A" w:rsidRPr="0061250B">
        <w:rPr>
          <w:b/>
          <w:bCs/>
          <w:color w:val="000000" w:themeColor="text1"/>
          <w:sz w:val="32"/>
          <w:szCs w:val="32"/>
          <w:lang w:val="en-US"/>
        </w:rPr>
        <w:t>,</w:t>
      </w:r>
      <w:r w:rsidRPr="0061250B">
        <w:rPr>
          <w:b/>
          <w:bCs/>
          <w:color w:val="000000" w:themeColor="text1"/>
          <w:sz w:val="32"/>
          <w:szCs w:val="32"/>
          <w:lang w:val="en-US"/>
        </w:rPr>
        <w:t xml:space="preserve"> present</w:t>
      </w:r>
      <w:r w:rsidR="0097238F">
        <w:rPr>
          <w:b/>
          <w:bCs/>
          <w:color w:val="000000" w:themeColor="text1"/>
          <w:sz w:val="32"/>
          <w:szCs w:val="32"/>
          <w:lang w:val="en-US"/>
        </w:rPr>
        <w:t>,</w:t>
      </w:r>
      <w:r w:rsidRPr="0061250B">
        <w:rPr>
          <w:b/>
          <w:bCs/>
          <w:color w:val="000000" w:themeColor="text1"/>
          <w:sz w:val="32"/>
          <w:szCs w:val="32"/>
          <w:lang w:val="en-US"/>
        </w:rPr>
        <w:t xml:space="preserve"> and future of carbon </w:t>
      </w:r>
      <w:proofErr w:type="gramStart"/>
      <w:r w:rsidRPr="0061250B">
        <w:rPr>
          <w:b/>
          <w:bCs/>
          <w:color w:val="000000" w:themeColor="text1"/>
          <w:sz w:val="32"/>
          <w:szCs w:val="32"/>
          <w:lang w:val="en-US"/>
        </w:rPr>
        <w:t>accounting :</w:t>
      </w:r>
      <w:proofErr w:type="gramEnd"/>
      <w:r w:rsidRPr="0061250B">
        <w:rPr>
          <w:b/>
          <w:bCs/>
          <w:color w:val="000000" w:themeColor="text1"/>
          <w:sz w:val="32"/>
          <w:szCs w:val="32"/>
          <w:lang w:val="en-US"/>
        </w:rPr>
        <w:t xml:space="preserve"> </w:t>
      </w:r>
      <w:r w:rsidR="00D568BF" w:rsidRPr="0061250B">
        <w:rPr>
          <w:b/>
          <w:bCs/>
          <w:color w:val="000000" w:themeColor="text1"/>
          <w:sz w:val="32"/>
          <w:szCs w:val="32"/>
          <w:lang w:val="en-US"/>
        </w:rPr>
        <w:t>I</w:t>
      </w:r>
      <w:r w:rsidRPr="0061250B">
        <w:rPr>
          <w:b/>
          <w:bCs/>
          <w:color w:val="000000" w:themeColor="text1"/>
          <w:sz w:val="32"/>
          <w:szCs w:val="32"/>
          <w:lang w:val="en-US"/>
        </w:rPr>
        <w:t>nsights from scholarly research</w:t>
      </w:r>
    </w:p>
    <w:p w14:paraId="7F9FE542" w14:textId="77777777" w:rsidR="00035FF5" w:rsidRPr="005D5601" w:rsidRDefault="00035FF5" w:rsidP="00035FF5">
      <w:pPr>
        <w:autoSpaceDE w:val="0"/>
        <w:autoSpaceDN w:val="0"/>
        <w:adjustRightInd w:val="0"/>
        <w:rPr>
          <w:lang w:val="en-GB" w:eastAsia="en-GB"/>
        </w:rPr>
      </w:pPr>
    </w:p>
    <w:p w14:paraId="364E6D88" w14:textId="7E7D6C0A" w:rsidR="00D219B4" w:rsidRPr="00A54739" w:rsidRDefault="00A54739" w:rsidP="00A54739">
      <w:pPr>
        <w:bidi/>
        <w:spacing w:line="360" w:lineRule="auto"/>
        <w:jc w:val="right"/>
        <w:rPr>
          <w:lang w:val="en-US"/>
        </w:rPr>
      </w:pPr>
      <w:r>
        <w:rPr>
          <w:b/>
          <w:bCs/>
          <w:lang w:val="en-US"/>
        </w:rPr>
        <w:t>A</w:t>
      </w:r>
      <w:r w:rsidR="00091E17">
        <w:rPr>
          <w:b/>
          <w:bCs/>
          <w:lang w:val="en-US"/>
        </w:rPr>
        <w:t>PPENDIX</w:t>
      </w:r>
      <w:r>
        <w:rPr>
          <w:b/>
          <w:bCs/>
          <w:lang w:val="en-US"/>
        </w:rPr>
        <w:t xml:space="preserve"> </w:t>
      </w:r>
      <w:proofErr w:type="gramStart"/>
      <w:r>
        <w:rPr>
          <w:b/>
          <w:bCs/>
          <w:lang w:val="en-US"/>
        </w:rPr>
        <w:t>A</w:t>
      </w:r>
      <w:r w:rsidRPr="00231168">
        <w:rPr>
          <w:lang w:val="en-US"/>
        </w:rPr>
        <w:t xml:space="preserve">  </w:t>
      </w:r>
      <w:r>
        <w:rPr>
          <w:lang w:val="en-US"/>
        </w:rPr>
        <w:t>F</w:t>
      </w:r>
      <w:r w:rsidRPr="00231168">
        <w:rPr>
          <w:lang w:val="en-US"/>
        </w:rPr>
        <w:t>actors</w:t>
      </w:r>
      <w:proofErr w:type="gramEnd"/>
      <w:r w:rsidRPr="00231168">
        <w:rPr>
          <w:lang w:val="en-US"/>
        </w:rPr>
        <w:t xml:space="preserve"> that motivate carbon disclosure</w:t>
      </w:r>
    </w:p>
    <w:tbl>
      <w:tblPr>
        <w:tblStyle w:val="TableGrid"/>
        <w:tblW w:w="0" w:type="auto"/>
        <w:tblLook w:val="04A0" w:firstRow="1" w:lastRow="0" w:firstColumn="1" w:lastColumn="0" w:noHBand="0" w:noVBand="1"/>
      </w:tblPr>
      <w:tblGrid>
        <w:gridCol w:w="1786"/>
        <w:gridCol w:w="4276"/>
        <w:gridCol w:w="3900"/>
      </w:tblGrid>
      <w:tr w:rsidR="00B76134" w:rsidRPr="00FB6E35" w14:paraId="00AFCEE2" w14:textId="486DB6E2" w:rsidTr="00CF3C7B">
        <w:tc>
          <w:tcPr>
            <w:tcW w:w="1786" w:type="dxa"/>
          </w:tcPr>
          <w:p w14:paraId="79A337A1" w14:textId="7719FF9B" w:rsidR="00E728B0" w:rsidRPr="000012A7" w:rsidRDefault="00E728B0" w:rsidP="00084B94">
            <w:pPr>
              <w:spacing w:line="360" w:lineRule="auto"/>
              <w:jc w:val="both"/>
              <w:rPr>
                <w:rFonts w:asciiTheme="majorBidi" w:hAnsiTheme="majorBidi" w:cstheme="majorBidi"/>
                <w:b/>
                <w:bCs/>
                <w:lang w:val="en-US" w:eastAsia="en-GB"/>
              </w:rPr>
            </w:pPr>
            <w:r w:rsidRPr="000012A7">
              <w:rPr>
                <w:rFonts w:asciiTheme="majorBidi" w:hAnsiTheme="majorBidi" w:cstheme="majorBidi"/>
                <w:b/>
                <w:bCs/>
                <w:lang w:val="en-US" w:eastAsia="en-GB"/>
              </w:rPr>
              <w:t xml:space="preserve">Main factors </w:t>
            </w:r>
          </w:p>
        </w:tc>
        <w:tc>
          <w:tcPr>
            <w:tcW w:w="4276" w:type="dxa"/>
          </w:tcPr>
          <w:p w14:paraId="059A049E" w14:textId="03AD3900" w:rsidR="00E728B0" w:rsidRPr="000012A7" w:rsidRDefault="00E728B0" w:rsidP="00084B94">
            <w:pPr>
              <w:spacing w:line="360" w:lineRule="auto"/>
              <w:jc w:val="both"/>
              <w:rPr>
                <w:rFonts w:asciiTheme="majorBidi" w:hAnsiTheme="majorBidi" w:cstheme="majorBidi"/>
                <w:b/>
                <w:bCs/>
                <w:lang w:val="en-GB" w:eastAsia="en-GB"/>
              </w:rPr>
            </w:pPr>
            <w:r w:rsidRPr="000012A7">
              <w:rPr>
                <w:rFonts w:asciiTheme="majorBidi" w:hAnsiTheme="majorBidi" w:cstheme="majorBidi"/>
                <w:b/>
                <w:bCs/>
                <w:lang w:val="en-GB" w:eastAsia="en-GB"/>
              </w:rPr>
              <w:t xml:space="preserve">Sub-factors </w:t>
            </w:r>
          </w:p>
        </w:tc>
        <w:tc>
          <w:tcPr>
            <w:tcW w:w="3900" w:type="dxa"/>
          </w:tcPr>
          <w:p w14:paraId="340DC994" w14:textId="2211E083" w:rsidR="00E728B0" w:rsidRPr="004A7817" w:rsidRDefault="00E728B0" w:rsidP="00084B94">
            <w:pPr>
              <w:spacing w:line="360" w:lineRule="auto"/>
              <w:jc w:val="both"/>
              <w:rPr>
                <w:rFonts w:asciiTheme="majorBidi" w:hAnsiTheme="majorBidi" w:cstheme="majorBidi"/>
                <w:b/>
                <w:bCs/>
                <w:lang w:val="en-GB" w:eastAsia="en-GB"/>
              </w:rPr>
            </w:pPr>
            <w:r w:rsidRPr="004A7817">
              <w:rPr>
                <w:b/>
                <w:bCs/>
              </w:rPr>
              <w:t>References</w:t>
            </w:r>
          </w:p>
        </w:tc>
      </w:tr>
      <w:tr w:rsidR="00B76134" w:rsidRPr="00FB6E35" w14:paraId="72095350" w14:textId="0FFB0591" w:rsidTr="00CF3C7B">
        <w:tc>
          <w:tcPr>
            <w:tcW w:w="1786" w:type="dxa"/>
          </w:tcPr>
          <w:p w14:paraId="2CCD1D53" w14:textId="479A7EEE" w:rsidR="00E728B0" w:rsidRPr="0097238F" w:rsidRDefault="00E728B0" w:rsidP="00084B94">
            <w:pPr>
              <w:spacing w:line="360" w:lineRule="auto"/>
              <w:jc w:val="both"/>
              <w:rPr>
                <w:rFonts w:asciiTheme="majorBidi" w:hAnsiTheme="majorBidi" w:cstheme="majorBidi"/>
                <w:b/>
                <w:bCs/>
                <w:sz w:val="20"/>
                <w:szCs w:val="20"/>
                <w:lang w:val="en-US" w:eastAsia="en-GB"/>
              </w:rPr>
            </w:pPr>
            <w:r w:rsidRPr="0097238F">
              <w:rPr>
                <w:rFonts w:asciiTheme="majorBidi" w:hAnsiTheme="majorBidi" w:cstheme="majorBidi"/>
                <w:b/>
                <w:bCs/>
                <w:sz w:val="20"/>
                <w:szCs w:val="20"/>
                <w:lang w:val="en-US" w:eastAsia="en-GB"/>
              </w:rPr>
              <w:t xml:space="preserve">Society factors </w:t>
            </w:r>
          </w:p>
        </w:tc>
        <w:tc>
          <w:tcPr>
            <w:tcW w:w="4276" w:type="dxa"/>
          </w:tcPr>
          <w:p w14:paraId="53EACEB8" w14:textId="78F240E8" w:rsidR="00E728B0" w:rsidRPr="00FB6FB4" w:rsidRDefault="0006567B" w:rsidP="004926BF">
            <w:pPr>
              <w:spacing w:line="276"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t xml:space="preserve">The pressure </w:t>
            </w:r>
            <w:r w:rsidR="00E728B0" w:rsidRPr="00FB6FB4">
              <w:rPr>
                <w:rFonts w:asciiTheme="majorBidi" w:hAnsiTheme="majorBidi" w:cstheme="majorBidi"/>
                <w:sz w:val="20"/>
                <w:szCs w:val="20"/>
                <w:lang w:val="en-GB" w:eastAsia="en-GB"/>
              </w:rPr>
              <w:t>of stakeholders</w:t>
            </w:r>
            <w:r w:rsidR="003802C5" w:rsidRPr="00FB6FB4">
              <w:rPr>
                <w:rFonts w:asciiTheme="majorBidi" w:hAnsiTheme="majorBidi" w:cstheme="majorBidi"/>
                <w:sz w:val="20"/>
                <w:szCs w:val="20"/>
                <w:lang w:val="en-GB" w:eastAsia="en-GB"/>
              </w:rPr>
              <w:t>-</w:t>
            </w:r>
            <w:r w:rsidR="00E728B0" w:rsidRPr="00FB6FB4">
              <w:rPr>
                <w:rFonts w:asciiTheme="majorBidi" w:hAnsiTheme="majorBidi" w:cstheme="majorBidi"/>
                <w:sz w:val="20"/>
                <w:szCs w:val="20"/>
                <w:lang w:val="en-GB" w:eastAsia="en-GB"/>
              </w:rPr>
              <w:t xml:space="preserve"> </w:t>
            </w:r>
            <w:r w:rsidR="003802C5" w:rsidRPr="00FB6FB4">
              <w:rPr>
                <w:rFonts w:asciiTheme="majorBidi" w:hAnsiTheme="majorBidi" w:cstheme="majorBidi"/>
                <w:sz w:val="20"/>
                <w:szCs w:val="20"/>
                <w:lang w:val="en-GB" w:eastAsia="en-GB"/>
              </w:rPr>
              <w:t>M</w:t>
            </w:r>
            <w:r w:rsidR="00E728B0" w:rsidRPr="00FB6FB4">
              <w:rPr>
                <w:rFonts w:asciiTheme="majorBidi" w:hAnsiTheme="majorBidi" w:cstheme="majorBidi"/>
                <w:sz w:val="20"/>
                <w:szCs w:val="20"/>
                <w:lang w:val="en-GB" w:eastAsia="en-GB"/>
              </w:rPr>
              <w:t>anager perception of institutional pressures</w:t>
            </w:r>
            <w:r w:rsidR="003802C5" w:rsidRPr="00FB6FB4">
              <w:rPr>
                <w:rFonts w:asciiTheme="majorBidi" w:hAnsiTheme="majorBidi" w:cstheme="majorBidi"/>
                <w:sz w:val="20"/>
                <w:szCs w:val="20"/>
                <w:lang w:val="en-GB" w:eastAsia="en-GB"/>
              </w:rPr>
              <w:t>-</w:t>
            </w:r>
            <w:r w:rsidR="00E728B0" w:rsidRPr="00FB6FB4">
              <w:rPr>
                <w:rFonts w:asciiTheme="majorBidi" w:hAnsiTheme="majorBidi" w:cstheme="majorBidi"/>
                <w:sz w:val="20"/>
                <w:szCs w:val="20"/>
                <w:lang w:val="en-GB" w:eastAsia="en-GB"/>
              </w:rPr>
              <w:t xml:space="preserve"> </w:t>
            </w:r>
            <w:r w:rsidR="003802C5" w:rsidRPr="00FB6FB4">
              <w:rPr>
                <w:rFonts w:asciiTheme="majorBidi" w:hAnsiTheme="majorBidi" w:cstheme="majorBidi"/>
                <w:sz w:val="20"/>
                <w:szCs w:val="20"/>
                <w:lang w:val="en-GB" w:eastAsia="en-GB"/>
              </w:rPr>
              <w:t>P</w:t>
            </w:r>
            <w:r w:rsidR="00E728B0" w:rsidRPr="00FB6FB4">
              <w:rPr>
                <w:rFonts w:asciiTheme="majorBidi" w:hAnsiTheme="majorBidi" w:cstheme="majorBidi"/>
                <w:sz w:val="20"/>
                <w:szCs w:val="20"/>
                <w:lang w:val="en-GB" w:eastAsia="en-GB"/>
              </w:rPr>
              <w:t xml:space="preserve">resence of </w:t>
            </w:r>
            <w:r w:rsidRPr="00FB6FB4">
              <w:rPr>
                <w:rFonts w:asciiTheme="majorBidi" w:hAnsiTheme="majorBidi" w:cstheme="majorBidi"/>
                <w:sz w:val="20"/>
                <w:szCs w:val="20"/>
                <w:lang w:val="en-GB" w:eastAsia="en-GB"/>
              </w:rPr>
              <w:t xml:space="preserve">the </w:t>
            </w:r>
            <w:r w:rsidR="00E728B0" w:rsidRPr="00FB6FB4">
              <w:rPr>
                <w:rFonts w:asciiTheme="majorBidi" w:hAnsiTheme="majorBidi" w:cstheme="majorBidi"/>
                <w:sz w:val="20"/>
                <w:szCs w:val="20"/>
                <w:lang w:val="en-GB" w:eastAsia="en-GB"/>
              </w:rPr>
              <w:t>foreign manager</w:t>
            </w:r>
            <w:r w:rsidR="003802C5" w:rsidRPr="00FB6FB4">
              <w:rPr>
                <w:rFonts w:asciiTheme="majorBidi" w:hAnsiTheme="majorBidi" w:cstheme="majorBidi"/>
                <w:sz w:val="20"/>
                <w:szCs w:val="20"/>
                <w:lang w:val="en-GB" w:eastAsia="en-GB"/>
              </w:rPr>
              <w:t>-S</w:t>
            </w:r>
            <w:r w:rsidR="00E728B0" w:rsidRPr="00FB6FB4">
              <w:rPr>
                <w:rFonts w:asciiTheme="majorBidi" w:hAnsiTheme="majorBidi" w:cstheme="majorBidi"/>
                <w:sz w:val="20"/>
                <w:szCs w:val="20"/>
                <w:lang w:val="en-GB" w:eastAsia="en-GB"/>
              </w:rPr>
              <w:t xml:space="preserve">ocial </w:t>
            </w:r>
            <w:proofErr w:type="gramStart"/>
            <w:r w:rsidR="00E728B0" w:rsidRPr="00FB6FB4">
              <w:rPr>
                <w:rFonts w:asciiTheme="majorBidi" w:hAnsiTheme="majorBidi" w:cstheme="majorBidi"/>
                <w:sz w:val="20"/>
                <w:szCs w:val="20"/>
                <w:lang w:val="en-GB" w:eastAsia="en-GB"/>
              </w:rPr>
              <w:t>pressure</w:t>
            </w:r>
            <w:proofErr w:type="gramEnd"/>
            <w:r w:rsidR="003802C5" w:rsidRPr="00FB6FB4">
              <w:rPr>
                <w:rFonts w:asciiTheme="majorBidi" w:hAnsiTheme="majorBidi" w:cstheme="majorBidi"/>
                <w:sz w:val="20"/>
                <w:szCs w:val="20"/>
                <w:lang w:val="en-GB" w:eastAsia="en-GB"/>
              </w:rPr>
              <w:t>-E</w:t>
            </w:r>
            <w:r w:rsidR="00E728B0" w:rsidRPr="00FB6FB4">
              <w:rPr>
                <w:rFonts w:asciiTheme="majorBidi" w:hAnsiTheme="majorBidi" w:cstheme="majorBidi"/>
                <w:sz w:val="20"/>
                <w:szCs w:val="20"/>
                <w:lang w:val="en-GB" w:eastAsia="en-GB"/>
              </w:rPr>
              <w:t>xternal stakeholder pressure</w:t>
            </w:r>
          </w:p>
        </w:tc>
        <w:tc>
          <w:tcPr>
            <w:tcW w:w="3900" w:type="dxa"/>
          </w:tcPr>
          <w:p w14:paraId="2C113423" w14:textId="36C9BC65" w:rsidR="00E728B0" w:rsidRPr="00FB6FB4" w:rsidRDefault="009B05BE" w:rsidP="00B846BB">
            <w:pPr>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{"citationItems":[{"id":"ITEM-1","itemData":{"DOI":"10.1002/bse.2426","ISSN":"10990836","abstract":"The outcome of carbon disclosure, the importance of which has grown remarkably in recent years to become a strategic decision-making issue for organisations in today's competitive environment, is a subject of lively debate but remains under-researched in the environmental accounting literature. This study is motivated by this research gap and the growing interest in assessing the financial consequences of corporate involvement in climate change beyond regulatory compliance, as evidenced by firms' voluntary participation in the Carbon Disclosure Project. Using the resource-based view of the firm as a theoretical framework and linking it to carbon disclosure through Carbon Disclosure Project, we conceptualise and empirically investigate the impact of adopting proactive carbon management policies and communicating them to stakeholders, focusing on the financial performance of the top FTSE350 companies between 2007 and 2015. By developing a comprehensive financial performance index and controlling for several firm characteristics, we find strong evidence that voluntary carbon disclosure is positively associated with firm financial performance. The findings in this paper provide new insights and policy implications for managers, financial stakeholders, and regulators.","author":[{"dropping-particle":"","family":"Alsaifi","given":"Khaled","non-dropping-particle":"","parse-names":false,"suffix":""},{"dropping-particle":"","family":"Elnahass","given":"Marwa","non-dropping-particle":"","parse-names":false,"suffix":""},{"dropping-particle":"","family":"Salama","given":"Aly","non-dropping-particle":"","parse-names":false,"suffix":""}],"container-title":"Business Strategy and the Environment","id":"ITEM-1","issue":"2","issued":{"date-parts":[["2020"]]},"page":"711-726","title":"Carbon disclosure and financial performance: UK environmental policy","type":"article-journal","volume":"29"},"uris":["http://www.mendeley.com/documents/?uuid=27db1fd8-791d-4f69-bb26-19db86eaaee1"]}],"mendeley":{"formattedCitation":"(Alsaifi et al., 2020)","manualFormatting":"(Alsaifi et al., 2020;","plainTextFormattedCitation":"(Alsaifi et al., 2020)","previouslyFormattedCitation":"(Alsaifi et al., 2020)"},"properties":{"noteIndex":0},"schema":"https://github.com/citation-style-language/schema/raw/master/csl-citation.json"}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(Alsaifi et al.,</w:t>
            </w:r>
            <w:r w:rsidR="00CF3C7B" w:rsidRPr="00FB6FB4">
              <w:rPr>
                <w:rFonts w:asciiTheme="majorBidi" w:hAnsiTheme="majorBidi" w:cstheme="majorBidi"/>
                <w:noProof/>
                <w:sz w:val="20"/>
                <w:szCs w:val="20"/>
                <w:lang w:val="en-GB" w:eastAsia="en-GB"/>
              </w:rPr>
              <w:t xml:space="preserve"> </w:t>
            </w:r>
            <w:r w:rsidR="00746CE5" w:rsidRPr="00FB6FB4">
              <w:rPr>
                <w:rFonts w:asciiTheme="majorBidi" w:hAnsiTheme="majorBidi" w:cstheme="majorBidi"/>
                <w:noProof/>
                <w:sz w:val="20"/>
                <w:szCs w:val="20"/>
                <w:lang w:val="en-GB" w:eastAsia="en-GB"/>
              </w:rPr>
              <w:t>2020</w:t>
            </w:r>
            <w:r w:rsidR="003802C5" w:rsidRPr="00FB6FB4">
              <w:rPr>
                <w:rFonts w:asciiTheme="majorBidi" w:hAnsiTheme="majorBidi" w:cstheme="majorBidi"/>
                <w:noProof/>
                <w:sz w:val="20"/>
                <w:szCs w:val="20"/>
                <w:lang w:val="en-GB" w:eastAsia="en-GB"/>
              </w:rPr>
              <w:t>;</w:t>
            </w:r>
            <w:r w:rsidRPr="00FB6FB4">
              <w:rPr>
                <w:rFonts w:asciiTheme="majorBidi" w:hAnsiTheme="majorBidi" w:cstheme="majorBidi"/>
                <w:sz w:val="20"/>
                <w:szCs w:val="20"/>
                <w:lang w:val="en-GB" w:eastAsia="en-GB"/>
              </w:rPr>
              <w:fldChar w:fldCharType="end"/>
            </w:r>
            <w:r w:rsidR="009613F1"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{"citationItems":[{"id":"ITEM-1","itemData":{"DOI":"10.1016/j.techfore.2020.120424","ISSN":"00401625","abstract":"This study contributes to the current climate debate by shedding some light on the driving forces of the disclosure and management of carbon emissions in the context of developed and developing economies. Our findings show that the probability of not reporting total carbon emissions is significantly higher in companies located in a developing than in a developed economy. In addition, the company's sustainability profile (the sustainability report, its assurance and the existence of a Corporate Social Responsibility (CSR) committee), gender diversity policies and other corporate variables (especially size), significantly increase the probability of disclosing total carbon emissions, Scope 1 and Scope 2. Regarding carbon management, however, there are no significant differences between developed and developing economies, and the evidence indicates that the existence of a CSR committee has a significant impact on emission reduction Scope 1 and Scope 2; while the size of the company only influences the reduction of emissions of Scope 2 – the other variables considered do not have a significant effect. The results obtained can be valuable for business executives, governments and government regulators by identifying corporate governance practices that could be improved and contribute strategically to the environmental situation in developed and developing countries.","author":[{"dropping-particle":"","family":"Córdova Román","given":"Carmen","non-dropping-particle":"","parse-names":false,"suffix":""},{"dropping-particle":"","family":"Zorio-Grima","given":"Ana","non-dropping-particle":"","parse-names":false,"suffix":""},{"dropping-particle":"","family":"Merello","given":"Paloma","non-dropping-particle":"","parse-names":false,"suffix":""}],"container-title":"Technological Forecasting and Social Change","id":"ITEM-1","issue":"October","issued":{"date-parts":[["2021"]]},"page":"120424","publisher":"Elsevier Inc.","title":"Economic development and CSR assurance: Important drivers for carbon reporting… yet inefficient drivers for carbon management?","type":"article-journal","volume":"163"},"uris":["http://www.mendeley.com/documents/?uuid=9833af57-a6c9-46f4-ade5-fbd786a3a5dd"]}],"mendeley":{"formattedCitation":"(Córdova Román et al., 2021)","manualFormatting":"Córdova Román et al. 2021;","plainTextFormattedCitation":"(Córdova Román et al., 2021)","previouslyFormattedCitation":"(Córdova Román et al., 2021)"},"properties":{"noteIndex":0},"schema":"https://github.com/citation-style-language/schema/raw/master/csl-citation.json"}</w:instrText>
            </w:r>
            <w:r w:rsidR="009613F1" w:rsidRPr="00FB6FB4">
              <w:rPr>
                <w:rFonts w:asciiTheme="majorBidi" w:hAnsiTheme="majorBidi" w:cstheme="majorBidi"/>
                <w:sz w:val="20"/>
                <w:szCs w:val="20"/>
                <w:lang w:val="en-GB" w:eastAsia="en-GB"/>
              </w:rPr>
              <w:fldChar w:fldCharType="separate"/>
            </w:r>
            <w:r w:rsidR="00635EEF" w:rsidRPr="00FB6FB4">
              <w:rPr>
                <w:rFonts w:asciiTheme="majorBidi" w:hAnsiTheme="majorBidi" w:cstheme="majorBidi"/>
                <w:noProof/>
                <w:sz w:val="20"/>
                <w:szCs w:val="20"/>
                <w:lang w:val="en-GB" w:eastAsia="en-GB"/>
              </w:rPr>
              <w:t>Córdova Román</w:t>
            </w:r>
            <w:r w:rsidR="004926BF" w:rsidRPr="00FB6FB4">
              <w:rPr>
                <w:rFonts w:asciiTheme="majorBidi" w:hAnsiTheme="majorBidi" w:cstheme="majorBidi"/>
                <w:noProof/>
                <w:sz w:val="20"/>
                <w:szCs w:val="20"/>
                <w:lang w:val="en-GB" w:eastAsia="en-GB"/>
              </w:rPr>
              <w:t xml:space="preserve"> et al.</w:t>
            </w:r>
            <w:r w:rsidR="00F22D62" w:rsidRPr="00FB6FB4">
              <w:rPr>
                <w:rFonts w:asciiTheme="majorBidi" w:hAnsiTheme="majorBidi" w:cstheme="majorBidi"/>
                <w:noProof/>
                <w:sz w:val="20"/>
                <w:szCs w:val="20"/>
                <w:lang w:val="en-GB" w:eastAsia="en-GB"/>
              </w:rPr>
              <w:t xml:space="preserve"> </w:t>
            </w:r>
            <w:r w:rsidR="00635EEF" w:rsidRPr="00FB6FB4">
              <w:rPr>
                <w:rFonts w:asciiTheme="majorBidi" w:hAnsiTheme="majorBidi" w:cstheme="majorBidi"/>
                <w:noProof/>
                <w:sz w:val="20"/>
                <w:szCs w:val="20"/>
                <w:lang w:val="en-GB" w:eastAsia="en-GB"/>
              </w:rPr>
              <w:t>2021</w:t>
            </w:r>
            <w:r w:rsidR="004926BF" w:rsidRPr="00FB6FB4">
              <w:rPr>
                <w:rFonts w:asciiTheme="majorBidi" w:hAnsiTheme="majorBidi" w:cstheme="majorBidi"/>
                <w:noProof/>
                <w:sz w:val="20"/>
                <w:szCs w:val="20"/>
                <w:lang w:val="en-GB" w:eastAsia="en-GB"/>
              </w:rPr>
              <w:t>;</w:t>
            </w:r>
            <w:r w:rsidR="009613F1" w:rsidRPr="00FB6FB4">
              <w:rPr>
                <w:rFonts w:asciiTheme="majorBidi" w:hAnsiTheme="majorBidi" w:cstheme="majorBidi"/>
                <w:sz w:val="20"/>
                <w:szCs w:val="20"/>
                <w:lang w:val="en-GB" w:eastAsia="en-GB"/>
              </w:rPr>
              <w:fldChar w:fldCharType="end"/>
            </w:r>
            <w:r w:rsidR="009613F1"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{"citationItems":[{"id":"ITEM-1","itemData":{"DOI":"10.1108/IJOES-09-2020-0148","ISSN":"25149369","abstract":"Purpose: During the current century, environmental sustainability and waste reduction processes have always been subject to scrutiny in developed societies. Developed communities have gained considerable momentum by investing in environmental infrastructure and integrating corporate performance disclosure and less developed communities are involved with it. Carbon disclosure is one of the aspects of green accounting in “corporate strategies,” especially those operating across the capital market. Adherence to the disclosure of facts can facilitate sustainable development in societies. This study aims to present strategic reference points matrix-based model to develop a framework for carbon disclosure strategies through institutional and stakeholder pressures throughout the capital market. Design/methodology/approach: As a case study, by reviewing similar research on carbon disclosure, this study seeks to illustrate various carbon disclosure aspects and strategies in a matrix based on institutional (vertical axis) and stakeholder (horizontal axis) pressures Findings: The study attempts to states that carbon disclosure is affected solely by the company because of the presence of agency gaps between external stakeholders and corporate executives. Originality/value: However, the firm’s decision to adopt a carbon disclosure strategy depends on the performance of stakeholder pressure (stakeholder salience level) and managers’ perceptions of institutional pressure (institutional pressure centrality level).","author":[{"dropping-particle":"","family":"Vaseyee Charmahali","given":"Mehdi","non-dropping-particle":"","parse-names":false,"suffix":""},{"dropping-particle":"","family":"Valiyan","given":"Hasan","non-dropping-particle":"","parse-names":false,"suffix":""},{"dropping-particle":"","family":"Abdoli","given":"Mohammadreza","non-dropping-particle":"","parse-names":false,"suffix":""}],"container-title":"International Journal of Ethics and Systems","id":"ITEM-1","issue":"2","issued":{"date-parts":[["2021"]]},"page":"157-180","title":"Developing a framework for carbon accounting disclosure strategies: a strategic reference points (SRP) matrix-based analysis","type":"article-journal","volume":"37"},"uris":["http://www.mendeley.com/documents/?uuid=a7da793a-d242-4bc7-a2c3-dac6f4e66745"]}],"mendeley":{"formattedCitation":"(Vaseyee Charmahali et al., 2021)","manualFormatting":"Vaseyee Charmahali et al.2021; Sullivan and Gouldson, 2012;","plainTextFormattedCitation":"(Vaseyee Charmahali et al., 2021)","previouslyFormattedCitation":"(Vaseyee Charmahali et al., 2021)"},"properties":{"noteIndex":0},"schema":"https://github.com/citation-style-language/schema/raw/master/csl-citation.json"}</w:instrText>
            </w:r>
            <w:r w:rsidR="009613F1" w:rsidRPr="00FB6FB4">
              <w:rPr>
                <w:rFonts w:asciiTheme="majorBidi" w:hAnsiTheme="majorBidi" w:cstheme="majorBidi"/>
                <w:sz w:val="20"/>
                <w:szCs w:val="20"/>
                <w:lang w:val="en-GB" w:eastAsia="en-GB"/>
              </w:rPr>
              <w:fldChar w:fldCharType="separate"/>
            </w:r>
            <w:r w:rsidR="00635EEF" w:rsidRPr="00FB6FB4">
              <w:rPr>
                <w:rFonts w:asciiTheme="majorBidi" w:hAnsiTheme="majorBidi" w:cstheme="majorBidi"/>
                <w:noProof/>
                <w:sz w:val="20"/>
                <w:szCs w:val="20"/>
                <w:lang w:val="en-GB" w:eastAsia="en-GB"/>
              </w:rPr>
              <w:t>Vaseyee Charmahali</w:t>
            </w:r>
            <w:r w:rsidR="004926BF" w:rsidRPr="00FB6FB4">
              <w:rPr>
                <w:rFonts w:asciiTheme="majorBidi" w:hAnsiTheme="majorBidi" w:cstheme="majorBidi"/>
                <w:noProof/>
                <w:sz w:val="20"/>
                <w:szCs w:val="20"/>
                <w:lang w:val="en-GB" w:eastAsia="en-GB"/>
              </w:rPr>
              <w:t xml:space="preserve"> et al.</w:t>
            </w:r>
            <w:r w:rsidR="00635EEF" w:rsidRPr="00FB6FB4">
              <w:rPr>
                <w:rFonts w:asciiTheme="majorBidi" w:hAnsiTheme="majorBidi" w:cstheme="majorBidi"/>
                <w:noProof/>
                <w:sz w:val="20"/>
                <w:szCs w:val="20"/>
                <w:lang w:val="en-GB" w:eastAsia="en-GB"/>
              </w:rPr>
              <w:t>202</w:t>
            </w:r>
            <w:r w:rsidR="004926BF" w:rsidRPr="00FB6FB4">
              <w:rPr>
                <w:rFonts w:asciiTheme="majorBidi" w:hAnsiTheme="majorBidi" w:cstheme="majorBidi"/>
                <w:noProof/>
                <w:sz w:val="20"/>
                <w:szCs w:val="20"/>
                <w:lang w:val="en-GB" w:eastAsia="en-GB"/>
              </w:rPr>
              <w:t>1;</w:t>
            </w:r>
            <w:r w:rsidR="001141D2" w:rsidRPr="00FB6FB4">
              <w:rPr>
                <w:noProof/>
                <w:sz w:val="20"/>
                <w:szCs w:val="20"/>
              </w:rPr>
              <w:t xml:space="preserve"> </w:t>
            </w:r>
            <w:r w:rsidR="001141D2" w:rsidRPr="00FB6FB4">
              <w:rPr>
                <w:rFonts w:asciiTheme="majorBidi" w:hAnsiTheme="majorBidi" w:cstheme="majorBidi"/>
                <w:noProof/>
                <w:sz w:val="20"/>
                <w:szCs w:val="20"/>
                <w:lang w:val="en-GB" w:eastAsia="en-GB"/>
              </w:rPr>
              <w:t>Sullivan and Gouldson, 2012</w:t>
            </w:r>
            <w:r w:rsidR="004926BF" w:rsidRPr="00FB6FB4">
              <w:rPr>
                <w:rFonts w:asciiTheme="majorBidi" w:hAnsiTheme="majorBidi" w:cstheme="majorBidi"/>
                <w:noProof/>
                <w:sz w:val="20"/>
                <w:szCs w:val="20"/>
                <w:lang w:val="en-GB" w:eastAsia="en-GB"/>
              </w:rPr>
              <w:t>;</w:t>
            </w:r>
            <w:r w:rsidR="009613F1" w:rsidRPr="00FB6FB4">
              <w:rPr>
                <w:rFonts w:asciiTheme="majorBidi" w:hAnsiTheme="majorBidi" w:cstheme="majorBidi"/>
                <w:sz w:val="20"/>
                <w:szCs w:val="20"/>
                <w:lang w:val="en-GB" w:eastAsia="en-GB"/>
              </w:rPr>
              <w:fldChar w:fldCharType="end"/>
            </w:r>
            <w:r w:rsidR="001141D2" w:rsidRPr="00FB6FB4">
              <w:rPr>
                <w:rFonts w:asciiTheme="majorBidi" w:hAnsiTheme="majorBidi" w:cstheme="majorBidi"/>
                <w:sz w:val="20"/>
                <w:szCs w:val="20"/>
                <w:lang w:val="en-GB" w:eastAsia="en-GB"/>
              </w:rPr>
              <w:t xml:space="preserve"> </w:t>
            </w:r>
            <w:proofErr w:type="spellStart"/>
            <w:r w:rsidR="00B846BB" w:rsidRPr="00FB6FB4">
              <w:rPr>
                <w:rFonts w:asciiTheme="majorBidi" w:hAnsiTheme="majorBidi" w:cstheme="majorBidi"/>
                <w:sz w:val="20"/>
                <w:szCs w:val="20"/>
                <w:lang w:val="en-GB" w:eastAsia="en-GB"/>
              </w:rPr>
              <w:t>Stanny</w:t>
            </w:r>
            <w:proofErr w:type="spellEnd"/>
            <w:r w:rsidR="004926BF" w:rsidRPr="00FB6FB4">
              <w:rPr>
                <w:rFonts w:asciiTheme="majorBidi" w:hAnsiTheme="majorBidi" w:cstheme="majorBidi"/>
                <w:sz w:val="20"/>
                <w:szCs w:val="20"/>
                <w:lang w:val="en-GB" w:eastAsia="en-GB"/>
              </w:rPr>
              <w:t>,</w:t>
            </w:r>
            <w:r w:rsidR="00B846BB" w:rsidRPr="00FB6FB4">
              <w:rPr>
                <w:rFonts w:asciiTheme="majorBidi" w:hAnsiTheme="majorBidi" w:cstheme="majorBidi"/>
                <w:sz w:val="20"/>
                <w:szCs w:val="20"/>
                <w:lang w:val="en-GB" w:eastAsia="en-GB"/>
              </w:rPr>
              <w:t xml:space="preserve"> 2013</w:t>
            </w:r>
            <w:r w:rsidR="004926BF" w:rsidRPr="00FB6FB4">
              <w:rPr>
                <w:rFonts w:asciiTheme="majorBidi" w:hAnsiTheme="majorBidi" w:cstheme="majorBidi"/>
                <w:sz w:val="20"/>
                <w:szCs w:val="20"/>
                <w:lang w:val="en-GB" w:eastAsia="en-GB"/>
              </w:rPr>
              <w:t>;</w:t>
            </w:r>
            <w:r w:rsidR="0078012C"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{"citationItems":[{"id":"ITEM-1","itemData":{"DOI":"10.1108/AAAJ-12-2013-1547","ISBN":"1220131547","ISSN":"09513574","abstract":"Purpose – The purpose of this paper is to seek to shed light on the practice of incomplete corporate disclosure of quantitative Greenhouse gas (GHG) emissions and investigates whether external stakeholder pressure influences the existence, and separately, the completeness of voluntary GHG emissions disclosures by 431 European companies. Design/methodology/approach – A classification of reporting completeness is developed with respect to the scope, type and reporting boundary of GHG emissions based on the guidelines of the GHG Protocol, Global Reporting Initiative and the Carbon Disclosure Project. Logistic regression analysis is applied to examine whether proxies for exposure to climate change concerns from different stakeholder groups influence the existence and/or completeness of quantitative GHG emissions disclosure. Findings – From 2005 to 2009, on average only 15 percent of companies that disclose GHG emissions report them in a manner that the authors consider complete. Results of regression analyses suggest that external stakeholder pressure is a determinant of the existence but not the completeness of emissions disclosure. Findings are consistent with stakeholder theory arguments that companies respond to external stakeholder pressure to report GHG emissions, but also with legitimacy theory claims that firms can use carbon disclosure, in this case the incomplete reporting of emissions, as a symbolic act to address legitimacy exposures. Practical implications – Bringing corporate GHG emissions disclosure in line with recommended guidelines will require either more direct stakeholder pressure or, perhaps, a mandated disclosure regime. In the meantime, users of the data will need to carefully consider the relevance of the reported data and develop the necessary competencies to detect and control for its incompleteness. A more troubling concern is that stakeholders may instead grow to accept less than complete disclosure. Originality/value – The paper represents the first large-scale empirical study into the completeness of companies’ disclosure of quantitative GHG emissions and is the first to analyze these disclosures in the context of stakeholder pressure and its relation to legitimation.","author":[{"dropping-particle":"","family":"Liesen","given":"Andrea","non-dropping-particle":"","parse-names":false,"suffix":""},{"dropping-particle":"","family":"Hoepner","given":"Andreas G.","non-dropping-particle":"","parse-names":false,"suffix":""},{"dropping-particle":"","family":"Patten","given":"Dennis M.","non-dropping-particle":"","parse-names":false,"suffix":""},{"dropping-particle":"","family":"Figge","given":"Frank","non-dropping-particle":"","parse-names":false,"suffix":""}],"container-title":"Accounting, Auditing and Accountability Journal","id":"ITEM-1","issue":"7","issued":{"date-parts":[["2015"]]},"page":"1047-1074","title":"Does stakeholder pressure influence corporate GHG emissions reporting? Empirical evidence from Europe","type":"article-journal","volume":"28"},"uris":["http://www.mendeley.com/documents/?uuid=75b800ff-55c5-4f86-9cfc-f0594ab6f43a"]}],"mendeley":{"formattedCitation":"(Liesen, Hoepner, Patten, &amp; Figge, 2015)","manualFormatting":"Liesen et al. 2015;","plainTextFormattedCitation":"(Liesen, Hoepner, Patten, &amp; Figge, 2015)","previouslyFormattedCitation":"(Liesen, Hoepner, Patten, &amp; Figge, 2015)"},"properties":{"noteIndex":0},"schema":"https://github.com/citation-style-language/schema/raw/master/csl-citation.json"}</w:instrText>
            </w:r>
            <w:r w:rsidR="0078012C" w:rsidRPr="00FB6FB4">
              <w:rPr>
                <w:rFonts w:asciiTheme="majorBidi" w:hAnsiTheme="majorBidi" w:cstheme="majorBidi"/>
                <w:sz w:val="20"/>
                <w:szCs w:val="20"/>
                <w:lang w:val="en-GB" w:eastAsia="en-GB"/>
              </w:rPr>
              <w:fldChar w:fldCharType="separate"/>
            </w:r>
            <w:r w:rsidR="00635EEF" w:rsidRPr="00FB6FB4">
              <w:rPr>
                <w:rFonts w:asciiTheme="majorBidi" w:hAnsiTheme="majorBidi" w:cstheme="majorBidi"/>
                <w:noProof/>
                <w:sz w:val="20"/>
                <w:szCs w:val="20"/>
                <w:lang w:val="en-GB" w:eastAsia="en-GB"/>
              </w:rPr>
              <w:t>Liesen et al. 2015</w:t>
            </w:r>
            <w:r w:rsidR="004926BF" w:rsidRPr="00FB6FB4">
              <w:rPr>
                <w:rFonts w:asciiTheme="majorBidi" w:hAnsiTheme="majorBidi" w:cstheme="majorBidi"/>
                <w:noProof/>
                <w:sz w:val="20"/>
                <w:szCs w:val="20"/>
                <w:lang w:val="en-GB" w:eastAsia="en-GB"/>
              </w:rPr>
              <w:t>;</w:t>
            </w:r>
            <w:r w:rsidR="0078012C" w:rsidRPr="00FB6FB4">
              <w:rPr>
                <w:rFonts w:asciiTheme="majorBidi" w:hAnsiTheme="majorBidi" w:cstheme="majorBidi"/>
                <w:sz w:val="20"/>
                <w:szCs w:val="20"/>
                <w:lang w:val="en-GB" w:eastAsia="en-GB"/>
              </w:rPr>
              <w:fldChar w:fldCharType="end"/>
            </w:r>
            <w:r w:rsidR="00F77328"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{"citationItems":[{"id":"ITEM-1","itemData":{"DOI":"10.1108/02686901311284531","ISSN":"02686902","abstract":"Purpose: The purpose of this paper is to investigate the factors driving greenhouse gas reporting by Chinese companies. Design/methodology/approach: Content analysis of annual reports and corporate social responsibility (CSR) reports for the year 2010 of the top 100 A-share companies listed on Shanghai Stock Exchange was conducted to investigate the extent of greenhouse gas reporting. Multiple regression analysis was performed to determine the factors driving these companies' greenhouse gas reporting. Findings: It was found that most Chinese companies reported neutral and good news. The results also indicate larger companies operating in an industry which has higher level of carbon dioxide emissions tend to have higher levels of greenhouse gas disclosures, consistent with the expectation of legitimacy theory. However, profitability and overseas listing were not significantly related to greenhouse gas reporting. This is consistent with the findings of previous literature. Finally, contrary to expectations, state-owned companies report less greenhouse gas information than private companies. Originality/value: The paper contributes towards theory development by testing legitimacy theory in the context of greenhouse gas reporting by Chinese companies and contributes to existing literature on greenhouse gas reporting by focussing on the large emerging economy of China. The practical contribution of the paper rests in the area of accounting practice. The results outline the dearth in greenhouse gas reporting by Chinese companies, suggesting there needs to be future development of accounting standards in this area. © Emerald Group Publishing Limited.","author":[{"dropping-particle":"","family":"Chu","given":"Choi Ieng","non-dropping-particle":"","parse-names":false,"suffix":""},{"dropping-particle":"","family":"Chatterjee","given":"Bikram","non-dropping-particle":"","parse-names":false,"suffix":""},{"dropping-particle":"","family":"Brown","given":"Alistair","non-dropping-particle":"","parse-names":false,"suffix":""}],"container-title":"Managerial Auditing Journal","id":"ITEM-1","issue":"2","issued":{"date-parts":[["2013"]]},"page":"114-139","title":"The current status of greenhouse gas reporting by Chinese companies: A test of legitimacy theory","type":"article-journal","volume":"28"},"uris":["http://www.mendeley.com/documents/?uuid=ab7e8b32-f61c-4fc3-81a6-a4655c0fc750"]}],"mendeley":{"formattedCitation":"(Chu et al., 2013)","manualFormatting":"Chu et al. 2013:","plainTextFormattedCitation":"(Chu et al., 2013)","previouslyFormattedCitation":"(Chu et al., 2013)"},"properties":{"noteIndex":0},"schema":"https://github.com/citation-style-language/schema/raw/master/csl-citation.json"}</w:instrText>
            </w:r>
            <w:r w:rsidR="00F77328" w:rsidRPr="00FB6FB4">
              <w:rPr>
                <w:rFonts w:asciiTheme="majorBidi" w:hAnsiTheme="majorBidi" w:cstheme="majorBidi"/>
                <w:sz w:val="20"/>
                <w:szCs w:val="20"/>
                <w:lang w:val="en-GB" w:eastAsia="en-GB"/>
              </w:rPr>
              <w:fldChar w:fldCharType="separate"/>
            </w:r>
            <w:r w:rsidR="00635EEF" w:rsidRPr="00FB6FB4">
              <w:rPr>
                <w:rFonts w:asciiTheme="majorBidi" w:hAnsiTheme="majorBidi" w:cstheme="majorBidi"/>
                <w:noProof/>
                <w:sz w:val="20"/>
                <w:szCs w:val="20"/>
                <w:lang w:val="en-GB" w:eastAsia="en-GB"/>
              </w:rPr>
              <w:t>Chu</w:t>
            </w:r>
            <w:r w:rsidR="004926BF" w:rsidRPr="00FB6FB4">
              <w:rPr>
                <w:rFonts w:asciiTheme="majorBidi" w:hAnsiTheme="majorBidi" w:cstheme="majorBidi"/>
                <w:noProof/>
                <w:sz w:val="20"/>
                <w:szCs w:val="20"/>
                <w:lang w:val="en-GB" w:eastAsia="en-GB"/>
              </w:rPr>
              <w:t xml:space="preserve"> et al. </w:t>
            </w:r>
            <w:r w:rsidR="00635EEF" w:rsidRPr="00FB6FB4">
              <w:rPr>
                <w:rFonts w:asciiTheme="majorBidi" w:hAnsiTheme="majorBidi" w:cstheme="majorBidi"/>
                <w:noProof/>
                <w:sz w:val="20"/>
                <w:szCs w:val="20"/>
                <w:lang w:val="en-GB" w:eastAsia="en-GB"/>
              </w:rPr>
              <w:t>2013</w:t>
            </w:r>
            <w:r w:rsidR="00B846BB" w:rsidRPr="00FB6FB4">
              <w:rPr>
                <w:rFonts w:asciiTheme="majorBidi" w:hAnsiTheme="majorBidi" w:cstheme="majorBidi"/>
                <w:noProof/>
                <w:sz w:val="20"/>
                <w:szCs w:val="20"/>
                <w:lang w:val="en-GB" w:eastAsia="en-GB"/>
              </w:rPr>
              <w:t>:</w:t>
            </w:r>
            <w:r w:rsidR="00F77328" w:rsidRPr="00FB6FB4">
              <w:rPr>
                <w:rFonts w:asciiTheme="majorBidi" w:hAnsiTheme="majorBidi" w:cstheme="majorBidi"/>
                <w:sz w:val="20"/>
                <w:szCs w:val="20"/>
                <w:lang w:val="en-GB" w:eastAsia="en-GB"/>
              </w:rPr>
              <w:fldChar w:fldCharType="end"/>
            </w:r>
            <w:r w:rsidR="00140485" w:rsidRPr="00FB6FB4">
              <w:rPr>
                <w:rFonts w:asciiTheme="majorBidi" w:hAnsiTheme="majorBidi" w:cstheme="majorBidi"/>
                <w:sz w:val="20"/>
                <w:szCs w:val="20"/>
                <w:lang w:val="en-GB" w:eastAsia="en-GB"/>
              </w:rPr>
              <w:fldChar w:fldCharType="begin" w:fldLock="1"/>
            </w:r>
            <w:r w:rsidR="00746CE5" w:rsidRPr="00FB6FB4">
              <w:rPr>
                <w:rFonts w:asciiTheme="majorBidi" w:hAnsiTheme="majorBidi" w:cstheme="majorBidi"/>
                <w:sz w:val="20"/>
                <w:szCs w:val="20"/>
                <w:lang w:val="en-GB" w:eastAsia="en-GB"/>
              </w:rPr>
              <w:instrText>ADDIN CSL_CITATION {"citationItems":[{"id":"ITEM-1","itemData":{"DOI":"10.1108/ARA-01-2015-0007","ISSN":"17588863","abstract":"Purpose-The purpose of this paper is to investigate how firm-and country-level determinants affect corporate ecological transparency. Design/methodology/approach-The study utilizes multiple theories that are commonly used by corporate social responsibility studies to explain the corporate ecological transparency. Based on a sample of 243 Global 500 firms, the authors examine the impact of shareholders' interest in ecological information, creditors' concern, firm size, industry membership, the presence of emission trading scheme (ETS), stringency of environmental regulations on corporate ecological transparency. Findings-The paper documents evidence that larger firms, firms in GHG-intensive sectors, and highly leveraged firms tend to produce more ecological disclosures. In addition, ecological transparency is higher in countries with an ETS and increases with more stringent environmental regulation. Finally, the authors find little evidence that shareholders of these firms are concerned with this information. Research limitations/implications-The sample is restricted to the largest firms with relevant carbon profile information. Thus, caution should be exercised when generalizing the inferences. Practical implications-Sustainability has become one of the most importance topics in business agenda. Firms' attitude and decision about the ecological transparency will affect internal firm performance, external stakeholder engagement, and policy makers' attention. It determines the firms' long-term operation and development. Originality/value-The study contributes to the literature by utilizing multiple theories to explain ecological transparency. Each of the theories provided only a partial explanation for ecological transparency. Thus, we need to consider the firms' behaviors from multiple dimensions. In particular, stakeholder theory and institutional theory are the dominant perspectives accounting for managers' propensity to disclose a firm's ecological footprint.","author":[{"dropping-particle":"","family":"Tang","given":"Qingliang","non-dropping-particle":"","parse-names":false,"suffix":""},{"dropping-particle":"","family":"Luo","given":"Le","non-dropping-particle":"","parse-names":false,"suffix":""}],"container-title":"Asian Review of Accounting","id":"ITEM-1","issue":"4","issued":{"date-parts":[["2016"]]},"page":"498-524","title":"Corporate ecological transparency: Theories and empirical evidence","type":"article-journal","volume":"24"},"uris":["http://www.mendeley.com/documents/?uuid=3b97c563-e10d-47c7-8f8f-89c6829ef6ce"]}],"mendeley":{"formattedCitation":"(Qingliang Tang &amp; Luo, 2016)","manualFormatting":"Qingliang Tang and Luo 2016","plainTextFormattedCitation":"(Qingliang Tang &amp; Luo, 2016)","previouslyFormattedCitation":"(Qingliang Tang &amp; Luo, 2016)"},"properties":{"noteIndex":0},"schema":"https://github.com/citation-style-language/schema/raw/master/csl-citation.json"}</w:instrText>
            </w:r>
            <w:r w:rsidR="00140485" w:rsidRPr="00FB6FB4">
              <w:rPr>
                <w:rFonts w:asciiTheme="majorBidi" w:hAnsiTheme="majorBidi" w:cstheme="majorBidi"/>
                <w:sz w:val="20"/>
                <w:szCs w:val="20"/>
                <w:lang w:val="en-GB" w:eastAsia="en-GB"/>
              </w:rPr>
              <w:fldChar w:fldCharType="separate"/>
            </w:r>
            <w:r w:rsidR="00635EEF" w:rsidRPr="00FB6FB4">
              <w:rPr>
                <w:rFonts w:asciiTheme="majorBidi" w:hAnsiTheme="majorBidi" w:cstheme="majorBidi"/>
                <w:noProof/>
                <w:sz w:val="20"/>
                <w:szCs w:val="20"/>
                <w:lang w:val="en-GB" w:eastAsia="en-GB"/>
              </w:rPr>
              <w:t>Qingliang Tang and Luo 2016</w:t>
            </w:r>
            <w:r w:rsidR="00140485" w:rsidRPr="00FB6FB4">
              <w:rPr>
                <w:rFonts w:asciiTheme="majorBidi" w:hAnsiTheme="majorBidi" w:cstheme="majorBidi"/>
                <w:sz w:val="20"/>
                <w:szCs w:val="20"/>
                <w:lang w:val="en-GB" w:eastAsia="en-GB"/>
              </w:rPr>
              <w:fldChar w:fldCharType="end"/>
            </w:r>
            <w:r w:rsidR="000F258E" w:rsidRPr="00FB6FB4">
              <w:rPr>
                <w:rFonts w:asciiTheme="majorBidi" w:hAnsiTheme="majorBidi" w:cstheme="majorBidi"/>
                <w:sz w:val="20"/>
                <w:szCs w:val="20"/>
                <w:lang w:val="en-GB" w:eastAsia="en-GB"/>
              </w:rPr>
              <w:fldChar w:fldCharType="begin" w:fldLock="1"/>
            </w:r>
            <w:r w:rsidR="004926BF" w:rsidRPr="00FB6FB4">
              <w:rPr>
                <w:rFonts w:asciiTheme="majorBidi" w:hAnsiTheme="majorBidi" w:cstheme="majorBidi"/>
                <w:sz w:val="20"/>
                <w:szCs w:val="20"/>
                <w:lang w:val="en-GB" w:eastAsia="en-GB"/>
              </w:rPr>
              <w:instrText>ADDIN CSL_CITATION {"citationItems":[{"id":"ITEM-1","itemData":{"DOI":"10.1111/j.1467-646X.2012.01055.x","ISSN":"09541314","abstract":"We investigate how the Global 500 companies respond to the challenge of climate change with regard to their carbon disclosure strategies. This paper is motivated by a growing body of research that examines the role of large companies in carbon disclosure responsibility and practices. We consider the impact of social, financial market, economic, regulatory, and institutional factors on the motivation to voluntarily participate in the 2009 Carbon Disclosure Project. We find that economic pressure is significantly associated with the decision. That is, companies facing direct economic consequence are more likely to disclose. Companies in greenhouse gas (GHG) intensive sectors show the same tendency. In addition, big companies have a higher propensity for disclosing, suggesting that social pressure plays an important role. We also provide possible explanations as to why a large proportion of our sample firms refuse to disclose. Furthermore, our results suggest that the proxies for information needs of investors are not associated with a higher propensity to disclose the amount of their emission footprints. In sum, it appears that the major driving force for climate change disclosure comes from the general public and government rather than from the other major stakeholders such as shareholders and debtholders. Our results are robust after controlling for other influences. © 2012 Blackwell Publishing Ltd.","author":[{"dropping-particle":"","family":"Luo","given":"Le","non-dropping-particle":"","parse-names":false,"suffix":""},{"dropping-particle":"","family":"Lan","given":"Yi Chen","non-dropping-particle":"","parse-names":false,"suffix":""},{"dropping-particle":"","family":"Tang","given":"Qingliang","non-dropping-particle":"","parse-names":false,"suffix":""}],"container-title":"Journal of International Financial Management and Accounting","id":"ITEM-1","issue":"2","issued":{"date-parts":[["2012"]]},"page":"93-120","title":"Corporate Incentives to Disclose Carbon Information: Evidence from the CDP Global 500 Report","type":"article-journal","volume":"23"},"uris":["http://www.mendeley.com/documents/?uuid=795c5034-2720-4138-aedf-36295ee6a5a2"]}],"mendeley":{"formattedCitation":"(Luo, Lan, &amp; Tang, 2012)","manualFormatting":";Luo et al. 2012)","plainTextFormattedCitation":"(Luo, Lan, &amp; Tang, 2012)","previouslyFormattedCitation":"(Luo, Lan, &amp; Tang, 2012)"},"properties":{"noteIndex":0},"schema":"https://github.com/citation-style-language/schema/raw/master/csl-citation.json"}</w:instrText>
            </w:r>
            <w:r w:rsidR="000F258E" w:rsidRPr="00FB6FB4">
              <w:rPr>
                <w:rFonts w:asciiTheme="majorBidi" w:hAnsiTheme="majorBidi" w:cstheme="majorBidi"/>
                <w:sz w:val="20"/>
                <w:szCs w:val="20"/>
                <w:lang w:val="en-GB" w:eastAsia="en-GB"/>
              </w:rPr>
              <w:fldChar w:fldCharType="separate"/>
            </w:r>
            <w:r w:rsidR="004926BF" w:rsidRPr="00FB6FB4">
              <w:rPr>
                <w:rFonts w:asciiTheme="majorBidi" w:hAnsiTheme="majorBidi" w:cstheme="majorBidi"/>
                <w:noProof/>
                <w:sz w:val="20"/>
                <w:szCs w:val="20"/>
                <w:lang w:val="en-GB" w:eastAsia="en-GB"/>
              </w:rPr>
              <w:t>;</w:t>
            </w:r>
            <w:r w:rsidR="00635EEF" w:rsidRPr="00FB6FB4">
              <w:rPr>
                <w:rFonts w:asciiTheme="majorBidi" w:hAnsiTheme="majorBidi" w:cstheme="majorBidi"/>
                <w:noProof/>
                <w:sz w:val="20"/>
                <w:szCs w:val="20"/>
                <w:lang w:val="en-GB" w:eastAsia="en-GB"/>
              </w:rPr>
              <w:t>Luo</w:t>
            </w:r>
            <w:r w:rsidR="004926BF" w:rsidRPr="00FB6FB4">
              <w:rPr>
                <w:rFonts w:asciiTheme="majorBidi" w:hAnsiTheme="majorBidi" w:cstheme="majorBidi"/>
                <w:noProof/>
                <w:sz w:val="20"/>
                <w:szCs w:val="20"/>
                <w:lang w:val="en-GB" w:eastAsia="en-GB"/>
              </w:rPr>
              <w:t xml:space="preserve"> et al.</w:t>
            </w:r>
            <w:r w:rsidR="00635EEF" w:rsidRPr="00FB6FB4">
              <w:rPr>
                <w:rFonts w:asciiTheme="majorBidi" w:hAnsiTheme="majorBidi" w:cstheme="majorBidi"/>
                <w:noProof/>
                <w:sz w:val="20"/>
                <w:szCs w:val="20"/>
                <w:lang w:val="en-GB" w:eastAsia="en-GB"/>
              </w:rPr>
              <w:t xml:space="preserve"> 2012)</w:t>
            </w:r>
            <w:r w:rsidR="000F258E" w:rsidRPr="00FB6FB4">
              <w:rPr>
                <w:rFonts w:asciiTheme="majorBidi" w:hAnsiTheme="majorBidi" w:cstheme="majorBidi"/>
                <w:sz w:val="20"/>
                <w:szCs w:val="20"/>
                <w:lang w:val="en-GB" w:eastAsia="en-GB"/>
              </w:rPr>
              <w:fldChar w:fldCharType="end"/>
            </w:r>
            <w:r w:rsidR="004926BF" w:rsidRPr="00FB6FB4">
              <w:rPr>
                <w:rFonts w:asciiTheme="majorBidi" w:hAnsiTheme="majorBidi" w:cstheme="majorBidi"/>
                <w:sz w:val="20"/>
                <w:szCs w:val="20"/>
                <w:lang w:val="en-GB" w:eastAsia="en-GB"/>
              </w:rPr>
              <w:t>.</w:t>
            </w:r>
          </w:p>
        </w:tc>
      </w:tr>
      <w:tr w:rsidR="00B76134" w:rsidRPr="00FB6E35" w14:paraId="42BD60AB" w14:textId="2B09FFDA" w:rsidTr="00CF3C7B">
        <w:tc>
          <w:tcPr>
            <w:tcW w:w="1786" w:type="dxa"/>
          </w:tcPr>
          <w:p w14:paraId="294D0328" w14:textId="6BB569AE" w:rsidR="00E728B0" w:rsidRPr="0097238F" w:rsidRDefault="00E728B0" w:rsidP="00CD3090">
            <w:pPr>
              <w:pStyle w:val="NormalWeb"/>
              <w:shd w:val="clear" w:color="auto" w:fill="FFFFFF"/>
              <w:rPr>
                <w:rFonts w:asciiTheme="majorBidi" w:hAnsiTheme="majorBidi" w:cstheme="majorBidi"/>
                <w:b/>
                <w:bCs/>
                <w:sz w:val="20"/>
                <w:szCs w:val="20"/>
              </w:rPr>
            </w:pPr>
            <w:r w:rsidRPr="0097238F">
              <w:rPr>
                <w:rFonts w:asciiTheme="majorBidi" w:hAnsiTheme="majorBidi" w:cstheme="majorBidi"/>
                <w:b/>
                <w:bCs/>
                <w:sz w:val="20"/>
                <w:szCs w:val="20"/>
              </w:rPr>
              <w:t xml:space="preserve">Firm factors  </w:t>
            </w:r>
          </w:p>
        </w:tc>
        <w:tc>
          <w:tcPr>
            <w:tcW w:w="4276" w:type="dxa"/>
          </w:tcPr>
          <w:p w14:paraId="0A7EEFAC" w14:textId="500018BE" w:rsidR="00E728B0" w:rsidRPr="00FB6FB4" w:rsidRDefault="004926BF">
            <w:pPr>
              <w:pStyle w:val="NormalWeb"/>
              <w:jc w:val="both"/>
              <w:rPr>
                <w:rFonts w:asciiTheme="majorBidi" w:hAnsiTheme="majorBidi" w:cstheme="majorBidi"/>
                <w:sz w:val="20"/>
                <w:szCs w:val="20"/>
              </w:rPr>
            </w:pPr>
            <w:r w:rsidRPr="00FB6FB4">
              <w:rPr>
                <w:rFonts w:asciiTheme="majorBidi" w:hAnsiTheme="majorBidi" w:cstheme="majorBidi"/>
                <w:sz w:val="20"/>
                <w:szCs w:val="20"/>
                <w:lang w:val="en-GB" w:eastAsia="en-GB"/>
              </w:rPr>
              <w:t>L</w:t>
            </w:r>
            <w:r w:rsidR="00E728B0" w:rsidRPr="00FB6FB4">
              <w:rPr>
                <w:rFonts w:asciiTheme="majorBidi" w:hAnsiTheme="majorBidi" w:cstheme="majorBidi"/>
                <w:sz w:val="20"/>
                <w:szCs w:val="20"/>
                <w:lang w:val="en-GB" w:eastAsia="en-GB"/>
              </w:rPr>
              <w:t>arger firms</w:t>
            </w:r>
            <w:r w:rsidRPr="00FB6FB4">
              <w:rPr>
                <w:rFonts w:asciiTheme="majorBidi" w:hAnsiTheme="majorBidi" w:cstheme="majorBidi"/>
                <w:sz w:val="20"/>
                <w:szCs w:val="20"/>
                <w:lang w:val="en-GB" w:eastAsia="en-GB"/>
              </w:rPr>
              <w:t>-F</w:t>
            </w:r>
            <w:r w:rsidR="00E728B0" w:rsidRPr="00FB6FB4">
              <w:rPr>
                <w:rFonts w:asciiTheme="majorBidi" w:hAnsiTheme="majorBidi" w:cstheme="majorBidi"/>
                <w:sz w:val="20"/>
                <w:szCs w:val="20"/>
                <w:lang w:val="en-GB" w:eastAsia="en-GB"/>
              </w:rPr>
              <w:t>inancial resources</w:t>
            </w:r>
            <w:r w:rsidRPr="00FB6FB4">
              <w:rPr>
                <w:rFonts w:asciiTheme="majorBidi" w:hAnsiTheme="majorBidi" w:cstheme="majorBidi"/>
                <w:sz w:val="20"/>
                <w:szCs w:val="20"/>
                <w:lang w:val="en-GB" w:eastAsia="en-GB"/>
              </w:rPr>
              <w:t>-</w:t>
            </w:r>
            <w:r w:rsidR="00E728B0" w:rsidRPr="00FB6FB4">
              <w:rPr>
                <w:rFonts w:asciiTheme="majorBidi" w:hAnsiTheme="majorBidi" w:cstheme="majorBidi"/>
                <w:sz w:val="20"/>
                <w:szCs w:val="20"/>
                <w:lang w:val="en-GB" w:eastAsia="en-GB"/>
              </w:rPr>
              <w:t xml:space="preserve"> </w:t>
            </w:r>
            <w:r w:rsidRPr="00FB6FB4">
              <w:rPr>
                <w:rFonts w:asciiTheme="majorBidi" w:hAnsiTheme="majorBidi" w:cstheme="majorBidi"/>
                <w:sz w:val="20"/>
                <w:szCs w:val="20"/>
                <w:lang w:val="en-GB" w:eastAsia="en-GB"/>
              </w:rPr>
              <w:t>T</w:t>
            </w:r>
            <w:r w:rsidR="00E728B0" w:rsidRPr="00FB6FB4">
              <w:rPr>
                <w:rFonts w:asciiTheme="majorBidi" w:hAnsiTheme="majorBidi" w:cstheme="majorBidi"/>
                <w:sz w:val="20"/>
                <w:szCs w:val="20"/>
                <w:lang w:val="en-GB" w:eastAsia="en-GB"/>
              </w:rPr>
              <w:t>he value of the company in society</w:t>
            </w:r>
            <w:r w:rsidRPr="00FB6FB4">
              <w:rPr>
                <w:rFonts w:asciiTheme="majorBidi" w:hAnsiTheme="majorBidi" w:cstheme="majorBidi"/>
                <w:sz w:val="20"/>
                <w:szCs w:val="20"/>
                <w:lang w:val="en-GB" w:eastAsia="en-GB"/>
              </w:rPr>
              <w:t>-</w:t>
            </w:r>
            <w:r w:rsidR="00E728B0" w:rsidRPr="00FB6FB4">
              <w:rPr>
                <w:rFonts w:asciiTheme="majorBidi" w:hAnsiTheme="majorBidi" w:cstheme="majorBidi"/>
                <w:sz w:val="20"/>
                <w:szCs w:val="20"/>
                <w:lang w:val="en-GB" w:eastAsia="en-GB"/>
              </w:rPr>
              <w:t xml:space="preserve"> </w:t>
            </w:r>
            <w:proofErr w:type="spellStart"/>
            <w:r w:rsidRPr="00FB6FB4">
              <w:rPr>
                <w:rFonts w:asciiTheme="majorBidi" w:hAnsiTheme="majorBidi" w:cstheme="majorBidi"/>
                <w:sz w:val="20"/>
                <w:szCs w:val="20"/>
                <w:lang w:val="en-GB" w:eastAsia="en-GB"/>
              </w:rPr>
              <w:t>T</w:t>
            </w:r>
            <w:r w:rsidR="00E728B0" w:rsidRPr="00FB6FB4">
              <w:rPr>
                <w:rFonts w:asciiTheme="majorBidi" w:hAnsiTheme="majorBidi" w:cstheme="majorBidi"/>
                <w:sz w:val="20"/>
                <w:szCs w:val="20"/>
                <w:lang w:val="en-GB" w:eastAsia="en-GB"/>
              </w:rPr>
              <w:t>ntensive</w:t>
            </w:r>
            <w:proofErr w:type="spellEnd"/>
            <w:r w:rsidR="00E728B0" w:rsidRPr="00FB6FB4">
              <w:rPr>
                <w:rFonts w:asciiTheme="majorBidi" w:hAnsiTheme="majorBidi" w:cstheme="majorBidi"/>
                <w:sz w:val="20"/>
                <w:szCs w:val="20"/>
                <w:lang w:val="en-GB" w:eastAsia="en-GB"/>
              </w:rPr>
              <w:t xml:space="preserve"> sectors</w:t>
            </w:r>
            <w:r w:rsidRPr="00FB6FB4">
              <w:rPr>
                <w:rFonts w:asciiTheme="majorBidi" w:hAnsiTheme="majorBidi" w:cstheme="majorBidi"/>
                <w:sz w:val="20"/>
                <w:szCs w:val="20"/>
                <w:lang w:val="en-GB" w:eastAsia="en-GB"/>
              </w:rPr>
              <w:t>-T</w:t>
            </w:r>
            <w:r w:rsidR="00E728B0" w:rsidRPr="00FB6FB4">
              <w:rPr>
                <w:rFonts w:asciiTheme="majorBidi" w:hAnsiTheme="majorBidi" w:cstheme="majorBidi"/>
                <w:sz w:val="20"/>
                <w:szCs w:val="20"/>
                <w:lang w:val="en-GB" w:eastAsia="en-GB"/>
              </w:rPr>
              <w:t>he policies of gender diversity</w:t>
            </w:r>
            <w:r w:rsidRPr="00FB6FB4">
              <w:rPr>
                <w:rFonts w:asciiTheme="majorBidi" w:hAnsiTheme="majorBidi" w:cstheme="majorBidi"/>
                <w:sz w:val="20"/>
                <w:szCs w:val="20"/>
                <w:lang w:val="en-GB" w:eastAsia="en-GB"/>
              </w:rPr>
              <w:t>-B</w:t>
            </w:r>
            <w:proofErr w:type="spellStart"/>
            <w:r w:rsidR="00E728B0" w:rsidRPr="00FB6FB4">
              <w:rPr>
                <w:rFonts w:asciiTheme="majorBidi" w:hAnsiTheme="majorBidi" w:cstheme="majorBidi"/>
                <w:sz w:val="20"/>
                <w:szCs w:val="20"/>
              </w:rPr>
              <w:t>oard</w:t>
            </w:r>
            <w:proofErr w:type="spellEnd"/>
            <w:r w:rsidR="00E728B0" w:rsidRPr="00FB6FB4">
              <w:rPr>
                <w:rFonts w:asciiTheme="majorBidi" w:hAnsiTheme="majorBidi" w:cstheme="majorBidi"/>
                <w:sz w:val="20"/>
                <w:szCs w:val="20"/>
              </w:rPr>
              <w:t xml:space="preserve"> </w:t>
            </w:r>
            <w:proofErr w:type="gramStart"/>
            <w:r w:rsidR="00E728B0" w:rsidRPr="00FB6FB4">
              <w:rPr>
                <w:rFonts w:asciiTheme="majorBidi" w:hAnsiTheme="majorBidi" w:cstheme="majorBidi"/>
                <w:sz w:val="20"/>
                <w:szCs w:val="20"/>
              </w:rPr>
              <w:t>diversity</w:t>
            </w:r>
            <w:proofErr w:type="gramEnd"/>
            <w:r w:rsidRPr="00FB6FB4">
              <w:rPr>
                <w:rFonts w:asciiTheme="majorBidi" w:hAnsiTheme="majorBidi" w:cstheme="majorBidi"/>
                <w:sz w:val="20"/>
                <w:szCs w:val="20"/>
              </w:rPr>
              <w:t>-A</w:t>
            </w:r>
            <w:proofErr w:type="spellStart"/>
            <w:r w:rsidR="00E728B0" w:rsidRPr="00FB6FB4">
              <w:rPr>
                <w:rFonts w:asciiTheme="majorBidi" w:hAnsiTheme="majorBidi" w:cstheme="majorBidi"/>
                <w:sz w:val="20"/>
                <w:szCs w:val="20"/>
                <w:lang w:val="en-GB" w:eastAsia="en-GB"/>
              </w:rPr>
              <w:t>ge</w:t>
            </w:r>
            <w:proofErr w:type="spellEnd"/>
            <w:r w:rsidR="00E728B0" w:rsidRPr="00FB6FB4">
              <w:rPr>
                <w:rFonts w:asciiTheme="majorBidi" w:hAnsiTheme="majorBidi" w:cstheme="majorBidi"/>
                <w:sz w:val="20"/>
                <w:szCs w:val="20"/>
                <w:lang w:val="en-GB" w:eastAsia="en-GB"/>
              </w:rPr>
              <w:t xml:space="preserve"> of the assets</w:t>
            </w:r>
            <w:r w:rsidRPr="00FB6FB4">
              <w:rPr>
                <w:rFonts w:asciiTheme="majorBidi" w:hAnsiTheme="majorBidi" w:cstheme="majorBidi"/>
                <w:sz w:val="20"/>
                <w:szCs w:val="20"/>
                <w:lang w:val="en-GB" w:eastAsia="en-GB"/>
              </w:rPr>
              <w:t>-D</w:t>
            </w:r>
            <w:proofErr w:type="spellStart"/>
            <w:r w:rsidR="00E728B0" w:rsidRPr="00FB6FB4">
              <w:rPr>
                <w:rFonts w:asciiTheme="majorBidi" w:hAnsiTheme="majorBidi" w:cstheme="majorBidi"/>
                <w:sz w:val="20"/>
                <w:szCs w:val="20"/>
              </w:rPr>
              <w:t>irector</w:t>
            </w:r>
            <w:proofErr w:type="spellEnd"/>
            <w:r w:rsidR="00E728B0" w:rsidRPr="00FB6FB4">
              <w:rPr>
                <w:rFonts w:asciiTheme="majorBidi" w:hAnsiTheme="majorBidi" w:cstheme="majorBidi"/>
                <w:sz w:val="20"/>
                <w:szCs w:val="20"/>
              </w:rPr>
              <w:t xml:space="preserve"> </w:t>
            </w:r>
            <w:r w:rsidR="00CF3C7B" w:rsidRPr="00FB6FB4">
              <w:rPr>
                <w:rFonts w:asciiTheme="majorBidi" w:hAnsiTheme="majorBidi" w:cstheme="majorBidi"/>
                <w:sz w:val="20"/>
                <w:szCs w:val="20"/>
              </w:rPr>
              <w:t>ownership- L</w:t>
            </w:r>
            <w:proofErr w:type="spellStart"/>
            <w:r w:rsidR="00E728B0" w:rsidRPr="00FB6FB4">
              <w:rPr>
                <w:rFonts w:asciiTheme="majorBidi" w:hAnsiTheme="majorBidi" w:cstheme="majorBidi"/>
                <w:sz w:val="20"/>
                <w:szCs w:val="20"/>
                <w:lang w:val="en-GB" w:eastAsia="en-GB"/>
              </w:rPr>
              <w:t>isting</w:t>
            </w:r>
            <w:proofErr w:type="spellEnd"/>
            <w:r w:rsidR="00E728B0" w:rsidRPr="00FB6FB4">
              <w:rPr>
                <w:rFonts w:asciiTheme="majorBidi" w:hAnsiTheme="majorBidi" w:cstheme="majorBidi"/>
                <w:sz w:val="20"/>
                <w:szCs w:val="20"/>
                <w:lang w:val="en-GB" w:eastAsia="en-GB"/>
              </w:rPr>
              <w:t xml:space="preserve"> status</w:t>
            </w:r>
            <w:r w:rsidR="00CF3C7B" w:rsidRPr="00FB6FB4">
              <w:rPr>
                <w:rFonts w:asciiTheme="majorBidi" w:hAnsiTheme="majorBidi" w:cstheme="majorBidi"/>
                <w:sz w:val="20"/>
                <w:szCs w:val="20"/>
                <w:lang w:val="en-GB" w:eastAsia="en-GB"/>
              </w:rPr>
              <w:t>-F</w:t>
            </w:r>
            <w:r w:rsidR="00E728B0" w:rsidRPr="00FB6FB4">
              <w:rPr>
                <w:rFonts w:asciiTheme="majorBidi" w:hAnsiTheme="majorBidi" w:cstheme="majorBidi"/>
                <w:sz w:val="20"/>
                <w:szCs w:val="20"/>
                <w:lang w:val="en-GB" w:eastAsia="en-GB"/>
              </w:rPr>
              <w:t>irms in GHG</w:t>
            </w:r>
            <w:r w:rsidR="00CF3C7B" w:rsidRPr="00FB6FB4">
              <w:rPr>
                <w:rFonts w:asciiTheme="majorBidi" w:hAnsiTheme="majorBidi" w:cstheme="majorBidi"/>
                <w:sz w:val="20"/>
                <w:szCs w:val="20"/>
                <w:lang w:val="en-GB" w:eastAsia="en-GB"/>
              </w:rPr>
              <w:t>-H</w:t>
            </w:r>
            <w:r w:rsidR="00E728B0" w:rsidRPr="00FB6FB4">
              <w:rPr>
                <w:rFonts w:asciiTheme="majorBidi" w:hAnsiTheme="majorBidi" w:cstheme="majorBidi"/>
                <w:sz w:val="20"/>
                <w:szCs w:val="20"/>
                <w:lang w:val="en-GB" w:eastAsia="en-GB"/>
              </w:rPr>
              <w:t>ighly leveraged</w:t>
            </w:r>
            <w:r w:rsidR="00CF3C7B" w:rsidRPr="00FB6FB4">
              <w:rPr>
                <w:rFonts w:asciiTheme="majorBidi" w:hAnsiTheme="majorBidi" w:cstheme="majorBidi"/>
                <w:sz w:val="20"/>
                <w:szCs w:val="20"/>
                <w:lang w:val="en-GB" w:eastAsia="en-GB"/>
              </w:rPr>
              <w:t>-O</w:t>
            </w:r>
            <w:r w:rsidR="00E728B0" w:rsidRPr="00FB6FB4">
              <w:rPr>
                <w:rFonts w:asciiTheme="majorBidi" w:hAnsiTheme="majorBidi" w:cstheme="majorBidi"/>
                <w:sz w:val="20"/>
                <w:szCs w:val="20"/>
                <w:lang w:val="en-GB" w:eastAsia="en-GB"/>
              </w:rPr>
              <w:t>wnership concentration</w:t>
            </w:r>
            <w:r w:rsidR="00CF3C7B" w:rsidRPr="00FB6FB4">
              <w:rPr>
                <w:rFonts w:asciiTheme="majorBidi" w:hAnsiTheme="majorBidi" w:cstheme="majorBidi"/>
                <w:sz w:val="20"/>
                <w:szCs w:val="20"/>
                <w:lang w:val="en-GB" w:eastAsia="en-GB"/>
              </w:rPr>
              <w:t>- O</w:t>
            </w:r>
            <w:r w:rsidR="00E728B0" w:rsidRPr="00FB6FB4">
              <w:rPr>
                <w:rFonts w:asciiTheme="majorBidi" w:hAnsiTheme="majorBidi" w:cstheme="majorBidi"/>
                <w:sz w:val="20"/>
                <w:szCs w:val="20"/>
                <w:lang w:val="en-GB" w:eastAsia="en-GB"/>
              </w:rPr>
              <w:t>verseas listing</w:t>
            </w:r>
            <w:r w:rsidR="00CF3C7B" w:rsidRPr="00FB6FB4">
              <w:rPr>
                <w:rFonts w:asciiTheme="majorBidi" w:hAnsiTheme="majorBidi" w:cstheme="majorBidi"/>
                <w:sz w:val="20"/>
                <w:szCs w:val="20"/>
                <w:lang w:val="en-GB" w:eastAsia="en-GB"/>
              </w:rPr>
              <w:t>- P</w:t>
            </w:r>
            <w:r w:rsidR="00E728B0" w:rsidRPr="00FB6FB4">
              <w:rPr>
                <w:rFonts w:asciiTheme="majorBidi" w:hAnsiTheme="majorBidi" w:cstheme="majorBidi"/>
                <w:sz w:val="20"/>
                <w:szCs w:val="20"/>
                <w:lang w:val="en-GB" w:eastAsia="en-GB"/>
              </w:rPr>
              <w:t>rofitability</w:t>
            </w:r>
            <w:r w:rsidR="00CF3C7B" w:rsidRPr="00FB6FB4">
              <w:rPr>
                <w:rFonts w:asciiTheme="majorBidi" w:hAnsiTheme="majorBidi" w:cstheme="majorBidi"/>
                <w:sz w:val="20"/>
                <w:szCs w:val="20"/>
                <w:lang w:val="en-GB" w:eastAsia="en-GB"/>
              </w:rPr>
              <w:t>-M</w:t>
            </w:r>
            <w:proofErr w:type="spellStart"/>
            <w:r w:rsidR="00E728B0" w:rsidRPr="00FB6FB4">
              <w:rPr>
                <w:rFonts w:asciiTheme="majorBidi" w:hAnsiTheme="majorBidi" w:cstheme="majorBidi"/>
                <w:sz w:val="20"/>
                <w:szCs w:val="20"/>
              </w:rPr>
              <w:t>ultinational</w:t>
            </w:r>
            <w:proofErr w:type="spellEnd"/>
            <w:r w:rsidR="00E728B0" w:rsidRPr="00FB6FB4">
              <w:rPr>
                <w:rFonts w:asciiTheme="majorBidi" w:hAnsiTheme="majorBidi" w:cstheme="majorBidi"/>
                <w:sz w:val="20"/>
                <w:szCs w:val="20"/>
              </w:rPr>
              <w:t xml:space="preserve"> firms</w:t>
            </w:r>
            <w:r w:rsidR="00CF3C7B" w:rsidRPr="00FB6FB4">
              <w:rPr>
                <w:rFonts w:asciiTheme="majorBidi" w:hAnsiTheme="majorBidi" w:cstheme="majorBidi"/>
                <w:sz w:val="20"/>
                <w:szCs w:val="20"/>
              </w:rPr>
              <w:t>-T</w:t>
            </w:r>
            <w:r w:rsidR="0006567B" w:rsidRPr="00FB6FB4">
              <w:rPr>
                <w:rFonts w:asciiTheme="majorBidi" w:hAnsiTheme="majorBidi" w:cstheme="majorBidi"/>
                <w:sz w:val="20"/>
                <w:szCs w:val="20"/>
              </w:rPr>
              <w:t xml:space="preserve">he </w:t>
            </w:r>
            <w:r w:rsidR="00E728B0" w:rsidRPr="00FB6FB4">
              <w:rPr>
                <w:rFonts w:asciiTheme="majorBidi" w:hAnsiTheme="majorBidi" w:cstheme="majorBidi"/>
                <w:sz w:val="20"/>
                <w:szCs w:val="20"/>
              </w:rPr>
              <w:t>board size</w:t>
            </w:r>
            <w:r w:rsidR="00CF3C7B" w:rsidRPr="00FB6FB4">
              <w:rPr>
                <w:rFonts w:asciiTheme="majorBidi" w:hAnsiTheme="majorBidi" w:cstheme="majorBidi"/>
                <w:sz w:val="20"/>
                <w:szCs w:val="20"/>
              </w:rPr>
              <w:t>-B</w:t>
            </w:r>
            <w:r w:rsidR="00E728B0" w:rsidRPr="00FB6FB4">
              <w:rPr>
                <w:rFonts w:asciiTheme="majorBidi" w:hAnsiTheme="majorBidi" w:cstheme="majorBidi"/>
                <w:sz w:val="20"/>
                <w:szCs w:val="20"/>
              </w:rPr>
              <w:t>oard independence</w:t>
            </w:r>
            <w:r w:rsidR="00CF3C7B" w:rsidRPr="00FB6FB4">
              <w:rPr>
                <w:rFonts w:asciiTheme="majorBidi" w:hAnsiTheme="majorBidi" w:cstheme="majorBidi"/>
                <w:sz w:val="20"/>
                <w:szCs w:val="20"/>
              </w:rPr>
              <w:t>- M</w:t>
            </w:r>
            <w:r w:rsidR="00E728B0" w:rsidRPr="00FB6FB4">
              <w:rPr>
                <w:rFonts w:asciiTheme="majorBidi" w:hAnsiTheme="majorBidi" w:cstheme="majorBidi"/>
                <w:sz w:val="20"/>
                <w:szCs w:val="20"/>
              </w:rPr>
              <w:t>anagerial ownership</w:t>
            </w:r>
            <w:r w:rsidR="00CF3C7B" w:rsidRPr="00FB6FB4">
              <w:rPr>
                <w:rFonts w:asciiTheme="majorBidi" w:hAnsiTheme="majorBidi" w:cstheme="majorBidi"/>
                <w:sz w:val="20"/>
                <w:szCs w:val="20"/>
              </w:rPr>
              <w:t>-W</w:t>
            </w:r>
            <w:r w:rsidR="00E728B0" w:rsidRPr="00FB6FB4">
              <w:rPr>
                <w:rFonts w:asciiTheme="majorBidi" w:hAnsiTheme="majorBidi" w:cstheme="majorBidi"/>
                <w:sz w:val="20"/>
                <w:szCs w:val="20"/>
              </w:rPr>
              <w:t>omen on boards.</w:t>
            </w:r>
          </w:p>
        </w:tc>
        <w:tc>
          <w:tcPr>
            <w:tcW w:w="3900" w:type="dxa"/>
          </w:tcPr>
          <w:p w14:paraId="39A91F91" w14:textId="4E2C48AA" w:rsidR="00E728B0" w:rsidRPr="00FB6FB4" w:rsidRDefault="009613F1" w:rsidP="00FB6FB4">
            <w:pPr>
              <w:pStyle w:val="NormalWeb"/>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{"citationItems":[{"id":"ITEM-1","itemData":{"DOI":"10.1016/j.techfore.2020.120424","ISSN":"00401625","abstract":"This study contributes to the current climate debate by shedding some light on the driving forces of the disclosure and management of carbon emissions in the context of developed and developing economies. Our findings show that the probability of not reporting total carbon emissions is significantly higher in companies located in a developing than in a developed economy. In addition, the company's sustainability profile (the sustainability report, its assurance and the existence of a Corporate Social Responsibility (CSR) committee), gender diversity policies and other corporate variables (especially size), significantly increase the probability of disclosing total carbon emissions, Scope 1 and Scope 2. Regarding carbon management, however, there are no significant differences between developed and developing economies, and the evidence indicates that the existence of a CSR committee has a significant impact on emission reduction Scope 1 and Scope 2; while the size of the company only influences the reduction of emissions of Scope 2 – the other variables considered do not have a significant effect. The results obtained can be valuable for business executives, governments and government regulators by identifying corporate governance practices that could be improved and contribute strategically to the environmental situation in developed and developing countries.","author":[{"dropping-particle":"","family":"Córdova Román","given":"Carmen","non-dropping-particle":"","parse-names":false,"suffix":""},{"dropping-particle":"","family":"Zorio-Grima","given":"Ana","non-dropping-particle":"","parse-names":false,"suffix":""},{"dropping-particle":"","family":"Merello","given":"Paloma","non-dropping-particle":"","parse-names":false,"suffix":""}],"container-title":"Technological Forecasting and Social Change","id":"ITEM-1","issue":"October","issued":{"date-parts":[["2021"]]},"page":"120424","publisher":"Elsevier Inc.","title":"Economic development and CSR assurance: Important drivers for carbon reporting… yet inefficient drivers for carbon management?","type":"article-journal","volume":"163"},"uris":["http://www.mendeley.com/documents/?uuid=9833af57-a6c9-46f4-ade5-fbd786a3a5dd"]}],"mendeley":{"formattedCitation":"(Córdova Román et al., 2021)","manualFormatting":"(Córdova Román et al., 2021;","plainTextFormattedCitation":"(Córdova Román et al., 2021)","previouslyFormattedCitation":"(Córdova Román et al., 2021)"},"properties":{"noteIndex":0},"schema":"https://github.com/citation-style-language/schema/raw/master/csl-citation.json"}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(Córdova Román et al.</w:t>
            </w:r>
            <w:r w:rsidR="00CF3C7B" w:rsidRPr="00FB6FB4">
              <w:rPr>
                <w:rFonts w:asciiTheme="majorBidi" w:hAnsiTheme="majorBidi" w:cstheme="majorBidi"/>
                <w:noProof/>
                <w:sz w:val="20"/>
                <w:szCs w:val="20"/>
                <w:lang w:val="en-GB" w:eastAsia="en-GB"/>
              </w:rPr>
              <w:t xml:space="preserve">, </w:t>
            </w:r>
            <w:r w:rsidR="00746CE5" w:rsidRPr="00FB6FB4">
              <w:rPr>
                <w:rFonts w:asciiTheme="majorBidi" w:hAnsiTheme="majorBidi" w:cstheme="majorBidi"/>
                <w:noProof/>
                <w:sz w:val="20"/>
                <w:szCs w:val="20"/>
                <w:lang w:val="en-GB" w:eastAsia="en-GB"/>
              </w:rPr>
              <w:t>2021</w:t>
            </w:r>
            <w:r w:rsidR="00CF3C7B" w:rsidRPr="00FB6FB4">
              <w:rPr>
                <w:rFonts w:asciiTheme="majorBidi" w:hAnsiTheme="majorBidi" w:cstheme="majorBidi"/>
                <w:noProof/>
                <w:sz w:val="20"/>
                <w:szCs w:val="20"/>
                <w:lang w:val="en-GB" w:eastAsia="en-GB"/>
              </w:rPr>
              <w:t>;</w:t>
            </w:r>
            <w:r w:rsidRPr="00FB6FB4">
              <w:rPr>
                <w:rFonts w:asciiTheme="majorBidi" w:hAnsiTheme="majorBidi" w:cstheme="majorBidi"/>
                <w:sz w:val="20"/>
                <w:szCs w:val="20"/>
                <w:lang w:val="en-GB" w:eastAsia="en-GB"/>
              </w:rPr>
              <w:fldChar w:fldCharType="end"/>
            </w:r>
            <w:r w:rsidR="00B76134"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{"citationItems":[{"id":"ITEM-1","itemData":{"DOI":"10.1108/02686901311284531","ISSN":"02686902","abstract":"Purpose: The purpose of this paper is to investigate the factors driving greenhouse gas reporting by Chinese companies. Design/methodology/approach: Content analysis of annual reports and corporate social responsibility (CSR) reports for the year 2010 of the top 100 A-share companies listed on Shanghai Stock Exchange was conducted to investigate the extent of greenhouse gas reporting. Multiple regression analysis was performed to determine the factors driving these companies' greenhouse gas reporting. Findings: It was found that most Chinese companies reported neutral and good news. The results also indicate larger companies operating in an industry which has higher level of carbon dioxide emissions tend to have higher levels of greenhouse gas disclosures, consistent with the expectation of legitimacy theory. However, profitability and overseas listing were not significantly related to greenhouse gas reporting. This is consistent with the findings of previous literature. Finally, contrary to expectations, state-owned companies report less greenhouse gas information than private companies. Originality/value: The paper contributes towards theory development by testing legitimacy theory in the context of greenhouse gas reporting by Chinese companies and contributes to existing literature on greenhouse gas reporting by focussing on the large emerging economy of China. The practical contribution of the paper rests in the area of accounting practice. The results outline the dearth in greenhouse gas reporting by Chinese companies, suggesting there needs to be future development of accounting standards in this area. © Emerald Group Publishing Limited.","author":[{"dropping-particle":"","family":"Chu","given":"Choi Ieng","non-dropping-particle":"","parse-names":false,"suffix":""},{"dropping-particle":"","family":"Chatterjee","given":"Bikram","non-dropping-particle":"","parse-names":false,"suffix":""},{"dropping-particle":"","family":"Brown","given":"Alistair","non-dropping-particle":"","parse-names":false,"suffix":""}],"container-title":"Managerial Auditing Journal","id":"ITEM-1","issue":"2","issued":{"date-parts":[["2013"]]},"page":"114-139","title":"The current status of greenhouse gas reporting by Chinese companies: A test of legitimacy theory","type":"article-journal","volume":"28"},"uris":["http://www.mendeley.com/documents/?uuid=ab7e8b32-f61c-4fc3-81a6-a4655c0fc750"]}],"mendeley":{"formattedCitation":"(Chu et al., 2013)","manualFormatting":"Chu et al., 2013;","plainTextFormattedCitation":"(Chu et al., 2013)","previouslyFormattedCitation":"(Chu et al., 2013)"},"properties":{"noteIndex":0},"schema":"https://github.com/citation-style-language/schema/raw/master/csl-citation.json"}</w:instrText>
            </w:r>
            <w:r w:rsidR="00B76134"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Chu et al., 2013</w:t>
            </w:r>
            <w:r w:rsidR="00CF3C7B" w:rsidRPr="00FB6FB4">
              <w:rPr>
                <w:rFonts w:asciiTheme="majorBidi" w:hAnsiTheme="majorBidi" w:cstheme="majorBidi"/>
                <w:noProof/>
                <w:sz w:val="20"/>
                <w:szCs w:val="20"/>
                <w:lang w:val="en-GB" w:eastAsia="en-GB"/>
              </w:rPr>
              <w:t>;</w:t>
            </w:r>
            <w:r w:rsidR="00B76134" w:rsidRPr="00FB6FB4">
              <w:rPr>
                <w:rFonts w:asciiTheme="majorBidi" w:hAnsiTheme="majorBidi" w:cstheme="majorBidi"/>
                <w:sz w:val="20"/>
                <w:szCs w:val="20"/>
                <w:lang w:val="en-GB" w:eastAsia="en-GB"/>
              </w:rPr>
              <w:fldChar w:fldCharType="end"/>
            </w:r>
            <w:r w:rsidR="00B76134"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{"citationItems":[{"id":"ITEM-1","itemData":{"DOI":"10.1108/ARA-01-2015-0007","ISSN":"17588863","abstract":"Purpose-The purpose of this paper is to investigate how firm-and country-level determinants affect corporate ecological transparency. Design/methodology/approach-The study utilizes multiple theories that are commonly used by corporate social responsibility studies to explain the corporate ecological transparency. Based on a sample of 243 Global 500 firms, the authors examine the impact of shareholders' interest in ecological information, creditors' concern, firm size, industry membership, the presence of emission trading scheme (ETS), stringency of environmental regulations on corporate ecological transparency. Findings-The paper documents evidence that larger firms, firms in GHG-intensive sectors, and highly leveraged firms tend to produce more ecological disclosures. In addition, ecological transparency is higher in countries with an ETS and increases with more stringent environmental regulation. Finally, the authors find little evidence that shareholders of these firms are concerned with this information. Research limitations/implications-The sample is restricted to the largest firms with relevant carbon profile information. Thus, caution should be exercised when generalizing the inferences. Practical implications-Sustainability has become one of the most importance topics in business agenda. Firms' attitude and decision about the ecological transparency will affect internal firm performance, external stakeholder engagement, and policy makers' attention. It determines the firms' long-term operation and development. Originality/value-The study contributes to the literature by utilizing multiple theories to explain ecological transparency. Each of the theories provided only a partial explanation for ecological transparency. Thus, we need to consider the firms' behaviors from multiple dimensions. In particular, stakeholder theory and institutional theory are the dominant perspectives accounting for managers' propensity to disclose a firm's ecological footprint.","author":[{"dropping-particle":"","family":"Tang","given":"Qingliang","non-dropping-particle":"","parse-names":false,"suffix":""},{"dropping-particle":"","family":"Luo","given":"Le","non-dropping-particle":"","parse-names":false,"suffix":""}],"container-title":"Asian Review of Accounting","id":"ITEM-1","issue":"4","issued":{"date-parts":[["2016"]]},"page":"498-524","title":"Corporate ecological transparency: Theories and empirical evidence","type":"article-journal","volume":"24"},"uris":["http://www.mendeley.com/documents/?uuid=3b97c563-e10d-47c7-8f8f-89c6829ef6ce"]}],"mendeley":{"formattedCitation":"(Qingliang Tang &amp; Luo, 2016)","manualFormatting":"Qingliang Tang and Luo, 2016;","plainTextFormattedCitation":"(Qingliang Tang &amp; Luo, 2016)","previouslyFormattedCitation":"(Qingliang Tang &amp; Luo, 2016)"},"properties":{"noteIndex":0},"schema":"https://github.com/citation-style-language/schema/raw/master/csl-citation.json"}</w:instrText>
            </w:r>
            <w:r w:rsidR="00B76134"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Qingliang Tang </w:t>
            </w:r>
            <w:r w:rsidR="00CF3C7B"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Luo, 2016</w:t>
            </w:r>
            <w:r w:rsidR="00CF3C7B" w:rsidRPr="00FB6FB4">
              <w:rPr>
                <w:rFonts w:asciiTheme="majorBidi" w:hAnsiTheme="majorBidi" w:cstheme="majorBidi"/>
                <w:noProof/>
                <w:sz w:val="20"/>
                <w:szCs w:val="20"/>
                <w:lang w:val="en-GB" w:eastAsia="en-GB"/>
              </w:rPr>
              <w:t>;</w:t>
            </w:r>
            <w:r w:rsidR="00B76134" w:rsidRPr="00FB6FB4">
              <w:rPr>
                <w:rFonts w:asciiTheme="majorBidi" w:hAnsiTheme="majorBidi" w:cstheme="majorBidi"/>
                <w:sz w:val="20"/>
                <w:szCs w:val="20"/>
                <w:lang w:val="en-GB" w:eastAsia="en-GB"/>
              </w:rPr>
              <w:fldChar w:fldCharType="end"/>
            </w:r>
            <w:r w:rsidR="00CB7C8D"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{"citationItems":[{"id":"ITEM-1","itemData":{"DOI":"10.1111/acfi.12258","ISSN":"1467629X","abstract":"We apply institutional and board capital theory to examine whether women on boards are associated with disclosure and quality of corporate greenhouse gas (GHG) emissions related reporting. We examine the research problem in Australia in a period when no requirements existed for listed companies to appoint female directors or to report GHG emissions. This environment allows us to examine the association between women on boards and GHG emissions related disclosure in annual and sustainability reports in a voluntary setting. We find that companies with multiple female directors make GHG emissions related disclosures that are of higher quality.","author":[{"dropping-particle":"","family":"Hollindale","given":"Janice","non-dropping-particle":"","parse-names":false,"suffix":""},{"dropping-particle":"","family":"Kent","given":"Pamela","non-dropping-particle":"","parse-names":false,"suffix":""},{"dropping-particle":"","family":"Routledge","given":"James","non-dropping-particle":"","parse-names":false,"suffix":""},{"dropping-particle":"","family":"Chapple","given":"Larelle","non-dropping-particle":"","parse-names":false,"suffix":""}],"container-title":"Accounting and Finance","id":"ITEM-1","issue":"1","issued":{"date-parts":[["2019"]]},"page":"277-308","title":"Women on boards and greenhouse gas emission disclosures","type":"article-journal","volume":"59"},"uris":["http://www.mendeley.com/documents/?uuid=b88ecb24-01d6-4966-a006-0cb164c4f9fd"]}],"mendeley":{"formattedCitation":"(Hollindale, Kent, Routledge, &amp; Chapple, 2019)","manualFormatting":"Hollindale et al., 2019;","plainTextFormattedCitation":"(Hollindale, Kent, Routledge, &amp; Chapple, 2019)","previouslyFormattedCitation":"(Hollindale, Kent, Routledge, &amp; Chapple, 2019)"},"properties":{"noteIndex":0},"schema":"https://github.com/citation-style-language/schema/raw/master/csl-citation.json"}</w:instrText>
            </w:r>
            <w:r w:rsidR="00CB7C8D"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Hollindale</w:t>
            </w:r>
            <w:r w:rsidR="00CF3C7B" w:rsidRPr="00FB6FB4">
              <w:rPr>
                <w:rFonts w:asciiTheme="majorBidi" w:hAnsiTheme="majorBidi" w:cstheme="majorBidi"/>
                <w:noProof/>
                <w:sz w:val="20"/>
                <w:szCs w:val="20"/>
                <w:lang w:val="en-GB" w:eastAsia="en-GB"/>
              </w:rPr>
              <w:t xml:space="preserve"> et al., </w:t>
            </w:r>
            <w:r w:rsidR="00746CE5" w:rsidRPr="00FB6FB4">
              <w:rPr>
                <w:rFonts w:asciiTheme="majorBidi" w:hAnsiTheme="majorBidi" w:cstheme="majorBidi"/>
                <w:noProof/>
                <w:sz w:val="20"/>
                <w:szCs w:val="20"/>
                <w:lang w:val="en-GB" w:eastAsia="en-GB"/>
              </w:rPr>
              <w:t>2019</w:t>
            </w:r>
            <w:r w:rsidR="00CF3C7B" w:rsidRPr="00FB6FB4">
              <w:rPr>
                <w:rFonts w:asciiTheme="majorBidi" w:hAnsiTheme="majorBidi" w:cstheme="majorBidi"/>
                <w:noProof/>
                <w:sz w:val="20"/>
                <w:szCs w:val="20"/>
                <w:lang w:val="en-GB" w:eastAsia="en-GB"/>
              </w:rPr>
              <w:t>;</w:t>
            </w:r>
            <w:r w:rsidR="00CB7C8D" w:rsidRPr="00FB6FB4">
              <w:rPr>
                <w:rFonts w:asciiTheme="majorBidi" w:hAnsiTheme="majorBidi" w:cstheme="majorBidi"/>
                <w:sz w:val="20"/>
                <w:szCs w:val="20"/>
                <w:lang w:val="en-GB" w:eastAsia="en-GB"/>
              </w:rPr>
              <w:fldChar w:fldCharType="end"/>
            </w:r>
            <w:r w:rsidR="0078012C"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{"citationItems":[{"id":"ITEM-1","itemData":{"DOI":"10.1108/ARJ-12-2015-0153","ISSN":"10309616","abstract":"Purpose: The purpose of this paper is to explore the association between corporate governance (CG) mechanisms and the extensiveness of carbon disclosure. Design/methodology/approach: This paper uses Ordinary Least Squares (OLS) regression model with data from 2009 to 2012 for largest Australian companies that voluntarily disclose their information to the carbon disclosure project. Findings: The authors find that board independence, board diversity and managerial ownership are significantly correlated with the degree of carbon transparency, while the existence of environmental committee is not. Practical implications: The findings of this paper should be useful for government and capital market regulators who concern the quality of CG and carbon actions. First, the evidence in this paper suggests that current CG practice that emphasize board diversity and independence seems encouraging an environment friendly decision and adopt carbon reduction initiatives. Second, however, the current version of CG codes need more stress on none financial goals that should help corporate executives to balance value enhancement vis-à-vis ecosystem protection. Finally, another implication for policy-makers is CG should be re-structured so as to motivate firms to pursue long-term sustainable development instead of taking short-sight view of firm performance. Originality/value: This paper contributes in the increasing body of literature indicating that CG encourages a proactive corporate strategy in general and carbon disclosure in particular. The authors add new empirical evidence which has policy implication that CG should be improved so as to encourage executives to engage in more sustainable development and stakeholder long-term value protection.","author":[{"dropping-particle":"","family":"Elsayih","given":"Jibriel","non-dropping-particle":"","parse-names":false,"suffix":""},{"dropping-particle":"","family":"Tang","given":"Qingliang","non-dropping-particle":"","parse-names":false,"suffix":""},{"dropping-particle":"","family":"Lan","given":"Yi Chen","non-dropping-particle":"","parse-names":false,"suffix":""}],"container-title":"Accounting Research Journal","id":"ITEM-1","issue":"3","issued":{"date-parts":[["2018"]]},"page":"405-422","title":"Corporate governance and carbon transparency: Australian experience","type":"article-journal","volume":"31"},"uris":["http://www.mendeley.com/documents/?uuid=d6e3ce6d-1409-45bc-8056-4de307905f61"]}],"mendeley":{"formattedCitation":"(Elsayih, Tang, &amp; Lan, 2018)","manualFormatting":"Elsayih et al., 2018;","plainTextFormattedCitation":"(Elsayih, Tang, &amp; Lan, 2018)","previouslyFormattedCitation":"(Elsayih, Tang, &amp; Lan, 2018)"},"properties":{"noteIndex":0},"schema":"https://github.com/citation-style-language/schema/raw/master/csl-citation.json"}</w:instrText>
            </w:r>
            <w:r w:rsidR="0078012C"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Elsayih</w:t>
            </w:r>
            <w:r w:rsidR="00CF3C7B" w:rsidRPr="00FB6FB4">
              <w:rPr>
                <w:rFonts w:asciiTheme="majorBidi" w:hAnsiTheme="majorBidi" w:cstheme="majorBidi"/>
                <w:noProof/>
                <w:sz w:val="20"/>
                <w:szCs w:val="20"/>
                <w:lang w:val="en-GB" w:eastAsia="en-GB"/>
              </w:rPr>
              <w:t xml:space="preserve"> et al., </w:t>
            </w:r>
            <w:r w:rsidR="00746CE5" w:rsidRPr="00FB6FB4">
              <w:rPr>
                <w:rFonts w:asciiTheme="majorBidi" w:hAnsiTheme="majorBidi" w:cstheme="majorBidi"/>
                <w:noProof/>
                <w:sz w:val="20"/>
                <w:szCs w:val="20"/>
                <w:lang w:val="en-GB" w:eastAsia="en-GB"/>
              </w:rPr>
              <w:t>2018</w:t>
            </w:r>
            <w:r w:rsidR="00CF3C7B" w:rsidRPr="00FB6FB4">
              <w:rPr>
                <w:rFonts w:asciiTheme="majorBidi" w:hAnsiTheme="majorBidi" w:cstheme="majorBidi"/>
                <w:noProof/>
                <w:sz w:val="20"/>
                <w:szCs w:val="20"/>
                <w:lang w:val="en-GB" w:eastAsia="en-GB"/>
              </w:rPr>
              <w:t>;</w:t>
            </w:r>
            <w:r w:rsidR="0078012C" w:rsidRPr="00FB6FB4">
              <w:rPr>
                <w:rFonts w:asciiTheme="majorBidi" w:hAnsiTheme="majorBidi" w:cstheme="majorBidi"/>
                <w:sz w:val="20"/>
                <w:szCs w:val="20"/>
                <w:lang w:val="en-GB" w:eastAsia="en-GB"/>
              </w:rPr>
              <w:fldChar w:fldCharType="end"/>
            </w:r>
            <w:r w:rsidR="0078012C"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{"citationItems":[{"id":"ITEM-1","itemData":{"DOI":"10.1016/j.bar.2014.07.002","ISSN":"10958347","abstract":"This paper investigates the effect of the 2009 guidance of the Department for Environment, Food &amp; Rural Affairs on greenhouse gas (GHG) disclosure. The sample comprises 215 companies from a population of London Stock Exchange FTSE 350 companies over four years (2008-2011). To quantify GHG disclosure, a research index methodology is employed, with information derived from several GHG reporting frameworks. The econometric model is estimated using panel fixed effects. Our findings suggest that the publication of the 2009 guidance has had a significant effect on the level of GHG disclosure, and that corporate governance mechanisms (board size, director ownership, and ownership concentration) also affect the extent of GHG information disclosure. The results also indicate that companies increased their disclosures prior to the 2009 guidance in anticipation of its publication. These results have important implications for the government, suggesting that non-mandatory guidance could increase disclosure as much as do mandatory requirements.","author":[{"dropping-particle":"","family":"Tauringana","given":"Venancio","non-dropping-particle":"","parse-names":false,"suffix":""},{"dropping-particle":"","family":"Chithambo","given":"Lyton","non-dropping-particle":"","parse-names":false,"suffix":""}],"container-title":"British Accounting Review","id":"ITEM-1","issue":"4","issued":{"date-parts":[["2015"]]},"page":"425-444","publisher":"Elsevier Ltd","title":"The effect of DEFRA guidance on greenhouse gas disclosure","type":"article-journal","volume":"47"},"uris":["http://www.mendeley.com/documents/?uuid=1d57abb0-965e-449e-976f-9b8f37cdfcbd"]}],"mendeley":{"formattedCitation":"(Tauringana &amp; Chithambo, 2015)","manualFormatting":"Tauringana and Chithambo, 2015;","plainTextFormattedCitation":"(Tauringana &amp; Chithambo, 2015)","previouslyFormattedCitation":"(Tauringana &amp; Chithambo, 2015)"},"properties":{"noteIndex":0},"schema":"https://github.com/citation-style-language/schema/raw/master/csl-citation.json"}</w:instrText>
            </w:r>
            <w:r w:rsidR="0078012C"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Tauringana </w:t>
            </w:r>
            <w:r w:rsidR="00CF3C7B"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Chithambo, 2015</w:t>
            </w:r>
            <w:r w:rsidR="00CF3C7B" w:rsidRPr="00FB6FB4">
              <w:rPr>
                <w:rFonts w:asciiTheme="majorBidi" w:hAnsiTheme="majorBidi" w:cstheme="majorBidi"/>
                <w:noProof/>
                <w:sz w:val="20"/>
                <w:szCs w:val="20"/>
                <w:lang w:val="en-GB" w:eastAsia="en-GB"/>
              </w:rPr>
              <w:t>;</w:t>
            </w:r>
            <w:r w:rsidR="0078012C" w:rsidRPr="00FB6FB4">
              <w:rPr>
                <w:rFonts w:asciiTheme="majorBidi" w:hAnsiTheme="majorBidi" w:cstheme="majorBidi"/>
                <w:sz w:val="20"/>
                <w:szCs w:val="20"/>
                <w:lang w:val="en-GB" w:eastAsia="en-GB"/>
              </w:rPr>
              <w:fldChar w:fldCharType="end"/>
            </w:r>
            <w:r w:rsidR="00927D71"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{"citationItems":[{"id":"ITEM-1","itemData":{"DOI":"10.1016/j.intacc.2005.06.004","ISSN":"00207063","abstract":"This study evaluates disclosures on pollution and greenhouse gases by firms domiciled in countries that have ratified the Kyoto Protocol compared to others. The study is based on disclosures made in the annual reports, environmental reports, and websites of 120 of the largest (in terms of revenues) public firms from the chemical, oil and gas, energy, and motor vehicles and casualty insurance industries. The study uses content analysis to construct weighted and unweighted disclosure indices. The results show that firms from countries that ratified the Protocol have higher disclosure indexes as compared to firms in other countries. Additionally, larger firms disclose more detailed pollution information. Multinational firms that operate in countries that ratified the Protocol but have their home offices in countries that did not are associated with lower disclosures. This lack of consistency in disclosure is not likely to be helpful in informing shareholders about the social responsibility of their investments. © 2005 University of Illinois. All rights reserved.","author":[{"dropping-particle":"","family":"Freedman","given":"Martin","non-dropping-particle":"","parse-names":false,"suffix":""},{"dropping-particle":"","family":"Jaggi","given":"Bikki","non-dropping-particle":"","parse-names":false,"suffix":""}],"container-title":"International Journal of Accounting","id":"ITEM-1","issue":"3","issued":{"date-parts":[["2005"]]},"page":"215-232","title":"Global warming, commitment to the Kyoto protocol, and accounting disclosures by the largest global public firms from polluting industries","type":"article-journal","volume":"40"},"uris":["http://www.mendeley.com/documents/?uuid=b9d9c22c-58ba-4911-8c52-8501072165da"]}],"mendeley":{"formattedCitation":"(Freedman &amp; Jaggi, 2005)","manualFormatting":"Freedman and Jaggi, 2005;","plainTextFormattedCitation":"(Freedman &amp; Jaggi, 2005)","previouslyFormattedCitation":"(Freedman &amp; Jaggi, 2005)"},"properties":{"noteIndex":0},"schema":"https://github.com/citation-style-language/schema/raw/master/csl-citation.json"}</w:instrText>
            </w:r>
            <w:r w:rsidR="00927D71"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Freedman </w:t>
            </w:r>
            <w:r w:rsidR="00CF3C7B"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Jaggi, 2005</w:t>
            </w:r>
            <w:r w:rsidR="00CF3C7B" w:rsidRPr="00FB6FB4">
              <w:rPr>
                <w:rFonts w:asciiTheme="majorBidi" w:hAnsiTheme="majorBidi" w:cstheme="majorBidi"/>
                <w:noProof/>
                <w:sz w:val="20"/>
                <w:szCs w:val="20"/>
                <w:lang w:val="en-GB" w:eastAsia="en-GB"/>
              </w:rPr>
              <w:t>;</w:t>
            </w:r>
            <w:r w:rsidR="00927D71" w:rsidRPr="00FB6FB4">
              <w:rPr>
                <w:rFonts w:asciiTheme="majorBidi" w:hAnsiTheme="majorBidi" w:cstheme="majorBidi"/>
                <w:sz w:val="20"/>
                <w:szCs w:val="20"/>
                <w:lang w:val="en-GB" w:eastAsia="en-GB"/>
              </w:rPr>
              <w:fldChar w:fldCharType="end"/>
            </w:r>
            <w:r w:rsidR="00B76134" w:rsidRPr="00FB6FB4">
              <w:rPr>
                <w:rFonts w:asciiTheme="majorBidi" w:hAnsiTheme="majorBidi" w:cstheme="majorBidi"/>
                <w:sz w:val="20"/>
                <w:szCs w:val="20"/>
                <w:lang w:val="en-GB" w:eastAsia="en-GB"/>
              </w:rPr>
              <w:br/>
            </w:r>
            <w:r w:rsidR="00F77328"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{"citationItems":[{"id":"ITEM-1","itemData":{"DOI":"10.1108/01140581311318968","ISSN":"20415494","abstract":"Purpose – This study aims to report the extent of voluntary carbon emission disclosures by major Australian companies during the years 2006 to 2008. This paper provides contemporary data and explanations about carbon emissions reporting in Australia. Additionally, the paper aims to determine the variables that explain the extent of carbon disclosures. Design/methodology/approach – The carbon disclosure score is measured directly from individual companies' annual reports and sustainability reports. A checklist is established to determine the breadth and depth of the information related to climate change and carbon emissions incorporated in these publicly available reports. Findings – The overall carbon disclosure score has increased significantly over the authors' research period. Furthermore, regression results show that larger firms with higher visibility tend to make more comprehensive carbon disclosures. Overall, the authors' results indicate that the legislation of the National Greenhouse and Energy Reporting Act (the NGER Act) in 2007 may have enhanced the voluntary carbon emission disclosures in 2008, even though the NGER Act was not operative until the 2009 financial year. From a theoretical perspective, the findings of the paper are consistent with legitimacy theory. Originality/value – Previous studies examining environmental disclosures in Australia are based on a time period prior to widespread public discussion and interest in climate change and carbon emissions. By investigating voluntary disclosures made by large Australian companies around the time that the mandatory emission reporting scheme was introduced, this paper investigates whether the prominence of discussion and impending operation of the mandatory environmental disclosures have led to a greater extent of voluntary carbon disclosures. The findings can help regulators draft appropriate legislation that targets industries and specific practices where disclosure is of greatest importance to relevant stakeholders. In addition, an understanding of who and why entities disclose carbon gas emission information can arm green groups and other stakeholders with an appropriate level of understanding about the motivation for such disclosures.","author":[{"dropping-particle":"","family":"Bae Choi","given":"Bo","non-dropping-particle":"","parse-names":false,"suffix":""},{"dropping-particle":"","family":"Lee","given":"Doowon","non-dropping-particle":"","parse-names":false,"suffix":""},{"dropping-particle":"","family":"Psaros","given":"Jim","non-dropping-particle":"","parse-names":false,"suffix":""}],"container-title":"Pacific Accounting Review","id":"ITEM-1","issue":"1","issued":{"date-parts":[["2013"]]},"page":"58-79","title":"An analysis of Australian company carbon emission disclosures","type":"article-journal","volume":"25"},"uris":["http://www.mendeley.com/documents/?uuid=4e0d3f0b-f329-47da-8a62-9de44987a91f"]}],"mendeley":{"formattedCitation":"(Bae Choi et al., 2013)","manualFormatting":"Bae Choi et al., 2013;","plainTextFormattedCitation":"(Bae Choi et al., 2013)","previouslyFormattedCitation":"(Bae Choi et al., 2013)"},"properties":{"noteIndex":0},"schema":"https://github.com/citation-style-language/schema/raw/master/csl-citation.json"}</w:instrText>
            </w:r>
            <w:r w:rsidR="00F77328"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Bae Choi et al., 2013</w:t>
            </w:r>
            <w:r w:rsidR="00CF3C7B" w:rsidRPr="00FB6FB4">
              <w:rPr>
                <w:rFonts w:asciiTheme="majorBidi" w:hAnsiTheme="majorBidi" w:cstheme="majorBidi"/>
                <w:noProof/>
                <w:sz w:val="20"/>
                <w:szCs w:val="20"/>
                <w:lang w:val="en-GB" w:eastAsia="en-GB"/>
              </w:rPr>
              <w:t>;</w:t>
            </w:r>
            <w:r w:rsidR="00F77328" w:rsidRPr="00FB6FB4">
              <w:rPr>
                <w:rFonts w:asciiTheme="majorBidi" w:hAnsiTheme="majorBidi" w:cstheme="majorBidi"/>
                <w:sz w:val="20"/>
                <w:szCs w:val="20"/>
                <w:lang w:val="en-GB" w:eastAsia="en-GB"/>
              </w:rPr>
              <w:fldChar w:fldCharType="end"/>
            </w:r>
            <w:r w:rsidR="00140485"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{"citationItems":[{"id":"ITEM-1","itemData":{"DOI":"10.1108/09513571111184751","ISSN":"09513574","abstract":"Purpose: Institutional governance theory is used to explain voluntary corporate greenhouse gas (GHG) reporting in the context of a market governance system in the absence of climate change public policy. This paper seeks to hypothesise that GHG reporting is related to internal organisation systems, external privately promulgated guidance and EU ETS trading. Design/methodology/approach: A two-stage approach is used. The initial model examines whether firms' GHG disclosures are associated with internal organisation systems factors: environmental management systems (EMS), corporate governance quality and environmental management committees as well as external private guidance provided by the Global Reporting Initiative (GRI) and the Carbon Disclosure Project (CDP) for 187 ASX 300 firms. EU ETS trading is also included. Determinants of the extent and credibility of GHG disclosure is examined in the second stage where an index constructed from the GHG reporting standard \"ISO 14064-1\" items for a sub-sample of 80 disclosing firms as the dependent variable. Findings: Firms that voluntarily disclose GHGs have EMSs (uncertified and certified), higher corporate governance quality and publicly report to the CDP, tend to be large and in the energy and mining and industrial sectors. The credibility and extent of disclosures are related to the existence of a certified EMS, public reporting to the CDP, and use of the GRI. Firms that disclose more credible information are more likely to be large and in the energy and mining, industrial and services sectors. Originality/value: The paper shows that some proactive but pragmatic Australian firms are disclosing their GHGs voluntarily for competitive advantage in the current market governance system in the absence of public policy. © Emerald Group Publishing Limited.","author":[{"dropping-particle":"","family":"Rankin","given":"Michaela","non-dropping-particle":"","parse-names":false,"suffix":""},{"dropping-particle":"","family":"Windsor","given":"Carolyn","non-dropping-particle":"","parse-names":false,"suffix":""},{"dropping-particle":"","family":"Wahyuni","given":"Dina","non-dropping-particle":"","parse-names":false,"suffix":""}],"container-title":"Accounting, Auditing and Accountability Journal","id":"ITEM-1","issue":"8","issued":{"date-parts":[["2011"]]},"page":"1037-1070","title":"An investigation of voluntary corporate greenhouse gas emissions reporting in a market governance system: Australian evidence","type":"article-journal","volume":"24"},"uris":["http://www.mendeley.com/documents/?uuid=7ee2c3c3-bf95-4094-b1eb-af921969a5f8"]}],"mendeley":{"formattedCitation":"(Rankin et al., 2011)","manualFormatting":"Rankin et al., 2011;","plainTextFormattedCitation":"(Rankin et al., 2011)","previouslyFormattedCitation":"(Rankin et al., 2011)"},"properties":{"noteIndex":0},"schema":"https://github.com/citation-style-language/schema/raw/master/csl-citation.json"}</w:instrText>
            </w:r>
            <w:r w:rsidR="00140485" w:rsidRPr="00FB6FB4">
              <w:rPr>
                <w:rFonts w:asciiTheme="majorBidi" w:hAnsiTheme="majorBidi" w:cstheme="majorBidi"/>
                <w:sz w:val="20"/>
                <w:szCs w:val="20"/>
                <w:lang w:val="en-GB" w:eastAsia="en-GB"/>
              </w:rPr>
              <w:fldChar w:fldCharType="separate"/>
            </w:r>
            <w:r w:rsidR="00FB079A" w:rsidRPr="00FB6FB4">
              <w:rPr>
                <w:rFonts w:asciiTheme="majorBidi" w:hAnsiTheme="majorBidi" w:cstheme="majorBidi"/>
                <w:noProof/>
                <w:sz w:val="20"/>
                <w:szCs w:val="20"/>
                <w:lang w:val="en-GB" w:eastAsia="en-GB"/>
              </w:rPr>
              <w:t>Rankin et al., 2011</w:t>
            </w:r>
            <w:r w:rsidR="00CF3C7B" w:rsidRPr="00FB6FB4">
              <w:rPr>
                <w:rFonts w:asciiTheme="majorBidi" w:hAnsiTheme="majorBidi" w:cstheme="majorBidi"/>
                <w:noProof/>
                <w:sz w:val="20"/>
                <w:szCs w:val="20"/>
                <w:lang w:val="en-GB" w:eastAsia="en-GB"/>
              </w:rPr>
              <w:t>;</w:t>
            </w:r>
            <w:r w:rsidR="00140485" w:rsidRPr="00FB6FB4">
              <w:rPr>
                <w:rFonts w:asciiTheme="majorBidi" w:hAnsiTheme="majorBidi" w:cstheme="majorBidi"/>
                <w:sz w:val="20"/>
                <w:szCs w:val="20"/>
                <w:lang w:val="en-GB" w:eastAsia="en-GB"/>
              </w:rPr>
              <w:fldChar w:fldCharType="end"/>
            </w:r>
            <w:r w:rsidR="00140485" w:rsidRPr="00FB6FB4">
              <w:rPr>
                <w:rFonts w:asciiTheme="majorBidi" w:hAnsiTheme="majorBidi" w:cstheme="majorBidi"/>
                <w:sz w:val="20"/>
                <w:szCs w:val="20"/>
                <w:lang w:val="en-GB" w:eastAsia="en-GB"/>
              </w:rPr>
              <w:fldChar w:fldCharType="begin" w:fldLock="1"/>
            </w:r>
            <w:r w:rsidR="00CF3C7B" w:rsidRPr="00FB6FB4">
              <w:rPr>
                <w:rFonts w:asciiTheme="majorBidi" w:hAnsiTheme="majorBidi" w:cstheme="majorBidi"/>
                <w:sz w:val="20"/>
                <w:szCs w:val="20"/>
                <w:lang w:val="en-GB" w:eastAsia="en-GB"/>
              </w:rPr>
              <w:instrText>ADDIN CSL_CITATION {"citationItems":[{"id":"ITEM-1","itemData":{"DOI":"10.1080/00014788.2015.1135781","ISSN":"21594260","abstract":"The electricity generation industry has been under close regulatory and public scrutiny for decades for the significant impacts its activities have on the environment. The industry is responsible for a large proportion of greenhouse gas (GHG) emissions, which has intensified public and regulatory scrutiny of late. Therefore, electricity generation firms face immense pressure to show environmental responsibility. Firms respond with environmental disclosures in their annual reports, in stand-alone-reports, and on websites. In this study, we use comprehensive disclosure indices to measure the quality (or comprehensiveness) of the CO2 emissions related disclosure and the overall environmental disclosure of 205 electricity generation firms in 35 countries. We find that firms in countries with a high commitment towards the environment and a carbon emissions trading scheme (measures of social concern for environmental protection and emissions), are likely to disclose more comprehensive environmental information. In addition, we find that firm size, age of the assets, listing status, and media exposure influence disclosure. Environmental performance, measured by CO2 emissions, is not significantly related to environmental disclosure among our sample firms. The theoretical implication of these findings is that social beliefs (that are different in different countries) prompt a legitimating disclosure response from firms that is not significantly affected by their performance against that social belief.","author":[{"dropping-particle":"","family":"Alrazi","given":"Bakhtiar","non-dropping-particle":"","parse-names":false,"suffix":""},{"dropping-particle":"","family":"Villiers","given":"Charl","non-dropping-particle":"de","parse-names":false,"suffix":""},{"dropping-particle":"","family":"Staden","given":"Chris J.","non-dropping-particle":"Van","parse-names":false,"suffix":""}],"container-title":"Accounting and Business Research","id":"ITEM-1","issue":"6","issued":{"date-parts":[["2016"]]},"page":"665-701","title":"The environmental disclosures of the electricity generation industry: a global perspective","type":"article-journal","volume":"46"},"uris":["http://www.mendeley.com/documents/?uuid=b75c18b3-021a-4309-97b1-f7dca662100e"]}],"mendeley":{"formattedCitation":"(Alrazi, de Villiers, &amp; Van Staden, 2016)","manualFormatting":"Alrazi et al., 2016)","plainTextFormattedCitation":"(Alrazi, de Villiers, &amp; Van Staden, 2016)","previouslyFormattedCitation":"(Alrazi, de Villiers, &amp; Van Staden, 2016)"},"properties":{"noteIndex":0},"schema":"https://github.com/citation-style-language/schema/raw/master/csl-citation.json"}</w:instrText>
            </w:r>
            <w:r w:rsidR="00140485"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Alrazi</w:t>
            </w:r>
            <w:r w:rsidR="00CF3C7B" w:rsidRPr="00FB6FB4">
              <w:rPr>
                <w:rFonts w:asciiTheme="majorBidi" w:hAnsiTheme="majorBidi" w:cstheme="majorBidi"/>
                <w:noProof/>
                <w:sz w:val="20"/>
                <w:szCs w:val="20"/>
                <w:lang w:val="en-GB" w:eastAsia="en-GB"/>
              </w:rPr>
              <w:t xml:space="preserve"> et al., </w:t>
            </w:r>
            <w:r w:rsidR="00746CE5" w:rsidRPr="00FB6FB4">
              <w:rPr>
                <w:rFonts w:asciiTheme="majorBidi" w:hAnsiTheme="majorBidi" w:cstheme="majorBidi"/>
                <w:noProof/>
                <w:sz w:val="20"/>
                <w:szCs w:val="20"/>
                <w:lang w:val="en-GB" w:eastAsia="en-GB"/>
              </w:rPr>
              <w:t>2016)</w:t>
            </w:r>
            <w:r w:rsidR="00140485" w:rsidRPr="00FB6FB4">
              <w:rPr>
                <w:rFonts w:asciiTheme="majorBidi" w:hAnsiTheme="majorBidi" w:cstheme="majorBidi"/>
                <w:sz w:val="20"/>
                <w:szCs w:val="20"/>
                <w:lang w:val="en-GB" w:eastAsia="en-GB"/>
              </w:rPr>
              <w:fldChar w:fldCharType="end"/>
            </w:r>
          </w:p>
        </w:tc>
      </w:tr>
      <w:tr w:rsidR="00B76134" w:rsidRPr="00FB6E35" w14:paraId="6734881C" w14:textId="282CE18F" w:rsidTr="00CF3C7B">
        <w:tc>
          <w:tcPr>
            <w:tcW w:w="1786" w:type="dxa"/>
          </w:tcPr>
          <w:p w14:paraId="728FFC4F" w14:textId="738628AB" w:rsidR="00E728B0" w:rsidRPr="0097238F" w:rsidRDefault="003F37E8" w:rsidP="00CD3090">
            <w:pPr>
              <w:pStyle w:val="NormalWeb"/>
              <w:shd w:val="clear" w:color="auto" w:fill="FFFFFF"/>
              <w:rPr>
                <w:rFonts w:asciiTheme="majorBidi" w:hAnsiTheme="majorBidi" w:cstheme="majorBidi"/>
                <w:b/>
                <w:bCs/>
                <w:sz w:val="20"/>
                <w:szCs w:val="20"/>
              </w:rPr>
            </w:pPr>
            <w:r w:rsidRPr="0097238F">
              <w:rPr>
                <w:rFonts w:asciiTheme="majorBidi" w:hAnsiTheme="majorBidi" w:cstheme="majorBidi"/>
                <w:b/>
                <w:bCs/>
                <w:sz w:val="20"/>
                <w:szCs w:val="20"/>
              </w:rPr>
              <w:t xml:space="preserve">Regulating </w:t>
            </w:r>
            <w:r w:rsidR="00E728B0" w:rsidRPr="0097238F">
              <w:rPr>
                <w:rFonts w:asciiTheme="majorBidi" w:hAnsiTheme="majorBidi" w:cstheme="majorBidi"/>
                <w:b/>
                <w:bCs/>
                <w:sz w:val="20"/>
                <w:szCs w:val="20"/>
              </w:rPr>
              <w:t xml:space="preserve">factors </w:t>
            </w:r>
          </w:p>
        </w:tc>
        <w:tc>
          <w:tcPr>
            <w:tcW w:w="4276" w:type="dxa"/>
          </w:tcPr>
          <w:p w14:paraId="18CF63CE" w14:textId="0B6E406F" w:rsidR="00E728B0" w:rsidRPr="00FB6FB4" w:rsidRDefault="00E728B0" w:rsidP="00084B94">
            <w:pPr>
              <w:spacing w:line="360"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t>Presence of CSR committee</w:t>
            </w:r>
          </w:p>
        </w:tc>
        <w:tc>
          <w:tcPr>
            <w:tcW w:w="3900" w:type="dxa"/>
          </w:tcPr>
          <w:p w14:paraId="5CD5E34B" w14:textId="18189E0C" w:rsidR="00E728B0" w:rsidRPr="00FB6FB4" w:rsidRDefault="007C4154" w:rsidP="00084B94">
            <w:pPr>
              <w:spacing w:line="360"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fldChar w:fldCharType="begin" w:fldLock="1"/>
            </w:r>
            <w:r w:rsidR="009F55E7" w:rsidRPr="00FB6FB4">
              <w:rPr>
                <w:rFonts w:asciiTheme="majorBidi" w:hAnsiTheme="majorBidi" w:cstheme="majorBidi"/>
                <w:sz w:val="20"/>
                <w:szCs w:val="20"/>
                <w:lang w:val="en-GB" w:eastAsia="en-GB"/>
              </w:rPr>
              <w:instrText>ADDIN CSL_CITATION {"citationItems":[{"id":"ITEM-1","itemData":{"DOI":"10.1016/j.techfore.2020.120424","ISSN":"00401625","abstract":"This study contributes to the current climate debate by shedding some light on the driving forces of the disclosure and management of carbon emissions in the context of developed and developing economies. Our findings show that the probability of not reporting total carbon emissions is significantly higher in companies located in a developing than in a developed economy. In addition, the company's sustainability profile (the sustainability report, its assurance and the existence of a Corporate Social Responsibility (CSR) committee), gender diversity policies and other corporate variables (especially size), significantly increase the probability of disclosing total carbon emissions, Scope 1 and Scope 2. Regarding carbon management, however, there are no significant differences between developed and developing economies, and the evidence indicates that the existence of a CSR committee has a significant impact on emission reduction Scope 1 and Scope 2; while the size of the company only influences the reduction of emissions of Scope 2 – the other variables considered do not have a significant effect. The results obtained can be valuable for business executives, governments and government regulators by identifying corporate governance practices that could be improved and contribute strategically to the environmental situation in developed and developing countries.","author":[{"dropping-particle":"","family":"Córdova Román","given":"Carmen","non-dropping-particle":"","parse-names":false,"suffix":""},{"dropping-particle":"","family":"Zorio-Grima","given":"Ana","non-dropping-particle":"","parse-names":false,"suffix":""},{"dropping-particle":"","family":"Merello","given":"Paloma","non-dropping-particle":"","parse-names":false,"suffix":""}],"container-title":"Technological Forecasting and Social Change","id":"ITEM-1","issue":"October","issued":{"date-parts":[["2021"]]},"page":"120424","publisher":"Elsevier Inc.","title":"Economic development and CSR assurance: Important drivers for carbon reporting… yet inefficient drivers for carbon management?","type":"article-journal","volume":"163"},"uris":["http://www.mendeley.com/documents/?uuid=9833af57-a6c9-46f4-ade5-fbd786a3a5dd"]}],"mendeley":{"formattedCitation":"(Córdova Román et al., 2021)","manualFormatting":"Córdova Román et al. (2021)","plainTextFormattedCitation":"(Córdova Román et al., 2021)","previouslyFormattedCitation":"(Córdova Román et al., 2021)"},"properties":{"noteIndex":0},"schema":"https://github.com/citation-style-language/schema/raw/master/csl-citation.json"}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Córdova Román et al. </w:t>
            </w:r>
            <w:r w:rsidR="009F55E7" w:rsidRPr="00FB6FB4">
              <w:rPr>
                <w:rFonts w:asciiTheme="majorBidi" w:hAnsiTheme="majorBidi" w:cstheme="majorBidi"/>
                <w:noProof/>
                <w:sz w:val="20"/>
                <w:szCs w:val="20"/>
                <w:lang w:val="en-GB" w:eastAsia="en-GB"/>
              </w:rPr>
              <w:t>(</w:t>
            </w:r>
            <w:r w:rsidR="00746CE5" w:rsidRPr="00FB6FB4">
              <w:rPr>
                <w:rFonts w:asciiTheme="majorBidi" w:hAnsiTheme="majorBidi" w:cstheme="majorBidi"/>
                <w:noProof/>
                <w:sz w:val="20"/>
                <w:szCs w:val="20"/>
                <w:lang w:val="en-GB" w:eastAsia="en-GB"/>
              </w:rPr>
              <w:t>2021)</w:t>
            </w:r>
            <w:r w:rsidRPr="00FB6FB4">
              <w:rPr>
                <w:rFonts w:asciiTheme="majorBidi" w:hAnsiTheme="majorBidi" w:cstheme="majorBidi"/>
                <w:sz w:val="20"/>
                <w:szCs w:val="20"/>
                <w:lang w:val="en-GB" w:eastAsia="en-GB"/>
              </w:rPr>
              <w:fldChar w:fldCharType="end"/>
            </w:r>
          </w:p>
        </w:tc>
      </w:tr>
      <w:tr w:rsidR="00B76134" w:rsidRPr="00FB6E35" w14:paraId="1CA9E9E5" w14:textId="147DA4DE" w:rsidTr="00CF3C7B">
        <w:tc>
          <w:tcPr>
            <w:tcW w:w="1786" w:type="dxa"/>
          </w:tcPr>
          <w:p w14:paraId="5D9B8C85" w14:textId="6F605DD7" w:rsidR="00E728B0" w:rsidRPr="0097238F" w:rsidRDefault="00E728B0" w:rsidP="00CD3090">
            <w:pPr>
              <w:pStyle w:val="NormalWeb"/>
              <w:shd w:val="clear" w:color="auto" w:fill="FFFFFF"/>
              <w:rPr>
                <w:rFonts w:asciiTheme="majorBidi" w:hAnsiTheme="majorBidi" w:cstheme="majorBidi"/>
                <w:b/>
                <w:bCs/>
                <w:sz w:val="20"/>
                <w:szCs w:val="20"/>
              </w:rPr>
            </w:pPr>
            <w:r w:rsidRPr="0097238F">
              <w:rPr>
                <w:rFonts w:asciiTheme="majorBidi" w:hAnsiTheme="majorBidi" w:cstheme="majorBidi"/>
                <w:b/>
                <w:bCs/>
                <w:sz w:val="20"/>
                <w:szCs w:val="20"/>
              </w:rPr>
              <w:t xml:space="preserve">Government and environmental factors </w:t>
            </w:r>
          </w:p>
        </w:tc>
        <w:tc>
          <w:tcPr>
            <w:tcW w:w="4276" w:type="dxa"/>
          </w:tcPr>
          <w:p w14:paraId="336AA0DC" w14:textId="11A71889" w:rsidR="00E728B0" w:rsidRPr="00FB6FB4" w:rsidRDefault="00E728B0">
            <w:pPr>
              <w:pStyle w:val="NormalWeb"/>
              <w:rPr>
                <w:rFonts w:asciiTheme="majorBidi" w:hAnsiTheme="majorBidi" w:cstheme="majorBidi"/>
                <w:sz w:val="20"/>
                <w:szCs w:val="20"/>
              </w:rPr>
            </w:pPr>
            <w:r w:rsidRPr="00FB6FB4">
              <w:rPr>
                <w:rFonts w:asciiTheme="majorBidi" w:hAnsiTheme="majorBidi" w:cstheme="majorBidi"/>
                <w:sz w:val="20"/>
                <w:szCs w:val="20"/>
                <w:lang w:val="en-GB" w:eastAsia="en-GB"/>
              </w:rPr>
              <w:t>Sustainability report</w:t>
            </w:r>
            <w:r w:rsidR="009F55E7" w:rsidRPr="00FB6FB4">
              <w:rPr>
                <w:rFonts w:asciiTheme="majorBidi" w:hAnsiTheme="majorBidi" w:cstheme="majorBidi"/>
                <w:sz w:val="20"/>
                <w:szCs w:val="20"/>
                <w:lang w:val="en-GB" w:eastAsia="en-GB"/>
              </w:rPr>
              <w:t>-</w:t>
            </w:r>
            <w:r w:rsidRPr="00FB6FB4">
              <w:rPr>
                <w:rFonts w:asciiTheme="majorBidi" w:hAnsiTheme="majorBidi" w:cstheme="majorBidi"/>
                <w:sz w:val="20"/>
                <w:szCs w:val="20"/>
              </w:rPr>
              <w:t xml:space="preserve"> </w:t>
            </w:r>
            <w:r w:rsidR="009F55E7" w:rsidRPr="00FB6FB4">
              <w:rPr>
                <w:rFonts w:asciiTheme="majorBidi" w:hAnsiTheme="majorBidi" w:cstheme="majorBidi"/>
                <w:sz w:val="20"/>
                <w:szCs w:val="20"/>
              </w:rPr>
              <w:t>G</w:t>
            </w:r>
            <w:proofErr w:type="spellStart"/>
            <w:r w:rsidRPr="00FB6FB4">
              <w:rPr>
                <w:rFonts w:asciiTheme="majorBidi" w:hAnsiTheme="majorBidi" w:cstheme="majorBidi"/>
                <w:sz w:val="20"/>
                <w:szCs w:val="20"/>
                <w:lang w:val="en-GB" w:eastAsia="en-GB"/>
              </w:rPr>
              <w:t>overnment</w:t>
            </w:r>
            <w:proofErr w:type="spellEnd"/>
            <w:r w:rsidRPr="00FB6FB4">
              <w:rPr>
                <w:rFonts w:asciiTheme="majorBidi" w:hAnsiTheme="majorBidi" w:cstheme="majorBidi"/>
                <w:sz w:val="20"/>
                <w:szCs w:val="20"/>
                <w:lang w:val="en-GB" w:eastAsia="en-GB"/>
              </w:rPr>
              <w:t xml:space="preserve"> laws</w:t>
            </w:r>
            <w:r w:rsidR="009F55E7" w:rsidRPr="00FB6FB4">
              <w:rPr>
                <w:rFonts w:asciiTheme="majorBidi" w:hAnsiTheme="majorBidi" w:cstheme="majorBidi"/>
                <w:sz w:val="20"/>
                <w:szCs w:val="20"/>
                <w:lang w:val="en-GB" w:eastAsia="en-GB"/>
              </w:rPr>
              <w:t>- T</w:t>
            </w:r>
            <w:r w:rsidR="0006567B" w:rsidRPr="00FB6FB4">
              <w:rPr>
                <w:rFonts w:asciiTheme="majorBidi" w:hAnsiTheme="majorBidi" w:cstheme="majorBidi"/>
                <w:sz w:val="20"/>
                <w:szCs w:val="20"/>
              </w:rPr>
              <w:t xml:space="preserve">he </w:t>
            </w:r>
            <w:r w:rsidRPr="00FB6FB4">
              <w:rPr>
                <w:rFonts w:asciiTheme="majorBidi" w:hAnsiTheme="majorBidi" w:cstheme="majorBidi"/>
                <w:sz w:val="20"/>
                <w:szCs w:val="20"/>
              </w:rPr>
              <w:t>e</w:t>
            </w:r>
            <w:proofErr w:type="spellStart"/>
            <w:r w:rsidRPr="00FB6FB4">
              <w:rPr>
                <w:rFonts w:asciiTheme="majorBidi" w:hAnsiTheme="majorBidi" w:cstheme="majorBidi"/>
                <w:sz w:val="20"/>
                <w:szCs w:val="20"/>
                <w:lang w:val="en-GB" w:eastAsia="en-GB"/>
              </w:rPr>
              <w:t>xistence</w:t>
            </w:r>
            <w:proofErr w:type="spellEnd"/>
            <w:r w:rsidRPr="00FB6FB4">
              <w:rPr>
                <w:rFonts w:asciiTheme="majorBidi" w:hAnsiTheme="majorBidi" w:cstheme="majorBidi"/>
                <w:sz w:val="20"/>
                <w:szCs w:val="20"/>
                <w:lang w:val="en-GB" w:eastAsia="en-GB"/>
              </w:rPr>
              <w:t xml:space="preserve"> of emissions trading plans</w:t>
            </w:r>
            <w:r w:rsidR="009F55E7" w:rsidRPr="00FB6FB4">
              <w:rPr>
                <w:rFonts w:asciiTheme="majorBidi" w:hAnsiTheme="majorBidi" w:cstheme="majorBidi"/>
                <w:sz w:val="20"/>
                <w:szCs w:val="20"/>
                <w:lang w:val="en-GB" w:eastAsia="en-GB"/>
              </w:rPr>
              <w:t>-P</w:t>
            </w:r>
            <w:proofErr w:type="spellStart"/>
            <w:r w:rsidRPr="00FB6FB4">
              <w:rPr>
                <w:rFonts w:asciiTheme="majorBidi" w:hAnsiTheme="majorBidi" w:cstheme="majorBidi"/>
                <w:sz w:val="20"/>
                <w:szCs w:val="20"/>
              </w:rPr>
              <w:t>resence</w:t>
            </w:r>
            <w:proofErr w:type="spellEnd"/>
            <w:r w:rsidRPr="00FB6FB4">
              <w:rPr>
                <w:rFonts w:asciiTheme="majorBidi" w:hAnsiTheme="majorBidi" w:cstheme="majorBidi"/>
                <w:sz w:val="20"/>
                <w:szCs w:val="20"/>
              </w:rPr>
              <w:t xml:space="preserve"> of ETS</w:t>
            </w:r>
            <w:r w:rsidR="009F55E7" w:rsidRPr="00FB6FB4">
              <w:rPr>
                <w:rFonts w:asciiTheme="majorBidi" w:hAnsiTheme="majorBidi" w:cstheme="majorBidi"/>
                <w:sz w:val="20"/>
                <w:szCs w:val="20"/>
              </w:rPr>
              <w:t>-T</w:t>
            </w:r>
            <w:r w:rsidR="0006567B" w:rsidRPr="00FB6FB4">
              <w:rPr>
                <w:rFonts w:asciiTheme="majorBidi" w:hAnsiTheme="majorBidi" w:cstheme="majorBidi"/>
                <w:sz w:val="20"/>
                <w:szCs w:val="20"/>
              </w:rPr>
              <w:t xml:space="preserve">he </w:t>
            </w:r>
            <w:r w:rsidRPr="00FB6FB4">
              <w:rPr>
                <w:rFonts w:asciiTheme="majorBidi" w:hAnsiTheme="majorBidi" w:cstheme="majorBidi"/>
                <w:sz w:val="20"/>
                <w:szCs w:val="20"/>
              </w:rPr>
              <w:t>existence of EMSs</w:t>
            </w:r>
            <w:r w:rsidR="009F55E7" w:rsidRPr="00FB6FB4">
              <w:rPr>
                <w:rFonts w:asciiTheme="majorBidi" w:hAnsiTheme="majorBidi" w:cstheme="majorBidi"/>
                <w:sz w:val="20"/>
                <w:szCs w:val="20"/>
              </w:rPr>
              <w:t>-A</w:t>
            </w:r>
            <w:r w:rsidRPr="00FB6FB4">
              <w:rPr>
                <w:rFonts w:asciiTheme="majorBidi" w:hAnsiTheme="majorBidi" w:cstheme="majorBidi"/>
                <w:sz w:val="20"/>
                <w:szCs w:val="20"/>
              </w:rPr>
              <w:t>pplied of legislation of the national greenhouse</w:t>
            </w:r>
            <w:r w:rsidR="009F55E7" w:rsidRPr="00FB6FB4">
              <w:rPr>
                <w:rFonts w:asciiTheme="majorBidi" w:hAnsiTheme="majorBidi" w:cstheme="majorBidi"/>
                <w:sz w:val="20"/>
                <w:szCs w:val="20"/>
              </w:rPr>
              <w:t>-E</w:t>
            </w:r>
            <w:r w:rsidRPr="00FB6FB4">
              <w:rPr>
                <w:rFonts w:asciiTheme="majorBidi" w:hAnsiTheme="majorBidi" w:cstheme="majorBidi"/>
                <w:sz w:val="20"/>
                <w:szCs w:val="20"/>
              </w:rPr>
              <w:t>nvironmental performance</w:t>
            </w:r>
            <w:r w:rsidR="009F55E7" w:rsidRPr="00FB6FB4">
              <w:rPr>
                <w:rFonts w:asciiTheme="majorBidi" w:hAnsiTheme="majorBidi" w:cstheme="majorBidi"/>
                <w:sz w:val="20"/>
                <w:szCs w:val="20"/>
              </w:rPr>
              <w:t>-</w:t>
            </w:r>
            <w:r w:rsidRPr="00FB6FB4">
              <w:rPr>
                <w:rFonts w:asciiTheme="majorBidi" w:hAnsiTheme="majorBidi" w:cstheme="majorBidi"/>
                <w:sz w:val="20"/>
                <w:szCs w:val="20"/>
              </w:rPr>
              <w:t xml:space="preserve"> </w:t>
            </w:r>
            <w:r w:rsidR="009F55E7" w:rsidRPr="00FB6FB4">
              <w:rPr>
                <w:rFonts w:asciiTheme="majorBidi" w:hAnsiTheme="majorBidi" w:cstheme="majorBidi"/>
                <w:sz w:val="20"/>
                <w:szCs w:val="20"/>
              </w:rPr>
              <w:t>C</w:t>
            </w:r>
            <w:r w:rsidRPr="00FB6FB4">
              <w:rPr>
                <w:rFonts w:asciiTheme="majorBidi" w:hAnsiTheme="majorBidi" w:cstheme="majorBidi"/>
                <w:sz w:val="20"/>
                <w:szCs w:val="20"/>
              </w:rPr>
              <w:t>ompetitive environment</w:t>
            </w:r>
          </w:p>
        </w:tc>
        <w:tc>
          <w:tcPr>
            <w:tcW w:w="3900" w:type="dxa"/>
          </w:tcPr>
          <w:p w14:paraId="332A8C5A" w14:textId="7A19F3DB" w:rsidR="00E728B0" w:rsidRPr="00FB6FB4" w:rsidRDefault="009B05BE" w:rsidP="009F55E7">
            <w:pPr>
              <w:pStyle w:val="NormalWeb"/>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{"citationItems":[{"id":"ITEM-1","itemData":{"DOI":"10.1002/bse.2426","ISSN":"10990836","abstract":"The outcome of carbon disclosure, the importance of which has grown remarkably in recent years to become a strategic decision-making issue for organisations in today's competitive environment, is a subject of lively debate but remains under-researched in the environmental accounting literature. This study is motivated by this research gap and the growing interest in assessing the financial consequences of corporate involvement in climate change beyond regulatory compliance, as evidenced by firms' voluntary participation in the Carbon Disclosure Project. Using the resource-based view of the firm as a theoretical framework and linking it to carbon disclosure through Carbon Disclosure Project, we conceptualise and empirically investigate the impact of adopting proactive carbon management policies and communicating them to stakeholders, focusing on the financial performance of the top FTSE350 companies between 2007 and 2015. By developing a comprehensive financial performance index and controlling for several firm characteristics, we find strong evidence that voluntary carbon disclosure is positively associated with firm financial performance. The findings in this paper provide new insights and policy implications for managers, financial stakeholders, and regulators.","author":[{"dropping-particle":"","family":"Alsaifi","given":"Khaled","non-dropping-particle":"","parse-names":false,"suffix":""},{"dropping-particle":"","family":"Elnahass","given":"Marwa","non-dropping-particle":"","parse-names":false,"suffix":""},{"dropping-particle":"","family":"Salama","given":"Aly","non-dropping-particle":"","parse-names":false,"suffix":""}],"container-title":"Business Strategy and the Environment","id":"ITEM-1","issue":"2","issued":{"date-parts":[["2020"]]},"page":"711-726","title":"Carbon disclosure and financial performance: UK environmental policy","type":"article-journal","volume":"29"},"uris":["http://www.mendeley.com/documents/?uuid=27db1fd8-791d-4f69-bb26-19db86eaaee1"]}],"mendeley":{"formattedCitation":"(Alsaifi et al., 2020)","manualFormatting":"(Alsaifi et al., 2020;","plainTextFormattedCitation":"(Alsaifi et al., 2020)","previouslyFormattedCitation":"(Alsaifi et al., 2020)"},"properties":{"noteIndex":0},"schema":"https://github.com/citation-style-language/schema/raw/master/csl-citation.json"}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(Alsaifi et al., 2020</w:t>
            </w:r>
            <w:r w:rsidR="009F55E7" w:rsidRPr="00FB6FB4">
              <w:rPr>
                <w:rFonts w:asciiTheme="majorBidi" w:hAnsiTheme="majorBidi" w:cstheme="majorBidi"/>
                <w:noProof/>
                <w:sz w:val="20"/>
                <w:szCs w:val="20"/>
                <w:lang w:val="en-GB" w:eastAsia="en-GB"/>
              </w:rPr>
              <w:t>;</w:t>
            </w:r>
            <w:r w:rsidRPr="00FB6FB4">
              <w:rPr>
                <w:rFonts w:asciiTheme="majorBidi" w:hAnsiTheme="majorBidi" w:cstheme="majorBidi"/>
                <w:sz w:val="20"/>
                <w:szCs w:val="20"/>
                <w:lang w:val="en-GB" w:eastAsia="en-GB"/>
              </w:rPr>
              <w:fldChar w:fldCharType="end"/>
            </w:r>
            <w:r w:rsidR="007C4154"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{"citationItems":[{"id":"ITEM-1","itemData":{"DOI":"10.1016/j.techfore.2020.120424","ISSN":"00401625","abstract":"This study contributes to the current climate debate by shedding some light on the driving forces of the disclosure and management of carbon emissions in the context of developed and developing economies. Our findings show that the probability of not reporting total carbon emissions is significantly higher in companies located in a developing than in a developed economy. In addition, the company's sustainability profile (the sustainability report, its assurance and the existence of a Corporate Social Responsibility (CSR) committee), gender diversity policies and other corporate variables (especially size), significantly increase the probability of disclosing total carbon emissions, Scope 1 and Scope 2. Regarding carbon management, however, there are no significant differences between developed and developing economies, and the evidence indicates that the existence of a CSR committee has a significant impact on emission reduction Scope 1 and Scope 2; while the size of the company only influences the reduction of emissions of Scope 2 – the other variables considered do not have a significant effect. The results obtained can be valuable for business executives, governments and government regulators by identifying corporate governance practices that could be improved and contribute strategically to the environmental situation in developed and developing countries.","author":[{"dropping-particle":"","family":"Córdova Román","given":"Carmen","non-dropping-particle":"","parse-names":false,"suffix":""},{"dropping-particle":"","family":"Zorio-Grima","given":"Ana","non-dropping-particle":"","parse-names":false,"suffix":""},{"dropping-particle":"","family":"Merello","given":"Paloma","non-dropping-particle":"","parse-names":false,"suffix":""}],"container-title":"Technological Forecasting and Social Change","id":"ITEM-1","issue":"October","issued":{"date-parts":[["2021"]]},"page":"120424","publisher":"Elsevier Inc.","title":"Economic development and CSR assurance: Important drivers for carbon reporting… yet inefficient drivers for carbon management?","type":"article-journal","volume":"163"},"uris":["http://www.mendeley.com/documents/?uuid=9833af57-a6c9-46f4-ade5-fbd786a3a5dd"]}],"mendeley":{"formattedCitation":"(Córdova Román et al., 2021)","manualFormatting":"Córdova Román et al., 2021;","plainTextFormattedCitation":"(Córdova Román et al., 2021)","previouslyFormattedCitation":"(Córdova Román et al., 2021)"},"properties":{"noteIndex":0},"schema":"https://github.com/citation-style-language/schema/raw/master/csl-citation.json"}</w:instrText>
            </w:r>
            <w:r w:rsidR="007C4154"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Córdova Román et al., 2021</w:t>
            </w:r>
            <w:r w:rsidR="009F55E7" w:rsidRPr="00FB6FB4">
              <w:rPr>
                <w:rFonts w:asciiTheme="majorBidi" w:hAnsiTheme="majorBidi" w:cstheme="majorBidi"/>
                <w:noProof/>
                <w:sz w:val="20"/>
                <w:szCs w:val="20"/>
                <w:lang w:val="en-GB" w:eastAsia="en-GB"/>
              </w:rPr>
              <w:t>;</w:t>
            </w:r>
            <w:r w:rsidR="007C4154" w:rsidRPr="00FB6FB4">
              <w:rPr>
                <w:rFonts w:asciiTheme="majorBidi" w:hAnsiTheme="majorBidi" w:cstheme="majorBidi"/>
                <w:sz w:val="20"/>
                <w:szCs w:val="20"/>
                <w:lang w:val="en-GB" w:eastAsia="en-GB"/>
              </w:rPr>
              <w:fldChar w:fldCharType="end"/>
            </w:r>
            <w:r w:rsidR="00B76134"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{"citationItems":[{"id":"ITEM-1","itemData":{"DOI":"10.1108/IJOES-09-2020-0148","ISSN":"25149369","abstract":"Purpose: During the current century, environmental sustainability and waste reduction processes have always been subject to scrutiny in developed societies. Developed communities have gained considerable momentum by investing in environmental infrastructure and integrating corporate performance disclosure and less developed communities are involved with it. Carbon disclosure is one of the aspects of green accounting in “corporate strategies,” especially those operating across the capital market. Adherence to the disclosure of facts can facilitate sustainable development in societies. This study aims to present strategic reference points matrix-based model to develop a framework for carbon disclosure strategies through institutional and stakeholder pressures throughout the capital market. Design/methodology/approach: As a case study, by reviewing similar research on carbon disclosure, this study seeks to illustrate various carbon disclosure aspects and strategies in a matrix based on institutional (vertical axis) and stakeholder (horizontal axis) pressures Findings: The study attempts to states that carbon disclosure is affected solely by the company because of the presence of agency gaps between external stakeholders and corporate executives. Originality/value: However, the firm’s decision to adopt a carbon disclosure strategy depends on the performance of stakeholder pressure (stakeholder salience level) and managers’ perceptions of institutional pressure (institutional pressure centrality level).","author":[{"dropping-particle":"","family":"Vaseyee Charmahali","given":"Mehdi","non-dropping-particle":"","parse-names":false,"suffix":""},{"dropping-particle":"","family":"Valiyan","given":"Hasan","non-dropping-particle":"","parse-names":false,"suffix":""},{"dropping-particle":"","family":"Abdoli","given":"Mohammadreza","non-dropping-particle":"","parse-names":false,"suffix":""}],"container-title":"International Journal of Ethics and Systems","id":"ITEM-1","issue":"2","issued":{"date-parts":[["2021"]]},"page":"157-180","title":"Developing a framework for carbon accounting disclosure strategies: a strategic reference points (SRP) matrix-based analysis","type":"article-journal","volume":"37"},"uris":["http://www.mendeley.com/documents/?uuid=a7da793a-d242-4bc7-a2c3-dac6f4e66745"]}],"mendeley":{"formattedCitation":"(Vaseyee Charmahali et al., 2021)","manualFormatting":"Vaseyee Charmahali et al., 2021;","plainTextFormattedCitation":"(Vaseyee Charmahali et al., 2021)","previouslyFormattedCitation":"(Vaseyee Charmahali et al., 2021)"},"properties":{"noteIndex":0},"schema":"https://github.com/citation-style-language/schema/raw/master/csl-citation.json"}</w:instrText>
            </w:r>
            <w:r w:rsidR="00B76134"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Vaseyee Charmahali et al., 2021</w:t>
            </w:r>
            <w:r w:rsidR="009F55E7" w:rsidRPr="00FB6FB4">
              <w:rPr>
                <w:rFonts w:asciiTheme="majorBidi" w:hAnsiTheme="majorBidi" w:cstheme="majorBidi"/>
                <w:noProof/>
                <w:sz w:val="20"/>
                <w:szCs w:val="20"/>
                <w:lang w:val="en-GB" w:eastAsia="en-GB"/>
              </w:rPr>
              <w:t>;</w:t>
            </w:r>
            <w:r w:rsidR="00B76134" w:rsidRPr="00FB6FB4">
              <w:rPr>
                <w:rFonts w:asciiTheme="majorBidi" w:hAnsiTheme="majorBidi" w:cstheme="majorBidi"/>
                <w:sz w:val="20"/>
                <w:szCs w:val="20"/>
                <w:lang w:val="en-GB" w:eastAsia="en-GB"/>
              </w:rPr>
              <w:fldChar w:fldCharType="end"/>
            </w:r>
            <w:r w:rsidR="0078012C"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{"citationItems":[{"id":"ITEM-1","itemData":{"DOI":"10.1002/bse.1732","ISSN":"09644733","abstract":"This paper examines voluntary disclosures about greenhouse gas emissions by the US S&amp;P 500 firms to the Carbon Disclosure Project (CDP). Trends in three disclosures (answering the questionnaire, disclosing emissions and disclosing accounting methodology for emissions) are examined from 2006 to 2008. The frequencies of all three disclosures increased over this period. The finding that many firms answer the questionnaire, but do not disclose their emission amounts or how they account for them, is consistent with a prediction from the legitimacy theory literature that firms will disclose the minimum to avoid scrutiny. Disclosure patterns are routine since previous disclosures are the most significant variable in explaining subsequent ones. The research contributes to the understanding of emission disclosures, in particular, and voluntary disclosures, in general, by highlighting the importance of considering previous disclosures in understanding subsequent ones. © 2012 John Wiley &amp; Sons, Ltd and ERP Environment.","author":[{"dropping-particle":"","family":"Stanny","given":"Elizabeth","non-dropping-particle":"","parse-names":false,"suffix":""}],"container-title":"Business Strategy and the Environment","id":"ITEM-1","issue":"3","issued":{"date-parts":[["2013"]]},"page":"145-158","title":"Voluntary Disclosures of Emissions by US Firms","type":"article-journal","volume":"22"},"uris":["http://www.mendeley.com/documents/?uuid=9542ae20-5b97-4c0e-93ca-1b893231e404"]}],"mendeley":{"formattedCitation":"(Stanny, 2013)","manualFormatting":"Stanny, 2013;","plainTextFormattedCitation":"(Stanny, 2013)","previouslyFormattedCitation":"(Stanny, 2013)"},"properties":{"noteIndex":0},"schema":"https://github.com/citation-style-language/schema/raw/master/csl-citation.json"}</w:instrText>
            </w:r>
            <w:r w:rsidR="0078012C"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Stanny, 2013</w:t>
            </w:r>
            <w:r w:rsidR="009F55E7" w:rsidRPr="00FB6FB4">
              <w:rPr>
                <w:rFonts w:asciiTheme="majorBidi" w:hAnsiTheme="majorBidi" w:cstheme="majorBidi"/>
                <w:noProof/>
                <w:sz w:val="20"/>
                <w:szCs w:val="20"/>
                <w:lang w:val="en-GB" w:eastAsia="en-GB"/>
              </w:rPr>
              <w:t>;</w:t>
            </w:r>
            <w:r w:rsidR="0078012C" w:rsidRPr="00FB6FB4">
              <w:rPr>
                <w:rFonts w:asciiTheme="majorBidi" w:hAnsiTheme="majorBidi" w:cstheme="majorBidi"/>
                <w:sz w:val="20"/>
                <w:szCs w:val="20"/>
                <w:lang w:val="en-GB" w:eastAsia="en-GB"/>
              </w:rPr>
              <w:fldChar w:fldCharType="end"/>
            </w:r>
            <w:r w:rsidR="00B76134"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{"citationItems":[{"id":"ITEM-1","itemData":{"DOI":"10.1108/02686901311284531","ISSN":"02686902","abstract":"Purpose: The purpose of this paper is to investigate the factors driving greenhouse gas reporting by Chinese companies. Design/methodology/approach: Content analysis of annual reports and corporate social responsibility (CSR) reports for the year 2010 of the top 100 A-share companies listed on Shanghai Stock Exchange was conducted to investigate the extent of greenhouse gas reporting. Multiple regression analysis was performed to determine the factors driving these companies' greenhouse gas reporting. Findings: It was found that most Chinese companies reported neutral and good news. The results also indicate larger companies operating in an industry which has higher level of carbon dioxide emissions tend to have higher levels of greenhouse gas disclosures, consistent with the expectation of legitimacy theory. However, profitability and overseas listing were not significantly related to greenhouse gas reporting. This is consistent with the findings of previous literature. Finally, contrary to expectations, state-owned companies report less greenhouse gas information than private companies. Originality/value: The paper contributes towards theory development by testing legitimacy theory in the context of greenhouse gas reporting by Chinese companies and contributes to existing literature on greenhouse gas reporting by focussing on the large emerging economy of China. The practical contribution of the paper rests in the area of accounting practice. The results outline the dearth in greenhouse gas reporting by Chinese companies, suggesting there needs to be future development of accounting standards in this area. © Emerald Group Publishing Limited.","author":[{"dropping-particle":"","family":"Chu","given":"Choi Ieng","non-dropping-particle":"","parse-names":false,"suffix":""},{"dropping-particle":"","family":"Chatterjee","given":"Bikram","non-dropping-particle":"","parse-names":false,"suffix":""},{"dropping-particle":"","family":"Brown","given":"Alistair","non-dropping-particle":"","parse-names":false,"suffix":""}],"container-title":"Managerial Auditing Journal","id":"ITEM-1","issue":"2","issued":{"date-parts":[["2013"]]},"page":"114-139","title":"The current status of greenhouse gas reporting by Chinese companies: A test of legitimacy theory","type":"article-journal","volume":"28"},"uris":["http://www.mendeley.com/documents/?uuid=ab7e8b32-f61c-4fc3-81a6-a4655c0fc750"]}],"mendeley":{"formattedCitation":"(Chu et al., 2013)","manualFormatting":"Chu et al., 2013;","plainTextFormattedCitation":"(Chu et al., 2013)","previouslyFormattedCitation":"(Chu et al., 2013)"},"properties":{"noteIndex":0},"schema":"https://github.com/citation-style-language/schema/raw/master/csl-citation.json"}</w:instrText>
            </w:r>
            <w:r w:rsidR="00B76134"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Chu et al., 2013</w:t>
            </w:r>
            <w:r w:rsidR="009F55E7" w:rsidRPr="00FB6FB4">
              <w:rPr>
                <w:rFonts w:asciiTheme="majorBidi" w:hAnsiTheme="majorBidi" w:cstheme="majorBidi"/>
                <w:noProof/>
                <w:sz w:val="20"/>
                <w:szCs w:val="20"/>
                <w:lang w:val="en-GB" w:eastAsia="en-GB"/>
              </w:rPr>
              <w:t>;</w:t>
            </w:r>
            <w:r w:rsidR="00B76134" w:rsidRPr="00FB6FB4">
              <w:rPr>
                <w:rFonts w:asciiTheme="majorBidi" w:hAnsiTheme="majorBidi" w:cstheme="majorBidi"/>
                <w:sz w:val="20"/>
                <w:szCs w:val="20"/>
                <w:lang w:val="en-GB" w:eastAsia="en-GB"/>
              </w:rPr>
              <w:fldChar w:fldCharType="end"/>
            </w:r>
            <w:r w:rsidR="00E45D2D" w:rsidRPr="00FB6FB4">
              <w:rPr>
                <w:rFonts w:asciiTheme="majorBidi" w:hAnsiTheme="majorBidi" w:cstheme="majorBidi"/>
                <w:sz w:val="20"/>
                <w:szCs w:val="20"/>
                <w:lang w:val="en-GB" w:eastAsia="en-GB"/>
              </w:rPr>
              <w:t xml:space="preserve"> </w:t>
            </w:r>
            <w:r w:rsidR="00E45D2D"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{"citationItems":[{"id":"ITEM-1","itemData":{"DOI":"10.1111/j.1467-646X.2012.01055.x","ISSN":"09541314","abstract":"We investigate how the Global 500 companies respond to the challenge of climate change with regard to their carbon disclosure strategies. This paper is motivated by a growing body of research that examines the role of large companies in carbon disclosure responsibility and practices. We consider the impact of social, financial market, economic, regulatory, and institutional factors on the motivation to voluntarily participate in the 2009 Carbon Disclosure Project. We find that economic pressure is significantly associated with the decision. That is, companies facing direct economic consequence are more likely to disclose. Companies in greenhouse gas (GHG) intensive sectors show the same tendency. In addition, big companies have a higher propensity for disclosing, suggesting that social pressure plays an important role. We also provide possible explanations as to why a large proportion of our sample firms refuse to disclose. Furthermore, our results suggest that the proxies for information needs of investors are not associated with a higher propensity to disclose the amount of their emission footprints. In sum, it appears that the major driving force for climate change disclosure comes from the general public and government rather than from the other major stakeholders such as shareholders and debtholders. Our results are robust after controlling for other influences. © 2012 Blackwell Publishing Ltd.","author":[{"dropping-particle":"","family":"Luo","given":"Le","non-dropping-particle":"","parse-names":false,"suffix":""},{"dropping-particle":"","family":"Lan","given":"Yi Chen","non-dropping-particle":"","parse-names":false,"suffix":""},{"dropping-particle":"","family":"Tang","given":"Qingliang","non-dropping-particle":"","parse-names":false,"suffix":""}],"container-title":"Journal of International Financial Management and Accounting","id":"ITEM-1","issue":"2","issued":{"date-parts":[["2012"]]},"page":"93-120","title":"Corporate Incentives to Disclose Carbon Information: Evidence from the CDP Global 500 Report","type":"article-journal","volume":"23"},"uris":["http://www.mendeley.com/documents/?uuid=795c5034-2720-4138-aedf-36295ee6a5a2"]}],"mendeley":{"formattedCitation":"(Luo et al., 2012)","manualFormatting":"Luo et al., 2012;","plainTextFormattedCitation":"(Luo et al., 2012)","previouslyFormattedCitation":"(Luo et al., 2012)"},"properties":{"noteIndex":0},"schema":"https://github.com/citation-style-language/schema/raw/master/csl-citation.json"}</w:instrText>
            </w:r>
            <w:r w:rsidR="00E45D2D"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Luo et al., 2012</w:t>
            </w:r>
            <w:r w:rsidR="009F55E7" w:rsidRPr="00FB6FB4">
              <w:rPr>
                <w:rFonts w:asciiTheme="majorBidi" w:hAnsiTheme="majorBidi" w:cstheme="majorBidi"/>
                <w:noProof/>
                <w:sz w:val="20"/>
                <w:szCs w:val="20"/>
                <w:lang w:val="en-GB" w:eastAsia="en-GB"/>
              </w:rPr>
              <w:t>;</w:t>
            </w:r>
            <w:r w:rsidR="00E45D2D" w:rsidRPr="00FB6FB4">
              <w:rPr>
                <w:rFonts w:asciiTheme="majorBidi" w:hAnsiTheme="majorBidi" w:cstheme="majorBidi"/>
                <w:sz w:val="20"/>
                <w:szCs w:val="20"/>
                <w:lang w:val="en-GB" w:eastAsia="en-GB"/>
              </w:rPr>
              <w:fldChar w:fldCharType="end"/>
            </w:r>
            <w:r w:rsidR="00E45D2D" w:rsidRPr="00FB6FB4">
              <w:rPr>
                <w:rFonts w:asciiTheme="majorBidi" w:hAnsiTheme="majorBidi" w:cstheme="majorBidi"/>
                <w:sz w:val="20"/>
                <w:szCs w:val="20"/>
                <w:lang w:val="en-GB" w:eastAsia="en-GB"/>
              </w:rPr>
              <w:t xml:space="preserve"> </w:t>
            </w:r>
            <w:r w:rsidR="0078012C"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{"citationItems":[{"id":"ITEM-1","itemData":{"DOI":"10.1016/j.bar.2014.07.002","ISSN":"10958347","abstract":"This paper investigates the effect of the 2009 guidance of the Department for Environment, Food &amp; Rural Affairs on greenhouse gas (GHG) disclosure. The sample comprises 215 companies from a population of London Stock Exchange FTSE 350 companies over four years (2008-2011). To quantify GHG disclosure, a research index methodology is employed, with information derived from several GHG reporting frameworks. The econometric model is estimated using panel fixed effects. Our findings suggest that the publication of the 2009 guidance has had a significant effect on the level of GHG disclosure, and that corporate governance mechanisms (board size, director ownership, and ownership concentration) also affect the extent of GHG information disclosure. The results also indicate that companies increased their disclosures prior to the 2009 guidance in anticipation of its publication. These results have important implications for the government, suggesting that non-mandatory guidance could increase disclosure as much as do mandatory requirements.","author":[{"dropping-particle":"","family":"Tauringana","given":"Venancio","non-dropping-particle":"","parse-names":false,"suffix":""},{"dropping-particle":"","family":"Chithambo","given":"Lyton","non-dropping-particle":"","parse-names":false,"suffix":""}],"container-title":"British Accounting Review","id":"ITEM-1","issue":"4","issued":{"date-parts":[["2015"]]},"page":"425-444","publisher":"Elsevier Ltd","title":"The effect of DEFRA guidance on greenhouse gas disclosure","type":"article-journal","volume":"47"},"uris":["http://www.mendeley.com/documents/?uuid=1d57abb0-965e-449e-976f-9b8f37cdfcbd"]}],"mendeley":{"formattedCitation":"(Tauringana &amp; Chithambo, 2015)","manualFormatting":"Tauringana and Chithambo, 2015;","plainTextFormattedCitation":"(Tauringana &amp; Chithambo, 2015)","previouslyFormattedCitation":"(Tauringana &amp; Chithambo, 2015)"},"properties":{"noteIndex":0},"schema":"https://github.com/citation-style-language/schema/raw/master/csl-citation.json"}</w:instrText>
            </w:r>
            <w:r w:rsidR="0078012C"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Tauringana </w:t>
            </w:r>
            <w:r w:rsidR="008767FD"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Chithambo, 2015</w:t>
            </w:r>
            <w:r w:rsidR="009F55E7" w:rsidRPr="00FB6FB4">
              <w:rPr>
                <w:rFonts w:asciiTheme="majorBidi" w:hAnsiTheme="majorBidi" w:cstheme="majorBidi"/>
                <w:noProof/>
                <w:sz w:val="20"/>
                <w:szCs w:val="20"/>
                <w:lang w:val="en-GB" w:eastAsia="en-GB"/>
              </w:rPr>
              <w:t>;</w:t>
            </w:r>
            <w:r w:rsidR="0078012C" w:rsidRPr="00FB6FB4">
              <w:rPr>
                <w:rFonts w:asciiTheme="majorBidi" w:hAnsiTheme="majorBidi" w:cstheme="majorBidi"/>
                <w:sz w:val="20"/>
                <w:szCs w:val="20"/>
                <w:lang w:val="en-GB" w:eastAsia="en-GB"/>
              </w:rPr>
              <w:fldChar w:fldCharType="end"/>
            </w:r>
            <w:r w:rsidR="00927D71"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{"citationItems":[{"id":"ITEM-1","itemData":{"DOI":"10.1016/j.intacc.2005.06.004","ISSN":"00207063","abstract":"This study evaluates disclosures on pollution and greenhouse gases by firms domiciled in countries that have ratified the Kyoto Protocol compared to others. The study is based on disclosures made in the annual reports, environmental reports, and websites of 120 of the largest (in terms of revenues) public firms from the chemical, oil and gas, energy, and motor vehicles and casualty insurance industries. The study uses content analysis to construct weighted and unweighted disclosure indices. The results show that firms from countries that ratified the Protocol have higher disclosure indexes as compared to firms in other countries. Additionally, larger firms disclose more detailed pollution information. Multinational firms that operate in countries that ratified the Protocol but have their home offices in countries that did not are associated with lower disclosures. This lack of consistency in disclosure is not likely to be helpful in informing shareholders about the social responsibility of their investments. © 2005 University of Illinois. All rights reserved.","author":[{"dropping-particle":"","family":"Freedman","given":"Martin","non-dropping-particle":"","parse-names":false,"suffix":""},{"dropping-particle":"","family":"Jaggi","given":"Bikki","non-dropping-particle":"","parse-names":false,"suffix":""}],"container-title":"International Journal of Accounting","id":"ITEM-1","issue":"3","issued":{"date-parts":[["2005"]]},"page":"215-232","title":"Global warming, commitment to the Kyoto protocol, and accounting disclosures by the largest global public firms from polluting industries","type":"article-journal","volume":"40"},"uris":["http://www.mendeley.com/documents/?uuid=b9d9c22c-58ba-4911-8c52-8501072165da"]}],"mendeley":{"formattedCitation":"(Freedman &amp; Jaggi, 2005)","manualFormatting":"Freedman and Jaggi, 2005;","plainTextFormattedCitation":"(Freedman &amp; Jaggi, 2005)","previouslyFormattedCitation":"(Freedman &amp; Jaggi, 2005)"},"properties":{"noteIndex":0},"schema":"https://github.com/citation-style-language/schema/raw/master/csl-citation.json"}</w:instrText>
            </w:r>
            <w:r w:rsidR="00927D71"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Freedman </w:t>
            </w:r>
            <w:r w:rsidR="009F55E7"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Jaggi, 2005</w:t>
            </w:r>
            <w:r w:rsidR="009F55E7" w:rsidRPr="00FB6FB4">
              <w:rPr>
                <w:rFonts w:asciiTheme="majorBidi" w:hAnsiTheme="majorBidi" w:cstheme="majorBidi"/>
                <w:noProof/>
                <w:sz w:val="20"/>
                <w:szCs w:val="20"/>
                <w:lang w:val="en-GB" w:eastAsia="en-GB"/>
              </w:rPr>
              <w:t>;</w:t>
            </w:r>
            <w:r w:rsidR="00927D71" w:rsidRPr="00FB6FB4">
              <w:rPr>
                <w:rFonts w:asciiTheme="majorBidi" w:hAnsiTheme="majorBidi" w:cstheme="majorBidi"/>
                <w:sz w:val="20"/>
                <w:szCs w:val="20"/>
                <w:lang w:val="en-GB" w:eastAsia="en-GB"/>
              </w:rPr>
              <w:fldChar w:fldCharType="end"/>
            </w:r>
            <w:r w:rsidR="00927D71" w:rsidRPr="00FB6FB4">
              <w:rPr>
                <w:rFonts w:asciiTheme="majorBidi" w:hAnsiTheme="majorBidi" w:cstheme="majorBidi"/>
                <w:sz w:val="20"/>
                <w:szCs w:val="20"/>
                <w:lang w:val="en-GB" w:eastAsia="en-GB"/>
              </w:rPr>
              <w:t xml:space="preserve"> </w:t>
            </w:r>
            <w:r w:rsidR="00F77328"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{"citationItems":[{"id":"ITEM-1","itemData":{"DOI":"10.1108/01140581311318968","ISSN":"20415494","abstract":"Purpose – This study aims to report the extent of voluntary carbon emission disclosures by major Australian companies during the years 2006 to 2008. This paper provides contemporary data and explanations about carbon emissions reporting in Australia. Additionally, the paper aims to determine the variables that explain the extent of carbon disclosures. Design/methodology/approach – The carbon disclosure score is measured directly from individual companies' annual reports and sustainability reports. A checklist is established to determine the breadth and depth of the information related to climate change and carbon emissions incorporated in these publicly available reports. Findings – The overall carbon disclosure score has increased significantly over the authors' research period. Furthermore, regression results show that larger firms with higher visibility tend to make more comprehensive carbon disclosures. Overall, the authors' results indicate that the legislation of the National Greenhouse and Energy Reporting Act (the NGER Act) in 2007 may have enhanced the voluntary carbon emission disclosures in 2008, even though the NGER Act was not operative until the 2009 financial year. From a theoretical perspective, the findings of the paper are consistent with legitimacy theory. Originality/value – Previous studies examining environmental disclosures in Australia are based on a time period prior to widespread public discussion and interest in climate change and carbon emissions. By investigating voluntary disclosures made by large Australian companies around the time that the mandatory emission reporting scheme was introduced, this paper investigates whether the prominence of discussion and impending operation of the mandatory environmental disclosures have led to a greater extent of voluntary carbon disclosures. The findings can help regulators draft appropriate legislation that targets industries and specific practices where disclosure is of greatest importance to relevant stakeholders. In addition, an understanding of who and why entities disclose carbon gas emission information can arm green groups and other stakeholders with an appropriate level of understanding about the motivation for such disclosures.","author":[{"dropping-particle":"","family":"Bae Choi","given":"Bo","non-dropping-particle":"","parse-names":false,"suffix":""},{"dropping-particle":"","family":"Lee","given":"Doowon","non-dropping-particle":"","parse-names":false,"suffix":""},{"dropping-particle":"","family":"Psaros","given":"Jim","non-dropping-particle":"","parse-names":false,"suffix":""}],"container-title":"Pacific Accounting Review","id":"ITEM-1","issue":"1","issued":{"date-parts":[["2013"]]},"page":"58-79","title":"An analysis of Australian company carbon emission disclosures","type":"article-journal","volume":"25"},"uris":["http://www.mendeley.com/documents/?uuid=4e0d3f0b-f329-47da-8a62-9de44987a91f"]}],"mendeley":{"formattedCitation":"(Bae Choi et al., 2013)","manualFormatting":"Bae Choi et al., 2013;","plainTextFormattedCitation":"(Bae Choi et al., 2013)","previouslyFormattedCitation":"(Bae Choi et al., 2013)"},"properties":{"noteIndex":0},"schema":"https://github.com/citation-style-language/schema/raw/master/csl-citation.json"}</w:instrText>
            </w:r>
            <w:r w:rsidR="00F77328"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Bae Choi et al., 2013</w:t>
            </w:r>
            <w:r w:rsidR="009F55E7" w:rsidRPr="00FB6FB4">
              <w:rPr>
                <w:rFonts w:asciiTheme="majorBidi" w:hAnsiTheme="majorBidi" w:cstheme="majorBidi"/>
                <w:noProof/>
                <w:sz w:val="20"/>
                <w:szCs w:val="20"/>
                <w:lang w:val="en-GB" w:eastAsia="en-GB"/>
              </w:rPr>
              <w:t>;</w:t>
            </w:r>
            <w:r w:rsidR="00F77328" w:rsidRPr="00FB6FB4">
              <w:rPr>
                <w:rFonts w:asciiTheme="majorBidi" w:hAnsiTheme="majorBidi" w:cstheme="majorBidi"/>
                <w:sz w:val="20"/>
                <w:szCs w:val="20"/>
                <w:lang w:val="en-GB" w:eastAsia="en-GB"/>
              </w:rPr>
              <w:fldChar w:fldCharType="end"/>
            </w:r>
            <w:r w:rsidR="00140485"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{"citationItems":[{"id":"ITEM-1","itemData":{"DOI":"10.1080/00014788.2015.1135781","ISSN":"21594260","abstract":"The electricity generation industry has been under close regulatory and public scrutiny for decades for the significant impacts its activities have on the environment. The industry is responsible for a large proportion of greenhouse gas (GHG) emissions, which has intensified public and regulatory scrutiny of late. Therefore, electricity generation firms face immense pressure to show environmental responsibility. Firms respond with environmental disclosures in their annual reports, in stand-alone-reports, and on websites. In this study, we use comprehensive disclosure indices to measure the quality (or comprehensiveness) of the CO2 emissions related disclosure and the overall environmental disclosure of 205 electricity generation firms in 35 countries. We find that firms in countries with a high commitment towards the environment and a carbon emissions trading scheme (measures of social concern for environmental protection and emissions), are likely to disclose more comprehensive environmental information. In addition, we find that firm size, age of the assets, listing status, and media exposure influence disclosure. Environmental performance, measured by CO2 emissions, is not significantly related to environmental disclosure among our sample firms. The theoretical implication of these findings is that social beliefs (that are different in different countries) prompt a legitimating disclosure response from firms that is not significantly affected by their performance against that social belief.","author":[{"dropping-particle":"","family":"Alrazi","given":"Bakhtiar","non-dropping-particle":"","parse-names":false,"suffix":""},{"dropping-particle":"","family":"Villiers","given":"Charl","non-dropping-particle":"de","parse-names":false,"suffix":""},{"dropping-particle":"","family":"Staden","given":"Chris J.","non-dropping-particle":"Van","parse-names":false,"suffix":""}],"container-title":"Accounting and Business Research","id":"ITEM-1","issue":"6","issued":{"date-parts":[["2016"]]},"page":"665-701","title":"The environmental disclosures of the electricity generation industry: a global perspective","type":"article-journal","volume":"46"},"uris":["http://www.mendeley.com/documents/?uuid=b75c18b3-021a-4309-97b1-f7dca662100e"]}],"mendeley":{"formattedCitation":"(Alrazi et al., 2016)","manualFormatting":"Alrazi et al., 2016;","plainTextFormattedCitation":"(Alrazi et al., 2016)","previouslyFormattedCitation":"(Alrazi et al., 2016)"},"properties":{"noteIndex":0},"schema":"https://github.com/citation-style-language/schema/raw/master/csl-citation.json"}</w:instrText>
            </w:r>
            <w:r w:rsidR="00140485"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Alrazi et al., 2016</w:t>
            </w:r>
            <w:r w:rsidR="009F55E7" w:rsidRPr="00FB6FB4">
              <w:rPr>
                <w:rFonts w:asciiTheme="majorBidi" w:hAnsiTheme="majorBidi" w:cstheme="majorBidi"/>
                <w:noProof/>
                <w:sz w:val="20"/>
                <w:szCs w:val="20"/>
                <w:lang w:val="en-GB" w:eastAsia="en-GB"/>
              </w:rPr>
              <w:t>;</w:t>
            </w:r>
            <w:r w:rsidR="00140485" w:rsidRPr="00FB6FB4">
              <w:rPr>
                <w:rFonts w:asciiTheme="majorBidi" w:hAnsiTheme="majorBidi" w:cstheme="majorBidi"/>
                <w:sz w:val="20"/>
                <w:szCs w:val="20"/>
                <w:lang w:val="en-GB" w:eastAsia="en-GB"/>
              </w:rPr>
              <w:fldChar w:fldCharType="end"/>
            </w:r>
            <w:r w:rsidR="00E45D2D"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{"citationItems":[{"id":"ITEM-1","itemData":{"DOI":"10.1016/j.jaccpubpol.2016.11.003","ISSN":"18732070","abstract":"Firms’ decisions to prepare and to publish private information are key issues in disclosure research. The Carbon Disclosure Project (CDP) provides a unique setting that allows us to examine the determinants of these two sequential disclosure decisions, first to respond to the CDP questionnaire and second to publish this response. We apply a sequential logit approach to analyze a panel dataset that contains 11,187 firm-year observations across 60 countries from 2006 to 2010. Our results indicate that the determinants of the response decision differ from the determinants of the publication decision. Specifically, the response decision is related to the available financial resources, the existence of a certified environmental management system and the publication of corporate social responsibility reports (preparation costs), whereas the publication decision is associated with the environmental performance and the nature of the competitive environment (proprietary costs). Furthermore, our findings suggest that the voluntary disclosure perspective dominates the legitimacy perspective, explaining the association between environmental performance and the publication decision. However, for carbon-intensive industries, our results indicate that both theoretical perspectives complement each other. Our analysis provides a better understanding of firms’ response and publication decisions.","author":[{"dropping-particle":"","family":"Ott","given":"Christian","non-dropping-particle":"","parse-names":false,"suffix":""},{"dropping-particle":"","family":"Schiemann","given":"Frank","non-dropping-particle":"","parse-names":false,"suffix":""},{"dropping-particle":"","family":"Günther","given":"Thomas","non-dropping-particle":"","parse-names":false,"suffix":""}],"container-title":"Journal of Accounting and Public Policy","id":"ITEM-1","issue":"1","issued":{"date-parts":[["2017"]]},"page":"14-33","publisher":"Elsevier Inc.","title":"Disentangling the determinants of the response and the publication decisions: The case of the Carbon Disclosure Project","type":"article-journal","volume":"36"},"uris":["http://www.mendeley.com/documents/?uuid=3622eac6-669c-4c31-a011-6d8c8810a799"]}],"mendeley":{"formattedCitation":"(Ott, Schiemann, &amp; Günther, 2017)","manualFormatting":"Ott, Schiemann and Günther, 2017;","plainTextFormattedCitation":"(Ott, Schiemann, &amp; Günther, 2017)","previouslyFormattedCitation":"(Ott, Schiemann, &amp; Günther, 2017)"},"properties":{"noteIndex":0},"schema":"https://github.com/citation-style-language/schema/raw/master/csl-citation.json"}</w:instrText>
            </w:r>
            <w:r w:rsidR="00E45D2D"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Ott, Schiemann </w:t>
            </w:r>
            <w:r w:rsidR="009F55E7"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Günther, 2017</w:t>
            </w:r>
            <w:r w:rsidR="009F55E7" w:rsidRPr="00FB6FB4">
              <w:rPr>
                <w:rFonts w:asciiTheme="majorBidi" w:hAnsiTheme="majorBidi" w:cstheme="majorBidi"/>
                <w:noProof/>
                <w:sz w:val="20"/>
                <w:szCs w:val="20"/>
                <w:lang w:val="en-GB" w:eastAsia="en-GB"/>
              </w:rPr>
              <w:t>;</w:t>
            </w:r>
            <w:r w:rsidR="00E45D2D" w:rsidRPr="00FB6FB4">
              <w:rPr>
                <w:rFonts w:asciiTheme="majorBidi" w:hAnsiTheme="majorBidi" w:cstheme="majorBidi"/>
                <w:sz w:val="20"/>
                <w:szCs w:val="20"/>
                <w:lang w:val="en-GB" w:eastAsia="en-GB"/>
              </w:rPr>
              <w:fldChar w:fldCharType="end"/>
            </w:r>
            <w:r w:rsidRPr="00FB6FB4">
              <w:rPr>
                <w:rFonts w:asciiTheme="majorBidi" w:hAnsiTheme="majorBidi" w:cstheme="majorBidi"/>
                <w:sz w:val="20"/>
                <w:szCs w:val="20"/>
                <w:lang w:val="en-GB" w:eastAsia="en-GB"/>
              </w:rPr>
              <w:fldChar w:fldCharType="begin" w:fldLock="1"/>
            </w:r>
            <w:r w:rsidR="009F55E7" w:rsidRPr="00FB6FB4">
              <w:rPr>
                <w:rFonts w:asciiTheme="majorBidi" w:hAnsiTheme="majorBidi" w:cstheme="majorBidi"/>
                <w:sz w:val="20"/>
                <w:szCs w:val="20"/>
                <w:lang w:val="en-GB" w:eastAsia="en-GB"/>
              </w:rPr>
              <w:instrText>ADDIN CSL_CITATION {"citationItems":[{"id":"ITEM-1","itemData":{"DOI":"10.1080/0969160X.2013.852988","ISSN":"21562245","abstract":"In February 2010, the Securities and Exchange Commission (SEC) issued an interpretive release clarifying what registrants should disclose related to climate change on their documents filed with SEC (i.e. 10-K or 20-F). This study investigates whether the electric utility firms participating in the Regional Greenhouse Gas Initiative (RGGI) are virtually fulfilling this mandate. An equal weighting content analysis was performed with two types of disclosure indices for RGGI and climate change, respectively. The results show that there are cross-sectional differences in the disclosures on both RGGI and climate change among the sample firms. However, we do not find any significant temporal difference in the disclosure on RGGI among the sample years from 2008 to 2011. Although there is no significant difference in the disclosure on climate change between the initiative 2009 and 2010 (the year targeted by the SEC), we find a significant difference between 2008 and 2010. This finding suggests that there was an impact of the SEC interpretive release on firms’ disclosure on climate change.","author":[{"dropping-particle":"","family":"Freedman","given":"Martin","non-dropping-particle":"","parse-names":false,"suffix":""},{"dropping-particle":"","family":"Park","given":"Jin Dong","non-dropping-particle":"","parse-names":false,"suffix":""}],"container-title":"Social and Environmental Accountability Journal","id":"ITEM-1","issue":"1","issued":{"date-parts":[["2014"]]},"page":"29-44","title":"Mandated climate change disclosures by firms participating in the regional greenhouse gas initiative","type":"article-journal","volume":"34"},"uris":["http://www.mendeley.com/documents/?uuid=67f13062-5636-4af0-bb1a-b22afcf4919a"]}],"mendeley":{"formattedCitation":"(Freedman &amp; Park, 2014)","manualFormatting":"Freedman and Park, 2014)","plainTextFormattedCitation":"(Freedman &amp; Park, 2014)","previouslyFormattedCitation":"(Freedman &amp; Park, 2014)"},"properties":{"noteIndex":0},"schema":"https://github.com/citation-style-language/schema/raw/master/csl-citation.json"}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Freedman </w:t>
            </w:r>
            <w:r w:rsidR="009F55E7" w:rsidRPr="00FB6FB4">
              <w:rPr>
                <w:rFonts w:asciiTheme="majorBidi" w:hAnsiTheme="majorBidi" w:cstheme="majorBidi"/>
                <w:noProof/>
                <w:sz w:val="20"/>
                <w:szCs w:val="20"/>
                <w:lang w:val="en-GB" w:eastAsia="en-GB"/>
              </w:rPr>
              <w:t>and</w:t>
            </w:r>
            <w:r w:rsidR="00746CE5" w:rsidRPr="00FB6FB4">
              <w:rPr>
                <w:rFonts w:asciiTheme="majorBidi" w:hAnsiTheme="majorBidi" w:cstheme="majorBidi"/>
                <w:noProof/>
                <w:sz w:val="20"/>
                <w:szCs w:val="20"/>
                <w:lang w:val="en-GB" w:eastAsia="en-GB"/>
              </w:rPr>
              <w:t xml:space="preserve"> Park, 2014)</w:t>
            </w:r>
            <w:r w:rsidRPr="00FB6FB4">
              <w:rPr>
                <w:rFonts w:asciiTheme="majorBidi" w:hAnsiTheme="majorBidi" w:cstheme="majorBidi"/>
                <w:sz w:val="20"/>
                <w:szCs w:val="20"/>
                <w:lang w:val="en-GB" w:eastAsia="en-GB"/>
              </w:rPr>
              <w:fldChar w:fldCharType="end"/>
            </w:r>
          </w:p>
        </w:tc>
      </w:tr>
      <w:tr w:rsidR="00B76134" w:rsidRPr="00FB6E35" w14:paraId="778F7BB9" w14:textId="025718EA" w:rsidTr="00CF3C7B">
        <w:tc>
          <w:tcPr>
            <w:tcW w:w="1786" w:type="dxa"/>
          </w:tcPr>
          <w:p w14:paraId="524C9402" w14:textId="38B2C5B1" w:rsidR="00E728B0" w:rsidRPr="0097238F" w:rsidRDefault="00E728B0" w:rsidP="00CD3090">
            <w:pPr>
              <w:pStyle w:val="NormalWeb"/>
              <w:shd w:val="clear" w:color="auto" w:fill="FFFFFF"/>
              <w:rPr>
                <w:rFonts w:asciiTheme="majorBidi" w:hAnsiTheme="majorBidi" w:cstheme="majorBidi"/>
                <w:b/>
                <w:bCs/>
                <w:sz w:val="20"/>
                <w:szCs w:val="20"/>
              </w:rPr>
            </w:pPr>
            <w:r w:rsidRPr="0097238F">
              <w:rPr>
                <w:rFonts w:asciiTheme="majorBidi" w:hAnsiTheme="majorBidi" w:cstheme="majorBidi"/>
                <w:b/>
                <w:bCs/>
                <w:sz w:val="20"/>
                <w:szCs w:val="20"/>
              </w:rPr>
              <w:t xml:space="preserve">Economic factors </w:t>
            </w:r>
          </w:p>
        </w:tc>
        <w:tc>
          <w:tcPr>
            <w:tcW w:w="4276" w:type="dxa"/>
          </w:tcPr>
          <w:p w14:paraId="5ED6F55B" w14:textId="16188E50" w:rsidR="00E728B0" w:rsidRPr="00FB6FB4" w:rsidRDefault="00E728B0" w:rsidP="00084B94">
            <w:pPr>
              <w:spacing w:line="360"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t>Economic pressure</w:t>
            </w:r>
            <w:r w:rsidR="009F55E7" w:rsidRPr="00FB6FB4">
              <w:rPr>
                <w:rFonts w:asciiTheme="majorBidi" w:hAnsiTheme="majorBidi" w:cstheme="majorBidi"/>
                <w:sz w:val="20"/>
                <w:szCs w:val="20"/>
                <w:lang w:val="en-GB" w:eastAsia="en-GB"/>
              </w:rPr>
              <w:t>-</w:t>
            </w:r>
            <w:r w:rsidRPr="00FB6FB4">
              <w:rPr>
                <w:rFonts w:asciiTheme="majorBidi" w:hAnsiTheme="majorBidi" w:cstheme="majorBidi"/>
                <w:sz w:val="20"/>
                <w:szCs w:val="20"/>
              </w:rPr>
              <w:t xml:space="preserve"> </w:t>
            </w:r>
            <w:r w:rsidR="009F55E7" w:rsidRPr="00FB6FB4">
              <w:rPr>
                <w:rFonts w:asciiTheme="majorBidi" w:hAnsiTheme="majorBidi" w:cstheme="majorBidi"/>
                <w:sz w:val="20"/>
                <w:szCs w:val="20"/>
              </w:rPr>
              <w:t>T</w:t>
            </w:r>
            <w:r w:rsidR="0006567B" w:rsidRPr="00FB6FB4">
              <w:rPr>
                <w:rFonts w:asciiTheme="majorBidi" w:hAnsiTheme="majorBidi" w:cstheme="majorBidi"/>
                <w:sz w:val="20"/>
                <w:szCs w:val="20"/>
              </w:rPr>
              <w:t xml:space="preserve">he </w:t>
            </w:r>
            <w:r w:rsidRPr="00FB6FB4">
              <w:rPr>
                <w:rFonts w:asciiTheme="majorBidi" w:hAnsiTheme="majorBidi" w:cstheme="majorBidi"/>
                <w:sz w:val="20"/>
                <w:szCs w:val="20"/>
              </w:rPr>
              <w:t>e</w:t>
            </w:r>
            <w:proofErr w:type="spellStart"/>
            <w:r w:rsidRPr="00FB6FB4">
              <w:rPr>
                <w:rFonts w:asciiTheme="majorBidi" w:hAnsiTheme="majorBidi" w:cstheme="majorBidi"/>
                <w:sz w:val="20"/>
                <w:szCs w:val="20"/>
                <w:lang w:val="en-GB" w:eastAsia="en-GB"/>
              </w:rPr>
              <w:t>xistence</w:t>
            </w:r>
            <w:proofErr w:type="spellEnd"/>
            <w:r w:rsidRPr="00FB6FB4">
              <w:rPr>
                <w:rFonts w:asciiTheme="majorBidi" w:hAnsiTheme="majorBidi" w:cstheme="majorBidi"/>
                <w:sz w:val="20"/>
                <w:szCs w:val="20"/>
                <w:lang w:val="en-GB" w:eastAsia="en-GB"/>
              </w:rPr>
              <w:t xml:space="preserve"> of financial resources</w:t>
            </w:r>
          </w:p>
        </w:tc>
        <w:tc>
          <w:tcPr>
            <w:tcW w:w="3900" w:type="dxa"/>
          </w:tcPr>
          <w:p w14:paraId="62636FAB" w14:textId="6D7DD611" w:rsidR="00E728B0" w:rsidRPr="00FB6FB4" w:rsidRDefault="00927D71" w:rsidP="00084B94">
            <w:pPr>
              <w:spacing w:line="360"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fldChar w:fldCharType="begin" w:fldLock="1"/>
            </w:r>
            <w:r w:rsidR="009F55E7" w:rsidRPr="00FB6FB4">
              <w:rPr>
                <w:rFonts w:asciiTheme="majorBidi" w:hAnsiTheme="majorBidi" w:cstheme="majorBidi"/>
                <w:sz w:val="20"/>
                <w:szCs w:val="20"/>
                <w:lang w:val="en-GB" w:eastAsia="en-GB"/>
              </w:rPr>
              <w:instrText>ADDIN CSL_CITATION {"citationItems":[{"id":"ITEM-1","itemData":{"DOI":"10.1016/j.jaccpubpol.2016.11.003","ISSN":"18732070","abstract":"Firms’ decisions to prepare and to publish private information are key issues in disclosure research. The Carbon Disclosure Project (CDP) provides a unique setting that allows us to examine the determinants of these two sequential disclosure decisions, first to respond to the CDP questionnaire and second to publish this response. We apply a sequential logit approach to analyze a panel dataset that contains 11,187 firm-year observations across 60 countries from 2006 to 2010. Our results indicate that the determinants of the response decision differ from the determinants of the publication decision. Specifically, the response decision is related to the available financial resources, the existence of a certified environmental management system and the publication of corporate social responsibility reports (preparation costs), whereas the publication decision is associated with the environmental performance and the nature of the competitive environment (proprietary costs). Furthermore, our findings suggest that the voluntary disclosure perspective dominates the legitimacy perspective, explaining the association between environmental performance and the publication decision. However, for carbon-intensive industries, our results indicate that both theoretical perspectives complement each other. Our analysis provides a better understanding of firms’ response and publication decisions.","author":[{"dropping-particle":"","family":"Ott","given":"Christian","non-dropping-particle":"","parse-names":false,"suffix":""},{"dropping-particle":"","family":"Schiemann","given":"Frank","non-dropping-particle":"","parse-names":false,"suffix":""},{"dropping-particle":"","family":"Günther","given":"Thomas","non-dropping-particle":"","parse-names":false,"suffix":""}],"container-title":"Journal of Accounting and Public Policy","id":"ITEM-1","issue":"1","issued":{"date-parts":[["2017"]]},"page":"14-33","publisher":"Elsevier Inc.","title":"Disentangling the determinants of the response and the publication decisions: The case of the Carbon Disclosure Project","type":"article-journal","volume":"36"},"uris":["http://www.mendeley.com/documents/?uuid=3622eac6-669c-4c31-a011-6d8c8810a799"]}],"mendeley":{"formattedCitation":"(Ott et al., 2017)","manualFormatting":"Ott et al. (2017)","plainTextFormattedCitation":"(Ott et al., 2017)","previouslyFormattedCitation":"(Ott et al., 2017)"},"properties":{"noteIndex":0},"schema":"https://github.com/citation-style-language/schema/raw/master/csl-citation.json"}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 xml:space="preserve">Ott et al. </w:t>
            </w:r>
            <w:r w:rsidR="009F55E7" w:rsidRPr="00FB6FB4">
              <w:rPr>
                <w:rFonts w:asciiTheme="majorBidi" w:hAnsiTheme="majorBidi" w:cstheme="majorBidi"/>
                <w:noProof/>
                <w:sz w:val="20"/>
                <w:szCs w:val="20"/>
                <w:lang w:val="en-GB" w:eastAsia="en-GB"/>
              </w:rPr>
              <w:t>(</w:t>
            </w:r>
            <w:r w:rsidR="00746CE5" w:rsidRPr="00FB6FB4">
              <w:rPr>
                <w:rFonts w:asciiTheme="majorBidi" w:hAnsiTheme="majorBidi" w:cstheme="majorBidi"/>
                <w:noProof/>
                <w:sz w:val="20"/>
                <w:szCs w:val="20"/>
                <w:lang w:val="en-GB" w:eastAsia="en-GB"/>
              </w:rPr>
              <w:t>2017)</w:t>
            </w:r>
            <w:r w:rsidRPr="00FB6FB4">
              <w:rPr>
                <w:rFonts w:asciiTheme="majorBidi" w:hAnsiTheme="majorBidi" w:cstheme="majorBidi"/>
                <w:sz w:val="20"/>
                <w:szCs w:val="20"/>
                <w:lang w:val="en-GB" w:eastAsia="en-GB"/>
              </w:rPr>
              <w:fldChar w:fldCharType="end"/>
            </w:r>
          </w:p>
        </w:tc>
      </w:tr>
      <w:tr w:rsidR="00B76134" w:rsidRPr="000012A7" w14:paraId="3B869034" w14:textId="1BBFE8D7" w:rsidTr="00CF3C7B">
        <w:tc>
          <w:tcPr>
            <w:tcW w:w="1786" w:type="dxa"/>
          </w:tcPr>
          <w:p w14:paraId="5CAE21C6" w14:textId="16B16B9E" w:rsidR="00E728B0" w:rsidRPr="0097238F" w:rsidRDefault="00E728B0" w:rsidP="00CD3090">
            <w:pPr>
              <w:pStyle w:val="NormalWeb"/>
              <w:shd w:val="clear" w:color="auto" w:fill="FFFFFF"/>
              <w:rPr>
                <w:rFonts w:asciiTheme="majorBidi" w:hAnsiTheme="majorBidi" w:cstheme="majorBidi"/>
                <w:b/>
                <w:bCs/>
                <w:sz w:val="20"/>
                <w:szCs w:val="20"/>
              </w:rPr>
            </w:pPr>
            <w:r w:rsidRPr="0097238F">
              <w:rPr>
                <w:rFonts w:asciiTheme="majorBidi" w:hAnsiTheme="majorBidi" w:cstheme="majorBidi"/>
                <w:b/>
                <w:bCs/>
                <w:sz w:val="20"/>
                <w:szCs w:val="20"/>
              </w:rPr>
              <w:t xml:space="preserve">Other factors </w:t>
            </w:r>
          </w:p>
        </w:tc>
        <w:tc>
          <w:tcPr>
            <w:tcW w:w="4276" w:type="dxa"/>
          </w:tcPr>
          <w:p w14:paraId="1F52835F" w14:textId="11B5429F" w:rsidR="00E728B0" w:rsidRPr="00FB6FB4" w:rsidRDefault="00E728B0" w:rsidP="00084B94">
            <w:pPr>
              <w:spacing w:line="360"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t>Carbon footprint information</w:t>
            </w:r>
            <w:r w:rsidR="009F55E7" w:rsidRPr="00FB6FB4">
              <w:rPr>
                <w:rFonts w:asciiTheme="majorBidi" w:hAnsiTheme="majorBidi" w:cstheme="majorBidi"/>
                <w:sz w:val="20"/>
                <w:szCs w:val="20"/>
                <w:lang w:val="en-GB" w:eastAsia="en-GB"/>
              </w:rPr>
              <w:t>-</w:t>
            </w:r>
            <w:r w:rsidRPr="00FB6FB4">
              <w:rPr>
                <w:rFonts w:asciiTheme="majorBidi" w:hAnsiTheme="majorBidi" w:cstheme="majorBidi"/>
                <w:sz w:val="20"/>
                <w:szCs w:val="20"/>
              </w:rPr>
              <w:t xml:space="preserve"> </w:t>
            </w:r>
            <w:r w:rsidR="009F55E7" w:rsidRPr="00FB6FB4">
              <w:rPr>
                <w:rFonts w:asciiTheme="majorBidi" w:hAnsiTheme="majorBidi" w:cstheme="majorBidi"/>
                <w:sz w:val="20"/>
                <w:szCs w:val="20"/>
              </w:rPr>
              <w:t>M</w:t>
            </w:r>
            <w:proofErr w:type="spellStart"/>
            <w:r w:rsidRPr="00FB6FB4">
              <w:rPr>
                <w:rFonts w:asciiTheme="majorBidi" w:hAnsiTheme="majorBidi" w:cstheme="majorBidi"/>
                <w:sz w:val="20"/>
                <w:szCs w:val="20"/>
                <w:lang w:val="en-GB" w:eastAsia="en-GB"/>
              </w:rPr>
              <w:t>edia</w:t>
            </w:r>
            <w:proofErr w:type="spellEnd"/>
            <w:r w:rsidRPr="00FB6FB4">
              <w:rPr>
                <w:rFonts w:asciiTheme="majorBidi" w:hAnsiTheme="majorBidi" w:cstheme="majorBidi"/>
                <w:sz w:val="20"/>
                <w:szCs w:val="20"/>
                <w:lang w:val="en-GB" w:eastAsia="en-GB"/>
              </w:rPr>
              <w:t xml:space="preserve"> exposure influence</w:t>
            </w:r>
            <w:r w:rsidR="00091E17" w:rsidRPr="00FB6FB4">
              <w:rPr>
                <w:rFonts w:asciiTheme="majorBidi" w:hAnsiTheme="majorBidi" w:cstheme="majorBidi"/>
                <w:sz w:val="20"/>
                <w:szCs w:val="20"/>
                <w:lang w:val="en-GB" w:eastAsia="en-GB"/>
              </w:rPr>
              <w:t>- P</w:t>
            </w:r>
            <w:r w:rsidRPr="00FB6FB4">
              <w:rPr>
                <w:rFonts w:asciiTheme="majorBidi" w:hAnsiTheme="majorBidi" w:cstheme="majorBidi"/>
                <w:sz w:val="20"/>
                <w:szCs w:val="20"/>
                <w:lang w:val="en-GB" w:eastAsia="en-GB"/>
              </w:rPr>
              <w:t>ublicly report to the CDP</w:t>
            </w:r>
          </w:p>
        </w:tc>
        <w:tc>
          <w:tcPr>
            <w:tcW w:w="3900" w:type="dxa"/>
          </w:tcPr>
          <w:p w14:paraId="2C5431EF" w14:textId="65EBD8AB" w:rsidR="00E728B0" w:rsidRPr="00FB6FB4" w:rsidRDefault="003478E8" w:rsidP="00084B94">
            <w:pPr>
              <w:spacing w:line="360" w:lineRule="auto"/>
              <w:jc w:val="both"/>
              <w:rPr>
                <w:rFonts w:asciiTheme="majorBidi" w:hAnsiTheme="majorBidi" w:cstheme="majorBidi"/>
                <w:sz w:val="20"/>
                <w:szCs w:val="20"/>
                <w:lang w:val="en-GB" w:eastAsia="en-GB"/>
              </w:rPr>
            </w:pPr>
            <w:r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{"citationItems":[{"id":"ITEM-1","itemData":{"DOI":"10.1108/AAAJ-12-2013-1547","ISBN":"1220131547","ISSN":"09513574","abstract":"Purpose – The purpose of this paper is to seek to shed light on the practice of incomplete corporate disclosure of quantitative Greenhouse gas (GHG) emissions and investigates whether external stakeholder pressure influences the existence, and separately, the completeness of voluntary GHG emissions disclosures by 431 European companies. Design/methodology/approach – A classification of reporting completeness is developed with respect to the scope, type and reporting boundary of GHG emissions based on the guidelines of the GHG Protocol, Global Reporting Initiative and the Carbon Disclosure Project. Logistic regression analysis is applied to examine whether proxies for exposure to climate change concerns from different stakeholder groups influence the existence and/or completeness of quantitative GHG emissions disclosure. Findings – From 2005 to 2009, on average only 15 percent of companies that disclose GHG emissions report them in a manner that the authors consider complete. Results of regression analyses suggest that external stakeholder pressure is a determinant of the existence but not the completeness of emissions disclosure. Findings are consistent with stakeholder theory arguments that companies respond to external stakeholder pressure to report GHG emissions, but also with legitimacy theory claims that firms can use carbon disclosure, in this case the incomplete reporting of emissions, as a symbolic act to address legitimacy exposures. Practical implications – Bringing corporate GHG emissions disclosure in line with recommended guidelines will require either more direct stakeholder pressure or, perhaps, a mandated disclosure regime. In the meantime, users of the data will need to carefully consider the relevance of the reported data and develop the necessary competencies to detect and control for its incompleteness. A more troubling concern is that stakeholders may instead grow to accept less than complete disclosure. Originality/value – The paper represents the first large-scale empirical study into the completeness of companies’ disclosure of quantitative GHG emissions and is the first to analyze these disclosures in the context of stakeholder pressure and its relation to legitimation.","author":[{"dropping-particle":"","family":"Liesen","given":"Andrea","non-dropping-particle":"","parse-names":false,"suffix":""},{"dropping-particle":"","family":"Hoepner","given":"Andreas G.","non-dropping-particle":"","parse-names":false,"suffix":""},{"dropping-particle":"","family":"Patten","given":"Dennis M.","non-dropping-particle":"","parse-names":false,"suffix":""},{"dropping-particle":"","family":"Figge","given":"Frank","non-dropping-particle":"","parse-names":false,"suffix":""}],"container-title":"Accounting, Auditing and Accountability Journal","id":"ITEM-1","issue":"7","issued":{"date-parts":[["2015"]]},"page":"1047-1074","title":"Does stakeholder pressure influence corporate GHG emissions reporting? Empirical evidence from Europe","type":"article-journal","volume":"28"},"uris":["http://www.mendeley.com/documents/?uuid=75b800ff-55c5-4f86-9cfc-f0594ab6f43a"]}],"mendeley":{"formattedCitation":"(Liesen et al., 2015)","manualFormatting":"(Liesen et al., 2015;","plainTextFormattedCitation":"(Liesen et al., 2015)","previouslyFormattedCitation":"(Liesen et al., 2015)"},"properties":{"noteIndex":0},"schema":"https://github.com/citation-style-language/schema/raw/master/csl-citation.json"}</w:instrText>
            </w:r>
            <w:r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(Liesen et al., 2015</w:t>
            </w:r>
            <w:r w:rsidR="00091E17" w:rsidRPr="00FB6FB4">
              <w:rPr>
                <w:rFonts w:asciiTheme="majorBidi" w:hAnsiTheme="majorBidi" w:cstheme="majorBidi"/>
                <w:noProof/>
                <w:sz w:val="20"/>
                <w:szCs w:val="20"/>
                <w:lang w:val="en-GB" w:eastAsia="en-GB"/>
              </w:rPr>
              <w:t>;</w:t>
            </w:r>
            <w:r w:rsidRPr="00FB6FB4">
              <w:rPr>
                <w:rFonts w:asciiTheme="majorBidi" w:hAnsiTheme="majorBidi" w:cstheme="majorBidi"/>
                <w:sz w:val="20"/>
                <w:szCs w:val="20"/>
                <w:lang w:val="en-GB" w:eastAsia="en-GB"/>
              </w:rPr>
              <w:fldChar w:fldCharType="end"/>
            </w:r>
            <w:r w:rsidR="00140485" w:rsidRPr="00FB6FB4">
              <w:rPr>
                <w:rFonts w:asciiTheme="majorBidi" w:hAnsiTheme="majorBidi" w:cstheme="majorBidi"/>
                <w:sz w:val="20"/>
                <w:szCs w:val="20"/>
                <w:lang w:val="en-GB" w:eastAsia="en-GB"/>
              </w:rPr>
              <w:fldChar w:fldCharType="begin" w:fldLock="1"/>
            </w:r>
            <w:r w:rsidR="006407CE">
              <w:rPr>
                <w:rFonts w:asciiTheme="majorBidi" w:hAnsiTheme="majorBidi" w:cstheme="majorBidi"/>
                <w:sz w:val="20"/>
                <w:szCs w:val="20"/>
                <w:lang w:val="en-GB" w:eastAsia="en-GB"/>
              </w:rPr>
              <w:instrText>ADDIN CSL_CITATION {"citationItems":[{"id":"ITEM-1","itemData":{"DOI":"10.1108/09513571111184751","ISSN":"09513574","abstract":"Purpose: Institutional governance theory is used to explain voluntary corporate greenhouse gas (GHG) reporting in the context of a market governance system in the absence of climate change public policy. This paper seeks to hypothesise that GHG reporting is related to internal organisation systems, external privately promulgated guidance and EU ETS trading. Design/methodology/approach: A two-stage approach is used. The initial model examines whether firms' GHG disclosures are associated with internal organisation systems factors: environmental management systems (EMS), corporate governance quality and environmental management committees as well as external private guidance provided by the Global Reporting Initiative (GRI) and the Carbon Disclosure Project (CDP) for 187 ASX 300 firms. EU ETS trading is also included. Determinants of the extent and credibility of GHG disclosure is examined in the second stage where an index constructed from the GHG reporting standard \"ISO 14064-1\" items for a sub-sample of 80 disclosing firms as the dependent variable. Findings: Firms that voluntarily disclose GHGs have EMSs (uncertified and certified), higher corporate governance quality and publicly report to the CDP, tend to be large and in the energy and mining and industrial sectors. The credibility and extent of disclosures are related to the existence of a certified EMS, public reporting to the CDP, and use of the GRI. Firms that disclose more credible information are more likely to be large and in the energy and mining, industrial and services sectors. Originality/value: The paper shows that some proactive but pragmatic Australian firms are disclosing their GHGs voluntarily for competitive advantage in the current market governance system in the absence of public policy. © Emerald Group Publishing Limited.","author":[{"dropping-particle":"","family":"Rankin","given":"Michaela","non-dropping-particle":"","parse-names":false,"suffix":""},{"dropping-particle":"","family":"Windsor","given":"Carolyn","non-dropping-particle":"","parse-names":false,"suffix":""},{"dropping-particle":"","family":"Wahyuni","given":"Dina","non-dropping-particle":"","parse-names":false,"suffix":""}],"container-title":"Accounting, Auditing and Accountability Journal","id":"ITEM-1","issue":"8","issued":{"date-parts":[["2011"]]},"page":"1037-1070","title":"An investigation of voluntary corporate greenhouse gas emissions reporting in a market governance system: Australian evidence","type":"article-journal","volume":"24"},"uris":["http://www.mendeley.com/documents/?uuid=7ee2c3c3-bf95-4094-b1eb-af921969a5f8"]}],"mendeley":{"formattedCitation":"(Rankin et al., 2011)","manualFormatting":"Rankin et al., 2011;","plainTextFormattedCitation":"(Rankin et al., 2011)","previouslyFormattedCitation":"(Rankin et al., 2011)"},"properties":{"noteIndex":0},"schema":"https://github.com/citation-style-language/schema/raw/master/csl-citation.json"}</w:instrText>
            </w:r>
            <w:r w:rsidR="00140485" w:rsidRPr="00FB6FB4">
              <w:rPr>
                <w:rFonts w:asciiTheme="majorBidi" w:hAnsiTheme="majorBidi" w:cstheme="majorBidi"/>
                <w:sz w:val="20"/>
                <w:szCs w:val="20"/>
                <w:lang w:val="en-GB" w:eastAsia="en-GB"/>
              </w:rPr>
              <w:fldChar w:fldCharType="separate"/>
            </w:r>
            <w:r w:rsidR="00FB079A" w:rsidRPr="00FB6FB4">
              <w:rPr>
                <w:rFonts w:asciiTheme="majorBidi" w:hAnsiTheme="majorBidi" w:cstheme="majorBidi"/>
                <w:noProof/>
                <w:sz w:val="20"/>
                <w:szCs w:val="20"/>
                <w:lang w:val="en-GB" w:eastAsia="en-GB"/>
              </w:rPr>
              <w:t>Rankin et al., 2011</w:t>
            </w:r>
            <w:r w:rsidR="00091E17" w:rsidRPr="00FB6FB4">
              <w:rPr>
                <w:rFonts w:asciiTheme="majorBidi" w:hAnsiTheme="majorBidi" w:cstheme="majorBidi"/>
                <w:noProof/>
                <w:sz w:val="20"/>
                <w:szCs w:val="20"/>
                <w:lang w:val="en-GB" w:eastAsia="en-GB"/>
              </w:rPr>
              <w:t>;</w:t>
            </w:r>
            <w:r w:rsidR="00140485" w:rsidRPr="00FB6FB4">
              <w:rPr>
                <w:rFonts w:asciiTheme="majorBidi" w:hAnsiTheme="majorBidi" w:cstheme="majorBidi"/>
                <w:sz w:val="20"/>
                <w:szCs w:val="20"/>
                <w:lang w:val="en-GB" w:eastAsia="en-GB"/>
              </w:rPr>
              <w:fldChar w:fldCharType="end"/>
            </w:r>
            <w:r w:rsidR="00B76134" w:rsidRPr="00FB6FB4">
              <w:rPr>
                <w:rFonts w:asciiTheme="majorBidi" w:hAnsiTheme="majorBidi" w:cstheme="majorBidi"/>
                <w:sz w:val="20"/>
                <w:szCs w:val="20"/>
                <w:lang w:val="en-GB" w:eastAsia="en-GB"/>
              </w:rPr>
              <w:fldChar w:fldCharType="begin" w:fldLock="1"/>
            </w:r>
            <w:r w:rsidR="00091E17" w:rsidRPr="00FB6FB4">
              <w:rPr>
                <w:rFonts w:asciiTheme="majorBidi" w:hAnsiTheme="majorBidi" w:cstheme="majorBidi"/>
                <w:sz w:val="20"/>
                <w:szCs w:val="20"/>
                <w:lang w:val="en-GB" w:eastAsia="en-GB"/>
              </w:rPr>
              <w:instrText>ADDIN CSL_CITATION {"citationItems":[{"id":"ITEM-1","itemData":{"DOI":"10.1080/00014788.2015.1135781","ISSN":"21594260","abstract":"The electricity generation industry has been under close regulatory and public scrutiny for decades for the significant impacts its activities have on the environment. The industry is responsible for a large proportion of greenhouse gas (GHG) emissions, which has intensified public and regulatory scrutiny of late. Therefore, electricity generation firms face immense pressure to show environmental responsibility. Firms respond with environmental disclosures in their annual reports, in stand-alone-reports, and on websites. In this study, we use comprehensive disclosure indices to measure the quality (or comprehensiveness) of the CO2 emissions related disclosure and the overall environmental disclosure of 205 electricity generation firms in 35 countries. We find that firms in countries with a high commitment towards the environment and a carbon emissions trading scheme (measures of social concern for environmental protection and emissions), are likely to disclose more comprehensive environmental information. In addition, we find that firm size, age of the assets, listing status, and media exposure influence disclosure. Environmental performance, measured by CO2 emissions, is not significantly related to environmental disclosure among our sample firms. The theoretical implication of these findings is that social beliefs (that are different in different countries) prompt a legitimating disclosure response from firms that is not significantly affected by their performance against that social belief.","author":[{"dropping-particle":"","family":"Alrazi","given":"Bakhtiar","non-dropping-particle":"","parse-names":false,"suffix":""},{"dropping-particle":"","family":"Villiers","given":"Charl","non-dropping-particle":"de","parse-names":false,"suffix":""},{"dropping-particle":"","family":"Staden","given":"Chris J.","non-dropping-particle":"Van","parse-names":false,"suffix":""}],"container-title":"Accounting and Business Research","id":"ITEM-1","issue":"6","issued":{"date-parts":[["2016"]]},"page":"665-701","title":"The environmental disclosures of the electricity generation industry: a global perspective","type":"article-journal","volume":"46"},"uris":["http://www.mendeley.com/documents/?uuid=b75c18b3-021a-4309-97b1-f7dca662100e"]}],"mendeley":{"formattedCitation":"(Alrazi et al., 2016)","manualFormatting":"Alrazi et al., 2016)","plainTextFormattedCitation":"(Alrazi et al., 2016)","previouslyFormattedCitation":"(Alrazi et al., 2016)"},"properties":{"noteIndex":0},"schema":"https://github.com/citation-style-language/schema/raw/master/csl-citation.json"}</w:instrText>
            </w:r>
            <w:r w:rsidR="00B76134" w:rsidRPr="00FB6FB4">
              <w:rPr>
                <w:rFonts w:asciiTheme="majorBidi" w:hAnsiTheme="majorBidi" w:cstheme="majorBidi"/>
                <w:sz w:val="20"/>
                <w:szCs w:val="20"/>
                <w:lang w:val="en-GB" w:eastAsia="en-GB"/>
              </w:rPr>
              <w:fldChar w:fldCharType="separate"/>
            </w:r>
            <w:r w:rsidR="00746CE5" w:rsidRPr="00FB6FB4">
              <w:rPr>
                <w:rFonts w:asciiTheme="majorBidi" w:hAnsiTheme="majorBidi" w:cstheme="majorBidi"/>
                <w:noProof/>
                <w:sz w:val="20"/>
                <w:szCs w:val="20"/>
                <w:lang w:val="en-GB" w:eastAsia="en-GB"/>
              </w:rPr>
              <w:t>Alrazi et al., 2016)</w:t>
            </w:r>
            <w:r w:rsidR="00B76134" w:rsidRPr="00FB6FB4">
              <w:rPr>
                <w:rFonts w:asciiTheme="majorBidi" w:hAnsiTheme="majorBidi" w:cstheme="majorBidi"/>
                <w:sz w:val="20"/>
                <w:szCs w:val="20"/>
                <w:lang w:val="en-GB" w:eastAsia="en-GB"/>
              </w:rPr>
              <w:fldChar w:fldCharType="end"/>
            </w:r>
          </w:p>
        </w:tc>
      </w:tr>
    </w:tbl>
    <w:p w14:paraId="6CF423DB" w14:textId="2B481FAE" w:rsidR="00D219B4" w:rsidRPr="00091E17" w:rsidRDefault="000012A7">
      <w:pPr>
        <w:pStyle w:val="NormalWeb"/>
        <w:rPr>
          <w:rFonts w:asciiTheme="majorBidi" w:hAnsiTheme="majorBidi" w:cstheme="majorBidi"/>
          <w:i/>
          <w:iCs/>
        </w:rPr>
      </w:pPr>
      <w:r w:rsidRPr="00091E17">
        <w:rPr>
          <w:rFonts w:asciiTheme="majorBidi" w:hAnsiTheme="majorBidi" w:cstheme="majorBidi"/>
          <w:b/>
          <w:bCs/>
          <w:i/>
          <w:iCs/>
          <w:lang w:val="en-GB" w:eastAsia="en-GB"/>
        </w:rPr>
        <w:t>CSR</w:t>
      </w:r>
      <w:r w:rsidR="00D2072B" w:rsidRPr="00091E17">
        <w:rPr>
          <w:rFonts w:asciiTheme="majorBidi" w:hAnsiTheme="majorBidi" w:cstheme="majorBidi"/>
          <w:b/>
          <w:bCs/>
          <w:i/>
          <w:iCs/>
          <w:lang w:val="en-GB" w:eastAsia="en-GB"/>
        </w:rPr>
        <w:t xml:space="preserve">: </w:t>
      </w:r>
      <w:r w:rsidRPr="00091E17">
        <w:rPr>
          <w:rFonts w:asciiTheme="majorBidi" w:hAnsiTheme="majorBidi" w:cstheme="majorBidi"/>
          <w:i/>
          <w:iCs/>
          <w:lang w:val="en-GB" w:eastAsia="en-GB"/>
        </w:rPr>
        <w:t>corporate social responsibility</w:t>
      </w:r>
      <w:r w:rsidRPr="00091E17">
        <w:rPr>
          <w:rFonts w:asciiTheme="majorBidi" w:hAnsiTheme="majorBidi" w:cstheme="majorBidi"/>
          <w:b/>
          <w:bCs/>
          <w:i/>
          <w:iCs/>
          <w:lang w:val="en-GB" w:eastAsia="en-GB"/>
        </w:rPr>
        <w:t xml:space="preserve"> GHG</w:t>
      </w:r>
      <w:r w:rsidR="00D2072B" w:rsidRPr="00091E17">
        <w:rPr>
          <w:rFonts w:asciiTheme="majorBidi" w:hAnsiTheme="majorBidi" w:cstheme="majorBidi"/>
          <w:b/>
          <w:bCs/>
          <w:i/>
          <w:iCs/>
          <w:lang w:val="en-GB" w:eastAsia="en-GB"/>
        </w:rPr>
        <w:t>:</w:t>
      </w:r>
      <w:r w:rsidR="0006567B" w:rsidRPr="00091E17">
        <w:rPr>
          <w:rFonts w:asciiTheme="majorBidi" w:hAnsiTheme="majorBidi" w:cstheme="majorBidi"/>
          <w:b/>
          <w:bCs/>
          <w:i/>
          <w:iCs/>
          <w:lang w:val="en-GB" w:eastAsia="en-GB"/>
        </w:rPr>
        <w:t xml:space="preserve"> </w:t>
      </w:r>
      <w:r w:rsidR="00D2072B" w:rsidRPr="00091E17">
        <w:rPr>
          <w:rFonts w:asciiTheme="majorBidi" w:hAnsiTheme="majorBidi" w:cstheme="majorBidi"/>
          <w:i/>
          <w:iCs/>
          <w:lang w:val="en-US"/>
        </w:rPr>
        <w:t>g</w:t>
      </w:r>
      <w:proofErr w:type="spellStart"/>
      <w:r w:rsidR="0059222B" w:rsidRPr="00091E17">
        <w:rPr>
          <w:rFonts w:asciiTheme="majorBidi" w:hAnsiTheme="majorBidi" w:cstheme="majorBidi"/>
          <w:i/>
          <w:iCs/>
        </w:rPr>
        <w:t>reenhouse</w:t>
      </w:r>
      <w:proofErr w:type="spellEnd"/>
      <w:r w:rsidR="0059222B" w:rsidRPr="00091E17">
        <w:rPr>
          <w:rFonts w:asciiTheme="majorBidi" w:hAnsiTheme="majorBidi" w:cstheme="majorBidi"/>
          <w:i/>
          <w:iCs/>
        </w:rPr>
        <w:t xml:space="preserve"> </w:t>
      </w:r>
      <w:proofErr w:type="gramStart"/>
      <w:r w:rsidR="0059222B" w:rsidRPr="00091E17">
        <w:rPr>
          <w:rFonts w:asciiTheme="majorBidi" w:hAnsiTheme="majorBidi" w:cstheme="majorBidi"/>
          <w:i/>
          <w:iCs/>
        </w:rPr>
        <w:t xml:space="preserve">gas  </w:t>
      </w:r>
      <w:r w:rsidR="0059222B" w:rsidRPr="00091E17">
        <w:rPr>
          <w:rFonts w:asciiTheme="majorBidi" w:hAnsiTheme="majorBidi" w:cstheme="majorBidi"/>
          <w:b/>
          <w:bCs/>
          <w:i/>
          <w:iCs/>
        </w:rPr>
        <w:t>E</w:t>
      </w:r>
      <w:r w:rsidR="0097238F">
        <w:rPr>
          <w:rFonts w:asciiTheme="majorBidi" w:hAnsiTheme="majorBidi" w:cstheme="majorBidi"/>
          <w:b/>
          <w:bCs/>
          <w:i/>
          <w:iCs/>
        </w:rPr>
        <w:t>TS</w:t>
      </w:r>
      <w:proofErr w:type="gramEnd"/>
      <w:r w:rsidR="00D2072B" w:rsidRPr="00091E17">
        <w:rPr>
          <w:rFonts w:asciiTheme="majorBidi" w:hAnsiTheme="majorBidi" w:cstheme="majorBidi"/>
          <w:i/>
          <w:iCs/>
        </w:rPr>
        <w:t xml:space="preserve">: </w:t>
      </w:r>
      <w:r w:rsidR="0059222B" w:rsidRPr="00091E17">
        <w:rPr>
          <w:rFonts w:asciiTheme="majorBidi" w:hAnsiTheme="majorBidi" w:cstheme="majorBidi"/>
          <w:i/>
          <w:iCs/>
        </w:rPr>
        <w:t>emission trading scheme</w:t>
      </w:r>
      <w:r w:rsidR="00D2072B" w:rsidRPr="00091E17">
        <w:rPr>
          <w:rFonts w:asciiTheme="majorBidi" w:hAnsiTheme="majorBidi" w:cstheme="majorBidi"/>
          <w:i/>
          <w:iCs/>
        </w:rPr>
        <w:t xml:space="preserve"> </w:t>
      </w:r>
      <w:r w:rsidR="00821ECB" w:rsidRPr="00091E17">
        <w:rPr>
          <w:rFonts w:asciiTheme="majorBidi" w:hAnsiTheme="majorBidi" w:cstheme="majorBidi"/>
          <w:b/>
          <w:bCs/>
          <w:i/>
          <w:iCs/>
        </w:rPr>
        <w:t>EMSs</w:t>
      </w:r>
      <w:r w:rsidR="00D2072B" w:rsidRPr="00091E17">
        <w:rPr>
          <w:rFonts w:asciiTheme="majorBidi" w:hAnsiTheme="majorBidi" w:cstheme="majorBidi"/>
          <w:i/>
          <w:iCs/>
        </w:rPr>
        <w:t xml:space="preserve">: </w:t>
      </w:r>
      <w:r w:rsidR="00821ECB" w:rsidRPr="00091E17">
        <w:rPr>
          <w:rFonts w:asciiTheme="majorBidi" w:hAnsiTheme="majorBidi" w:cstheme="majorBidi"/>
          <w:i/>
          <w:iCs/>
        </w:rPr>
        <w:t xml:space="preserve">environmental management systems </w:t>
      </w:r>
      <w:r w:rsidR="00821ECB" w:rsidRPr="00091E17">
        <w:rPr>
          <w:rFonts w:asciiTheme="majorBidi" w:hAnsiTheme="majorBidi" w:cstheme="majorBidi"/>
          <w:b/>
          <w:bCs/>
          <w:i/>
          <w:iCs/>
          <w:lang w:val="en-GB" w:eastAsia="en-GB"/>
        </w:rPr>
        <w:t>CDP</w:t>
      </w:r>
      <w:r w:rsidR="00D2072B" w:rsidRPr="00091E17">
        <w:rPr>
          <w:rFonts w:asciiTheme="majorBidi" w:hAnsiTheme="majorBidi" w:cstheme="majorBidi"/>
          <w:b/>
          <w:bCs/>
          <w:i/>
          <w:iCs/>
          <w:lang w:val="en-GB" w:eastAsia="en-GB"/>
        </w:rPr>
        <w:t>:</w:t>
      </w:r>
      <w:r w:rsidR="00821ECB" w:rsidRPr="00091E17">
        <w:rPr>
          <w:rFonts w:asciiTheme="majorBidi" w:hAnsiTheme="majorBidi" w:cstheme="majorBidi"/>
          <w:i/>
          <w:iCs/>
        </w:rPr>
        <w:t xml:space="preserve"> </w:t>
      </w:r>
      <w:r w:rsidR="00D2072B" w:rsidRPr="00091E17">
        <w:rPr>
          <w:rFonts w:asciiTheme="majorBidi" w:hAnsiTheme="majorBidi" w:cstheme="majorBidi"/>
          <w:i/>
          <w:iCs/>
          <w:lang w:val="en-US"/>
        </w:rPr>
        <w:t>c</w:t>
      </w:r>
      <w:proofErr w:type="spellStart"/>
      <w:r w:rsidR="00821ECB" w:rsidRPr="00091E17">
        <w:rPr>
          <w:rFonts w:asciiTheme="majorBidi" w:hAnsiTheme="majorBidi" w:cstheme="majorBidi"/>
          <w:i/>
          <w:iCs/>
        </w:rPr>
        <w:t>arbon</w:t>
      </w:r>
      <w:proofErr w:type="spellEnd"/>
      <w:r w:rsidR="00821ECB" w:rsidRPr="00091E17">
        <w:rPr>
          <w:rFonts w:asciiTheme="majorBidi" w:hAnsiTheme="majorBidi" w:cstheme="majorBidi"/>
          <w:i/>
          <w:iCs/>
        </w:rPr>
        <w:t xml:space="preserve"> </w:t>
      </w:r>
      <w:r w:rsidR="00D2072B" w:rsidRPr="00091E17">
        <w:rPr>
          <w:rFonts w:asciiTheme="majorBidi" w:hAnsiTheme="majorBidi" w:cstheme="majorBidi"/>
          <w:i/>
          <w:iCs/>
          <w:lang w:val="en-US"/>
        </w:rPr>
        <w:t>d</w:t>
      </w:r>
      <w:proofErr w:type="spellStart"/>
      <w:r w:rsidR="00821ECB" w:rsidRPr="00091E17">
        <w:rPr>
          <w:rFonts w:asciiTheme="majorBidi" w:hAnsiTheme="majorBidi" w:cstheme="majorBidi"/>
          <w:i/>
          <w:iCs/>
        </w:rPr>
        <w:t>isclosure</w:t>
      </w:r>
      <w:proofErr w:type="spellEnd"/>
      <w:r w:rsidR="00821ECB" w:rsidRPr="00091E17">
        <w:rPr>
          <w:rFonts w:asciiTheme="majorBidi" w:hAnsiTheme="majorBidi" w:cstheme="majorBidi"/>
          <w:i/>
          <w:iCs/>
        </w:rPr>
        <w:t xml:space="preserve"> </w:t>
      </w:r>
      <w:r w:rsidR="00D2072B" w:rsidRPr="00091E17">
        <w:rPr>
          <w:rFonts w:asciiTheme="majorBidi" w:hAnsiTheme="majorBidi" w:cstheme="majorBidi"/>
          <w:i/>
          <w:iCs/>
          <w:lang w:val="en-US"/>
        </w:rPr>
        <w:t>p</w:t>
      </w:r>
      <w:proofErr w:type="spellStart"/>
      <w:r w:rsidR="00821ECB" w:rsidRPr="00091E17">
        <w:rPr>
          <w:rFonts w:asciiTheme="majorBidi" w:hAnsiTheme="majorBidi" w:cstheme="majorBidi"/>
          <w:i/>
          <w:iCs/>
        </w:rPr>
        <w:t>roject</w:t>
      </w:r>
      <w:proofErr w:type="spellEnd"/>
      <w:r w:rsidR="00821ECB" w:rsidRPr="00091E17">
        <w:rPr>
          <w:rFonts w:asciiTheme="majorBidi" w:hAnsiTheme="majorBidi" w:cstheme="majorBidi"/>
          <w:i/>
          <w:iCs/>
        </w:rPr>
        <w:t xml:space="preserve"> </w:t>
      </w:r>
    </w:p>
    <w:p w14:paraId="733CD192" w14:textId="77777777" w:rsidR="00B76573" w:rsidRDefault="00B76573">
      <w:pPr>
        <w:widowControl w:val="0"/>
        <w:autoSpaceDE w:val="0"/>
        <w:autoSpaceDN w:val="0"/>
        <w:adjustRightInd w:val="0"/>
        <w:spacing w:line="360" w:lineRule="auto"/>
      </w:pPr>
    </w:p>
    <w:sectPr w:rsidR="00B76573" w:rsidSect="00B76573">
      <w:footerReference w:type="even" r:id="rId8"/>
      <w:footerReference w:type="default" r:id="rId9"/>
      <w:pgSz w:w="11906" w:h="16838"/>
      <w:pgMar w:top="1440" w:right="1080" w:bottom="1440" w:left="1080" w:header="851" w:footer="992"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6F3D" w14:textId="77777777" w:rsidR="001A6BE9" w:rsidRDefault="001A6BE9" w:rsidP="00EF1B83">
      <w:r>
        <w:separator/>
      </w:r>
    </w:p>
  </w:endnote>
  <w:endnote w:type="continuationSeparator" w:id="0">
    <w:p w14:paraId="02CEBD11" w14:textId="77777777" w:rsidR="001A6BE9" w:rsidRDefault="001A6BE9" w:rsidP="00EF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598293"/>
      <w:docPartObj>
        <w:docPartGallery w:val="Page Numbers (Bottom of Page)"/>
        <w:docPartUnique/>
      </w:docPartObj>
    </w:sdtPr>
    <w:sdtContent>
      <w:p w14:paraId="51743448" w14:textId="6D4A3BB8" w:rsidR="00BC36A8" w:rsidRDefault="00BC36A8" w:rsidP="00BC36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7238F">
          <w:rPr>
            <w:rStyle w:val="PageNumber"/>
          </w:rPr>
          <w:fldChar w:fldCharType="separate"/>
        </w:r>
        <w:r w:rsidR="0097238F">
          <w:rPr>
            <w:rStyle w:val="PageNumber"/>
            <w:noProof/>
          </w:rPr>
          <w:t>1</w:t>
        </w:r>
        <w:r>
          <w:rPr>
            <w:rStyle w:val="PageNumber"/>
          </w:rPr>
          <w:fldChar w:fldCharType="end"/>
        </w:r>
      </w:p>
    </w:sdtContent>
  </w:sdt>
  <w:p w14:paraId="46DE190F" w14:textId="77777777" w:rsidR="00BC36A8" w:rsidRDefault="00BC36A8" w:rsidP="00BC36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708080"/>
      <w:docPartObj>
        <w:docPartGallery w:val="Page Numbers (Bottom of Page)"/>
        <w:docPartUnique/>
      </w:docPartObj>
    </w:sdtPr>
    <w:sdtContent>
      <w:p w14:paraId="6592F479" w14:textId="0FBD08DD" w:rsidR="00BC36A8" w:rsidRDefault="00BC36A8" w:rsidP="00BC36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58BE8D" w14:textId="77777777" w:rsidR="00BC36A8" w:rsidRDefault="00BC36A8" w:rsidP="00BC36A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E709A" w14:textId="77777777" w:rsidR="001A6BE9" w:rsidRDefault="001A6BE9" w:rsidP="00EF1B83">
      <w:r>
        <w:separator/>
      </w:r>
    </w:p>
  </w:footnote>
  <w:footnote w:type="continuationSeparator" w:id="0">
    <w:p w14:paraId="73E19412" w14:textId="77777777" w:rsidR="001A6BE9" w:rsidRDefault="001A6BE9" w:rsidP="00EF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2428"/>
    <w:multiLevelType w:val="hybridMultilevel"/>
    <w:tmpl w:val="2BB6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D4A30"/>
    <w:multiLevelType w:val="hybridMultilevel"/>
    <w:tmpl w:val="C5DAF45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074A83"/>
    <w:multiLevelType w:val="multilevel"/>
    <w:tmpl w:val="5E845A56"/>
    <w:lvl w:ilvl="0">
      <w:start w:val="1"/>
      <w:numFmt w:val="decimal"/>
      <w:lvlText w:val="%1."/>
      <w:lvlJc w:val="left"/>
      <w:pPr>
        <w:ind w:left="2968" w:hanging="360"/>
      </w:pPr>
      <w:rPr>
        <w:rFonts w:hint="default"/>
      </w:rPr>
    </w:lvl>
    <w:lvl w:ilvl="1">
      <w:start w:val="1"/>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num w:numId="1" w16cid:durableId="1058895493">
    <w:abstractNumId w:val="2"/>
  </w:num>
  <w:num w:numId="2" w16cid:durableId="615674536">
    <w:abstractNumId w:val="0"/>
  </w:num>
  <w:num w:numId="3" w16cid:durableId="24307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zMTa0MDS1MLE0MrRU0lEKTi0uzszPAykwqwUALGQxUCwAAAA="/>
  </w:docVars>
  <w:rsids>
    <w:rsidRoot w:val="008319DF"/>
    <w:rsid w:val="000012A7"/>
    <w:rsid w:val="000015A7"/>
    <w:rsid w:val="00002031"/>
    <w:rsid w:val="00003E73"/>
    <w:rsid w:val="00006B44"/>
    <w:rsid w:val="000113A8"/>
    <w:rsid w:val="00012C63"/>
    <w:rsid w:val="00015D8B"/>
    <w:rsid w:val="00016A76"/>
    <w:rsid w:val="0002005F"/>
    <w:rsid w:val="0002013B"/>
    <w:rsid w:val="00020759"/>
    <w:rsid w:val="000222B0"/>
    <w:rsid w:val="0002238E"/>
    <w:rsid w:val="00023010"/>
    <w:rsid w:val="000233EA"/>
    <w:rsid w:val="00024912"/>
    <w:rsid w:val="00025129"/>
    <w:rsid w:val="00025C63"/>
    <w:rsid w:val="000277CA"/>
    <w:rsid w:val="00030124"/>
    <w:rsid w:val="00030EBA"/>
    <w:rsid w:val="00031654"/>
    <w:rsid w:val="00033601"/>
    <w:rsid w:val="00033846"/>
    <w:rsid w:val="000351E7"/>
    <w:rsid w:val="00035FF5"/>
    <w:rsid w:val="00036A76"/>
    <w:rsid w:val="00037A13"/>
    <w:rsid w:val="00040099"/>
    <w:rsid w:val="00040A4C"/>
    <w:rsid w:val="000419D5"/>
    <w:rsid w:val="00042217"/>
    <w:rsid w:val="000469B4"/>
    <w:rsid w:val="00047E77"/>
    <w:rsid w:val="000518C5"/>
    <w:rsid w:val="00056A04"/>
    <w:rsid w:val="00056DD6"/>
    <w:rsid w:val="00057678"/>
    <w:rsid w:val="00057F4E"/>
    <w:rsid w:val="00064247"/>
    <w:rsid w:val="00064B86"/>
    <w:rsid w:val="00064E8D"/>
    <w:rsid w:val="0006567B"/>
    <w:rsid w:val="00067BA0"/>
    <w:rsid w:val="000723EA"/>
    <w:rsid w:val="0007513E"/>
    <w:rsid w:val="0007604E"/>
    <w:rsid w:val="00076545"/>
    <w:rsid w:val="00080099"/>
    <w:rsid w:val="0008125C"/>
    <w:rsid w:val="00082F85"/>
    <w:rsid w:val="00083773"/>
    <w:rsid w:val="00084B94"/>
    <w:rsid w:val="0008636F"/>
    <w:rsid w:val="00086B76"/>
    <w:rsid w:val="00087397"/>
    <w:rsid w:val="000912C6"/>
    <w:rsid w:val="000917D8"/>
    <w:rsid w:val="00091A24"/>
    <w:rsid w:val="00091E17"/>
    <w:rsid w:val="00092E29"/>
    <w:rsid w:val="00092F56"/>
    <w:rsid w:val="00095909"/>
    <w:rsid w:val="00096CEF"/>
    <w:rsid w:val="000A08E7"/>
    <w:rsid w:val="000A0B53"/>
    <w:rsid w:val="000A2852"/>
    <w:rsid w:val="000A473E"/>
    <w:rsid w:val="000A57CF"/>
    <w:rsid w:val="000B18C8"/>
    <w:rsid w:val="000B2E95"/>
    <w:rsid w:val="000B3FB3"/>
    <w:rsid w:val="000B4D5A"/>
    <w:rsid w:val="000C08FC"/>
    <w:rsid w:val="000C0A38"/>
    <w:rsid w:val="000C1843"/>
    <w:rsid w:val="000C3AEA"/>
    <w:rsid w:val="000C3D3F"/>
    <w:rsid w:val="000C451C"/>
    <w:rsid w:val="000C4B10"/>
    <w:rsid w:val="000C604F"/>
    <w:rsid w:val="000C72D0"/>
    <w:rsid w:val="000C7521"/>
    <w:rsid w:val="000C788C"/>
    <w:rsid w:val="000D0791"/>
    <w:rsid w:val="000D099E"/>
    <w:rsid w:val="000D1648"/>
    <w:rsid w:val="000D3463"/>
    <w:rsid w:val="000E01B9"/>
    <w:rsid w:val="000E42AF"/>
    <w:rsid w:val="000E4DEE"/>
    <w:rsid w:val="000E6AA5"/>
    <w:rsid w:val="000E6E5B"/>
    <w:rsid w:val="000E7C2B"/>
    <w:rsid w:val="000F0549"/>
    <w:rsid w:val="000F258E"/>
    <w:rsid w:val="000F3002"/>
    <w:rsid w:val="000F37EE"/>
    <w:rsid w:val="000F48FB"/>
    <w:rsid w:val="000F4B90"/>
    <w:rsid w:val="000F4F74"/>
    <w:rsid w:val="000F7CFE"/>
    <w:rsid w:val="001005A4"/>
    <w:rsid w:val="001006F6"/>
    <w:rsid w:val="00101D46"/>
    <w:rsid w:val="001035A1"/>
    <w:rsid w:val="00103E61"/>
    <w:rsid w:val="00105447"/>
    <w:rsid w:val="00105F00"/>
    <w:rsid w:val="001066C0"/>
    <w:rsid w:val="00107AA9"/>
    <w:rsid w:val="001106F1"/>
    <w:rsid w:val="00111D65"/>
    <w:rsid w:val="00112CB7"/>
    <w:rsid w:val="001139B5"/>
    <w:rsid w:val="001141D2"/>
    <w:rsid w:val="00115E06"/>
    <w:rsid w:val="001250DD"/>
    <w:rsid w:val="00125E81"/>
    <w:rsid w:val="00127A8D"/>
    <w:rsid w:val="00131F3C"/>
    <w:rsid w:val="001323F8"/>
    <w:rsid w:val="00132C77"/>
    <w:rsid w:val="00134B1D"/>
    <w:rsid w:val="0013576F"/>
    <w:rsid w:val="001364B7"/>
    <w:rsid w:val="00140485"/>
    <w:rsid w:val="001419B9"/>
    <w:rsid w:val="00145D08"/>
    <w:rsid w:val="001471B6"/>
    <w:rsid w:val="00147544"/>
    <w:rsid w:val="00150FE8"/>
    <w:rsid w:val="00151119"/>
    <w:rsid w:val="001519EE"/>
    <w:rsid w:val="00154C5A"/>
    <w:rsid w:val="001559F0"/>
    <w:rsid w:val="00156C46"/>
    <w:rsid w:val="001574F4"/>
    <w:rsid w:val="00163153"/>
    <w:rsid w:val="00163D67"/>
    <w:rsid w:val="00167501"/>
    <w:rsid w:val="00171F13"/>
    <w:rsid w:val="001725F3"/>
    <w:rsid w:val="00172BA3"/>
    <w:rsid w:val="00175CF4"/>
    <w:rsid w:val="0017678C"/>
    <w:rsid w:val="00176C90"/>
    <w:rsid w:val="00181716"/>
    <w:rsid w:val="0018628D"/>
    <w:rsid w:val="00186BE4"/>
    <w:rsid w:val="00190755"/>
    <w:rsid w:val="001913CD"/>
    <w:rsid w:val="00192CCE"/>
    <w:rsid w:val="00195FE7"/>
    <w:rsid w:val="0019661C"/>
    <w:rsid w:val="00196CBB"/>
    <w:rsid w:val="001A10EA"/>
    <w:rsid w:val="001A1A1F"/>
    <w:rsid w:val="001A4F19"/>
    <w:rsid w:val="001A55B3"/>
    <w:rsid w:val="001A58C7"/>
    <w:rsid w:val="001A6191"/>
    <w:rsid w:val="001A65FE"/>
    <w:rsid w:val="001A6BE9"/>
    <w:rsid w:val="001B03A0"/>
    <w:rsid w:val="001B1680"/>
    <w:rsid w:val="001B222A"/>
    <w:rsid w:val="001B4433"/>
    <w:rsid w:val="001B586F"/>
    <w:rsid w:val="001C01F5"/>
    <w:rsid w:val="001C2E20"/>
    <w:rsid w:val="001C4EA3"/>
    <w:rsid w:val="001C540E"/>
    <w:rsid w:val="001C554B"/>
    <w:rsid w:val="001C693D"/>
    <w:rsid w:val="001C7965"/>
    <w:rsid w:val="001D1556"/>
    <w:rsid w:val="001D1666"/>
    <w:rsid w:val="001D4486"/>
    <w:rsid w:val="001D6E1C"/>
    <w:rsid w:val="001D6F2B"/>
    <w:rsid w:val="001E18D5"/>
    <w:rsid w:val="001E1CE1"/>
    <w:rsid w:val="001E25E1"/>
    <w:rsid w:val="001E29A6"/>
    <w:rsid w:val="001E2B75"/>
    <w:rsid w:val="001F15E9"/>
    <w:rsid w:val="001F1F2D"/>
    <w:rsid w:val="001F3DEF"/>
    <w:rsid w:val="0020076E"/>
    <w:rsid w:val="00201561"/>
    <w:rsid w:val="00202811"/>
    <w:rsid w:val="002028EC"/>
    <w:rsid w:val="00202A69"/>
    <w:rsid w:val="00202D58"/>
    <w:rsid w:val="00202F1D"/>
    <w:rsid w:val="002069E8"/>
    <w:rsid w:val="00214380"/>
    <w:rsid w:val="00214F69"/>
    <w:rsid w:val="0022038B"/>
    <w:rsid w:val="002225C1"/>
    <w:rsid w:val="0022544D"/>
    <w:rsid w:val="0022768F"/>
    <w:rsid w:val="00231168"/>
    <w:rsid w:val="002317A7"/>
    <w:rsid w:val="00242663"/>
    <w:rsid w:val="00243E97"/>
    <w:rsid w:val="002443A5"/>
    <w:rsid w:val="0024783B"/>
    <w:rsid w:val="002508E3"/>
    <w:rsid w:val="00253401"/>
    <w:rsid w:val="0025366E"/>
    <w:rsid w:val="00255247"/>
    <w:rsid w:val="00255D09"/>
    <w:rsid w:val="00256410"/>
    <w:rsid w:val="00257655"/>
    <w:rsid w:val="00261DDB"/>
    <w:rsid w:val="0026488D"/>
    <w:rsid w:val="00266148"/>
    <w:rsid w:val="002675E5"/>
    <w:rsid w:val="00271601"/>
    <w:rsid w:val="00273CAC"/>
    <w:rsid w:val="00277375"/>
    <w:rsid w:val="00277F52"/>
    <w:rsid w:val="002801B3"/>
    <w:rsid w:val="002825B0"/>
    <w:rsid w:val="002830F1"/>
    <w:rsid w:val="00283A9F"/>
    <w:rsid w:val="00286897"/>
    <w:rsid w:val="00290491"/>
    <w:rsid w:val="00294F51"/>
    <w:rsid w:val="00296395"/>
    <w:rsid w:val="00296B2C"/>
    <w:rsid w:val="00297F88"/>
    <w:rsid w:val="002A1A72"/>
    <w:rsid w:val="002A3B58"/>
    <w:rsid w:val="002A5071"/>
    <w:rsid w:val="002A58FF"/>
    <w:rsid w:val="002B36FF"/>
    <w:rsid w:val="002B41D2"/>
    <w:rsid w:val="002B43CA"/>
    <w:rsid w:val="002B5A75"/>
    <w:rsid w:val="002B64D0"/>
    <w:rsid w:val="002C0056"/>
    <w:rsid w:val="002C2F4A"/>
    <w:rsid w:val="002C4220"/>
    <w:rsid w:val="002C4342"/>
    <w:rsid w:val="002C43CD"/>
    <w:rsid w:val="002C4EA0"/>
    <w:rsid w:val="002C5792"/>
    <w:rsid w:val="002C5987"/>
    <w:rsid w:val="002C6424"/>
    <w:rsid w:val="002D025E"/>
    <w:rsid w:val="002D2263"/>
    <w:rsid w:val="002D2A51"/>
    <w:rsid w:val="002D2AED"/>
    <w:rsid w:val="002D5835"/>
    <w:rsid w:val="002D6CBC"/>
    <w:rsid w:val="002D7CB4"/>
    <w:rsid w:val="002E13E0"/>
    <w:rsid w:val="002E1C12"/>
    <w:rsid w:val="002E2078"/>
    <w:rsid w:val="002E2DCF"/>
    <w:rsid w:val="002E62A6"/>
    <w:rsid w:val="002E7FA1"/>
    <w:rsid w:val="002F14CB"/>
    <w:rsid w:val="002F724A"/>
    <w:rsid w:val="002F725E"/>
    <w:rsid w:val="003017A9"/>
    <w:rsid w:val="003044CD"/>
    <w:rsid w:val="0030452F"/>
    <w:rsid w:val="00304B39"/>
    <w:rsid w:val="00304D11"/>
    <w:rsid w:val="00304D54"/>
    <w:rsid w:val="003050AC"/>
    <w:rsid w:val="00306421"/>
    <w:rsid w:val="003079C3"/>
    <w:rsid w:val="003107F3"/>
    <w:rsid w:val="00310A11"/>
    <w:rsid w:val="00310BD0"/>
    <w:rsid w:val="00312408"/>
    <w:rsid w:val="003127A5"/>
    <w:rsid w:val="003205BF"/>
    <w:rsid w:val="00320740"/>
    <w:rsid w:val="00321385"/>
    <w:rsid w:val="00322DCF"/>
    <w:rsid w:val="0032316C"/>
    <w:rsid w:val="0032461A"/>
    <w:rsid w:val="00324EB2"/>
    <w:rsid w:val="003255E1"/>
    <w:rsid w:val="003256D8"/>
    <w:rsid w:val="0032592C"/>
    <w:rsid w:val="003264EB"/>
    <w:rsid w:val="00332747"/>
    <w:rsid w:val="00332C32"/>
    <w:rsid w:val="00334507"/>
    <w:rsid w:val="003348CC"/>
    <w:rsid w:val="00336F7D"/>
    <w:rsid w:val="00342AE3"/>
    <w:rsid w:val="0034383C"/>
    <w:rsid w:val="003452F3"/>
    <w:rsid w:val="003458F1"/>
    <w:rsid w:val="00345DB6"/>
    <w:rsid w:val="00345DCE"/>
    <w:rsid w:val="003478E8"/>
    <w:rsid w:val="00350F26"/>
    <w:rsid w:val="003514A7"/>
    <w:rsid w:val="00351F04"/>
    <w:rsid w:val="003536CE"/>
    <w:rsid w:val="00354248"/>
    <w:rsid w:val="00356A05"/>
    <w:rsid w:val="00357109"/>
    <w:rsid w:val="00362E59"/>
    <w:rsid w:val="003666F3"/>
    <w:rsid w:val="00375AD1"/>
    <w:rsid w:val="003773E5"/>
    <w:rsid w:val="003802C5"/>
    <w:rsid w:val="00380790"/>
    <w:rsid w:val="00380B01"/>
    <w:rsid w:val="0038163B"/>
    <w:rsid w:val="003818DA"/>
    <w:rsid w:val="0038310F"/>
    <w:rsid w:val="00386A8D"/>
    <w:rsid w:val="00387D32"/>
    <w:rsid w:val="003930C0"/>
    <w:rsid w:val="00394EF2"/>
    <w:rsid w:val="00395E39"/>
    <w:rsid w:val="003A421C"/>
    <w:rsid w:val="003A4521"/>
    <w:rsid w:val="003A6BE0"/>
    <w:rsid w:val="003B1195"/>
    <w:rsid w:val="003B3E1F"/>
    <w:rsid w:val="003B4E2C"/>
    <w:rsid w:val="003B571B"/>
    <w:rsid w:val="003B5F1D"/>
    <w:rsid w:val="003C0761"/>
    <w:rsid w:val="003C1DC5"/>
    <w:rsid w:val="003C2765"/>
    <w:rsid w:val="003C33D9"/>
    <w:rsid w:val="003C38E6"/>
    <w:rsid w:val="003C3C6B"/>
    <w:rsid w:val="003D0A59"/>
    <w:rsid w:val="003D0DAB"/>
    <w:rsid w:val="003D14CD"/>
    <w:rsid w:val="003D52AE"/>
    <w:rsid w:val="003E1CD2"/>
    <w:rsid w:val="003E247A"/>
    <w:rsid w:val="003E31CF"/>
    <w:rsid w:val="003E3898"/>
    <w:rsid w:val="003E459A"/>
    <w:rsid w:val="003E79F0"/>
    <w:rsid w:val="003F37E8"/>
    <w:rsid w:val="003F3F48"/>
    <w:rsid w:val="003F67A9"/>
    <w:rsid w:val="003F6DF5"/>
    <w:rsid w:val="003F7110"/>
    <w:rsid w:val="0040182D"/>
    <w:rsid w:val="00402AD0"/>
    <w:rsid w:val="00403509"/>
    <w:rsid w:val="004036B5"/>
    <w:rsid w:val="00403DD9"/>
    <w:rsid w:val="00407197"/>
    <w:rsid w:val="004126B5"/>
    <w:rsid w:val="00412C91"/>
    <w:rsid w:val="00413719"/>
    <w:rsid w:val="00413817"/>
    <w:rsid w:val="0041454A"/>
    <w:rsid w:val="004149B6"/>
    <w:rsid w:val="0041507E"/>
    <w:rsid w:val="00416086"/>
    <w:rsid w:val="00416485"/>
    <w:rsid w:val="00417AB7"/>
    <w:rsid w:val="00421C42"/>
    <w:rsid w:val="004335DB"/>
    <w:rsid w:val="004344BB"/>
    <w:rsid w:val="004407A4"/>
    <w:rsid w:val="00440B41"/>
    <w:rsid w:val="00441DC6"/>
    <w:rsid w:val="00445611"/>
    <w:rsid w:val="00445962"/>
    <w:rsid w:val="0044614B"/>
    <w:rsid w:val="00452582"/>
    <w:rsid w:val="0045501D"/>
    <w:rsid w:val="00456B32"/>
    <w:rsid w:val="00457930"/>
    <w:rsid w:val="0046011A"/>
    <w:rsid w:val="0046109D"/>
    <w:rsid w:val="004627E7"/>
    <w:rsid w:val="00462F2A"/>
    <w:rsid w:val="00463A86"/>
    <w:rsid w:val="004679B9"/>
    <w:rsid w:val="00471E47"/>
    <w:rsid w:val="004753FD"/>
    <w:rsid w:val="00475882"/>
    <w:rsid w:val="0047783B"/>
    <w:rsid w:val="0048055E"/>
    <w:rsid w:val="00480C39"/>
    <w:rsid w:val="00481148"/>
    <w:rsid w:val="00482FD9"/>
    <w:rsid w:val="0048365A"/>
    <w:rsid w:val="004839A6"/>
    <w:rsid w:val="00486208"/>
    <w:rsid w:val="00486F5F"/>
    <w:rsid w:val="00491B51"/>
    <w:rsid w:val="004926BF"/>
    <w:rsid w:val="00493A9A"/>
    <w:rsid w:val="0049400D"/>
    <w:rsid w:val="004967CD"/>
    <w:rsid w:val="004A2DA2"/>
    <w:rsid w:val="004A68BF"/>
    <w:rsid w:val="004A755F"/>
    <w:rsid w:val="004A7817"/>
    <w:rsid w:val="004B0AA3"/>
    <w:rsid w:val="004B1231"/>
    <w:rsid w:val="004B20A7"/>
    <w:rsid w:val="004B20EA"/>
    <w:rsid w:val="004B4AB0"/>
    <w:rsid w:val="004B4C83"/>
    <w:rsid w:val="004B4DC2"/>
    <w:rsid w:val="004B5145"/>
    <w:rsid w:val="004B54D0"/>
    <w:rsid w:val="004B6C72"/>
    <w:rsid w:val="004B7B76"/>
    <w:rsid w:val="004C03E0"/>
    <w:rsid w:val="004C1314"/>
    <w:rsid w:val="004C1D04"/>
    <w:rsid w:val="004C50AB"/>
    <w:rsid w:val="004C6ED0"/>
    <w:rsid w:val="004C7B73"/>
    <w:rsid w:val="004D0EBD"/>
    <w:rsid w:val="004D3586"/>
    <w:rsid w:val="004D530A"/>
    <w:rsid w:val="004D7FE3"/>
    <w:rsid w:val="004E181C"/>
    <w:rsid w:val="004E438A"/>
    <w:rsid w:val="004E51E0"/>
    <w:rsid w:val="004E566A"/>
    <w:rsid w:val="004E5A6C"/>
    <w:rsid w:val="004E5B65"/>
    <w:rsid w:val="004E6198"/>
    <w:rsid w:val="004F039C"/>
    <w:rsid w:val="004F2624"/>
    <w:rsid w:val="004F39C9"/>
    <w:rsid w:val="004F3C94"/>
    <w:rsid w:val="004F40BB"/>
    <w:rsid w:val="004F79C9"/>
    <w:rsid w:val="0050218A"/>
    <w:rsid w:val="005025A2"/>
    <w:rsid w:val="00503FE7"/>
    <w:rsid w:val="00504C03"/>
    <w:rsid w:val="00514383"/>
    <w:rsid w:val="00517E99"/>
    <w:rsid w:val="00520B01"/>
    <w:rsid w:val="00521B92"/>
    <w:rsid w:val="00521CCB"/>
    <w:rsid w:val="00523D12"/>
    <w:rsid w:val="00524B83"/>
    <w:rsid w:val="00525331"/>
    <w:rsid w:val="005273E2"/>
    <w:rsid w:val="00527822"/>
    <w:rsid w:val="0052799F"/>
    <w:rsid w:val="005279A2"/>
    <w:rsid w:val="0053766A"/>
    <w:rsid w:val="005404F9"/>
    <w:rsid w:val="005446F0"/>
    <w:rsid w:val="00544AE5"/>
    <w:rsid w:val="00550E1F"/>
    <w:rsid w:val="0055226B"/>
    <w:rsid w:val="0055288D"/>
    <w:rsid w:val="005528BF"/>
    <w:rsid w:val="005534D3"/>
    <w:rsid w:val="00555088"/>
    <w:rsid w:val="00555E03"/>
    <w:rsid w:val="00556A78"/>
    <w:rsid w:val="00556D37"/>
    <w:rsid w:val="00562D86"/>
    <w:rsid w:val="00562F97"/>
    <w:rsid w:val="00563E2A"/>
    <w:rsid w:val="0056534A"/>
    <w:rsid w:val="00566114"/>
    <w:rsid w:val="005717D5"/>
    <w:rsid w:val="0057204E"/>
    <w:rsid w:val="005726DF"/>
    <w:rsid w:val="00572A56"/>
    <w:rsid w:val="00573557"/>
    <w:rsid w:val="005737AA"/>
    <w:rsid w:val="005743AA"/>
    <w:rsid w:val="00574742"/>
    <w:rsid w:val="00576391"/>
    <w:rsid w:val="00584504"/>
    <w:rsid w:val="0058581C"/>
    <w:rsid w:val="00586108"/>
    <w:rsid w:val="0059222B"/>
    <w:rsid w:val="005930A6"/>
    <w:rsid w:val="00593B54"/>
    <w:rsid w:val="00594465"/>
    <w:rsid w:val="00594918"/>
    <w:rsid w:val="00596182"/>
    <w:rsid w:val="005A1AAC"/>
    <w:rsid w:val="005A2D1F"/>
    <w:rsid w:val="005A5997"/>
    <w:rsid w:val="005A59E5"/>
    <w:rsid w:val="005B2996"/>
    <w:rsid w:val="005B3DCE"/>
    <w:rsid w:val="005B48CE"/>
    <w:rsid w:val="005B718D"/>
    <w:rsid w:val="005C002A"/>
    <w:rsid w:val="005C322E"/>
    <w:rsid w:val="005C3F0F"/>
    <w:rsid w:val="005C592D"/>
    <w:rsid w:val="005C5EBE"/>
    <w:rsid w:val="005D22CF"/>
    <w:rsid w:val="005D2434"/>
    <w:rsid w:val="005D3315"/>
    <w:rsid w:val="005D34C3"/>
    <w:rsid w:val="005D622A"/>
    <w:rsid w:val="005E0335"/>
    <w:rsid w:val="005E2717"/>
    <w:rsid w:val="005E35A2"/>
    <w:rsid w:val="005E5CFA"/>
    <w:rsid w:val="005E712C"/>
    <w:rsid w:val="005F22CD"/>
    <w:rsid w:val="005F3215"/>
    <w:rsid w:val="005F3BB0"/>
    <w:rsid w:val="005F48CD"/>
    <w:rsid w:val="005F4CAD"/>
    <w:rsid w:val="005F7C09"/>
    <w:rsid w:val="005F7E51"/>
    <w:rsid w:val="006004C8"/>
    <w:rsid w:val="006029E8"/>
    <w:rsid w:val="00605099"/>
    <w:rsid w:val="0060634F"/>
    <w:rsid w:val="006066A3"/>
    <w:rsid w:val="006078D4"/>
    <w:rsid w:val="0061250B"/>
    <w:rsid w:val="006138C3"/>
    <w:rsid w:val="00614D64"/>
    <w:rsid w:val="00616DC8"/>
    <w:rsid w:val="00617330"/>
    <w:rsid w:val="006205FD"/>
    <w:rsid w:val="0062258D"/>
    <w:rsid w:val="00623EA9"/>
    <w:rsid w:val="00630E58"/>
    <w:rsid w:val="00630EA1"/>
    <w:rsid w:val="00631DF2"/>
    <w:rsid w:val="00633EA8"/>
    <w:rsid w:val="00635EEF"/>
    <w:rsid w:val="00636559"/>
    <w:rsid w:val="00637437"/>
    <w:rsid w:val="00637906"/>
    <w:rsid w:val="00637E20"/>
    <w:rsid w:val="006407CE"/>
    <w:rsid w:val="00640F75"/>
    <w:rsid w:val="0064293D"/>
    <w:rsid w:val="00642D6E"/>
    <w:rsid w:val="00643D19"/>
    <w:rsid w:val="0064445C"/>
    <w:rsid w:val="006453D2"/>
    <w:rsid w:val="0065198E"/>
    <w:rsid w:val="00651D75"/>
    <w:rsid w:val="006520C1"/>
    <w:rsid w:val="00652ADB"/>
    <w:rsid w:val="00655074"/>
    <w:rsid w:val="00655BDA"/>
    <w:rsid w:val="00657253"/>
    <w:rsid w:val="00657DFF"/>
    <w:rsid w:val="006612DA"/>
    <w:rsid w:val="006619B0"/>
    <w:rsid w:val="00662393"/>
    <w:rsid w:val="00662856"/>
    <w:rsid w:val="00662C23"/>
    <w:rsid w:val="00666B95"/>
    <w:rsid w:val="00670B2D"/>
    <w:rsid w:val="00673C11"/>
    <w:rsid w:val="00673F9D"/>
    <w:rsid w:val="006809A3"/>
    <w:rsid w:val="00680C6C"/>
    <w:rsid w:val="00680ED5"/>
    <w:rsid w:val="00684D49"/>
    <w:rsid w:val="006857D8"/>
    <w:rsid w:val="00685A73"/>
    <w:rsid w:val="00685C8A"/>
    <w:rsid w:val="00690B34"/>
    <w:rsid w:val="00691598"/>
    <w:rsid w:val="00692689"/>
    <w:rsid w:val="006928B7"/>
    <w:rsid w:val="00697046"/>
    <w:rsid w:val="00697936"/>
    <w:rsid w:val="006A1601"/>
    <w:rsid w:val="006B3C5D"/>
    <w:rsid w:val="006B4E7D"/>
    <w:rsid w:val="006B62C4"/>
    <w:rsid w:val="006B73D8"/>
    <w:rsid w:val="006C0602"/>
    <w:rsid w:val="006C0C63"/>
    <w:rsid w:val="006C23CF"/>
    <w:rsid w:val="006C2A3D"/>
    <w:rsid w:val="006C383D"/>
    <w:rsid w:val="006C66F1"/>
    <w:rsid w:val="006C73FD"/>
    <w:rsid w:val="006D5243"/>
    <w:rsid w:val="006D53AA"/>
    <w:rsid w:val="006D6B02"/>
    <w:rsid w:val="006D7365"/>
    <w:rsid w:val="006D791E"/>
    <w:rsid w:val="006D7DDF"/>
    <w:rsid w:val="006E0CC6"/>
    <w:rsid w:val="006E1934"/>
    <w:rsid w:val="006E1C27"/>
    <w:rsid w:val="006E202E"/>
    <w:rsid w:val="006E2850"/>
    <w:rsid w:val="006E744A"/>
    <w:rsid w:val="006E75A2"/>
    <w:rsid w:val="006E7AB6"/>
    <w:rsid w:val="006F0A58"/>
    <w:rsid w:val="006F57C1"/>
    <w:rsid w:val="006F5D28"/>
    <w:rsid w:val="007037BB"/>
    <w:rsid w:val="00705A91"/>
    <w:rsid w:val="00711819"/>
    <w:rsid w:val="00713286"/>
    <w:rsid w:val="00715450"/>
    <w:rsid w:val="007156CB"/>
    <w:rsid w:val="00716A04"/>
    <w:rsid w:val="00721C64"/>
    <w:rsid w:val="00722B9A"/>
    <w:rsid w:val="00723647"/>
    <w:rsid w:val="00725D0D"/>
    <w:rsid w:val="00732EDC"/>
    <w:rsid w:val="00734773"/>
    <w:rsid w:val="00736977"/>
    <w:rsid w:val="0073727E"/>
    <w:rsid w:val="00741081"/>
    <w:rsid w:val="00742BBD"/>
    <w:rsid w:val="007465AC"/>
    <w:rsid w:val="00746CE5"/>
    <w:rsid w:val="007472CF"/>
    <w:rsid w:val="00747678"/>
    <w:rsid w:val="0074773D"/>
    <w:rsid w:val="00751666"/>
    <w:rsid w:val="00751995"/>
    <w:rsid w:val="00753A48"/>
    <w:rsid w:val="00755726"/>
    <w:rsid w:val="00761B5E"/>
    <w:rsid w:val="00761F3F"/>
    <w:rsid w:val="00764258"/>
    <w:rsid w:val="0076606D"/>
    <w:rsid w:val="007665FB"/>
    <w:rsid w:val="007669CC"/>
    <w:rsid w:val="00773B3D"/>
    <w:rsid w:val="00773F4B"/>
    <w:rsid w:val="00774184"/>
    <w:rsid w:val="00774395"/>
    <w:rsid w:val="007755AE"/>
    <w:rsid w:val="00777550"/>
    <w:rsid w:val="00777FDE"/>
    <w:rsid w:val="0078012C"/>
    <w:rsid w:val="00780719"/>
    <w:rsid w:val="00781408"/>
    <w:rsid w:val="00782332"/>
    <w:rsid w:val="0078251A"/>
    <w:rsid w:val="007827BB"/>
    <w:rsid w:val="00783678"/>
    <w:rsid w:val="007838AA"/>
    <w:rsid w:val="00790A27"/>
    <w:rsid w:val="0079355B"/>
    <w:rsid w:val="007953D4"/>
    <w:rsid w:val="00796CC4"/>
    <w:rsid w:val="00797C42"/>
    <w:rsid w:val="007A1F48"/>
    <w:rsid w:val="007A4B08"/>
    <w:rsid w:val="007A610D"/>
    <w:rsid w:val="007A7D66"/>
    <w:rsid w:val="007B1E44"/>
    <w:rsid w:val="007B26A7"/>
    <w:rsid w:val="007B3259"/>
    <w:rsid w:val="007C07BD"/>
    <w:rsid w:val="007C15F2"/>
    <w:rsid w:val="007C285D"/>
    <w:rsid w:val="007C2D28"/>
    <w:rsid w:val="007C3AAF"/>
    <w:rsid w:val="007C4154"/>
    <w:rsid w:val="007C6B0A"/>
    <w:rsid w:val="007C7043"/>
    <w:rsid w:val="007D049A"/>
    <w:rsid w:val="007D061C"/>
    <w:rsid w:val="007D187F"/>
    <w:rsid w:val="007D245D"/>
    <w:rsid w:val="007D2A54"/>
    <w:rsid w:val="007D4967"/>
    <w:rsid w:val="007D617C"/>
    <w:rsid w:val="007D7172"/>
    <w:rsid w:val="007E38B3"/>
    <w:rsid w:val="007E40E9"/>
    <w:rsid w:val="007E4152"/>
    <w:rsid w:val="007E4960"/>
    <w:rsid w:val="007F0F70"/>
    <w:rsid w:val="007F37CB"/>
    <w:rsid w:val="007F5245"/>
    <w:rsid w:val="007F5F8B"/>
    <w:rsid w:val="008009E7"/>
    <w:rsid w:val="00800EE0"/>
    <w:rsid w:val="00802363"/>
    <w:rsid w:val="008032A1"/>
    <w:rsid w:val="00803A41"/>
    <w:rsid w:val="00806213"/>
    <w:rsid w:val="00807F97"/>
    <w:rsid w:val="0081031D"/>
    <w:rsid w:val="00810CAD"/>
    <w:rsid w:val="008116B7"/>
    <w:rsid w:val="0081252D"/>
    <w:rsid w:val="008148D0"/>
    <w:rsid w:val="0081778E"/>
    <w:rsid w:val="00821ECB"/>
    <w:rsid w:val="00823251"/>
    <w:rsid w:val="008243DD"/>
    <w:rsid w:val="00825101"/>
    <w:rsid w:val="008270EE"/>
    <w:rsid w:val="00827F09"/>
    <w:rsid w:val="008319DF"/>
    <w:rsid w:val="00832744"/>
    <w:rsid w:val="00832A4C"/>
    <w:rsid w:val="008335D9"/>
    <w:rsid w:val="008354D8"/>
    <w:rsid w:val="00835675"/>
    <w:rsid w:val="008368C9"/>
    <w:rsid w:val="008372E3"/>
    <w:rsid w:val="00837DA9"/>
    <w:rsid w:val="00840102"/>
    <w:rsid w:val="0084234C"/>
    <w:rsid w:val="0084277E"/>
    <w:rsid w:val="00845870"/>
    <w:rsid w:val="00846682"/>
    <w:rsid w:val="00850176"/>
    <w:rsid w:val="00851B45"/>
    <w:rsid w:val="00852D84"/>
    <w:rsid w:val="00853383"/>
    <w:rsid w:val="00855B47"/>
    <w:rsid w:val="00857B8A"/>
    <w:rsid w:val="008653A3"/>
    <w:rsid w:val="008656BD"/>
    <w:rsid w:val="008679DA"/>
    <w:rsid w:val="00867F10"/>
    <w:rsid w:val="0087006A"/>
    <w:rsid w:val="00870714"/>
    <w:rsid w:val="00871439"/>
    <w:rsid w:val="00871488"/>
    <w:rsid w:val="00872E26"/>
    <w:rsid w:val="008767FD"/>
    <w:rsid w:val="00876CF9"/>
    <w:rsid w:val="008800F2"/>
    <w:rsid w:val="008827F2"/>
    <w:rsid w:val="00882BC0"/>
    <w:rsid w:val="00883EB5"/>
    <w:rsid w:val="0088737C"/>
    <w:rsid w:val="008879EF"/>
    <w:rsid w:val="008907CD"/>
    <w:rsid w:val="00890950"/>
    <w:rsid w:val="00891EC3"/>
    <w:rsid w:val="00892EAB"/>
    <w:rsid w:val="00893194"/>
    <w:rsid w:val="00894008"/>
    <w:rsid w:val="00894EEE"/>
    <w:rsid w:val="00897194"/>
    <w:rsid w:val="00897B6D"/>
    <w:rsid w:val="00897B78"/>
    <w:rsid w:val="008A18DE"/>
    <w:rsid w:val="008A1F3D"/>
    <w:rsid w:val="008A3913"/>
    <w:rsid w:val="008A3AEF"/>
    <w:rsid w:val="008A53DB"/>
    <w:rsid w:val="008A7146"/>
    <w:rsid w:val="008A7E65"/>
    <w:rsid w:val="008B0070"/>
    <w:rsid w:val="008B34C9"/>
    <w:rsid w:val="008B528F"/>
    <w:rsid w:val="008B5E58"/>
    <w:rsid w:val="008C0E62"/>
    <w:rsid w:val="008C3EB3"/>
    <w:rsid w:val="008C3EE3"/>
    <w:rsid w:val="008C45F6"/>
    <w:rsid w:val="008C7D35"/>
    <w:rsid w:val="008D0CB7"/>
    <w:rsid w:val="008D0CCE"/>
    <w:rsid w:val="008D22C6"/>
    <w:rsid w:val="008D2E79"/>
    <w:rsid w:val="008D3924"/>
    <w:rsid w:val="008D4F6A"/>
    <w:rsid w:val="008D5EF8"/>
    <w:rsid w:val="008D6911"/>
    <w:rsid w:val="008D6FA1"/>
    <w:rsid w:val="008D767D"/>
    <w:rsid w:val="008D76EB"/>
    <w:rsid w:val="008E0EEA"/>
    <w:rsid w:val="008E1602"/>
    <w:rsid w:val="008E25FA"/>
    <w:rsid w:val="008E2EB3"/>
    <w:rsid w:val="008E4270"/>
    <w:rsid w:val="008E470B"/>
    <w:rsid w:val="008E4F93"/>
    <w:rsid w:val="008F0552"/>
    <w:rsid w:val="008F1D48"/>
    <w:rsid w:val="008F2F99"/>
    <w:rsid w:val="008F6352"/>
    <w:rsid w:val="008F7A48"/>
    <w:rsid w:val="00907044"/>
    <w:rsid w:val="00912405"/>
    <w:rsid w:val="00915B5E"/>
    <w:rsid w:val="009162E4"/>
    <w:rsid w:val="009171A0"/>
    <w:rsid w:val="00922237"/>
    <w:rsid w:val="009236C2"/>
    <w:rsid w:val="00923A40"/>
    <w:rsid w:val="00924102"/>
    <w:rsid w:val="00926D47"/>
    <w:rsid w:val="00926F25"/>
    <w:rsid w:val="009271F7"/>
    <w:rsid w:val="00927D71"/>
    <w:rsid w:val="009341EF"/>
    <w:rsid w:val="00936F3A"/>
    <w:rsid w:val="00945134"/>
    <w:rsid w:val="0094535D"/>
    <w:rsid w:val="00951DBF"/>
    <w:rsid w:val="00952CC9"/>
    <w:rsid w:val="0095616F"/>
    <w:rsid w:val="00956C15"/>
    <w:rsid w:val="00957F2D"/>
    <w:rsid w:val="00960DF4"/>
    <w:rsid w:val="009613F1"/>
    <w:rsid w:val="00963135"/>
    <w:rsid w:val="00964C64"/>
    <w:rsid w:val="00965FEE"/>
    <w:rsid w:val="00971353"/>
    <w:rsid w:val="0097238F"/>
    <w:rsid w:val="00974C01"/>
    <w:rsid w:val="00975462"/>
    <w:rsid w:val="00981AF0"/>
    <w:rsid w:val="00984117"/>
    <w:rsid w:val="00984D4F"/>
    <w:rsid w:val="00986782"/>
    <w:rsid w:val="00987AD0"/>
    <w:rsid w:val="00987B3C"/>
    <w:rsid w:val="0099404A"/>
    <w:rsid w:val="009944D3"/>
    <w:rsid w:val="009944F4"/>
    <w:rsid w:val="009972BD"/>
    <w:rsid w:val="009A43D1"/>
    <w:rsid w:val="009A7765"/>
    <w:rsid w:val="009A79F8"/>
    <w:rsid w:val="009A7A82"/>
    <w:rsid w:val="009B0141"/>
    <w:rsid w:val="009B034F"/>
    <w:rsid w:val="009B05BE"/>
    <w:rsid w:val="009B1CEA"/>
    <w:rsid w:val="009B2C71"/>
    <w:rsid w:val="009B4352"/>
    <w:rsid w:val="009B44B4"/>
    <w:rsid w:val="009B5078"/>
    <w:rsid w:val="009B5DBD"/>
    <w:rsid w:val="009B71F8"/>
    <w:rsid w:val="009B7E9C"/>
    <w:rsid w:val="009C06C5"/>
    <w:rsid w:val="009C0B0B"/>
    <w:rsid w:val="009C0D17"/>
    <w:rsid w:val="009C21C2"/>
    <w:rsid w:val="009C21F3"/>
    <w:rsid w:val="009C2F27"/>
    <w:rsid w:val="009C4CEC"/>
    <w:rsid w:val="009C50A2"/>
    <w:rsid w:val="009C52C2"/>
    <w:rsid w:val="009C5846"/>
    <w:rsid w:val="009C65DE"/>
    <w:rsid w:val="009D0066"/>
    <w:rsid w:val="009D3421"/>
    <w:rsid w:val="009D3EDE"/>
    <w:rsid w:val="009D47A5"/>
    <w:rsid w:val="009D5829"/>
    <w:rsid w:val="009D6B1A"/>
    <w:rsid w:val="009D76B5"/>
    <w:rsid w:val="009D7C44"/>
    <w:rsid w:val="009E0FE5"/>
    <w:rsid w:val="009E15A0"/>
    <w:rsid w:val="009E3E2D"/>
    <w:rsid w:val="009E60DB"/>
    <w:rsid w:val="009F0AE8"/>
    <w:rsid w:val="009F0C90"/>
    <w:rsid w:val="009F1112"/>
    <w:rsid w:val="009F1CC9"/>
    <w:rsid w:val="009F22E7"/>
    <w:rsid w:val="009F55E7"/>
    <w:rsid w:val="009F71E0"/>
    <w:rsid w:val="00A00DB4"/>
    <w:rsid w:val="00A0143F"/>
    <w:rsid w:val="00A030B0"/>
    <w:rsid w:val="00A0655C"/>
    <w:rsid w:val="00A06B43"/>
    <w:rsid w:val="00A10DCD"/>
    <w:rsid w:val="00A11D7B"/>
    <w:rsid w:val="00A1571D"/>
    <w:rsid w:val="00A170CA"/>
    <w:rsid w:val="00A20A5B"/>
    <w:rsid w:val="00A237B1"/>
    <w:rsid w:val="00A24EF3"/>
    <w:rsid w:val="00A31DB6"/>
    <w:rsid w:val="00A357D4"/>
    <w:rsid w:val="00A35920"/>
    <w:rsid w:val="00A36FB8"/>
    <w:rsid w:val="00A374D4"/>
    <w:rsid w:val="00A40DCC"/>
    <w:rsid w:val="00A428DD"/>
    <w:rsid w:val="00A42F4D"/>
    <w:rsid w:val="00A451EE"/>
    <w:rsid w:val="00A459FD"/>
    <w:rsid w:val="00A50223"/>
    <w:rsid w:val="00A54739"/>
    <w:rsid w:val="00A54A93"/>
    <w:rsid w:val="00A55102"/>
    <w:rsid w:val="00A55463"/>
    <w:rsid w:val="00A56D7B"/>
    <w:rsid w:val="00A60723"/>
    <w:rsid w:val="00A60BCA"/>
    <w:rsid w:val="00A63156"/>
    <w:rsid w:val="00A652B4"/>
    <w:rsid w:val="00A67AC9"/>
    <w:rsid w:val="00A67B71"/>
    <w:rsid w:val="00A70498"/>
    <w:rsid w:val="00A70B2F"/>
    <w:rsid w:val="00A7117F"/>
    <w:rsid w:val="00A71922"/>
    <w:rsid w:val="00A71A8E"/>
    <w:rsid w:val="00A73791"/>
    <w:rsid w:val="00A74188"/>
    <w:rsid w:val="00A76415"/>
    <w:rsid w:val="00A765E5"/>
    <w:rsid w:val="00A76D01"/>
    <w:rsid w:val="00A82CEF"/>
    <w:rsid w:val="00A83E51"/>
    <w:rsid w:val="00A84B5F"/>
    <w:rsid w:val="00A85002"/>
    <w:rsid w:val="00A8648D"/>
    <w:rsid w:val="00A900C2"/>
    <w:rsid w:val="00A90C0F"/>
    <w:rsid w:val="00A91CE7"/>
    <w:rsid w:val="00A94125"/>
    <w:rsid w:val="00A94B92"/>
    <w:rsid w:val="00A970A7"/>
    <w:rsid w:val="00A97F3E"/>
    <w:rsid w:val="00AA04F8"/>
    <w:rsid w:val="00AA087F"/>
    <w:rsid w:val="00AA4FAD"/>
    <w:rsid w:val="00AA60A2"/>
    <w:rsid w:val="00AA7518"/>
    <w:rsid w:val="00AB0BB4"/>
    <w:rsid w:val="00AB0BD1"/>
    <w:rsid w:val="00AB1470"/>
    <w:rsid w:val="00AB25ED"/>
    <w:rsid w:val="00AB32C3"/>
    <w:rsid w:val="00AB5918"/>
    <w:rsid w:val="00AC1A0C"/>
    <w:rsid w:val="00AC1A9E"/>
    <w:rsid w:val="00AC355D"/>
    <w:rsid w:val="00AC3C3C"/>
    <w:rsid w:val="00AC797C"/>
    <w:rsid w:val="00AD0BAF"/>
    <w:rsid w:val="00AD6D73"/>
    <w:rsid w:val="00AE0371"/>
    <w:rsid w:val="00AE6386"/>
    <w:rsid w:val="00AE6687"/>
    <w:rsid w:val="00AF25D8"/>
    <w:rsid w:val="00AF32CF"/>
    <w:rsid w:val="00B00529"/>
    <w:rsid w:val="00B03098"/>
    <w:rsid w:val="00B04092"/>
    <w:rsid w:val="00B05348"/>
    <w:rsid w:val="00B05E85"/>
    <w:rsid w:val="00B070B8"/>
    <w:rsid w:val="00B116F1"/>
    <w:rsid w:val="00B14F20"/>
    <w:rsid w:val="00B16F1A"/>
    <w:rsid w:val="00B2060C"/>
    <w:rsid w:val="00B21984"/>
    <w:rsid w:val="00B249C8"/>
    <w:rsid w:val="00B26A7D"/>
    <w:rsid w:val="00B271EA"/>
    <w:rsid w:val="00B27F34"/>
    <w:rsid w:val="00B310FC"/>
    <w:rsid w:val="00B32F50"/>
    <w:rsid w:val="00B34EDD"/>
    <w:rsid w:val="00B353C7"/>
    <w:rsid w:val="00B41FFD"/>
    <w:rsid w:val="00B43F86"/>
    <w:rsid w:val="00B43FEC"/>
    <w:rsid w:val="00B460F4"/>
    <w:rsid w:val="00B46485"/>
    <w:rsid w:val="00B46930"/>
    <w:rsid w:val="00B50A0C"/>
    <w:rsid w:val="00B52DCF"/>
    <w:rsid w:val="00B546FE"/>
    <w:rsid w:val="00B55823"/>
    <w:rsid w:val="00B5711B"/>
    <w:rsid w:val="00B605D2"/>
    <w:rsid w:val="00B61810"/>
    <w:rsid w:val="00B677A8"/>
    <w:rsid w:val="00B710B6"/>
    <w:rsid w:val="00B71B18"/>
    <w:rsid w:val="00B736B7"/>
    <w:rsid w:val="00B73DDF"/>
    <w:rsid w:val="00B74483"/>
    <w:rsid w:val="00B76134"/>
    <w:rsid w:val="00B76573"/>
    <w:rsid w:val="00B7687C"/>
    <w:rsid w:val="00B76E14"/>
    <w:rsid w:val="00B80003"/>
    <w:rsid w:val="00B80061"/>
    <w:rsid w:val="00B80E9F"/>
    <w:rsid w:val="00B81744"/>
    <w:rsid w:val="00B846BB"/>
    <w:rsid w:val="00B864D0"/>
    <w:rsid w:val="00B8715B"/>
    <w:rsid w:val="00B90C79"/>
    <w:rsid w:val="00B91E25"/>
    <w:rsid w:val="00B921C4"/>
    <w:rsid w:val="00B97737"/>
    <w:rsid w:val="00BA2DDD"/>
    <w:rsid w:val="00BA2E97"/>
    <w:rsid w:val="00BA30F3"/>
    <w:rsid w:val="00BA36D1"/>
    <w:rsid w:val="00BA3DD3"/>
    <w:rsid w:val="00BA61E9"/>
    <w:rsid w:val="00BB0ECA"/>
    <w:rsid w:val="00BB12DC"/>
    <w:rsid w:val="00BB3643"/>
    <w:rsid w:val="00BC0370"/>
    <w:rsid w:val="00BC055B"/>
    <w:rsid w:val="00BC0BEB"/>
    <w:rsid w:val="00BC1149"/>
    <w:rsid w:val="00BC36A8"/>
    <w:rsid w:val="00BC5461"/>
    <w:rsid w:val="00BD0188"/>
    <w:rsid w:val="00BD0B9E"/>
    <w:rsid w:val="00BD14E2"/>
    <w:rsid w:val="00BD1D3E"/>
    <w:rsid w:val="00BD4F1F"/>
    <w:rsid w:val="00BD540A"/>
    <w:rsid w:val="00BD63A9"/>
    <w:rsid w:val="00BE1101"/>
    <w:rsid w:val="00BE14F2"/>
    <w:rsid w:val="00BE1897"/>
    <w:rsid w:val="00BE5E35"/>
    <w:rsid w:val="00BE67A5"/>
    <w:rsid w:val="00BE68C2"/>
    <w:rsid w:val="00BE68EF"/>
    <w:rsid w:val="00BE6C5A"/>
    <w:rsid w:val="00BE7582"/>
    <w:rsid w:val="00BF17A9"/>
    <w:rsid w:val="00BF1A8C"/>
    <w:rsid w:val="00BF335C"/>
    <w:rsid w:val="00BF4112"/>
    <w:rsid w:val="00BF5ED2"/>
    <w:rsid w:val="00BF6216"/>
    <w:rsid w:val="00BF7612"/>
    <w:rsid w:val="00C0550D"/>
    <w:rsid w:val="00C06AEF"/>
    <w:rsid w:val="00C07DA0"/>
    <w:rsid w:val="00C1152F"/>
    <w:rsid w:val="00C1390C"/>
    <w:rsid w:val="00C15298"/>
    <w:rsid w:val="00C15A79"/>
    <w:rsid w:val="00C17756"/>
    <w:rsid w:val="00C17A35"/>
    <w:rsid w:val="00C17D96"/>
    <w:rsid w:val="00C207ED"/>
    <w:rsid w:val="00C21248"/>
    <w:rsid w:val="00C21D24"/>
    <w:rsid w:val="00C24243"/>
    <w:rsid w:val="00C245D1"/>
    <w:rsid w:val="00C26FF2"/>
    <w:rsid w:val="00C27405"/>
    <w:rsid w:val="00C3067C"/>
    <w:rsid w:val="00C313CF"/>
    <w:rsid w:val="00C3316A"/>
    <w:rsid w:val="00C4667F"/>
    <w:rsid w:val="00C46A42"/>
    <w:rsid w:val="00C502F6"/>
    <w:rsid w:val="00C506C0"/>
    <w:rsid w:val="00C50C29"/>
    <w:rsid w:val="00C51336"/>
    <w:rsid w:val="00C53D85"/>
    <w:rsid w:val="00C55D22"/>
    <w:rsid w:val="00C57BFC"/>
    <w:rsid w:val="00C614B7"/>
    <w:rsid w:val="00C64225"/>
    <w:rsid w:val="00C66995"/>
    <w:rsid w:val="00C70C10"/>
    <w:rsid w:val="00C7103F"/>
    <w:rsid w:val="00C71860"/>
    <w:rsid w:val="00C726F0"/>
    <w:rsid w:val="00C732BE"/>
    <w:rsid w:val="00C734BF"/>
    <w:rsid w:val="00C76A5E"/>
    <w:rsid w:val="00C80496"/>
    <w:rsid w:val="00C819DA"/>
    <w:rsid w:val="00C82575"/>
    <w:rsid w:val="00C83D42"/>
    <w:rsid w:val="00C84630"/>
    <w:rsid w:val="00C908C1"/>
    <w:rsid w:val="00C91ECF"/>
    <w:rsid w:val="00C9524F"/>
    <w:rsid w:val="00C952B7"/>
    <w:rsid w:val="00C9566C"/>
    <w:rsid w:val="00C958B5"/>
    <w:rsid w:val="00C95E07"/>
    <w:rsid w:val="00C97B13"/>
    <w:rsid w:val="00CA1531"/>
    <w:rsid w:val="00CA241D"/>
    <w:rsid w:val="00CA4C65"/>
    <w:rsid w:val="00CA6644"/>
    <w:rsid w:val="00CA7132"/>
    <w:rsid w:val="00CB07F0"/>
    <w:rsid w:val="00CB0C70"/>
    <w:rsid w:val="00CB4430"/>
    <w:rsid w:val="00CB5F5A"/>
    <w:rsid w:val="00CB6EAF"/>
    <w:rsid w:val="00CB7548"/>
    <w:rsid w:val="00CB781B"/>
    <w:rsid w:val="00CB7C8D"/>
    <w:rsid w:val="00CC23F0"/>
    <w:rsid w:val="00CC302B"/>
    <w:rsid w:val="00CC525B"/>
    <w:rsid w:val="00CD1002"/>
    <w:rsid w:val="00CD14A5"/>
    <w:rsid w:val="00CD27C5"/>
    <w:rsid w:val="00CD3090"/>
    <w:rsid w:val="00CD4885"/>
    <w:rsid w:val="00CD72B4"/>
    <w:rsid w:val="00CD7A71"/>
    <w:rsid w:val="00CE0D69"/>
    <w:rsid w:val="00CE3CAD"/>
    <w:rsid w:val="00CE53DA"/>
    <w:rsid w:val="00CE53F0"/>
    <w:rsid w:val="00CE68F2"/>
    <w:rsid w:val="00CF3C7B"/>
    <w:rsid w:val="00CF4423"/>
    <w:rsid w:val="00CF5DFA"/>
    <w:rsid w:val="00CF5FDA"/>
    <w:rsid w:val="00D00905"/>
    <w:rsid w:val="00D0255D"/>
    <w:rsid w:val="00D05B29"/>
    <w:rsid w:val="00D11C8E"/>
    <w:rsid w:val="00D1361D"/>
    <w:rsid w:val="00D171F3"/>
    <w:rsid w:val="00D2072B"/>
    <w:rsid w:val="00D2091F"/>
    <w:rsid w:val="00D213D5"/>
    <w:rsid w:val="00D219B4"/>
    <w:rsid w:val="00D22FD3"/>
    <w:rsid w:val="00D23A30"/>
    <w:rsid w:val="00D25A24"/>
    <w:rsid w:val="00D2622C"/>
    <w:rsid w:val="00D31486"/>
    <w:rsid w:val="00D338A5"/>
    <w:rsid w:val="00D34653"/>
    <w:rsid w:val="00D34A5D"/>
    <w:rsid w:val="00D377D1"/>
    <w:rsid w:val="00D37C48"/>
    <w:rsid w:val="00D41C0A"/>
    <w:rsid w:val="00D420A7"/>
    <w:rsid w:val="00D42542"/>
    <w:rsid w:val="00D44723"/>
    <w:rsid w:val="00D45AC2"/>
    <w:rsid w:val="00D470A4"/>
    <w:rsid w:val="00D479EA"/>
    <w:rsid w:val="00D50EDD"/>
    <w:rsid w:val="00D51CC3"/>
    <w:rsid w:val="00D52D0C"/>
    <w:rsid w:val="00D568BF"/>
    <w:rsid w:val="00D63BEE"/>
    <w:rsid w:val="00D64D3D"/>
    <w:rsid w:val="00D6536C"/>
    <w:rsid w:val="00D65427"/>
    <w:rsid w:val="00D6558E"/>
    <w:rsid w:val="00D74D11"/>
    <w:rsid w:val="00D76C7A"/>
    <w:rsid w:val="00D803F5"/>
    <w:rsid w:val="00D80E2A"/>
    <w:rsid w:val="00D81C80"/>
    <w:rsid w:val="00D83786"/>
    <w:rsid w:val="00D83864"/>
    <w:rsid w:val="00D8601D"/>
    <w:rsid w:val="00D87685"/>
    <w:rsid w:val="00D906C5"/>
    <w:rsid w:val="00D91857"/>
    <w:rsid w:val="00D94092"/>
    <w:rsid w:val="00D9576F"/>
    <w:rsid w:val="00D96049"/>
    <w:rsid w:val="00D97395"/>
    <w:rsid w:val="00D97C19"/>
    <w:rsid w:val="00DA1418"/>
    <w:rsid w:val="00DA166C"/>
    <w:rsid w:val="00DA20B9"/>
    <w:rsid w:val="00DA316A"/>
    <w:rsid w:val="00DA4BBB"/>
    <w:rsid w:val="00DA6155"/>
    <w:rsid w:val="00DB597A"/>
    <w:rsid w:val="00DB6F20"/>
    <w:rsid w:val="00DC07EA"/>
    <w:rsid w:val="00DC1B61"/>
    <w:rsid w:val="00DC3137"/>
    <w:rsid w:val="00DC329C"/>
    <w:rsid w:val="00DC46CC"/>
    <w:rsid w:val="00DC5FA8"/>
    <w:rsid w:val="00DD260D"/>
    <w:rsid w:val="00DD2718"/>
    <w:rsid w:val="00DD28B0"/>
    <w:rsid w:val="00DD2D73"/>
    <w:rsid w:val="00DD3B5F"/>
    <w:rsid w:val="00DD40BF"/>
    <w:rsid w:val="00DD69E4"/>
    <w:rsid w:val="00DD755C"/>
    <w:rsid w:val="00DE086A"/>
    <w:rsid w:val="00DE0D5B"/>
    <w:rsid w:val="00DE11C9"/>
    <w:rsid w:val="00DE2861"/>
    <w:rsid w:val="00DE3CB2"/>
    <w:rsid w:val="00DE4442"/>
    <w:rsid w:val="00DF18CC"/>
    <w:rsid w:val="00DF4A6E"/>
    <w:rsid w:val="00DF7538"/>
    <w:rsid w:val="00E060EE"/>
    <w:rsid w:val="00E063A5"/>
    <w:rsid w:val="00E07D1F"/>
    <w:rsid w:val="00E07DEC"/>
    <w:rsid w:val="00E10081"/>
    <w:rsid w:val="00E10365"/>
    <w:rsid w:val="00E127C4"/>
    <w:rsid w:val="00E12AE5"/>
    <w:rsid w:val="00E1332F"/>
    <w:rsid w:val="00E13360"/>
    <w:rsid w:val="00E13E80"/>
    <w:rsid w:val="00E14DEB"/>
    <w:rsid w:val="00E1500B"/>
    <w:rsid w:val="00E15E49"/>
    <w:rsid w:val="00E165C4"/>
    <w:rsid w:val="00E20E30"/>
    <w:rsid w:val="00E22ABE"/>
    <w:rsid w:val="00E275CD"/>
    <w:rsid w:val="00E27ACC"/>
    <w:rsid w:val="00E27B9C"/>
    <w:rsid w:val="00E37570"/>
    <w:rsid w:val="00E41B21"/>
    <w:rsid w:val="00E42262"/>
    <w:rsid w:val="00E45D2D"/>
    <w:rsid w:val="00E46601"/>
    <w:rsid w:val="00E466AF"/>
    <w:rsid w:val="00E47E69"/>
    <w:rsid w:val="00E52C49"/>
    <w:rsid w:val="00E54D31"/>
    <w:rsid w:val="00E55E74"/>
    <w:rsid w:val="00E56B84"/>
    <w:rsid w:val="00E56C46"/>
    <w:rsid w:val="00E60E93"/>
    <w:rsid w:val="00E618EB"/>
    <w:rsid w:val="00E663B5"/>
    <w:rsid w:val="00E700F0"/>
    <w:rsid w:val="00E707BC"/>
    <w:rsid w:val="00E70873"/>
    <w:rsid w:val="00E71AB9"/>
    <w:rsid w:val="00E728B0"/>
    <w:rsid w:val="00E87098"/>
    <w:rsid w:val="00E910DC"/>
    <w:rsid w:val="00E92B25"/>
    <w:rsid w:val="00E9467D"/>
    <w:rsid w:val="00E97A9E"/>
    <w:rsid w:val="00E97FA5"/>
    <w:rsid w:val="00EA0161"/>
    <w:rsid w:val="00EA07E0"/>
    <w:rsid w:val="00EA0CB3"/>
    <w:rsid w:val="00EA14E3"/>
    <w:rsid w:val="00EA402E"/>
    <w:rsid w:val="00EA5628"/>
    <w:rsid w:val="00EA5755"/>
    <w:rsid w:val="00EA7652"/>
    <w:rsid w:val="00EA7CD0"/>
    <w:rsid w:val="00EB0C83"/>
    <w:rsid w:val="00EB1BAD"/>
    <w:rsid w:val="00EB2E56"/>
    <w:rsid w:val="00EB3F5E"/>
    <w:rsid w:val="00EB4382"/>
    <w:rsid w:val="00EB4ADF"/>
    <w:rsid w:val="00EB4E07"/>
    <w:rsid w:val="00EC0F39"/>
    <w:rsid w:val="00EC4D13"/>
    <w:rsid w:val="00EC504F"/>
    <w:rsid w:val="00EC5690"/>
    <w:rsid w:val="00EC7E6D"/>
    <w:rsid w:val="00ED19C1"/>
    <w:rsid w:val="00ED1B77"/>
    <w:rsid w:val="00ED45A4"/>
    <w:rsid w:val="00ED5F42"/>
    <w:rsid w:val="00ED6F79"/>
    <w:rsid w:val="00ED786E"/>
    <w:rsid w:val="00EE2091"/>
    <w:rsid w:val="00EE3240"/>
    <w:rsid w:val="00EE42B3"/>
    <w:rsid w:val="00EE6608"/>
    <w:rsid w:val="00EE66F9"/>
    <w:rsid w:val="00EE6A06"/>
    <w:rsid w:val="00EF1689"/>
    <w:rsid w:val="00EF1B83"/>
    <w:rsid w:val="00EF27F4"/>
    <w:rsid w:val="00EF2887"/>
    <w:rsid w:val="00EF3D06"/>
    <w:rsid w:val="00EF63CF"/>
    <w:rsid w:val="00EF6462"/>
    <w:rsid w:val="00F000D1"/>
    <w:rsid w:val="00F01188"/>
    <w:rsid w:val="00F01458"/>
    <w:rsid w:val="00F02676"/>
    <w:rsid w:val="00F02DDD"/>
    <w:rsid w:val="00F0372C"/>
    <w:rsid w:val="00F179D3"/>
    <w:rsid w:val="00F17A72"/>
    <w:rsid w:val="00F17CE2"/>
    <w:rsid w:val="00F22D62"/>
    <w:rsid w:val="00F24159"/>
    <w:rsid w:val="00F24B02"/>
    <w:rsid w:val="00F27E3F"/>
    <w:rsid w:val="00F3198A"/>
    <w:rsid w:val="00F326D5"/>
    <w:rsid w:val="00F33E6E"/>
    <w:rsid w:val="00F3480F"/>
    <w:rsid w:val="00F34C63"/>
    <w:rsid w:val="00F37DDD"/>
    <w:rsid w:val="00F43193"/>
    <w:rsid w:val="00F43F3A"/>
    <w:rsid w:val="00F44AF6"/>
    <w:rsid w:val="00F47957"/>
    <w:rsid w:val="00F540D0"/>
    <w:rsid w:val="00F54175"/>
    <w:rsid w:val="00F545FA"/>
    <w:rsid w:val="00F60665"/>
    <w:rsid w:val="00F63304"/>
    <w:rsid w:val="00F646CE"/>
    <w:rsid w:val="00F65F13"/>
    <w:rsid w:val="00F67E03"/>
    <w:rsid w:val="00F7134E"/>
    <w:rsid w:val="00F72436"/>
    <w:rsid w:val="00F76616"/>
    <w:rsid w:val="00F76FF4"/>
    <w:rsid w:val="00F77328"/>
    <w:rsid w:val="00F77758"/>
    <w:rsid w:val="00F819FB"/>
    <w:rsid w:val="00F83975"/>
    <w:rsid w:val="00F85B88"/>
    <w:rsid w:val="00F93694"/>
    <w:rsid w:val="00F93BEA"/>
    <w:rsid w:val="00F93FF4"/>
    <w:rsid w:val="00F94AF0"/>
    <w:rsid w:val="00F95247"/>
    <w:rsid w:val="00F96109"/>
    <w:rsid w:val="00FA1FFF"/>
    <w:rsid w:val="00FA33E8"/>
    <w:rsid w:val="00FA4B12"/>
    <w:rsid w:val="00FA4C23"/>
    <w:rsid w:val="00FA55BE"/>
    <w:rsid w:val="00FB079A"/>
    <w:rsid w:val="00FB185C"/>
    <w:rsid w:val="00FB2362"/>
    <w:rsid w:val="00FB464B"/>
    <w:rsid w:val="00FB4779"/>
    <w:rsid w:val="00FB5508"/>
    <w:rsid w:val="00FB6E35"/>
    <w:rsid w:val="00FB6FB4"/>
    <w:rsid w:val="00FB74BD"/>
    <w:rsid w:val="00FD270E"/>
    <w:rsid w:val="00FD2A2F"/>
    <w:rsid w:val="00FD5408"/>
    <w:rsid w:val="00FE0856"/>
    <w:rsid w:val="00FE1687"/>
    <w:rsid w:val="00FE24EF"/>
    <w:rsid w:val="00FE354F"/>
    <w:rsid w:val="00FE42C4"/>
    <w:rsid w:val="00FE45C5"/>
    <w:rsid w:val="00FE4E75"/>
    <w:rsid w:val="00FE6787"/>
    <w:rsid w:val="00FE7399"/>
    <w:rsid w:val="00FE7738"/>
    <w:rsid w:val="00FE79E2"/>
    <w:rsid w:val="00FF3C6A"/>
    <w:rsid w:val="00FF548A"/>
    <w:rsid w:val="00FF6142"/>
    <w:rsid w:val="00FF6A0E"/>
    <w:rsid w:val="00FF704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B1A0"/>
  <w15:docId w15:val="{A269A107-D368-834C-BC85-6B4E8563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1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qFormat/>
    <w:rsid w:val="00BD018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szCs w:val="22"/>
      <w:lang w:val="en-US" w:eastAsia="de-DE" w:bidi="en-US"/>
    </w:rPr>
  </w:style>
  <w:style w:type="paragraph" w:customStyle="1" w:styleId="MDPI22heading2">
    <w:name w:val="MDPI_2.2_heading2"/>
    <w:qFormat/>
    <w:rsid w:val="003F711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szCs w:val="22"/>
      <w:lang w:val="en-US" w:eastAsia="de-DE" w:bidi="en-US"/>
    </w:rPr>
  </w:style>
  <w:style w:type="paragraph" w:customStyle="1" w:styleId="MDPI42tablebody">
    <w:name w:val="MDPI_4.2_table_body"/>
    <w:qFormat/>
    <w:rsid w:val="003F7110"/>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customStyle="1" w:styleId="TableGrid1">
    <w:name w:val="Table Grid1"/>
    <w:basedOn w:val="TableNormal"/>
    <w:next w:val="TableGrid"/>
    <w:uiPriority w:val="39"/>
    <w:qFormat/>
    <w:rsid w:val="00846682"/>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6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7EA"/>
    <w:pPr>
      <w:spacing w:before="100" w:beforeAutospacing="1" w:after="100" w:afterAutospacing="1"/>
    </w:pPr>
  </w:style>
  <w:style w:type="paragraph" w:styleId="ListParagraph">
    <w:name w:val="List Paragraph"/>
    <w:basedOn w:val="Normal"/>
    <w:uiPriority w:val="34"/>
    <w:qFormat/>
    <w:rsid w:val="00685C8A"/>
    <w:pPr>
      <w:ind w:left="720"/>
      <w:contextualSpacing/>
    </w:pPr>
  </w:style>
  <w:style w:type="paragraph" w:styleId="BalloonText">
    <w:name w:val="Balloon Text"/>
    <w:basedOn w:val="Normal"/>
    <w:link w:val="BalloonTextChar"/>
    <w:uiPriority w:val="99"/>
    <w:semiHidden/>
    <w:unhideWhenUsed/>
    <w:rsid w:val="00CB6EAF"/>
    <w:rPr>
      <w:rFonts w:ascii="Tahoma" w:hAnsi="Tahoma" w:cs="Tahoma"/>
      <w:sz w:val="16"/>
      <w:szCs w:val="16"/>
    </w:rPr>
  </w:style>
  <w:style w:type="character" w:customStyle="1" w:styleId="BalloonTextChar">
    <w:name w:val="Balloon Text Char"/>
    <w:basedOn w:val="DefaultParagraphFont"/>
    <w:link w:val="BalloonText"/>
    <w:uiPriority w:val="99"/>
    <w:semiHidden/>
    <w:rsid w:val="00CB6EAF"/>
    <w:rPr>
      <w:rFonts w:ascii="Tahoma" w:eastAsia="Times New Roman" w:hAnsi="Tahoma" w:cs="Tahoma"/>
      <w:sz w:val="16"/>
      <w:szCs w:val="16"/>
    </w:rPr>
  </w:style>
  <w:style w:type="character" w:styleId="Hyperlink">
    <w:name w:val="Hyperlink"/>
    <w:basedOn w:val="DefaultParagraphFont"/>
    <w:uiPriority w:val="99"/>
    <w:unhideWhenUsed/>
    <w:qFormat/>
    <w:rsid w:val="00035FF5"/>
    <w:rPr>
      <w:color w:val="0000FF"/>
      <w:u w:val="single"/>
    </w:rPr>
  </w:style>
  <w:style w:type="character" w:customStyle="1" w:styleId="UnresolvedMention1">
    <w:name w:val="Unresolved Mention1"/>
    <w:basedOn w:val="DefaultParagraphFont"/>
    <w:uiPriority w:val="99"/>
    <w:semiHidden/>
    <w:unhideWhenUsed/>
    <w:rsid w:val="00084B94"/>
    <w:rPr>
      <w:color w:val="605E5C"/>
      <w:shd w:val="clear" w:color="auto" w:fill="E1DFDD"/>
    </w:rPr>
  </w:style>
  <w:style w:type="character" w:styleId="FollowedHyperlink">
    <w:name w:val="FollowedHyperlink"/>
    <w:basedOn w:val="DefaultParagraphFont"/>
    <w:uiPriority w:val="99"/>
    <w:semiHidden/>
    <w:unhideWhenUsed/>
    <w:rsid w:val="0038310F"/>
    <w:rPr>
      <w:color w:val="954F72" w:themeColor="followedHyperlink"/>
      <w:u w:val="single"/>
    </w:rPr>
  </w:style>
  <w:style w:type="character" w:styleId="CommentReference">
    <w:name w:val="annotation reference"/>
    <w:basedOn w:val="DefaultParagraphFont"/>
    <w:uiPriority w:val="99"/>
    <w:semiHidden/>
    <w:unhideWhenUsed/>
    <w:rsid w:val="004D530A"/>
    <w:rPr>
      <w:sz w:val="16"/>
      <w:szCs w:val="16"/>
    </w:rPr>
  </w:style>
  <w:style w:type="paragraph" w:styleId="CommentText">
    <w:name w:val="annotation text"/>
    <w:basedOn w:val="Normal"/>
    <w:link w:val="CommentTextChar"/>
    <w:uiPriority w:val="99"/>
    <w:semiHidden/>
    <w:unhideWhenUsed/>
    <w:rsid w:val="004D530A"/>
    <w:rPr>
      <w:sz w:val="20"/>
      <w:szCs w:val="20"/>
    </w:rPr>
  </w:style>
  <w:style w:type="character" w:customStyle="1" w:styleId="CommentTextChar">
    <w:name w:val="Comment Text Char"/>
    <w:basedOn w:val="DefaultParagraphFont"/>
    <w:link w:val="CommentText"/>
    <w:uiPriority w:val="99"/>
    <w:semiHidden/>
    <w:rsid w:val="004D53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530A"/>
    <w:rPr>
      <w:b/>
      <w:bCs/>
    </w:rPr>
  </w:style>
  <w:style w:type="character" w:customStyle="1" w:styleId="CommentSubjectChar">
    <w:name w:val="Comment Subject Char"/>
    <w:basedOn w:val="CommentTextChar"/>
    <w:link w:val="CommentSubject"/>
    <w:uiPriority w:val="99"/>
    <w:semiHidden/>
    <w:rsid w:val="004D530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F1B83"/>
    <w:pPr>
      <w:tabs>
        <w:tab w:val="center" w:pos="4513"/>
        <w:tab w:val="right" w:pos="9026"/>
      </w:tabs>
    </w:pPr>
  </w:style>
  <w:style w:type="character" w:customStyle="1" w:styleId="HeaderChar">
    <w:name w:val="Header Char"/>
    <w:basedOn w:val="DefaultParagraphFont"/>
    <w:link w:val="Header"/>
    <w:uiPriority w:val="99"/>
    <w:rsid w:val="00EF1B83"/>
    <w:rPr>
      <w:rFonts w:ascii="Times New Roman" w:eastAsia="Times New Roman" w:hAnsi="Times New Roman" w:cs="Times New Roman"/>
    </w:rPr>
  </w:style>
  <w:style w:type="paragraph" w:styleId="Footer">
    <w:name w:val="footer"/>
    <w:basedOn w:val="Normal"/>
    <w:link w:val="FooterChar"/>
    <w:uiPriority w:val="99"/>
    <w:unhideWhenUsed/>
    <w:rsid w:val="00EF1B83"/>
    <w:pPr>
      <w:tabs>
        <w:tab w:val="center" w:pos="4513"/>
        <w:tab w:val="right" w:pos="9026"/>
      </w:tabs>
    </w:pPr>
  </w:style>
  <w:style w:type="character" w:customStyle="1" w:styleId="FooterChar">
    <w:name w:val="Footer Char"/>
    <w:basedOn w:val="DefaultParagraphFont"/>
    <w:link w:val="Footer"/>
    <w:uiPriority w:val="99"/>
    <w:rsid w:val="00EF1B83"/>
    <w:rPr>
      <w:rFonts w:ascii="Times New Roman" w:eastAsia="Times New Roman" w:hAnsi="Times New Roman" w:cs="Times New Roman"/>
    </w:rPr>
  </w:style>
  <w:style w:type="paragraph" w:styleId="Revision">
    <w:name w:val="Revision"/>
    <w:hidden/>
    <w:uiPriority w:val="99"/>
    <w:semiHidden/>
    <w:rsid w:val="00F22D62"/>
    <w:rPr>
      <w:rFonts w:ascii="Times New Roman" w:eastAsia="Times New Roman" w:hAnsi="Times New Roman" w:cs="Times New Roman"/>
    </w:rPr>
  </w:style>
  <w:style w:type="character" w:styleId="LineNumber">
    <w:name w:val="line number"/>
    <w:basedOn w:val="DefaultParagraphFont"/>
    <w:uiPriority w:val="99"/>
    <w:semiHidden/>
    <w:unhideWhenUsed/>
    <w:rsid w:val="00D906C5"/>
  </w:style>
  <w:style w:type="character" w:styleId="PageNumber">
    <w:name w:val="page number"/>
    <w:basedOn w:val="DefaultParagraphFont"/>
    <w:uiPriority w:val="99"/>
    <w:semiHidden/>
    <w:unhideWhenUsed/>
    <w:rsid w:val="00BC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43">
      <w:bodyDiv w:val="1"/>
      <w:marLeft w:val="0"/>
      <w:marRight w:val="0"/>
      <w:marTop w:val="0"/>
      <w:marBottom w:val="0"/>
      <w:divBdr>
        <w:top w:val="none" w:sz="0" w:space="0" w:color="auto"/>
        <w:left w:val="none" w:sz="0" w:space="0" w:color="auto"/>
        <w:bottom w:val="none" w:sz="0" w:space="0" w:color="auto"/>
        <w:right w:val="none" w:sz="0" w:space="0" w:color="auto"/>
      </w:divBdr>
      <w:divsChild>
        <w:div w:id="966545850">
          <w:marLeft w:val="0"/>
          <w:marRight w:val="0"/>
          <w:marTop w:val="0"/>
          <w:marBottom w:val="0"/>
          <w:divBdr>
            <w:top w:val="none" w:sz="0" w:space="0" w:color="auto"/>
            <w:left w:val="none" w:sz="0" w:space="0" w:color="auto"/>
            <w:bottom w:val="none" w:sz="0" w:space="0" w:color="auto"/>
            <w:right w:val="none" w:sz="0" w:space="0" w:color="auto"/>
          </w:divBdr>
          <w:divsChild>
            <w:div w:id="201552171">
              <w:marLeft w:val="0"/>
              <w:marRight w:val="0"/>
              <w:marTop w:val="0"/>
              <w:marBottom w:val="0"/>
              <w:divBdr>
                <w:top w:val="none" w:sz="0" w:space="0" w:color="auto"/>
                <w:left w:val="none" w:sz="0" w:space="0" w:color="auto"/>
                <w:bottom w:val="none" w:sz="0" w:space="0" w:color="auto"/>
                <w:right w:val="none" w:sz="0" w:space="0" w:color="auto"/>
              </w:divBdr>
              <w:divsChild>
                <w:div w:id="405080859">
                  <w:marLeft w:val="0"/>
                  <w:marRight w:val="0"/>
                  <w:marTop w:val="0"/>
                  <w:marBottom w:val="0"/>
                  <w:divBdr>
                    <w:top w:val="none" w:sz="0" w:space="0" w:color="auto"/>
                    <w:left w:val="none" w:sz="0" w:space="0" w:color="auto"/>
                    <w:bottom w:val="none" w:sz="0" w:space="0" w:color="auto"/>
                    <w:right w:val="none" w:sz="0" w:space="0" w:color="auto"/>
                  </w:divBdr>
                  <w:divsChild>
                    <w:div w:id="139347987">
                      <w:marLeft w:val="0"/>
                      <w:marRight w:val="0"/>
                      <w:marTop w:val="0"/>
                      <w:marBottom w:val="0"/>
                      <w:divBdr>
                        <w:top w:val="none" w:sz="0" w:space="0" w:color="auto"/>
                        <w:left w:val="none" w:sz="0" w:space="0" w:color="auto"/>
                        <w:bottom w:val="none" w:sz="0" w:space="0" w:color="auto"/>
                        <w:right w:val="none" w:sz="0" w:space="0" w:color="auto"/>
                      </w:divBdr>
                      <w:divsChild>
                        <w:div w:id="766316528">
                          <w:marLeft w:val="0"/>
                          <w:marRight w:val="0"/>
                          <w:marTop w:val="0"/>
                          <w:marBottom w:val="0"/>
                          <w:divBdr>
                            <w:top w:val="none" w:sz="0" w:space="0" w:color="auto"/>
                            <w:left w:val="none" w:sz="0" w:space="0" w:color="auto"/>
                            <w:bottom w:val="none" w:sz="0" w:space="0" w:color="auto"/>
                            <w:right w:val="none" w:sz="0" w:space="0" w:color="auto"/>
                          </w:divBdr>
                          <w:divsChild>
                            <w:div w:id="459422261">
                              <w:marLeft w:val="0"/>
                              <w:marRight w:val="0"/>
                              <w:marTop w:val="0"/>
                              <w:marBottom w:val="0"/>
                              <w:divBdr>
                                <w:top w:val="none" w:sz="0" w:space="0" w:color="auto"/>
                                <w:left w:val="none" w:sz="0" w:space="0" w:color="auto"/>
                                <w:bottom w:val="none" w:sz="0" w:space="0" w:color="auto"/>
                                <w:right w:val="none" w:sz="0" w:space="0" w:color="auto"/>
                              </w:divBdr>
                              <w:divsChild>
                                <w:div w:id="225848330">
                                  <w:marLeft w:val="0"/>
                                  <w:marRight w:val="0"/>
                                  <w:marTop w:val="0"/>
                                  <w:marBottom w:val="0"/>
                                  <w:divBdr>
                                    <w:top w:val="none" w:sz="0" w:space="0" w:color="auto"/>
                                    <w:left w:val="none" w:sz="0" w:space="0" w:color="auto"/>
                                    <w:bottom w:val="none" w:sz="0" w:space="0" w:color="auto"/>
                                    <w:right w:val="none" w:sz="0" w:space="0" w:color="auto"/>
                                  </w:divBdr>
                                  <w:divsChild>
                                    <w:div w:id="359664646">
                                      <w:marLeft w:val="0"/>
                                      <w:marRight w:val="0"/>
                                      <w:marTop w:val="0"/>
                                      <w:marBottom w:val="0"/>
                                      <w:divBdr>
                                        <w:top w:val="none" w:sz="0" w:space="0" w:color="auto"/>
                                        <w:left w:val="none" w:sz="0" w:space="0" w:color="auto"/>
                                        <w:bottom w:val="none" w:sz="0" w:space="0" w:color="auto"/>
                                        <w:right w:val="none" w:sz="0" w:space="0" w:color="auto"/>
                                      </w:divBdr>
                                    </w:div>
                                    <w:div w:id="788471900">
                                      <w:marLeft w:val="0"/>
                                      <w:marRight w:val="0"/>
                                      <w:marTop w:val="0"/>
                                      <w:marBottom w:val="0"/>
                                      <w:divBdr>
                                        <w:top w:val="none" w:sz="0" w:space="0" w:color="auto"/>
                                        <w:left w:val="none" w:sz="0" w:space="0" w:color="auto"/>
                                        <w:bottom w:val="none" w:sz="0" w:space="0" w:color="auto"/>
                                        <w:right w:val="none" w:sz="0" w:space="0" w:color="auto"/>
                                      </w:divBdr>
                                      <w:divsChild>
                                        <w:div w:id="1770932374">
                                          <w:marLeft w:val="0"/>
                                          <w:marRight w:val="165"/>
                                          <w:marTop w:val="150"/>
                                          <w:marBottom w:val="0"/>
                                          <w:divBdr>
                                            <w:top w:val="none" w:sz="0" w:space="0" w:color="auto"/>
                                            <w:left w:val="none" w:sz="0" w:space="0" w:color="auto"/>
                                            <w:bottom w:val="none" w:sz="0" w:space="0" w:color="auto"/>
                                            <w:right w:val="none" w:sz="0" w:space="0" w:color="auto"/>
                                          </w:divBdr>
                                          <w:divsChild>
                                            <w:div w:id="1362633917">
                                              <w:marLeft w:val="0"/>
                                              <w:marRight w:val="0"/>
                                              <w:marTop w:val="0"/>
                                              <w:marBottom w:val="0"/>
                                              <w:divBdr>
                                                <w:top w:val="none" w:sz="0" w:space="0" w:color="auto"/>
                                                <w:left w:val="none" w:sz="0" w:space="0" w:color="auto"/>
                                                <w:bottom w:val="none" w:sz="0" w:space="0" w:color="auto"/>
                                                <w:right w:val="none" w:sz="0" w:space="0" w:color="auto"/>
                                              </w:divBdr>
                                              <w:divsChild>
                                                <w:div w:id="10367815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348694">
          <w:marLeft w:val="0"/>
          <w:marRight w:val="0"/>
          <w:marTop w:val="240"/>
          <w:marBottom w:val="0"/>
          <w:divBdr>
            <w:top w:val="none" w:sz="0" w:space="0" w:color="auto"/>
            <w:left w:val="none" w:sz="0" w:space="0" w:color="auto"/>
            <w:bottom w:val="none" w:sz="0" w:space="0" w:color="auto"/>
            <w:right w:val="none" w:sz="0" w:space="0" w:color="auto"/>
          </w:divBdr>
        </w:div>
      </w:divsChild>
    </w:div>
    <w:div w:id="11880811">
      <w:bodyDiv w:val="1"/>
      <w:marLeft w:val="0"/>
      <w:marRight w:val="0"/>
      <w:marTop w:val="0"/>
      <w:marBottom w:val="0"/>
      <w:divBdr>
        <w:top w:val="none" w:sz="0" w:space="0" w:color="auto"/>
        <w:left w:val="none" w:sz="0" w:space="0" w:color="auto"/>
        <w:bottom w:val="none" w:sz="0" w:space="0" w:color="auto"/>
        <w:right w:val="none" w:sz="0" w:space="0" w:color="auto"/>
      </w:divBdr>
      <w:divsChild>
        <w:div w:id="1917782584">
          <w:marLeft w:val="0"/>
          <w:marRight w:val="0"/>
          <w:marTop w:val="0"/>
          <w:marBottom w:val="0"/>
          <w:divBdr>
            <w:top w:val="none" w:sz="0" w:space="0" w:color="auto"/>
            <w:left w:val="none" w:sz="0" w:space="0" w:color="auto"/>
            <w:bottom w:val="none" w:sz="0" w:space="0" w:color="auto"/>
            <w:right w:val="none" w:sz="0" w:space="0" w:color="auto"/>
          </w:divBdr>
        </w:div>
        <w:div w:id="705641199">
          <w:marLeft w:val="0"/>
          <w:marRight w:val="0"/>
          <w:marTop w:val="0"/>
          <w:marBottom w:val="0"/>
          <w:divBdr>
            <w:top w:val="none" w:sz="0" w:space="0" w:color="auto"/>
            <w:left w:val="none" w:sz="0" w:space="0" w:color="auto"/>
            <w:bottom w:val="none" w:sz="0" w:space="0" w:color="auto"/>
            <w:right w:val="none" w:sz="0" w:space="0" w:color="auto"/>
          </w:divBdr>
          <w:divsChild>
            <w:div w:id="1076780899">
              <w:marLeft w:val="0"/>
              <w:marRight w:val="165"/>
              <w:marTop w:val="150"/>
              <w:marBottom w:val="0"/>
              <w:divBdr>
                <w:top w:val="none" w:sz="0" w:space="0" w:color="auto"/>
                <w:left w:val="none" w:sz="0" w:space="0" w:color="auto"/>
                <w:bottom w:val="none" w:sz="0" w:space="0" w:color="auto"/>
                <w:right w:val="none" w:sz="0" w:space="0" w:color="auto"/>
              </w:divBdr>
              <w:divsChild>
                <w:div w:id="384792906">
                  <w:marLeft w:val="0"/>
                  <w:marRight w:val="0"/>
                  <w:marTop w:val="0"/>
                  <w:marBottom w:val="0"/>
                  <w:divBdr>
                    <w:top w:val="none" w:sz="0" w:space="0" w:color="auto"/>
                    <w:left w:val="none" w:sz="0" w:space="0" w:color="auto"/>
                    <w:bottom w:val="none" w:sz="0" w:space="0" w:color="auto"/>
                    <w:right w:val="none" w:sz="0" w:space="0" w:color="auto"/>
                  </w:divBdr>
                  <w:divsChild>
                    <w:div w:id="206645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29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35">
      <w:bodyDiv w:val="1"/>
      <w:marLeft w:val="0"/>
      <w:marRight w:val="0"/>
      <w:marTop w:val="0"/>
      <w:marBottom w:val="0"/>
      <w:divBdr>
        <w:top w:val="none" w:sz="0" w:space="0" w:color="auto"/>
        <w:left w:val="none" w:sz="0" w:space="0" w:color="auto"/>
        <w:bottom w:val="none" w:sz="0" w:space="0" w:color="auto"/>
        <w:right w:val="none" w:sz="0" w:space="0" w:color="auto"/>
      </w:divBdr>
    </w:div>
    <w:div w:id="32310124">
      <w:bodyDiv w:val="1"/>
      <w:marLeft w:val="0"/>
      <w:marRight w:val="0"/>
      <w:marTop w:val="0"/>
      <w:marBottom w:val="0"/>
      <w:divBdr>
        <w:top w:val="none" w:sz="0" w:space="0" w:color="auto"/>
        <w:left w:val="none" w:sz="0" w:space="0" w:color="auto"/>
        <w:bottom w:val="none" w:sz="0" w:space="0" w:color="auto"/>
        <w:right w:val="none" w:sz="0" w:space="0" w:color="auto"/>
      </w:divBdr>
      <w:divsChild>
        <w:div w:id="1350914521">
          <w:marLeft w:val="0"/>
          <w:marRight w:val="0"/>
          <w:marTop w:val="0"/>
          <w:marBottom w:val="0"/>
          <w:divBdr>
            <w:top w:val="none" w:sz="0" w:space="0" w:color="auto"/>
            <w:left w:val="none" w:sz="0" w:space="0" w:color="auto"/>
            <w:bottom w:val="none" w:sz="0" w:space="0" w:color="auto"/>
            <w:right w:val="none" w:sz="0" w:space="0" w:color="auto"/>
          </w:divBdr>
          <w:divsChild>
            <w:div w:id="880097619">
              <w:marLeft w:val="0"/>
              <w:marRight w:val="0"/>
              <w:marTop w:val="0"/>
              <w:marBottom w:val="0"/>
              <w:divBdr>
                <w:top w:val="none" w:sz="0" w:space="0" w:color="auto"/>
                <w:left w:val="none" w:sz="0" w:space="0" w:color="auto"/>
                <w:bottom w:val="none" w:sz="0" w:space="0" w:color="auto"/>
                <w:right w:val="none" w:sz="0" w:space="0" w:color="auto"/>
              </w:divBdr>
              <w:divsChild>
                <w:div w:id="152378014">
                  <w:marLeft w:val="0"/>
                  <w:marRight w:val="0"/>
                  <w:marTop w:val="0"/>
                  <w:marBottom w:val="0"/>
                  <w:divBdr>
                    <w:top w:val="none" w:sz="0" w:space="0" w:color="auto"/>
                    <w:left w:val="none" w:sz="0" w:space="0" w:color="auto"/>
                    <w:bottom w:val="none" w:sz="0" w:space="0" w:color="auto"/>
                    <w:right w:val="none" w:sz="0" w:space="0" w:color="auto"/>
                  </w:divBdr>
                  <w:divsChild>
                    <w:div w:id="6139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7910">
      <w:bodyDiv w:val="1"/>
      <w:marLeft w:val="0"/>
      <w:marRight w:val="0"/>
      <w:marTop w:val="0"/>
      <w:marBottom w:val="0"/>
      <w:divBdr>
        <w:top w:val="none" w:sz="0" w:space="0" w:color="auto"/>
        <w:left w:val="none" w:sz="0" w:space="0" w:color="auto"/>
        <w:bottom w:val="none" w:sz="0" w:space="0" w:color="auto"/>
        <w:right w:val="none" w:sz="0" w:space="0" w:color="auto"/>
      </w:divBdr>
    </w:div>
    <w:div w:id="50034533">
      <w:bodyDiv w:val="1"/>
      <w:marLeft w:val="0"/>
      <w:marRight w:val="0"/>
      <w:marTop w:val="0"/>
      <w:marBottom w:val="0"/>
      <w:divBdr>
        <w:top w:val="none" w:sz="0" w:space="0" w:color="auto"/>
        <w:left w:val="none" w:sz="0" w:space="0" w:color="auto"/>
        <w:bottom w:val="none" w:sz="0" w:space="0" w:color="auto"/>
        <w:right w:val="none" w:sz="0" w:space="0" w:color="auto"/>
      </w:divBdr>
    </w:div>
    <w:div w:id="62610105">
      <w:bodyDiv w:val="1"/>
      <w:marLeft w:val="0"/>
      <w:marRight w:val="0"/>
      <w:marTop w:val="0"/>
      <w:marBottom w:val="0"/>
      <w:divBdr>
        <w:top w:val="none" w:sz="0" w:space="0" w:color="auto"/>
        <w:left w:val="none" w:sz="0" w:space="0" w:color="auto"/>
        <w:bottom w:val="none" w:sz="0" w:space="0" w:color="auto"/>
        <w:right w:val="none" w:sz="0" w:space="0" w:color="auto"/>
      </w:divBdr>
    </w:div>
    <w:div w:id="63064137">
      <w:bodyDiv w:val="1"/>
      <w:marLeft w:val="0"/>
      <w:marRight w:val="0"/>
      <w:marTop w:val="0"/>
      <w:marBottom w:val="0"/>
      <w:divBdr>
        <w:top w:val="none" w:sz="0" w:space="0" w:color="auto"/>
        <w:left w:val="none" w:sz="0" w:space="0" w:color="auto"/>
        <w:bottom w:val="none" w:sz="0" w:space="0" w:color="auto"/>
        <w:right w:val="none" w:sz="0" w:space="0" w:color="auto"/>
      </w:divBdr>
    </w:div>
    <w:div w:id="107284405">
      <w:bodyDiv w:val="1"/>
      <w:marLeft w:val="0"/>
      <w:marRight w:val="0"/>
      <w:marTop w:val="0"/>
      <w:marBottom w:val="0"/>
      <w:divBdr>
        <w:top w:val="none" w:sz="0" w:space="0" w:color="auto"/>
        <w:left w:val="none" w:sz="0" w:space="0" w:color="auto"/>
        <w:bottom w:val="none" w:sz="0" w:space="0" w:color="auto"/>
        <w:right w:val="none" w:sz="0" w:space="0" w:color="auto"/>
      </w:divBdr>
    </w:div>
    <w:div w:id="138428878">
      <w:bodyDiv w:val="1"/>
      <w:marLeft w:val="0"/>
      <w:marRight w:val="0"/>
      <w:marTop w:val="0"/>
      <w:marBottom w:val="0"/>
      <w:divBdr>
        <w:top w:val="none" w:sz="0" w:space="0" w:color="auto"/>
        <w:left w:val="none" w:sz="0" w:space="0" w:color="auto"/>
        <w:bottom w:val="none" w:sz="0" w:space="0" w:color="auto"/>
        <w:right w:val="none" w:sz="0" w:space="0" w:color="auto"/>
      </w:divBdr>
    </w:div>
    <w:div w:id="152650352">
      <w:bodyDiv w:val="1"/>
      <w:marLeft w:val="0"/>
      <w:marRight w:val="0"/>
      <w:marTop w:val="0"/>
      <w:marBottom w:val="0"/>
      <w:divBdr>
        <w:top w:val="none" w:sz="0" w:space="0" w:color="auto"/>
        <w:left w:val="none" w:sz="0" w:space="0" w:color="auto"/>
        <w:bottom w:val="none" w:sz="0" w:space="0" w:color="auto"/>
        <w:right w:val="none" w:sz="0" w:space="0" w:color="auto"/>
      </w:divBdr>
      <w:divsChild>
        <w:div w:id="1288121501">
          <w:marLeft w:val="0"/>
          <w:marRight w:val="0"/>
          <w:marTop w:val="0"/>
          <w:marBottom w:val="0"/>
          <w:divBdr>
            <w:top w:val="none" w:sz="0" w:space="0" w:color="auto"/>
            <w:left w:val="none" w:sz="0" w:space="0" w:color="auto"/>
            <w:bottom w:val="none" w:sz="0" w:space="0" w:color="auto"/>
            <w:right w:val="none" w:sz="0" w:space="0" w:color="auto"/>
          </w:divBdr>
          <w:divsChild>
            <w:div w:id="1787116490">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5738">
      <w:bodyDiv w:val="1"/>
      <w:marLeft w:val="0"/>
      <w:marRight w:val="0"/>
      <w:marTop w:val="0"/>
      <w:marBottom w:val="0"/>
      <w:divBdr>
        <w:top w:val="none" w:sz="0" w:space="0" w:color="auto"/>
        <w:left w:val="none" w:sz="0" w:space="0" w:color="auto"/>
        <w:bottom w:val="none" w:sz="0" w:space="0" w:color="auto"/>
        <w:right w:val="none" w:sz="0" w:space="0" w:color="auto"/>
      </w:divBdr>
      <w:divsChild>
        <w:div w:id="577401427">
          <w:marLeft w:val="0"/>
          <w:marRight w:val="0"/>
          <w:marTop w:val="0"/>
          <w:marBottom w:val="0"/>
          <w:divBdr>
            <w:top w:val="none" w:sz="0" w:space="0" w:color="auto"/>
            <w:left w:val="none" w:sz="0" w:space="0" w:color="auto"/>
            <w:bottom w:val="none" w:sz="0" w:space="0" w:color="auto"/>
            <w:right w:val="none" w:sz="0" w:space="0" w:color="auto"/>
          </w:divBdr>
          <w:divsChild>
            <w:div w:id="2058619865">
              <w:marLeft w:val="0"/>
              <w:marRight w:val="0"/>
              <w:marTop w:val="0"/>
              <w:marBottom w:val="0"/>
              <w:divBdr>
                <w:top w:val="none" w:sz="0" w:space="0" w:color="auto"/>
                <w:left w:val="none" w:sz="0" w:space="0" w:color="auto"/>
                <w:bottom w:val="none" w:sz="0" w:space="0" w:color="auto"/>
                <w:right w:val="none" w:sz="0" w:space="0" w:color="auto"/>
              </w:divBdr>
              <w:divsChild>
                <w:div w:id="4334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2795">
      <w:bodyDiv w:val="1"/>
      <w:marLeft w:val="0"/>
      <w:marRight w:val="0"/>
      <w:marTop w:val="0"/>
      <w:marBottom w:val="0"/>
      <w:divBdr>
        <w:top w:val="none" w:sz="0" w:space="0" w:color="auto"/>
        <w:left w:val="none" w:sz="0" w:space="0" w:color="auto"/>
        <w:bottom w:val="none" w:sz="0" w:space="0" w:color="auto"/>
        <w:right w:val="none" w:sz="0" w:space="0" w:color="auto"/>
      </w:divBdr>
    </w:div>
    <w:div w:id="213860264">
      <w:bodyDiv w:val="1"/>
      <w:marLeft w:val="0"/>
      <w:marRight w:val="0"/>
      <w:marTop w:val="0"/>
      <w:marBottom w:val="0"/>
      <w:divBdr>
        <w:top w:val="none" w:sz="0" w:space="0" w:color="auto"/>
        <w:left w:val="none" w:sz="0" w:space="0" w:color="auto"/>
        <w:bottom w:val="none" w:sz="0" w:space="0" w:color="auto"/>
        <w:right w:val="none" w:sz="0" w:space="0" w:color="auto"/>
      </w:divBdr>
    </w:div>
    <w:div w:id="229115826">
      <w:bodyDiv w:val="1"/>
      <w:marLeft w:val="0"/>
      <w:marRight w:val="0"/>
      <w:marTop w:val="0"/>
      <w:marBottom w:val="0"/>
      <w:divBdr>
        <w:top w:val="none" w:sz="0" w:space="0" w:color="auto"/>
        <w:left w:val="none" w:sz="0" w:space="0" w:color="auto"/>
        <w:bottom w:val="none" w:sz="0" w:space="0" w:color="auto"/>
        <w:right w:val="none" w:sz="0" w:space="0" w:color="auto"/>
      </w:divBdr>
    </w:div>
    <w:div w:id="274873724">
      <w:bodyDiv w:val="1"/>
      <w:marLeft w:val="0"/>
      <w:marRight w:val="0"/>
      <w:marTop w:val="0"/>
      <w:marBottom w:val="0"/>
      <w:divBdr>
        <w:top w:val="none" w:sz="0" w:space="0" w:color="auto"/>
        <w:left w:val="none" w:sz="0" w:space="0" w:color="auto"/>
        <w:bottom w:val="none" w:sz="0" w:space="0" w:color="auto"/>
        <w:right w:val="none" w:sz="0" w:space="0" w:color="auto"/>
      </w:divBdr>
    </w:div>
    <w:div w:id="283387202">
      <w:bodyDiv w:val="1"/>
      <w:marLeft w:val="0"/>
      <w:marRight w:val="0"/>
      <w:marTop w:val="0"/>
      <w:marBottom w:val="0"/>
      <w:divBdr>
        <w:top w:val="none" w:sz="0" w:space="0" w:color="auto"/>
        <w:left w:val="none" w:sz="0" w:space="0" w:color="auto"/>
        <w:bottom w:val="none" w:sz="0" w:space="0" w:color="auto"/>
        <w:right w:val="none" w:sz="0" w:space="0" w:color="auto"/>
      </w:divBdr>
    </w:div>
    <w:div w:id="289554278">
      <w:bodyDiv w:val="1"/>
      <w:marLeft w:val="0"/>
      <w:marRight w:val="0"/>
      <w:marTop w:val="0"/>
      <w:marBottom w:val="0"/>
      <w:divBdr>
        <w:top w:val="none" w:sz="0" w:space="0" w:color="auto"/>
        <w:left w:val="none" w:sz="0" w:space="0" w:color="auto"/>
        <w:bottom w:val="none" w:sz="0" w:space="0" w:color="auto"/>
        <w:right w:val="none" w:sz="0" w:space="0" w:color="auto"/>
      </w:divBdr>
      <w:divsChild>
        <w:div w:id="1718122518">
          <w:marLeft w:val="0"/>
          <w:marRight w:val="0"/>
          <w:marTop w:val="0"/>
          <w:marBottom w:val="0"/>
          <w:divBdr>
            <w:top w:val="none" w:sz="0" w:space="0" w:color="auto"/>
            <w:left w:val="none" w:sz="0" w:space="0" w:color="auto"/>
            <w:bottom w:val="none" w:sz="0" w:space="0" w:color="auto"/>
            <w:right w:val="none" w:sz="0" w:space="0" w:color="auto"/>
          </w:divBdr>
          <w:divsChild>
            <w:div w:id="427581910">
              <w:marLeft w:val="0"/>
              <w:marRight w:val="0"/>
              <w:marTop w:val="0"/>
              <w:marBottom w:val="0"/>
              <w:divBdr>
                <w:top w:val="none" w:sz="0" w:space="0" w:color="auto"/>
                <w:left w:val="none" w:sz="0" w:space="0" w:color="auto"/>
                <w:bottom w:val="none" w:sz="0" w:space="0" w:color="auto"/>
                <w:right w:val="none" w:sz="0" w:space="0" w:color="auto"/>
              </w:divBdr>
              <w:divsChild>
                <w:div w:id="5126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5641">
      <w:bodyDiv w:val="1"/>
      <w:marLeft w:val="0"/>
      <w:marRight w:val="0"/>
      <w:marTop w:val="0"/>
      <w:marBottom w:val="0"/>
      <w:divBdr>
        <w:top w:val="none" w:sz="0" w:space="0" w:color="auto"/>
        <w:left w:val="none" w:sz="0" w:space="0" w:color="auto"/>
        <w:bottom w:val="none" w:sz="0" w:space="0" w:color="auto"/>
        <w:right w:val="none" w:sz="0" w:space="0" w:color="auto"/>
      </w:divBdr>
    </w:div>
    <w:div w:id="291596291">
      <w:bodyDiv w:val="1"/>
      <w:marLeft w:val="0"/>
      <w:marRight w:val="0"/>
      <w:marTop w:val="0"/>
      <w:marBottom w:val="0"/>
      <w:divBdr>
        <w:top w:val="none" w:sz="0" w:space="0" w:color="auto"/>
        <w:left w:val="none" w:sz="0" w:space="0" w:color="auto"/>
        <w:bottom w:val="none" w:sz="0" w:space="0" w:color="auto"/>
        <w:right w:val="none" w:sz="0" w:space="0" w:color="auto"/>
      </w:divBdr>
    </w:div>
    <w:div w:id="309866278">
      <w:bodyDiv w:val="1"/>
      <w:marLeft w:val="0"/>
      <w:marRight w:val="0"/>
      <w:marTop w:val="0"/>
      <w:marBottom w:val="0"/>
      <w:divBdr>
        <w:top w:val="none" w:sz="0" w:space="0" w:color="auto"/>
        <w:left w:val="none" w:sz="0" w:space="0" w:color="auto"/>
        <w:bottom w:val="none" w:sz="0" w:space="0" w:color="auto"/>
        <w:right w:val="none" w:sz="0" w:space="0" w:color="auto"/>
      </w:divBdr>
    </w:div>
    <w:div w:id="311060535">
      <w:bodyDiv w:val="1"/>
      <w:marLeft w:val="0"/>
      <w:marRight w:val="0"/>
      <w:marTop w:val="0"/>
      <w:marBottom w:val="0"/>
      <w:divBdr>
        <w:top w:val="none" w:sz="0" w:space="0" w:color="auto"/>
        <w:left w:val="none" w:sz="0" w:space="0" w:color="auto"/>
        <w:bottom w:val="none" w:sz="0" w:space="0" w:color="auto"/>
        <w:right w:val="none" w:sz="0" w:space="0" w:color="auto"/>
      </w:divBdr>
      <w:divsChild>
        <w:div w:id="1197308210">
          <w:marLeft w:val="0"/>
          <w:marRight w:val="0"/>
          <w:marTop w:val="0"/>
          <w:marBottom w:val="0"/>
          <w:divBdr>
            <w:top w:val="none" w:sz="0" w:space="0" w:color="auto"/>
            <w:left w:val="none" w:sz="0" w:space="0" w:color="auto"/>
            <w:bottom w:val="none" w:sz="0" w:space="0" w:color="auto"/>
            <w:right w:val="none" w:sz="0" w:space="0" w:color="auto"/>
          </w:divBdr>
        </w:div>
        <w:div w:id="1406992584">
          <w:marLeft w:val="0"/>
          <w:marRight w:val="0"/>
          <w:marTop w:val="0"/>
          <w:marBottom w:val="0"/>
          <w:divBdr>
            <w:top w:val="none" w:sz="0" w:space="0" w:color="auto"/>
            <w:left w:val="none" w:sz="0" w:space="0" w:color="auto"/>
            <w:bottom w:val="none" w:sz="0" w:space="0" w:color="auto"/>
            <w:right w:val="none" w:sz="0" w:space="0" w:color="auto"/>
          </w:divBdr>
          <w:divsChild>
            <w:div w:id="1482385441">
              <w:marLeft w:val="0"/>
              <w:marRight w:val="165"/>
              <w:marTop w:val="150"/>
              <w:marBottom w:val="0"/>
              <w:divBdr>
                <w:top w:val="none" w:sz="0" w:space="0" w:color="auto"/>
                <w:left w:val="none" w:sz="0" w:space="0" w:color="auto"/>
                <w:bottom w:val="none" w:sz="0" w:space="0" w:color="auto"/>
                <w:right w:val="none" w:sz="0" w:space="0" w:color="auto"/>
              </w:divBdr>
              <w:divsChild>
                <w:div w:id="1603687465">
                  <w:marLeft w:val="0"/>
                  <w:marRight w:val="0"/>
                  <w:marTop w:val="0"/>
                  <w:marBottom w:val="0"/>
                  <w:divBdr>
                    <w:top w:val="none" w:sz="0" w:space="0" w:color="auto"/>
                    <w:left w:val="none" w:sz="0" w:space="0" w:color="auto"/>
                    <w:bottom w:val="none" w:sz="0" w:space="0" w:color="auto"/>
                    <w:right w:val="none" w:sz="0" w:space="0" w:color="auto"/>
                  </w:divBdr>
                  <w:divsChild>
                    <w:div w:id="780492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6917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8978">
      <w:bodyDiv w:val="1"/>
      <w:marLeft w:val="0"/>
      <w:marRight w:val="0"/>
      <w:marTop w:val="0"/>
      <w:marBottom w:val="0"/>
      <w:divBdr>
        <w:top w:val="none" w:sz="0" w:space="0" w:color="auto"/>
        <w:left w:val="none" w:sz="0" w:space="0" w:color="auto"/>
        <w:bottom w:val="none" w:sz="0" w:space="0" w:color="auto"/>
        <w:right w:val="none" w:sz="0" w:space="0" w:color="auto"/>
      </w:divBdr>
    </w:div>
    <w:div w:id="389156226">
      <w:bodyDiv w:val="1"/>
      <w:marLeft w:val="0"/>
      <w:marRight w:val="0"/>
      <w:marTop w:val="0"/>
      <w:marBottom w:val="0"/>
      <w:divBdr>
        <w:top w:val="none" w:sz="0" w:space="0" w:color="auto"/>
        <w:left w:val="none" w:sz="0" w:space="0" w:color="auto"/>
        <w:bottom w:val="none" w:sz="0" w:space="0" w:color="auto"/>
        <w:right w:val="none" w:sz="0" w:space="0" w:color="auto"/>
      </w:divBdr>
    </w:div>
    <w:div w:id="412823489">
      <w:bodyDiv w:val="1"/>
      <w:marLeft w:val="0"/>
      <w:marRight w:val="0"/>
      <w:marTop w:val="0"/>
      <w:marBottom w:val="0"/>
      <w:divBdr>
        <w:top w:val="none" w:sz="0" w:space="0" w:color="auto"/>
        <w:left w:val="none" w:sz="0" w:space="0" w:color="auto"/>
        <w:bottom w:val="none" w:sz="0" w:space="0" w:color="auto"/>
        <w:right w:val="none" w:sz="0" w:space="0" w:color="auto"/>
      </w:divBdr>
    </w:div>
    <w:div w:id="414480244">
      <w:bodyDiv w:val="1"/>
      <w:marLeft w:val="0"/>
      <w:marRight w:val="0"/>
      <w:marTop w:val="0"/>
      <w:marBottom w:val="0"/>
      <w:divBdr>
        <w:top w:val="none" w:sz="0" w:space="0" w:color="auto"/>
        <w:left w:val="none" w:sz="0" w:space="0" w:color="auto"/>
        <w:bottom w:val="none" w:sz="0" w:space="0" w:color="auto"/>
        <w:right w:val="none" w:sz="0" w:space="0" w:color="auto"/>
      </w:divBdr>
    </w:div>
    <w:div w:id="416446255">
      <w:bodyDiv w:val="1"/>
      <w:marLeft w:val="0"/>
      <w:marRight w:val="0"/>
      <w:marTop w:val="0"/>
      <w:marBottom w:val="0"/>
      <w:divBdr>
        <w:top w:val="none" w:sz="0" w:space="0" w:color="auto"/>
        <w:left w:val="none" w:sz="0" w:space="0" w:color="auto"/>
        <w:bottom w:val="none" w:sz="0" w:space="0" w:color="auto"/>
        <w:right w:val="none" w:sz="0" w:space="0" w:color="auto"/>
      </w:divBdr>
    </w:div>
    <w:div w:id="422845653">
      <w:bodyDiv w:val="1"/>
      <w:marLeft w:val="0"/>
      <w:marRight w:val="0"/>
      <w:marTop w:val="0"/>
      <w:marBottom w:val="0"/>
      <w:divBdr>
        <w:top w:val="none" w:sz="0" w:space="0" w:color="auto"/>
        <w:left w:val="none" w:sz="0" w:space="0" w:color="auto"/>
        <w:bottom w:val="none" w:sz="0" w:space="0" w:color="auto"/>
        <w:right w:val="none" w:sz="0" w:space="0" w:color="auto"/>
      </w:divBdr>
    </w:div>
    <w:div w:id="435910189">
      <w:bodyDiv w:val="1"/>
      <w:marLeft w:val="0"/>
      <w:marRight w:val="0"/>
      <w:marTop w:val="0"/>
      <w:marBottom w:val="0"/>
      <w:divBdr>
        <w:top w:val="none" w:sz="0" w:space="0" w:color="auto"/>
        <w:left w:val="none" w:sz="0" w:space="0" w:color="auto"/>
        <w:bottom w:val="none" w:sz="0" w:space="0" w:color="auto"/>
        <w:right w:val="none" w:sz="0" w:space="0" w:color="auto"/>
      </w:divBdr>
      <w:divsChild>
        <w:div w:id="1121653729">
          <w:marLeft w:val="0"/>
          <w:marRight w:val="0"/>
          <w:marTop w:val="0"/>
          <w:marBottom w:val="0"/>
          <w:divBdr>
            <w:top w:val="none" w:sz="0" w:space="0" w:color="auto"/>
            <w:left w:val="none" w:sz="0" w:space="0" w:color="auto"/>
            <w:bottom w:val="none" w:sz="0" w:space="0" w:color="auto"/>
            <w:right w:val="none" w:sz="0" w:space="0" w:color="auto"/>
          </w:divBdr>
        </w:div>
        <w:div w:id="1061445786">
          <w:marLeft w:val="0"/>
          <w:marRight w:val="0"/>
          <w:marTop w:val="0"/>
          <w:marBottom w:val="0"/>
          <w:divBdr>
            <w:top w:val="none" w:sz="0" w:space="0" w:color="auto"/>
            <w:left w:val="none" w:sz="0" w:space="0" w:color="auto"/>
            <w:bottom w:val="none" w:sz="0" w:space="0" w:color="auto"/>
            <w:right w:val="none" w:sz="0" w:space="0" w:color="auto"/>
          </w:divBdr>
          <w:divsChild>
            <w:div w:id="140121647">
              <w:marLeft w:val="0"/>
              <w:marRight w:val="165"/>
              <w:marTop w:val="150"/>
              <w:marBottom w:val="0"/>
              <w:divBdr>
                <w:top w:val="none" w:sz="0" w:space="0" w:color="auto"/>
                <w:left w:val="none" w:sz="0" w:space="0" w:color="auto"/>
                <w:bottom w:val="none" w:sz="0" w:space="0" w:color="auto"/>
                <w:right w:val="none" w:sz="0" w:space="0" w:color="auto"/>
              </w:divBdr>
              <w:divsChild>
                <w:div w:id="172960895">
                  <w:marLeft w:val="0"/>
                  <w:marRight w:val="0"/>
                  <w:marTop w:val="0"/>
                  <w:marBottom w:val="0"/>
                  <w:divBdr>
                    <w:top w:val="none" w:sz="0" w:space="0" w:color="auto"/>
                    <w:left w:val="none" w:sz="0" w:space="0" w:color="auto"/>
                    <w:bottom w:val="none" w:sz="0" w:space="0" w:color="auto"/>
                    <w:right w:val="none" w:sz="0" w:space="0" w:color="auto"/>
                  </w:divBdr>
                  <w:divsChild>
                    <w:div w:id="9439216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62025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8363">
      <w:bodyDiv w:val="1"/>
      <w:marLeft w:val="0"/>
      <w:marRight w:val="0"/>
      <w:marTop w:val="0"/>
      <w:marBottom w:val="0"/>
      <w:divBdr>
        <w:top w:val="none" w:sz="0" w:space="0" w:color="auto"/>
        <w:left w:val="none" w:sz="0" w:space="0" w:color="auto"/>
        <w:bottom w:val="none" w:sz="0" w:space="0" w:color="auto"/>
        <w:right w:val="none" w:sz="0" w:space="0" w:color="auto"/>
      </w:divBdr>
      <w:divsChild>
        <w:div w:id="1045105100">
          <w:marLeft w:val="0"/>
          <w:marRight w:val="0"/>
          <w:marTop w:val="0"/>
          <w:marBottom w:val="0"/>
          <w:divBdr>
            <w:top w:val="none" w:sz="0" w:space="0" w:color="auto"/>
            <w:left w:val="none" w:sz="0" w:space="0" w:color="auto"/>
            <w:bottom w:val="none" w:sz="0" w:space="0" w:color="auto"/>
            <w:right w:val="none" w:sz="0" w:space="0" w:color="auto"/>
          </w:divBdr>
        </w:div>
        <w:div w:id="2059739626">
          <w:marLeft w:val="0"/>
          <w:marRight w:val="0"/>
          <w:marTop w:val="0"/>
          <w:marBottom w:val="0"/>
          <w:divBdr>
            <w:top w:val="none" w:sz="0" w:space="0" w:color="auto"/>
            <w:left w:val="none" w:sz="0" w:space="0" w:color="auto"/>
            <w:bottom w:val="none" w:sz="0" w:space="0" w:color="auto"/>
            <w:right w:val="none" w:sz="0" w:space="0" w:color="auto"/>
          </w:divBdr>
          <w:divsChild>
            <w:div w:id="974215229">
              <w:marLeft w:val="0"/>
              <w:marRight w:val="165"/>
              <w:marTop w:val="150"/>
              <w:marBottom w:val="0"/>
              <w:divBdr>
                <w:top w:val="none" w:sz="0" w:space="0" w:color="auto"/>
                <w:left w:val="none" w:sz="0" w:space="0" w:color="auto"/>
                <w:bottom w:val="none" w:sz="0" w:space="0" w:color="auto"/>
                <w:right w:val="none" w:sz="0" w:space="0" w:color="auto"/>
              </w:divBdr>
              <w:divsChild>
                <w:div w:id="1396976364">
                  <w:marLeft w:val="0"/>
                  <w:marRight w:val="0"/>
                  <w:marTop w:val="0"/>
                  <w:marBottom w:val="0"/>
                  <w:divBdr>
                    <w:top w:val="none" w:sz="0" w:space="0" w:color="auto"/>
                    <w:left w:val="none" w:sz="0" w:space="0" w:color="auto"/>
                    <w:bottom w:val="none" w:sz="0" w:space="0" w:color="auto"/>
                    <w:right w:val="none" w:sz="0" w:space="0" w:color="auto"/>
                  </w:divBdr>
                  <w:divsChild>
                    <w:div w:id="11465539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3611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41902">
      <w:bodyDiv w:val="1"/>
      <w:marLeft w:val="0"/>
      <w:marRight w:val="0"/>
      <w:marTop w:val="0"/>
      <w:marBottom w:val="0"/>
      <w:divBdr>
        <w:top w:val="none" w:sz="0" w:space="0" w:color="auto"/>
        <w:left w:val="none" w:sz="0" w:space="0" w:color="auto"/>
        <w:bottom w:val="none" w:sz="0" w:space="0" w:color="auto"/>
        <w:right w:val="none" w:sz="0" w:space="0" w:color="auto"/>
      </w:divBdr>
    </w:div>
    <w:div w:id="456334304">
      <w:bodyDiv w:val="1"/>
      <w:marLeft w:val="0"/>
      <w:marRight w:val="0"/>
      <w:marTop w:val="0"/>
      <w:marBottom w:val="0"/>
      <w:divBdr>
        <w:top w:val="none" w:sz="0" w:space="0" w:color="auto"/>
        <w:left w:val="none" w:sz="0" w:space="0" w:color="auto"/>
        <w:bottom w:val="none" w:sz="0" w:space="0" w:color="auto"/>
        <w:right w:val="none" w:sz="0" w:space="0" w:color="auto"/>
      </w:divBdr>
      <w:divsChild>
        <w:div w:id="92022097">
          <w:marLeft w:val="0"/>
          <w:marRight w:val="0"/>
          <w:marTop w:val="0"/>
          <w:marBottom w:val="0"/>
          <w:divBdr>
            <w:top w:val="none" w:sz="0" w:space="0" w:color="auto"/>
            <w:left w:val="none" w:sz="0" w:space="0" w:color="auto"/>
            <w:bottom w:val="none" w:sz="0" w:space="0" w:color="auto"/>
            <w:right w:val="none" w:sz="0" w:space="0" w:color="auto"/>
          </w:divBdr>
          <w:divsChild>
            <w:div w:id="800541371">
              <w:marLeft w:val="0"/>
              <w:marRight w:val="0"/>
              <w:marTop w:val="0"/>
              <w:marBottom w:val="0"/>
              <w:divBdr>
                <w:top w:val="none" w:sz="0" w:space="0" w:color="auto"/>
                <w:left w:val="none" w:sz="0" w:space="0" w:color="auto"/>
                <w:bottom w:val="none" w:sz="0" w:space="0" w:color="auto"/>
                <w:right w:val="none" w:sz="0" w:space="0" w:color="auto"/>
              </w:divBdr>
              <w:divsChild>
                <w:div w:id="16796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3678">
      <w:bodyDiv w:val="1"/>
      <w:marLeft w:val="0"/>
      <w:marRight w:val="0"/>
      <w:marTop w:val="0"/>
      <w:marBottom w:val="0"/>
      <w:divBdr>
        <w:top w:val="none" w:sz="0" w:space="0" w:color="auto"/>
        <w:left w:val="none" w:sz="0" w:space="0" w:color="auto"/>
        <w:bottom w:val="none" w:sz="0" w:space="0" w:color="auto"/>
        <w:right w:val="none" w:sz="0" w:space="0" w:color="auto"/>
      </w:divBdr>
    </w:div>
    <w:div w:id="482894156">
      <w:bodyDiv w:val="1"/>
      <w:marLeft w:val="0"/>
      <w:marRight w:val="0"/>
      <w:marTop w:val="0"/>
      <w:marBottom w:val="0"/>
      <w:divBdr>
        <w:top w:val="none" w:sz="0" w:space="0" w:color="auto"/>
        <w:left w:val="none" w:sz="0" w:space="0" w:color="auto"/>
        <w:bottom w:val="none" w:sz="0" w:space="0" w:color="auto"/>
        <w:right w:val="none" w:sz="0" w:space="0" w:color="auto"/>
      </w:divBdr>
    </w:div>
    <w:div w:id="494419307">
      <w:bodyDiv w:val="1"/>
      <w:marLeft w:val="0"/>
      <w:marRight w:val="0"/>
      <w:marTop w:val="0"/>
      <w:marBottom w:val="0"/>
      <w:divBdr>
        <w:top w:val="none" w:sz="0" w:space="0" w:color="auto"/>
        <w:left w:val="none" w:sz="0" w:space="0" w:color="auto"/>
        <w:bottom w:val="none" w:sz="0" w:space="0" w:color="auto"/>
        <w:right w:val="none" w:sz="0" w:space="0" w:color="auto"/>
      </w:divBdr>
      <w:divsChild>
        <w:div w:id="131871908">
          <w:marLeft w:val="0"/>
          <w:marRight w:val="0"/>
          <w:marTop w:val="0"/>
          <w:marBottom w:val="0"/>
          <w:divBdr>
            <w:top w:val="none" w:sz="0" w:space="0" w:color="auto"/>
            <w:left w:val="none" w:sz="0" w:space="0" w:color="auto"/>
            <w:bottom w:val="none" w:sz="0" w:space="0" w:color="auto"/>
            <w:right w:val="none" w:sz="0" w:space="0" w:color="auto"/>
          </w:divBdr>
        </w:div>
        <w:div w:id="1268611258">
          <w:marLeft w:val="0"/>
          <w:marRight w:val="0"/>
          <w:marTop w:val="0"/>
          <w:marBottom w:val="0"/>
          <w:divBdr>
            <w:top w:val="none" w:sz="0" w:space="0" w:color="auto"/>
            <w:left w:val="none" w:sz="0" w:space="0" w:color="auto"/>
            <w:bottom w:val="none" w:sz="0" w:space="0" w:color="auto"/>
            <w:right w:val="none" w:sz="0" w:space="0" w:color="auto"/>
          </w:divBdr>
          <w:divsChild>
            <w:div w:id="1757898178">
              <w:marLeft w:val="0"/>
              <w:marRight w:val="165"/>
              <w:marTop w:val="150"/>
              <w:marBottom w:val="0"/>
              <w:divBdr>
                <w:top w:val="none" w:sz="0" w:space="0" w:color="auto"/>
                <w:left w:val="none" w:sz="0" w:space="0" w:color="auto"/>
                <w:bottom w:val="none" w:sz="0" w:space="0" w:color="auto"/>
                <w:right w:val="none" w:sz="0" w:space="0" w:color="auto"/>
              </w:divBdr>
              <w:divsChild>
                <w:div w:id="1863321760">
                  <w:marLeft w:val="0"/>
                  <w:marRight w:val="0"/>
                  <w:marTop w:val="0"/>
                  <w:marBottom w:val="0"/>
                  <w:divBdr>
                    <w:top w:val="none" w:sz="0" w:space="0" w:color="auto"/>
                    <w:left w:val="none" w:sz="0" w:space="0" w:color="auto"/>
                    <w:bottom w:val="none" w:sz="0" w:space="0" w:color="auto"/>
                    <w:right w:val="none" w:sz="0" w:space="0" w:color="auto"/>
                  </w:divBdr>
                  <w:divsChild>
                    <w:div w:id="386252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779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6304">
      <w:bodyDiv w:val="1"/>
      <w:marLeft w:val="0"/>
      <w:marRight w:val="0"/>
      <w:marTop w:val="0"/>
      <w:marBottom w:val="0"/>
      <w:divBdr>
        <w:top w:val="none" w:sz="0" w:space="0" w:color="auto"/>
        <w:left w:val="none" w:sz="0" w:space="0" w:color="auto"/>
        <w:bottom w:val="none" w:sz="0" w:space="0" w:color="auto"/>
        <w:right w:val="none" w:sz="0" w:space="0" w:color="auto"/>
      </w:divBdr>
      <w:divsChild>
        <w:div w:id="1114516527">
          <w:marLeft w:val="0"/>
          <w:marRight w:val="0"/>
          <w:marTop w:val="0"/>
          <w:marBottom w:val="0"/>
          <w:divBdr>
            <w:top w:val="none" w:sz="0" w:space="0" w:color="auto"/>
            <w:left w:val="none" w:sz="0" w:space="0" w:color="auto"/>
            <w:bottom w:val="none" w:sz="0" w:space="0" w:color="auto"/>
            <w:right w:val="none" w:sz="0" w:space="0" w:color="auto"/>
          </w:divBdr>
          <w:divsChild>
            <w:div w:id="1675840442">
              <w:marLeft w:val="0"/>
              <w:marRight w:val="0"/>
              <w:marTop w:val="0"/>
              <w:marBottom w:val="0"/>
              <w:divBdr>
                <w:top w:val="none" w:sz="0" w:space="0" w:color="auto"/>
                <w:left w:val="none" w:sz="0" w:space="0" w:color="auto"/>
                <w:bottom w:val="none" w:sz="0" w:space="0" w:color="auto"/>
                <w:right w:val="none" w:sz="0" w:space="0" w:color="auto"/>
              </w:divBdr>
              <w:divsChild>
                <w:div w:id="696154416">
                  <w:marLeft w:val="0"/>
                  <w:marRight w:val="0"/>
                  <w:marTop w:val="0"/>
                  <w:marBottom w:val="0"/>
                  <w:divBdr>
                    <w:top w:val="none" w:sz="0" w:space="0" w:color="auto"/>
                    <w:left w:val="none" w:sz="0" w:space="0" w:color="auto"/>
                    <w:bottom w:val="none" w:sz="0" w:space="0" w:color="auto"/>
                    <w:right w:val="none" w:sz="0" w:space="0" w:color="auto"/>
                  </w:divBdr>
                  <w:divsChild>
                    <w:div w:id="103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5697">
      <w:bodyDiv w:val="1"/>
      <w:marLeft w:val="0"/>
      <w:marRight w:val="0"/>
      <w:marTop w:val="0"/>
      <w:marBottom w:val="0"/>
      <w:divBdr>
        <w:top w:val="none" w:sz="0" w:space="0" w:color="auto"/>
        <w:left w:val="none" w:sz="0" w:space="0" w:color="auto"/>
        <w:bottom w:val="none" w:sz="0" w:space="0" w:color="auto"/>
        <w:right w:val="none" w:sz="0" w:space="0" w:color="auto"/>
      </w:divBdr>
    </w:div>
    <w:div w:id="519438896">
      <w:bodyDiv w:val="1"/>
      <w:marLeft w:val="0"/>
      <w:marRight w:val="0"/>
      <w:marTop w:val="0"/>
      <w:marBottom w:val="0"/>
      <w:divBdr>
        <w:top w:val="none" w:sz="0" w:space="0" w:color="auto"/>
        <w:left w:val="none" w:sz="0" w:space="0" w:color="auto"/>
        <w:bottom w:val="none" w:sz="0" w:space="0" w:color="auto"/>
        <w:right w:val="none" w:sz="0" w:space="0" w:color="auto"/>
      </w:divBdr>
    </w:div>
    <w:div w:id="521750138">
      <w:bodyDiv w:val="1"/>
      <w:marLeft w:val="0"/>
      <w:marRight w:val="0"/>
      <w:marTop w:val="0"/>
      <w:marBottom w:val="0"/>
      <w:divBdr>
        <w:top w:val="none" w:sz="0" w:space="0" w:color="auto"/>
        <w:left w:val="none" w:sz="0" w:space="0" w:color="auto"/>
        <w:bottom w:val="none" w:sz="0" w:space="0" w:color="auto"/>
        <w:right w:val="none" w:sz="0" w:space="0" w:color="auto"/>
      </w:divBdr>
      <w:divsChild>
        <w:div w:id="1670064198">
          <w:marLeft w:val="0"/>
          <w:marRight w:val="0"/>
          <w:marTop w:val="0"/>
          <w:marBottom w:val="0"/>
          <w:divBdr>
            <w:top w:val="none" w:sz="0" w:space="0" w:color="auto"/>
            <w:left w:val="none" w:sz="0" w:space="0" w:color="auto"/>
            <w:bottom w:val="none" w:sz="0" w:space="0" w:color="auto"/>
            <w:right w:val="none" w:sz="0" w:space="0" w:color="auto"/>
          </w:divBdr>
          <w:divsChild>
            <w:div w:id="751437650">
              <w:marLeft w:val="0"/>
              <w:marRight w:val="0"/>
              <w:marTop w:val="0"/>
              <w:marBottom w:val="0"/>
              <w:divBdr>
                <w:top w:val="none" w:sz="0" w:space="0" w:color="auto"/>
                <w:left w:val="none" w:sz="0" w:space="0" w:color="auto"/>
                <w:bottom w:val="none" w:sz="0" w:space="0" w:color="auto"/>
                <w:right w:val="none" w:sz="0" w:space="0" w:color="auto"/>
              </w:divBdr>
              <w:divsChild>
                <w:div w:id="296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1440">
      <w:bodyDiv w:val="1"/>
      <w:marLeft w:val="0"/>
      <w:marRight w:val="0"/>
      <w:marTop w:val="0"/>
      <w:marBottom w:val="0"/>
      <w:divBdr>
        <w:top w:val="none" w:sz="0" w:space="0" w:color="auto"/>
        <w:left w:val="none" w:sz="0" w:space="0" w:color="auto"/>
        <w:bottom w:val="none" w:sz="0" w:space="0" w:color="auto"/>
        <w:right w:val="none" w:sz="0" w:space="0" w:color="auto"/>
      </w:divBdr>
    </w:div>
    <w:div w:id="539704607">
      <w:bodyDiv w:val="1"/>
      <w:marLeft w:val="0"/>
      <w:marRight w:val="0"/>
      <w:marTop w:val="0"/>
      <w:marBottom w:val="0"/>
      <w:divBdr>
        <w:top w:val="none" w:sz="0" w:space="0" w:color="auto"/>
        <w:left w:val="none" w:sz="0" w:space="0" w:color="auto"/>
        <w:bottom w:val="none" w:sz="0" w:space="0" w:color="auto"/>
        <w:right w:val="none" w:sz="0" w:space="0" w:color="auto"/>
      </w:divBdr>
    </w:div>
    <w:div w:id="570771296">
      <w:bodyDiv w:val="1"/>
      <w:marLeft w:val="0"/>
      <w:marRight w:val="0"/>
      <w:marTop w:val="0"/>
      <w:marBottom w:val="0"/>
      <w:divBdr>
        <w:top w:val="none" w:sz="0" w:space="0" w:color="auto"/>
        <w:left w:val="none" w:sz="0" w:space="0" w:color="auto"/>
        <w:bottom w:val="none" w:sz="0" w:space="0" w:color="auto"/>
        <w:right w:val="none" w:sz="0" w:space="0" w:color="auto"/>
      </w:divBdr>
      <w:divsChild>
        <w:div w:id="183717594">
          <w:marLeft w:val="0"/>
          <w:marRight w:val="0"/>
          <w:marTop w:val="0"/>
          <w:marBottom w:val="0"/>
          <w:divBdr>
            <w:top w:val="none" w:sz="0" w:space="0" w:color="auto"/>
            <w:left w:val="none" w:sz="0" w:space="0" w:color="auto"/>
            <w:bottom w:val="none" w:sz="0" w:space="0" w:color="auto"/>
            <w:right w:val="none" w:sz="0" w:space="0" w:color="auto"/>
          </w:divBdr>
          <w:divsChild>
            <w:div w:id="1529683373">
              <w:marLeft w:val="0"/>
              <w:marRight w:val="0"/>
              <w:marTop w:val="0"/>
              <w:marBottom w:val="0"/>
              <w:divBdr>
                <w:top w:val="none" w:sz="0" w:space="0" w:color="auto"/>
                <w:left w:val="none" w:sz="0" w:space="0" w:color="auto"/>
                <w:bottom w:val="none" w:sz="0" w:space="0" w:color="auto"/>
                <w:right w:val="none" w:sz="0" w:space="0" w:color="auto"/>
              </w:divBdr>
              <w:divsChild>
                <w:div w:id="8058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9892">
      <w:bodyDiv w:val="1"/>
      <w:marLeft w:val="0"/>
      <w:marRight w:val="0"/>
      <w:marTop w:val="0"/>
      <w:marBottom w:val="0"/>
      <w:divBdr>
        <w:top w:val="none" w:sz="0" w:space="0" w:color="auto"/>
        <w:left w:val="none" w:sz="0" w:space="0" w:color="auto"/>
        <w:bottom w:val="none" w:sz="0" w:space="0" w:color="auto"/>
        <w:right w:val="none" w:sz="0" w:space="0" w:color="auto"/>
      </w:divBdr>
    </w:div>
    <w:div w:id="583076015">
      <w:bodyDiv w:val="1"/>
      <w:marLeft w:val="0"/>
      <w:marRight w:val="0"/>
      <w:marTop w:val="0"/>
      <w:marBottom w:val="0"/>
      <w:divBdr>
        <w:top w:val="none" w:sz="0" w:space="0" w:color="auto"/>
        <w:left w:val="none" w:sz="0" w:space="0" w:color="auto"/>
        <w:bottom w:val="none" w:sz="0" w:space="0" w:color="auto"/>
        <w:right w:val="none" w:sz="0" w:space="0" w:color="auto"/>
      </w:divBdr>
    </w:div>
    <w:div w:id="586308207">
      <w:bodyDiv w:val="1"/>
      <w:marLeft w:val="0"/>
      <w:marRight w:val="0"/>
      <w:marTop w:val="0"/>
      <w:marBottom w:val="0"/>
      <w:divBdr>
        <w:top w:val="none" w:sz="0" w:space="0" w:color="auto"/>
        <w:left w:val="none" w:sz="0" w:space="0" w:color="auto"/>
        <w:bottom w:val="none" w:sz="0" w:space="0" w:color="auto"/>
        <w:right w:val="none" w:sz="0" w:space="0" w:color="auto"/>
      </w:divBdr>
    </w:div>
    <w:div w:id="597492226">
      <w:bodyDiv w:val="1"/>
      <w:marLeft w:val="0"/>
      <w:marRight w:val="0"/>
      <w:marTop w:val="0"/>
      <w:marBottom w:val="0"/>
      <w:divBdr>
        <w:top w:val="none" w:sz="0" w:space="0" w:color="auto"/>
        <w:left w:val="none" w:sz="0" w:space="0" w:color="auto"/>
        <w:bottom w:val="none" w:sz="0" w:space="0" w:color="auto"/>
        <w:right w:val="none" w:sz="0" w:space="0" w:color="auto"/>
      </w:divBdr>
    </w:div>
    <w:div w:id="653416707">
      <w:bodyDiv w:val="1"/>
      <w:marLeft w:val="0"/>
      <w:marRight w:val="0"/>
      <w:marTop w:val="0"/>
      <w:marBottom w:val="0"/>
      <w:divBdr>
        <w:top w:val="none" w:sz="0" w:space="0" w:color="auto"/>
        <w:left w:val="none" w:sz="0" w:space="0" w:color="auto"/>
        <w:bottom w:val="none" w:sz="0" w:space="0" w:color="auto"/>
        <w:right w:val="none" w:sz="0" w:space="0" w:color="auto"/>
      </w:divBdr>
    </w:div>
    <w:div w:id="671027601">
      <w:bodyDiv w:val="1"/>
      <w:marLeft w:val="0"/>
      <w:marRight w:val="0"/>
      <w:marTop w:val="0"/>
      <w:marBottom w:val="0"/>
      <w:divBdr>
        <w:top w:val="none" w:sz="0" w:space="0" w:color="auto"/>
        <w:left w:val="none" w:sz="0" w:space="0" w:color="auto"/>
        <w:bottom w:val="none" w:sz="0" w:space="0" w:color="auto"/>
        <w:right w:val="none" w:sz="0" w:space="0" w:color="auto"/>
      </w:divBdr>
    </w:div>
    <w:div w:id="685325224">
      <w:bodyDiv w:val="1"/>
      <w:marLeft w:val="0"/>
      <w:marRight w:val="0"/>
      <w:marTop w:val="0"/>
      <w:marBottom w:val="0"/>
      <w:divBdr>
        <w:top w:val="none" w:sz="0" w:space="0" w:color="auto"/>
        <w:left w:val="none" w:sz="0" w:space="0" w:color="auto"/>
        <w:bottom w:val="none" w:sz="0" w:space="0" w:color="auto"/>
        <w:right w:val="none" w:sz="0" w:space="0" w:color="auto"/>
      </w:divBdr>
    </w:div>
    <w:div w:id="693073878">
      <w:bodyDiv w:val="1"/>
      <w:marLeft w:val="0"/>
      <w:marRight w:val="0"/>
      <w:marTop w:val="0"/>
      <w:marBottom w:val="0"/>
      <w:divBdr>
        <w:top w:val="none" w:sz="0" w:space="0" w:color="auto"/>
        <w:left w:val="none" w:sz="0" w:space="0" w:color="auto"/>
        <w:bottom w:val="none" w:sz="0" w:space="0" w:color="auto"/>
        <w:right w:val="none" w:sz="0" w:space="0" w:color="auto"/>
      </w:divBdr>
    </w:div>
    <w:div w:id="700283474">
      <w:bodyDiv w:val="1"/>
      <w:marLeft w:val="0"/>
      <w:marRight w:val="0"/>
      <w:marTop w:val="0"/>
      <w:marBottom w:val="0"/>
      <w:divBdr>
        <w:top w:val="none" w:sz="0" w:space="0" w:color="auto"/>
        <w:left w:val="none" w:sz="0" w:space="0" w:color="auto"/>
        <w:bottom w:val="none" w:sz="0" w:space="0" w:color="auto"/>
        <w:right w:val="none" w:sz="0" w:space="0" w:color="auto"/>
      </w:divBdr>
      <w:divsChild>
        <w:div w:id="601492244">
          <w:marLeft w:val="0"/>
          <w:marRight w:val="0"/>
          <w:marTop w:val="0"/>
          <w:marBottom w:val="0"/>
          <w:divBdr>
            <w:top w:val="none" w:sz="0" w:space="0" w:color="auto"/>
            <w:left w:val="none" w:sz="0" w:space="0" w:color="auto"/>
            <w:bottom w:val="none" w:sz="0" w:space="0" w:color="auto"/>
            <w:right w:val="none" w:sz="0" w:space="0" w:color="auto"/>
          </w:divBdr>
        </w:div>
        <w:div w:id="355624681">
          <w:marLeft w:val="0"/>
          <w:marRight w:val="0"/>
          <w:marTop w:val="0"/>
          <w:marBottom w:val="0"/>
          <w:divBdr>
            <w:top w:val="none" w:sz="0" w:space="0" w:color="auto"/>
            <w:left w:val="none" w:sz="0" w:space="0" w:color="auto"/>
            <w:bottom w:val="none" w:sz="0" w:space="0" w:color="auto"/>
            <w:right w:val="none" w:sz="0" w:space="0" w:color="auto"/>
          </w:divBdr>
          <w:divsChild>
            <w:div w:id="388656535">
              <w:marLeft w:val="0"/>
              <w:marRight w:val="165"/>
              <w:marTop w:val="150"/>
              <w:marBottom w:val="0"/>
              <w:divBdr>
                <w:top w:val="none" w:sz="0" w:space="0" w:color="auto"/>
                <w:left w:val="none" w:sz="0" w:space="0" w:color="auto"/>
                <w:bottom w:val="none" w:sz="0" w:space="0" w:color="auto"/>
                <w:right w:val="none" w:sz="0" w:space="0" w:color="auto"/>
              </w:divBdr>
              <w:divsChild>
                <w:div w:id="619653760">
                  <w:marLeft w:val="0"/>
                  <w:marRight w:val="0"/>
                  <w:marTop w:val="0"/>
                  <w:marBottom w:val="0"/>
                  <w:divBdr>
                    <w:top w:val="none" w:sz="0" w:space="0" w:color="auto"/>
                    <w:left w:val="none" w:sz="0" w:space="0" w:color="auto"/>
                    <w:bottom w:val="none" w:sz="0" w:space="0" w:color="auto"/>
                    <w:right w:val="none" w:sz="0" w:space="0" w:color="auto"/>
                  </w:divBdr>
                  <w:divsChild>
                    <w:div w:id="275453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737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5429">
      <w:bodyDiv w:val="1"/>
      <w:marLeft w:val="0"/>
      <w:marRight w:val="0"/>
      <w:marTop w:val="0"/>
      <w:marBottom w:val="0"/>
      <w:divBdr>
        <w:top w:val="none" w:sz="0" w:space="0" w:color="auto"/>
        <w:left w:val="none" w:sz="0" w:space="0" w:color="auto"/>
        <w:bottom w:val="none" w:sz="0" w:space="0" w:color="auto"/>
        <w:right w:val="none" w:sz="0" w:space="0" w:color="auto"/>
      </w:divBdr>
    </w:div>
    <w:div w:id="727264919">
      <w:bodyDiv w:val="1"/>
      <w:marLeft w:val="0"/>
      <w:marRight w:val="0"/>
      <w:marTop w:val="0"/>
      <w:marBottom w:val="0"/>
      <w:divBdr>
        <w:top w:val="none" w:sz="0" w:space="0" w:color="auto"/>
        <w:left w:val="none" w:sz="0" w:space="0" w:color="auto"/>
        <w:bottom w:val="none" w:sz="0" w:space="0" w:color="auto"/>
        <w:right w:val="none" w:sz="0" w:space="0" w:color="auto"/>
      </w:divBdr>
    </w:div>
    <w:div w:id="730812177">
      <w:bodyDiv w:val="1"/>
      <w:marLeft w:val="0"/>
      <w:marRight w:val="0"/>
      <w:marTop w:val="0"/>
      <w:marBottom w:val="0"/>
      <w:divBdr>
        <w:top w:val="none" w:sz="0" w:space="0" w:color="auto"/>
        <w:left w:val="none" w:sz="0" w:space="0" w:color="auto"/>
        <w:bottom w:val="none" w:sz="0" w:space="0" w:color="auto"/>
        <w:right w:val="none" w:sz="0" w:space="0" w:color="auto"/>
      </w:divBdr>
    </w:div>
    <w:div w:id="745997649">
      <w:bodyDiv w:val="1"/>
      <w:marLeft w:val="0"/>
      <w:marRight w:val="0"/>
      <w:marTop w:val="0"/>
      <w:marBottom w:val="0"/>
      <w:divBdr>
        <w:top w:val="none" w:sz="0" w:space="0" w:color="auto"/>
        <w:left w:val="none" w:sz="0" w:space="0" w:color="auto"/>
        <w:bottom w:val="none" w:sz="0" w:space="0" w:color="auto"/>
        <w:right w:val="none" w:sz="0" w:space="0" w:color="auto"/>
      </w:divBdr>
    </w:div>
    <w:div w:id="773980694">
      <w:bodyDiv w:val="1"/>
      <w:marLeft w:val="0"/>
      <w:marRight w:val="0"/>
      <w:marTop w:val="0"/>
      <w:marBottom w:val="0"/>
      <w:divBdr>
        <w:top w:val="none" w:sz="0" w:space="0" w:color="auto"/>
        <w:left w:val="none" w:sz="0" w:space="0" w:color="auto"/>
        <w:bottom w:val="none" w:sz="0" w:space="0" w:color="auto"/>
        <w:right w:val="none" w:sz="0" w:space="0" w:color="auto"/>
      </w:divBdr>
    </w:div>
    <w:div w:id="778108934">
      <w:bodyDiv w:val="1"/>
      <w:marLeft w:val="0"/>
      <w:marRight w:val="0"/>
      <w:marTop w:val="0"/>
      <w:marBottom w:val="0"/>
      <w:divBdr>
        <w:top w:val="none" w:sz="0" w:space="0" w:color="auto"/>
        <w:left w:val="none" w:sz="0" w:space="0" w:color="auto"/>
        <w:bottom w:val="none" w:sz="0" w:space="0" w:color="auto"/>
        <w:right w:val="none" w:sz="0" w:space="0" w:color="auto"/>
      </w:divBdr>
    </w:div>
    <w:div w:id="780690536">
      <w:bodyDiv w:val="1"/>
      <w:marLeft w:val="0"/>
      <w:marRight w:val="0"/>
      <w:marTop w:val="0"/>
      <w:marBottom w:val="0"/>
      <w:divBdr>
        <w:top w:val="none" w:sz="0" w:space="0" w:color="auto"/>
        <w:left w:val="none" w:sz="0" w:space="0" w:color="auto"/>
        <w:bottom w:val="none" w:sz="0" w:space="0" w:color="auto"/>
        <w:right w:val="none" w:sz="0" w:space="0" w:color="auto"/>
      </w:divBdr>
    </w:div>
    <w:div w:id="805127393">
      <w:bodyDiv w:val="1"/>
      <w:marLeft w:val="0"/>
      <w:marRight w:val="0"/>
      <w:marTop w:val="0"/>
      <w:marBottom w:val="0"/>
      <w:divBdr>
        <w:top w:val="none" w:sz="0" w:space="0" w:color="auto"/>
        <w:left w:val="none" w:sz="0" w:space="0" w:color="auto"/>
        <w:bottom w:val="none" w:sz="0" w:space="0" w:color="auto"/>
        <w:right w:val="none" w:sz="0" w:space="0" w:color="auto"/>
      </w:divBdr>
    </w:div>
    <w:div w:id="825125969">
      <w:bodyDiv w:val="1"/>
      <w:marLeft w:val="0"/>
      <w:marRight w:val="0"/>
      <w:marTop w:val="0"/>
      <w:marBottom w:val="0"/>
      <w:divBdr>
        <w:top w:val="none" w:sz="0" w:space="0" w:color="auto"/>
        <w:left w:val="none" w:sz="0" w:space="0" w:color="auto"/>
        <w:bottom w:val="none" w:sz="0" w:space="0" w:color="auto"/>
        <w:right w:val="none" w:sz="0" w:space="0" w:color="auto"/>
      </w:divBdr>
    </w:div>
    <w:div w:id="827474604">
      <w:bodyDiv w:val="1"/>
      <w:marLeft w:val="0"/>
      <w:marRight w:val="0"/>
      <w:marTop w:val="0"/>
      <w:marBottom w:val="0"/>
      <w:divBdr>
        <w:top w:val="none" w:sz="0" w:space="0" w:color="auto"/>
        <w:left w:val="none" w:sz="0" w:space="0" w:color="auto"/>
        <w:bottom w:val="none" w:sz="0" w:space="0" w:color="auto"/>
        <w:right w:val="none" w:sz="0" w:space="0" w:color="auto"/>
      </w:divBdr>
      <w:divsChild>
        <w:div w:id="247151491">
          <w:marLeft w:val="0"/>
          <w:marRight w:val="0"/>
          <w:marTop w:val="0"/>
          <w:marBottom w:val="0"/>
          <w:divBdr>
            <w:top w:val="none" w:sz="0" w:space="0" w:color="auto"/>
            <w:left w:val="none" w:sz="0" w:space="0" w:color="auto"/>
            <w:bottom w:val="none" w:sz="0" w:space="0" w:color="auto"/>
            <w:right w:val="none" w:sz="0" w:space="0" w:color="auto"/>
          </w:divBdr>
          <w:divsChild>
            <w:div w:id="338506099">
              <w:marLeft w:val="0"/>
              <w:marRight w:val="0"/>
              <w:marTop w:val="0"/>
              <w:marBottom w:val="0"/>
              <w:divBdr>
                <w:top w:val="none" w:sz="0" w:space="0" w:color="auto"/>
                <w:left w:val="none" w:sz="0" w:space="0" w:color="auto"/>
                <w:bottom w:val="none" w:sz="0" w:space="0" w:color="auto"/>
                <w:right w:val="none" w:sz="0" w:space="0" w:color="auto"/>
              </w:divBdr>
              <w:divsChild>
                <w:div w:id="1058865586">
                  <w:marLeft w:val="0"/>
                  <w:marRight w:val="0"/>
                  <w:marTop w:val="0"/>
                  <w:marBottom w:val="0"/>
                  <w:divBdr>
                    <w:top w:val="none" w:sz="0" w:space="0" w:color="auto"/>
                    <w:left w:val="none" w:sz="0" w:space="0" w:color="auto"/>
                    <w:bottom w:val="none" w:sz="0" w:space="0" w:color="auto"/>
                    <w:right w:val="none" w:sz="0" w:space="0" w:color="auto"/>
                  </w:divBdr>
                  <w:divsChild>
                    <w:div w:id="1741978147">
                      <w:marLeft w:val="0"/>
                      <w:marRight w:val="0"/>
                      <w:marTop w:val="0"/>
                      <w:marBottom w:val="0"/>
                      <w:divBdr>
                        <w:top w:val="none" w:sz="0" w:space="0" w:color="auto"/>
                        <w:left w:val="none" w:sz="0" w:space="0" w:color="auto"/>
                        <w:bottom w:val="none" w:sz="0" w:space="0" w:color="auto"/>
                        <w:right w:val="none" w:sz="0" w:space="0" w:color="auto"/>
                      </w:divBdr>
                      <w:divsChild>
                        <w:div w:id="752821537">
                          <w:marLeft w:val="0"/>
                          <w:marRight w:val="0"/>
                          <w:marTop w:val="0"/>
                          <w:marBottom w:val="0"/>
                          <w:divBdr>
                            <w:top w:val="none" w:sz="0" w:space="0" w:color="auto"/>
                            <w:left w:val="none" w:sz="0" w:space="0" w:color="auto"/>
                            <w:bottom w:val="none" w:sz="0" w:space="0" w:color="auto"/>
                            <w:right w:val="none" w:sz="0" w:space="0" w:color="auto"/>
                          </w:divBdr>
                          <w:divsChild>
                            <w:div w:id="1247764968">
                              <w:marLeft w:val="0"/>
                              <w:marRight w:val="0"/>
                              <w:marTop w:val="0"/>
                              <w:marBottom w:val="0"/>
                              <w:divBdr>
                                <w:top w:val="none" w:sz="0" w:space="0" w:color="auto"/>
                                <w:left w:val="none" w:sz="0" w:space="0" w:color="auto"/>
                                <w:bottom w:val="none" w:sz="0" w:space="0" w:color="auto"/>
                                <w:right w:val="none" w:sz="0" w:space="0" w:color="auto"/>
                              </w:divBdr>
                              <w:divsChild>
                                <w:div w:id="2016033728">
                                  <w:marLeft w:val="0"/>
                                  <w:marRight w:val="0"/>
                                  <w:marTop w:val="0"/>
                                  <w:marBottom w:val="0"/>
                                  <w:divBdr>
                                    <w:top w:val="none" w:sz="0" w:space="0" w:color="auto"/>
                                    <w:left w:val="none" w:sz="0" w:space="0" w:color="auto"/>
                                    <w:bottom w:val="none" w:sz="0" w:space="0" w:color="auto"/>
                                    <w:right w:val="none" w:sz="0" w:space="0" w:color="auto"/>
                                  </w:divBdr>
                                  <w:divsChild>
                                    <w:div w:id="1136290042">
                                      <w:marLeft w:val="0"/>
                                      <w:marRight w:val="0"/>
                                      <w:marTop w:val="0"/>
                                      <w:marBottom w:val="0"/>
                                      <w:divBdr>
                                        <w:top w:val="none" w:sz="0" w:space="0" w:color="auto"/>
                                        <w:left w:val="none" w:sz="0" w:space="0" w:color="auto"/>
                                        <w:bottom w:val="none" w:sz="0" w:space="0" w:color="auto"/>
                                        <w:right w:val="none" w:sz="0" w:space="0" w:color="auto"/>
                                      </w:divBdr>
                                    </w:div>
                                    <w:div w:id="1898124316">
                                      <w:marLeft w:val="0"/>
                                      <w:marRight w:val="0"/>
                                      <w:marTop w:val="0"/>
                                      <w:marBottom w:val="0"/>
                                      <w:divBdr>
                                        <w:top w:val="none" w:sz="0" w:space="0" w:color="auto"/>
                                        <w:left w:val="none" w:sz="0" w:space="0" w:color="auto"/>
                                        <w:bottom w:val="none" w:sz="0" w:space="0" w:color="auto"/>
                                        <w:right w:val="none" w:sz="0" w:space="0" w:color="auto"/>
                                      </w:divBdr>
                                      <w:divsChild>
                                        <w:div w:id="1262027545">
                                          <w:marLeft w:val="0"/>
                                          <w:marRight w:val="165"/>
                                          <w:marTop w:val="150"/>
                                          <w:marBottom w:val="0"/>
                                          <w:divBdr>
                                            <w:top w:val="none" w:sz="0" w:space="0" w:color="auto"/>
                                            <w:left w:val="none" w:sz="0" w:space="0" w:color="auto"/>
                                            <w:bottom w:val="none" w:sz="0" w:space="0" w:color="auto"/>
                                            <w:right w:val="none" w:sz="0" w:space="0" w:color="auto"/>
                                          </w:divBdr>
                                          <w:divsChild>
                                            <w:div w:id="1959529992">
                                              <w:marLeft w:val="0"/>
                                              <w:marRight w:val="0"/>
                                              <w:marTop w:val="0"/>
                                              <w:marBottom w:val="0"/>
                                              <w:divBdr>
                                                <w:top w:val="none" w:sz="0" w:space="0" w:color="auto"/>
                                                <w:left w:val="none" w:sz="0" w:space="0" w:color="auto"/>
                                                <w:bottom w:val="none" w:sz="0" w:space="0" w:color="auto"/>
                                                <w:right w:val="none" w:sz="0" w:space="0" w:color="auto"/>
                                              </w:divBdr>
                                              <w:divsChild>
                                                <w:div w:id="1046299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635119">
          <w:marLeft w:val="0"/>
          <w:marRight w:val="0"/>
          <w:marTop w:val="240"/>
          <w:marBottom w:val="0"/>
          <w:divBdr>
            <w:top w:val="none" w:sz="0" w:space="0" w:color="auto"/>
            <w:left w:val="none" w:sz="0" w:space="0" w:color="auto"/>
            <w:bottom w:val="none" w:sz="0" w:space="0" w:color="auto"/>
            <w:right w:val="none" w:sz="0" w:space="0" w:color="auto"/>
          </w:divBdr>
        </w:div>
      </w:divsChild>
    </w:div>
    <w:div w:id="832834231">
      <w:bodyDiv w:val="1"/>
      <w:marLeft w:val="0"/>
      <w:marRight w:val="0"/>
      <w:marTop w:val="0"/>
      <w:marBottom w:val="0"/>
      <w:divBdr>
        <w:top w:val="none" w:sz="0" w:space="0" w:color="auto"/>
        <w:left w:val="none" w:sz="0" w:space="0" w:color="auto"/>
        <w:bottom w:val="none" w:sz="0" w:space="0" w:color="auto"/>
        <w:right w:val="none" w:sz="0" w:space="0" w:color="auto"/>
      </w:divBdr>
    </w:div>
    <w:div w:id="877813911">
      <w:bodyDiv w:val="1"/>
      <w:marLeft w:val="0"/>
      <w:marRight w:val="0"/>
      <w:marTop w:val="0"/>
      <w:marBottom w:val="0"/>
      <w:divBdr>
        <w:top w:val="none" w:sz="0" w:space="0" w:color="auto"/>
        <w:left w:val="none" w:sz="0" w:space="0" w:color="auto"/>
        <w:bottom w:val="none" w:sz="0" w:space="0" w:color="auto"/>
        <w:right w:val="none" w:sz="0" w:space="0" w:color="auto"/>
      </w:divBdr>
    </w:div>
    <w:div w:id="878972883">
      <w:bodyDiv w:val="1"/>
      <w:marLeft w:val="0"/>
      <w:marRight w:val="0"/>
      <w:marTop w:val="0"/>
      <w:marBottom w:val="0"/>
      <w:divBdr>
        <w:top w:val="none" w:sz="0" w:space="0" w:color="auto"/>
        <w:left w:val="none" w:sz="0" w:space="0" w:color="auto"/>
        <w:bottom w:val="none" w:sz="0" w:space="0" w:color="auto"/>
        <w:right w:val="none" w:sz="0" w:space="0" w:color="auto"/>
      </w:divBdr>
    </w:div>
    <w:div w:id="916551687">
      <w:bodyDiv w:val="1"/>
      <w:marLeft w:val="0"/>
      <w:marRight w:val="0"/>
      <w:marTop w:val="0"/>
      <w:marBottom w:val="0"/>
      <w:divBdr>
        <w:top w:val="none" w:sz="0" w:space="0" w:color="auto"/>
        <w:left w:val="none" w:sz="0" w:space="0" w:color="auto"/>
        <w:bottom w:val="none" w:sz="0" w:space="0" w:color="auto"/>
        <w:right w:val="none" w:sz="0" w:space="0" w:color="auto"/>
      </w:divBdr>
    </w:div>
    <w:div w:id="968049141">
      <w:bodyDiv w:val="1"/>
      <w:marLeft w:val="0"/>
      <w:marRight w:val="0"/>
      <w:marTop w:val="0"/>
      <w:marBottom w:val="0"/>
      <w:divBdr>
        <w:top w:val="none" w:sz="0" w:space="0" w:color="auto"/>
        <w:left w:val="none" w:sz="0" w:space="0" w:color="auto"/>
        <w:bottom w:val="none" w:sz="0" w:space="0" w:color="auto"/>
        <w:right w:val="none" w:sz="0" w:space="0" w:color="auto"/>
      </w:divBdr>
    </w:div>
    <w:div w:id="969163926">
      <w:bodyDiv w:val="1"/>
      <w:marLeft w:val="0"/>
      <w:marRight w:val="0"/>
      <w:marTop w:val="0"/>
      <w:marBottom w:val="0"/>
      <w:divBdr>
        <w:top w:val="none" w:sz="0" w:space="0" w:color="auto"/>
        <w:left w:val="none" w:sz="0" w:space="0" w:color="auto"/>
        <w:bottom w:val="none" w:sz="0" w:space="0" w:color="auto"/>
        <w:right w:val="none" w:sz="0" w:space="0" w:color="auto"/>
      </w:divBdr>
    </w:div>
    <w:div w:id="996687983">
      <w:bodyDiv w:val="1"/>
      <w:marLeft w:val="0"/>
      <w:marRight w:val="0"/>
      <w:marTop w:val="0"/>
      <w:marBottom w:val="0"/>
      <w:divBdr>
        <w:top w:val="none" w:sz="0" w:space="0" w:color="auto"/>
        <w:left w:val="none" w:sz="0" w:space="0" w:color="auto"/>
        <w:bottom w:val="none" w:sz="0" w:space="0" w:color="auto"/>
        <w:right w:val="none" w:sz="0" w:space="0" w:color="auto"/>
      </w:divBdr>
    </w:div>
    <w:div w:id="1009332644">
      <w:bodyDiv w:val="1"/>
      <w:marLeft w:val="0"/>
      <w:marRight w:val="0"/>
      <w:marTop w:val="0"/>
      <w:marBottom w:val="0"/>
      <w:divBdr>
        <w:top w:val="none" w:sz="0" w:space="0" w:color="auto"/>
        <w:left w:val="none" w:sz="0" w:space="0" w:color="auto"/>
        <w:bottom w:val="none" w:sz="0" w:space="0" w:color="auto"/>
        <w:right w:val="none" w:sz="0" w:space="0" w:color="auto"/>
      </w:divBdr>
    </w:div>
    <w:div w:id="1018657895">
      <w:bodyDiv w:val="1"/>
      <w:marLeft w:val="0"/>
      <w:marRight w:val="0"/>
      <w:marTop w:val="0"/>
      <w:marBottom w:val="0"/>
      <w:divBdr>
        <w:top w:val="none" w:sz="0" w:space="0" w:color="auto"/>
        <w:left w:val="none" w:sz="0" w:space="0" w:color="auto"/>
        <w:bottom w:val="none" w:sz="0" w:space="0" w:color="auto"/>
        <w:right w:val="none" w:sz="0" w:space="0" w:color="auto"/>
      </w:divBdr>
    </w:div>
    <w:div w:id="1046761210">
      <w:bodyDiv w:val="1"/>
      <w:marLeft w:val="0"/>
      <w:marRight w:val="0"/>
      <w:marTop w:val="0"/>
      <w:marBottom w:val="0"/>
      <w:divBdr>
        <w:top w:val="none" w:sz="0" w:space="0" w:color="auto"/>
        <w:left w:val="none" w:sz="0" w:space="0" w:color="auto"/>
        <w:bottom w:val="none" w:sz="0" w:space="0" w:color="auto"/>
        <w:right w:val="none" w:sz="0" w:space="0" w:color="auto"/>
      </w:divBdr>
    </w:div>
    <w:div w:id="1059354388">
      <w:bodyDiv w:val="1"/>
      <w:marLeft w:val="0"/>
      <w:marRight w:val="0"/>
      <w:marTop w:val="0"/>
      <w:marBottom w:val="0"/>
      <w:divBdr>
        <w:top w:val="none" w:sz="0" w:space="0" w:color="auto"/>
        <w:left w:val="none" w:sz="0" w:space="0" w:color="auto"/>
        <w:bottom w:val="none" w:sz="0" w:space="0" w:color="auto"/>
        <w:right w:val="none" w:sz="0" w:space="0" w:color="auto"/>
      </w:divBdr>
      <w:divsChild>
        <w:div w:id="680621656">
          <w:marLeft w:val="0"/>
          <w:marRight w:val="0"/>
          <w:marTop w:val="0"/>
          <w:marBottom w:val="0"/>
          <w:divBdr>
            <w:top w:val="none" w:sz="0" w:space="0" w:color="auto"/>
            <w:left w:val="none" w:sz="0" w:space="0" w:color="auto"/>
            <w:bottom w:val="none" w:sz="0" w:space="0" w:color="auto"/>
            <w:right w:val="none" w:sz="0" w:space="0" w:color="auto"/>
          </w:divBdr>
          <w:divsChild>
            <w:div w:id="1835145572">
              <w:marLeft w:val="0"/>
              <w:marRight w:val="0"/>
              <w:marTop w:val="0"/>
              <w:marBottom w:val="0"/>
              <w:divBdr>
                <w:top w:val="none" w:sz="0" w:space="0" w:color="auto"/>
                <w:left w:val="none" w:sz="0" w:space="0" w:color="auto"/>
                <w:bottom w:val="none" w:sz="0" w:space="0" w:color="auto"/>
                <w:right w:val="none" w:sz="0" w:space="0" w:color="auto"/>
              </w:divBdr>
              <w:divsChild>
                <w:div w:id="14150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828">
      <w:bodyDiv w:val="1"/>
      <w:marLeft w:val="0"/>
      <w:marRight w:val="0"/>
      <w:marTop w:val="0"/>
      <w:marBottom w:val="0"/>
      <w:divBdr>
        <w:top w:val="none" w:sz="0" w:space="0" w:color="auto"/>
        <w:left w:val="none" w:sz="0" w:space="0" w:color="auto"/>
        <w:bottom w:val="none" w:sz="0" w:space="0" w:color="auto"/>
        <w:right w:val="none" w:sz="0" w:space="0" w:color="auto"/>
      </w:divBdr>
    </w:div>
    <w:div w:id="1078478028">
      <w:bodyDiv w:val="1"/>
      <w:marLeft w:val="0"/>
      <w:marRight w:val="0"/>
      <w:marTop w:val="0"/>
      <w:marBottom w:val="0"/>
      <w:divBdr>
        <w:top w:val="none" w:sz="0" w:space="0" w:color="auto"/>
        <w:left w:val="none" w:sz="0" w:space="0" w:color="auto"/>
        <w:bottom w:val="none" w:sz="0" w:space="0" w:color="auto"/>
        <w:right w:val="none" w:sz="0" w:space="0" w:color="auto"/>
      </w:divBdr>
    </w:div>
    <w:div w:id="1137264234">
      <w:bodyDiv w:val="1"/>
      <w:marLeft w:val="0"/>
      <w:marRight w:val="0"/>
      <w:marTop w:val="0"/>
      <w:marBottom w:val="0"/>
      <w:divBdr>
        <w:top w:val="none" w:sz="0" w:space="0" w:color="auto"/>
        <w:left w:val="none" w:sz="0" w:space="0" w:color="auto"/>
        <w:bottom w:val="none" w:sz="0" w:space="0" w:color="auto"/>
        <w:right w:val="none" w:sz="0" w:space="0" w:color="auto"/>
      </w:divBdr>
    </w:div>
    <w:div w:id="1139802469">
      <w:bodyDiv w:val="1"/>
      <w:marLeft w:val="0"/>
      <w:marRight w:val="0"/>
      <w:marTop w:val="0"/>
      <w:marBottom w:val="0"/>
      <w:divBdr>
        <w:top w:val="none" w:sz="0" w:space="0" w:color="auto"/>
        <w:left w:val="none" w:sz="0" w:space="0" w:color="auto"/>
        <w:bottom w:val="none" w:sz="0" w:space="0" w:color="auto"/>
        <w:right w:val="none" w:sz="0" w:space="0" w:color="auto"/>
      </w:divBdr>
      <w:divsChild>
        <w:div w:id="864828412">
          <w:marLeft w:val="0"/>
          <w:marRight w:val="0"/>
          <w:marTop w:val="0"/>
          <w:marBottom w:val="0"/>
          <w:divBdr>
            <w:top w:val="none" w:sz="0" w:space="0" w:color="auto"/>
            <w:left w:val="none" w:sz="0" w:space="0" w:color="auto"/>
            <w:bottom w:val="none" w:sz="0" w:space="0" w:color="auto"/>
            <w:right w:val="none" w:sz="0" w:space="0" w:color="auto"/>
          </w:divBdr>
          <w:divsChild>
            <w:div w:id="879438982">
              <w:marLeft w:val="0"/>
              <w:marRight w:val="0"/>
              <w:marTop w:val="0"/>
              <w:marBottom w:val="0"/>
              <w:divBdr>
                <w:top w:val="none" w:sz="0" w:space="0" w:color="auto"/>
                <w:left w:val="none" w:sz="0" w:space="0" w:color="auto"/>
                <w:bottom w:val="none" w:sz="0" w:space="0" w:color="auto"/>
                <w:right w:val="none" w:sz="0" w:space="0" w:color="auto"/>
              </w:divBdr>
              <w:divsChild>
                <w:div w:id="9104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61335">
      <w:bodyDiv w:val="1"/>
      <w:marLeft w:val="0"/>
      <w:marRight w:val="0"/>
      <w:marTop w:val="0"/>
      <w:marBottom w:val="0"/>
      <w:divBdr>
        <w:top w:val="none" w:sz="0" w:space="0" w:color="auto"/>
        <w:left w:val="none" w:sz="0" w:space="0" w:color="auto"/>
        <w:bottom w:val="none" w:sz="0" w:space="0" w:color="auto"/>
        <w:right w:val="none" w:sz="0" w:space="0" w:color="auto"/>
      </w:divBdr>
    </w:div>
    <w:div w:id="1144084278">
      <w:bodyDiv w:val="1"/>
      <w:marLeft w:val="0"/>
      <w:marRight w:val="0"/>
      <w:marTop w:val="0"/>
      <w:marBottom w:val="0"/>
      <w:divBdr>
        <w:top w:val="none" w:sz="0" w:space="0" w:color="auto"/>
        <w:left w:val="none" w:sz="0" w:space="0" w:color="auto"/>
        <w:bottom w:val="none" w:sz="0" w:space="0" w:color="auto"/>
        <w:right w:val="none" w:sz="0" w:space="0" w:color="auto"/>
      </w:divBdr>
    </w:div>
    <w:div w:id="1157453844">
      <w:bodyDiv w:val="1"/>
      <w:marLeft w:val="0"/>
      <w:marRight w:val="0"/>
      <w:marTop w:val="0"/>
      <w:marBottom w:val="0"/>
      <w:divBdr>
        <w:top w:val="none" w:sz="0" w:space="0" w:color="auto"/>
        <w:left w:val="none" w:sz="0" w:space="0" w:color="auto"/>
        <w:bottom w:val="none" w:sz="0" w:space="0" w:color="auto"/>
        <w:right w:val="none" w:sz="0" w:space="0" w:color="auto"/>
      </w:divBdr>
    </w:div>
    <w:div w:id="1180119027">
      <w:bodyDiv w:val="1"/>
      <w:marLeft w:val="0"/>
      <w:marRight w:val="0"/>
      <w:marTop w:val="0"/>
      <w:marBottom w:val="0"/>
      <w:divBdr>
        <w:top w:val="none" w:sz="0" w:space="0" w:color="auto"/>
        <w:left w:val="none" w:sz="0" w:space="0" w:color="auto"/>
        <w:bottom w:val="none" w:sz="0" w:space="0" w:color="auto"/>
        <w:right w:val="none" w:sz="0" w:space="0" w:color="auto"/>
      </w:divBdr>
    </w:div>
    <w:div w:id="1190483558">
      <w:bodyDiv w:val="1"/>
      <w:marLeft w:val="0"/>
      <w:marRight w:val="0"/>
      <w:marTop w:val="0"/>
      <w:marBottom w:val="0"/>
      <w:divBdr>
        <w:top w:val="none" w:sz="0" w:space="0" w:color="auto"/>
        <w:left w:val="none" w:sz="0" w:space="0" w:color="auto"/>
        <w:bottom w:val="none" w:sz="0" w:space="0" w:color="auto"/>
        <w:right w:val="none" w:sz="0" w:space="0" w:color="auto"/>
      </w:divBdr>
    </w:div>
    <w:div w:id="1198348306">
      <w:bodyDiv w:val="1"/>
      <w:marLeft w:val="0"/>
      <w:marRight w:val="0"/>
      <w:marTop w:val="0"/>
      <w:marBottom w:val="0"/>
      <w:divBdr>
        <w:top w:val="none" w:sz="0" w:space="0" w:color="auto"/>
        <w:left w:val="none" w:sz="0" w:space="0" w:color="auto"/>
        <w:bottom w:val="none" w:sz="0" w:space="0" w:color="auto"/>
        <w:right w:val="none" w:sz="0" w:space="0" w:color="auto"/>
      </w:divBdr>
    </w:div>
    <w:div w:id="1199902057">
      <w:bodyDiv w:val="1"/>
      <w:marLeft w:val="0"/>
      <w:marRight w:val="0"/>
      <w:marTop w:val="0"/>
      <w:marBottom w:val="0"/>
      <w:divBdr>
        <w:top w:val="none" w:sz="0" w:space="0" w:color="auto"/>
        <w:left w:val="none" w:sz="0" w:space="0" w:color="auto"/>
        <w:bottom w:val="none" w:sz="0" w:space="0" w:color="auto"/>
        <w:right w:val="none" w:sz="0" w:space="0" w:color="auto"/>
      </w:divBdr>
      <w:divsChild>
        <w:div w:id="2020309426">
          <w:marLeft w:val="0"/>
          <w:marRight w:val="0"/>
          <w:marTop w:val="0"/>
          <w:marBottom w:val="0"/>
          <w:divBdr>
            <w:top w:val="none" w:sz="0" w:space="0" w:color="auto"/>
            <w:left w:val="none" w:sz="0" w:space="0" w:color="auto"/>
            <w:bottom w:val="none" w:sz="0" w:space="0" w:color="auto"/>
            <w:right w:val="none" w:sz="0" w:space="0" w:color="auto"/>
          </w:divBdr>
          <w:divsChild>
            <w:div w:id="987826690">
              <w:marLeft w:val="0"/>
              <w:marRight w:val="0"/>
              <w:marTop w:val="0"/>
              <w:marBottom w:val="0"/>
              <w:divBdr>
                <w:top w:val="none" w:sz="0" w:space="0" w:color="auto"/>
                <w:left w:val="none" w:sz="0" w:space="0" w:color="auto"/>
                <w:bottom w:val="none" w:sz="0" w:space="0" w:color="auto"/>
                <w:right w:val="none" w:sz="0" w:space="0" w:color="auto"/>
              </w:divBdr>
              <w:divsChild>
                <w:div w:id="1219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3737">
      <w:bodyDiv w:val="1"/>
      <w:marLeft w:val="0"/>
      <w:marRight w:val="0"/>
      <w:marTop w:val="0"/>
      <w:marBottom w:val="0"/>
      <w:divBdr>
        <w:top w:val="none" w:sz="0" w:space="0" w:color="auto"/>
        <w:left w:val="none" w:sz="0" w:space="0" w:color="auto"/>
        <w:bottom w:val="none" w:sz="0" w:space="0" w:color="auto"/>
        <w:right w:val="none" w:sz="0" w:space="0" w:color="auto"/>
      </w:divBdr>
      <w:divsChild>
        <w:div w:id="1754624433">
          <w:marLeft w:val="0"/>
          <w:marRight w:val="0"/>
          <w:marTop w:val="0"/>
          <w:marBottom w:val="0"/>
          <w:divBdr>
            <w:top w:val="none" w:sz="0" w:space="0" w:color="auto"/>
            <w:left w:val="none" w:sz="0" w:space="0" w:color="auto"/>
            <w:bottom w:val="none" w:sz="0" w:space="0" w:color="auto"/>
            <w:right w:val="none" w:sz="0" w:space="0" w:color="auto"/>
          </w:divBdr>
        </w:div>
      </w:divsChild>
    </w:div>
    <w:div w:id="1261908422">
      <w:bodyDiv w:val="1"/>
      <w:marLeft w:val="0"/>
      <w:marRight w:val="0"/>
      <w:marTop w:val="0"/>
      <w:marBottom w:val="0"/>
      <w:divBdr>
        <w:top w:val="none" w:sz="0" w:space="0" w:color="auto"/>
        <w:left w:val="none" w:sz="0" w:space="0" w:color="auto"/>
        <w:bottom w:val="none" w:sz="0" w:space="0" w:color="auto"/>
        <w:right w:val="none" w:sz="0" w:space="0" w:color="auto"/>
      </w:divBdr>
    </w:div>
    <w:div w:id="1262953694">
      <w:bodyDiv w:val="1"/>
      <w:marLeft w:val="0"/>
      <w:marRight w:val="0"/>
      <w:marTop w:val="0"/>
      <w:marBottom w:val="0"/>
      <w:divBdr>
        <w:top w:val="none" w:sz="0" w:space="0" w:color="auto"/>
        <w:left w:val="none" w:sz="0" w:space="0" w:color="auto"/>
        <w:bottom w:val="none" w:sz="0" w:space="0" w:color="auto"/>
        <w:right w:val="none" w:sz="0" w:space="0" w:color="auto"/>
      </w:divBdr>
    </w:div>
    <w:div w:id="1272394558">
      <w:bodyDiv w:val="1"/>
      <w:marLeft w:val="0"/>
      <w:marRight w:val="0"/>
      <w:marTop w:val="0"/>
      <w:marBottom w:val="0"/>
      <w:divBdr>
        <w:top w:val="none" w:sz="0" w:space="0" w:color="auto"/>
        <w:left w:val="none" w:sz="0" w:space="0" w:color="auto"/>
        <w:bottom w:val="none" w:sz="0" w:space="0" w:color="auto"/>
        <w:right w:val="none" w:sz="0" w:space="0" w:color="auto"/>
      </w:divBdr>
    </w:div>
    <w:div w:id="1274096997">
      <w:bodyDiv w:val="1"/>
      <w:marLeft w:val="0"/>
      <w:marRight w:val="0"/>
      <w:marTop w:val="0"/>
      <w:marBottom w:val="0"/>
      <w:divBdr>
        <w:top w:val="none" w:sz="0" w:space="0" w:color="auto"/>
        <w:left w:val="none" w:sz="0" w:space="0" w:color="auto"/>
        <w:bottom w:val="none" w:sz="0" w:space="0" w:color="auto"/>
        <w:right w:val="none" w:sz="0" w:space="0" w:color="auto"/>
      </w:divBdr>
    </w:div>
    <w:div w:id="1274440027">
      <w:bodyDiv w:val="1"/>
      <w:marLeft w:val="0"/>
      <w:marRight w:val="0"/>
      <w:marTop w:val="0"/>
      <w:marBottom w:val="0"/>
      <w:divBdr>
        <w:top w:val="none" w:sz="0" w:space="0" w:color="auto"/>
        <w:left w:val="none" w:sz="0" w:space="0" w:color="auto"/>
        <w:bottom w:val="none" w:sz="0" w:space="0" w:color="auto"/>
        <w:right w:val="none" w:sz="0" w:space="0" w:color="auto"/>
      </w:divBdr>
      <w:divsChild>
        <w:div w:id="296498775">
          <w:marLeft w:val="0"/>
          <w:marRight w:val="0"/>
          <w:marTop w:val="0"/>
          <w:marBottom w:val="0"/>
          <w:divBdr>
            <w:top w:val="none" w:sz="0" w:space="0" w:color="auto"/>
            <w:left w:val="none" w:sz="0" w:space="0" w:color="auto"/>
            <w:bottom w:val="none" w:sz="0" w:space="0" w:color="auto"/>
            <w:right w:val="none" w:sz="0" w:space="0" w:color="auto"/>
          </w:divBdr>
          <w:divsChild>
            <w:div w:id="1849979435">
              <w:marLeft w:val="0"/>
              <w:marRight w:val="0"/>
              <w:marTop w:val="0"/>
              <w:marBottom w:val="0"/>
              <w:divBdr>
                <w:top w:val="none" w:sz="0" w:space="0" w:color="auto"/>
                <w:left w:val="none" w:sz="0" w:space="0" w:color="auto"/>
                <w:bottom w:val="none" w:sz="0" w:space="0" w:color="auto"/>
                <w:right w:val="none" w:sz="0" w:space="0" w:color="auto"/>
              </w:divBdr>
              <w:divsChild>
                <w:div w:id="20337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2618">
      <w:bodyDiv w:val="1"/>
      <w:marLeft w:val="0"/>
      <w:marRight w:val="0"/>
      <w:marTop w:val="0"/>
      <w:marBottom w:val="0"/>
      <w:divBdr>
        <w:top w:val="none" w:sz="0" w:space="0" w:color="auto"/>
        <w:left w:val="none" w:sz="0" w:space="0" w:color="auto"/>
        <w:bottom w:val="none" w:sz="0" w:space="0" w:color="auto"/>
        <w:right w:val="none" w:sz="0" w:space="0" w:color="auto"/>
      </w:divBdr>
    </w:div>
    <w:div w:id="1280533412">
      <w:bodyDiv w:val="1"/>
      <w:marLeft w:val="0"/>
      <w:marRight w:val="0"/>
      <w:marTop w:val="0"/>
      <w:marBottom w:val="0"/>
      <w:divBdr>
        <w:top w:val="none" w:sz="0" w:space="0" w:color="auto"/>
        <w:left w:val="none" w:sz="0" w:space="0" w:color="auto"/>
        <w:bottom w:val="none" w:sz="0" w:space="0" w:color="auto"/>
        <w:right w:val="none" w:sz="0" w:space="0" w:color="auto"/>
      </w:divBdr>
    </w:div>
    <w:div w:id="1282882792">
      <w:bodyDiv w:val="1"/>
      <w:marLeft w:val="0"/>
      <w:marRight w:val="0"/>
      <w:marTop w:val="0"/>
      <w:marBottom w:val="0"/>
      <w:divBdr>
        <w:top w:val="none" w:sz="0" w:space="0" w:color="auto"/>
        <w:left w:val="none" w:sz="0" w:space="0" w:color="auto"/>
        <w:bottom w:val="none" w:sz="0" w:space="0" w:color="auto"/>
        <w:right w:val="none" w:sz="0" w:space="0" w:color="auto"/>
      </w:divBdr>
    </w:div>
    <w:div w:id="1292248675">
      <w:bodyDiv w:val="1"/>
      <w:marLeft w:val="0"/>
      <w:marRight w:val="0"/>
      <w:marTop w:val="0"/>
      <w:marBottom w:val="0"/>
      <w:divBdr>
        <w:top w:val="none" w:sz="0" w:space="0" w:color="auto"/>
        <w:left w:val="none" w:sz="0" w:space="0" w:color="auto"/>
        <w:bottom w:val="none" w:sz="0" w:space="0" w:color="auto"/>
        <w:right w:val="none" w:sz="0" w:space="0" w:color="auto"/>
      </w:divBdr>
      <w:divsChild>
        <w:div w:id="1285426232">
          <w:marLeft w:val="0"/>
          <w:marRight w:val="0"/>
          <w:marTop w:val="0"/>
          <w:marBottom w:val="0"/>
          <w:divBdr>
            <w:top w:val="none" w:sz="0" w:space="0" w:color="auto"/>
            <w:left w:val="none" w:sz="0" w:space="0" w:color="auto"/>
            <w:bottom w:val="none" w:sz="0" w:space="0" w:color="auto"/>
            <w:right w:val="none" w:sz="0" w:space="0" w:color="auto"/>
          </w:divBdr>
          <w:divsChild>
            <w:div w:id="1329557647">
              <w:marLeft w:val="0"/>
              <w:marRight w:val="0"/>
              <w:marTop w:val="0"/>
              <w:marBottom w:val="0"/>
              <w:divBdr>
                <w:top w:val="none" w:sz="0" w:space="0" w:color="auto"/>
                <w:left w:val="none" w:sz="0" w:space="0" w:color="auto"/>
                <w:bottom w:val="none" w:sz="0" w:space="0" w:color="auto"/>
                <w:right w:val="none" w:sz="0" w:space="0" w:color="auto"/>
              </w:divBdr>
              <w:divsChild>
                <w:div w:id="2107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4642">
      <w:bodyDiv w:val="1"/>
      <w:marLeft w:val="0"/>
      <w:marRight w:val="0"/>
      <w:marTop w:val="0"/>
      <w:marBottom w:val="0"/>
      <w:divBdr>
        <w:top w:val="none" w:sz="0" w:space="0" w:color="auto"/>
        <w:left w:val="none" w:sz="0" w:space="0" w:color="auto"/>
        <w:bottom w:val="none" w:sz="0" w:space="0" w:color="auto"/>
        <w:right w:val="none" w:sz="0" w:space="0" w:color="auto"/>
      </w:divBdr>
    </w:div>
    <w:div w:id="1329476172">
      <w:bodyDiv w:val="1"/>
      <w:marLeft w:val="0"/>
      <w:marRight w:val="0"/>
      <w:marTop w:val="0"/>
      <w:marBottom w:val="0"/>
      <w:divBdr>
        <w:top w:val="none" w:sz="0" w:space="0" w:color="auto"/>
        <w:left w:val="none" w:sz="0" w:space="0" w:color="auto"/>
        <w:bottom w:val="none" w:sz="0" w:space="0" w:color="auto"/>
        <w:right w:val="none" w:sz="0" w:space="0" w:color="auto"/>
      </w:divBdr>
    </w:div>
    <w:div w:id="1368599189">
      <w:bodyDiv w:val="1"/>
      <w:marLeft w:val="0"/>
      <w:marRight w:val="0"/>
      <w:marTop w:val="0"/>
      <w:marBottom w:val="0"/>
      <w:divBdr>
        <w:top w:val="none" w:sz="0" w:space="0" w:color="auto"/>
        <w:left w:val="none" w:sz="0" w:space="0" w:color="auto"/>
        <w:bottom w:val="none" w:sz="0" w:space="0" w:color="auto"/>
        <w:right w:val="none" w:sz="0" w:space="0" w:color="auto"/>
      </w:divBdr>
    </w:div>
    <w:div w:id="1380856451">
      <w:bodyDiv w:val="1"/>
      <w:marLeft w:val="0"/>
      <w:marRight w:val="0"/>
      <w:marTop w:val="0"/>
      <w:marBottom w:val="0"/>
      <w:divBdr>
        <w:top w:val="none" w:sz="0" w:space="0" w:color="auto"/>
        <w:left w:val="none" w:sz="0" w:space="0" w:color="auto"/>
        <w:bottom w:val="none" w:sz="0" w:space="0" w:color="auto"/>
        <w:right w:val="none" w:sz="0" w:space="0" w:color="auto"/>
      </w:divBdr>
    </w:div>
    <w:div w:id="1396397683">
      <w:bodyDiv w:val="1"/>
      <w:marLeft w:val="0"/>
      <w:marRight w:val="0"/>
      <w:marTop w:val="0"/>
      <w:marBottom w:val="0"/>
      <w:divBdr>
        <w:top w:val="none" w:sz="0" w:space="0" w:color="auto"/>
        <w:left w:val="none" w:sz="0" w:space="0" w:color="auto"/>
        <w:bottom w:val="none" w:sz="0" w:space="0" w:color="auto"/>
        <w:right w:val="none" w:sz="0" w:space="0" w:color="auto"/>
      </w:divBdr>
    </w:div>
    <w:div w:id="1408923544">
      <w:bodyDiv w:val="1"/>
      <w:marLeft w:val="0"/>
      <w:marRight w:val="0"/>
      <w:marTop w:val="0"/>
      <w:marBottom w:val="0"/>
      <w:divBdr>
        <w:top w:val="none" w:sz="0" w:space="0" w:color="auto"/>
        <w:left w:val="none" w:sz="0" w:space="0" w:color="auto"/>
        <w:bottom w:val="none" w:sz="0" w:space="0" w:color="auto"/>
        <w:right w:val="none" w:sz="0" w:space="0" w:color="auto"/>
      </w:divBdr>
      <w:divsChild>
        <w:div w:id="1636717300">
          <w:marLeft w:val="0"/>
          <w:marRight w:val="0"/>
          <w:marTop w:val="0"/>
          <w:marBottom w:val="0"/>
          <w:divBdr>
            <w:top w:val="none" w:sz="0" w:space="0" w:color="auto"/>
            <w:left w:val="none" w:sz="0" w:space="0" w:color="auto"/>
            <w:bottom w:val="none" w:sz="0" w:space="0" w:color="auto"/>
            <w:right w:val="none" w:sz="0" w:space="0" w:color="auto"/>
          </w:divBdr>
        </w:div>
        <w:div w:id="871263182">
          <w:marLeft w:val="0"/>
          <w:marRight w:val="0"/>
          <w:marTop w:val="0"/>
          <w:marBottom w:val="0"/>
          <w:divBdr>
            <w:top w:val="none" w:sz="0" w:space="0" w:color="auto"/>
            <w:left w:val="none" w:sz="0" w:space="0" w:color="auto"/>
            <w:bottom w:val="none" w:sz="0" w:space="0" w:color="auto"/>
            <w:right w:val="none" w:sz="0" w:space="0" w:color="auto"/>
          </w:divBdr>
          <w:divsChild>
            <w:div w:id="384112387">
              <w:marLeft w:val="0"/>
              <w:marRight w:val="165"/>
              <w:marTop w:val="150"/>
              <w:marBottom w:val="0"/>
              <w:divBdr>
                <w:top w:val="none" w:sz="0" w:space="0" w:color="auto"/>
                <w:left w:val="none" w:sz="0" w:space="0" w:color="auto"/>
                <w:bottom w:val="none" w:sz="0" w:space="0" w:color="auto"/>
                <w:right w:val="none" w:sz="0" w:space="0" w:color="auto"/>
              </w:divBdr>
              <w:divsChild>
                <w:div w:id="470906715">
                  <w:marLeft w:val="0"/>
                  <w:marRight w:val="0"/>
                  <w:marTop w:val="0"/>
                  <w:marBottom w:val="0"/>
                  <w:divBdr>
                    <w:top w:val="none" w:sz="0" w:space="0" w:color="auto"/>
                    <w:left w:val="none" w:sz="0" w:space="0" w:color="auto"/>
                    <w:bottom w:val="none" w:sz="0" w:space="0" w:color="auto"/>
                    <w:right w:val="none" w:sz="0" w:space="0" w:color="auto"/>
                  </w:divBdr>
                  <w:divsChild>
                    <w:div w:id="19499641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5288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4541">
      <w:bodyDiv w:val="1"/>
      <w:marLeft w:val="0"/>
      <w:marRight w:val="0"/>
      <w:marTop w:val="0"/>
      <w:marBottom w:val="0"/>
      <w:divBdr>
        <w:top w:val="none" w:sz="0" w:space="0" w:color="auto"/>
        <w:left w:val="none" w:sz="0" w:space="0" w:color="auto"/>
        <w:bottom w:val="none" w:sz="0" w:space="0" w:color="auto"/>
        <w:right w:val="none" w:sz="0" w:space="0" w:color="auto"/>
      </w:divBdr>
    </w:div>
    <w:div w:id="1423258206">
      <w:bodyDiv w:val="1"/>
      <w:marLeft w:val="0"/>
      <w:marRight w:val="0"/>
      <w:marTop w:val="0"/>
      <w:marBottom w:val="0"/>
      <w:divBdr>
        <w:top w:val="none" w:sz="0" w:space="0" w:color="auto"/>
        <w:left w:val="none" w:sz="0" w:space="0" w:color="auto"/>
        <w:bottom w:val="none" w:sz="0" w:space="0" w:color="auto"/>
        <w:right w:val="none" w:sz="0" w:space="0" w:color="auto"/>
      </w:divBdr>
    </w:div>
    <w:div w:id="1427340055">
      <w:bodyDiv w:val="1"/>
      <w:marLeft w:val="0"/>
      <w:marRight w:val="0"/>
      <w:marTop w:val="0"/>
      <w:marBottom w:val="0"/>
      <w:divBdr>
        <w:top w:val="none" w:sz="0" w:space="0" w:color="auto"/>
        <w:left w:val="none" w:sz="0" w:space="0" w:color="auto"/>
        <w:bottom w:val="none" w:sz="0" w:space="0" w:color="auto"/>
        <w:right w:val="none" w:sz="0" w:space="0" w:color="auto"/>
      </w:divBdr>
    </w:div>
    <w:div w:id="1433088731">
      <w:bodyDiv w:val="1"/>
      <w:marLeft w:val="0"/>
      <w:marRight w:val="0"/>
      <w:marTop w:val="0"/>
      <w:marBottom w:val="0"/>
      <w:divBdr>
        <w:top w:val="none" w:sz="0" w:space="0" w:color="auto"/>
        <w:left w:val="none" w:sz="0" w:space="0" w:color="auto"/>
        <w:bottom w:val="none" w:sz="0" w:space="0" w:color="auto"/>
        <w:right w:val="none" w:sz="0" w:space="0" w:color="auto"/>
      </w:divBdr>
      <w:divsChild>
        <w:div w:id="1660502910">
          <w:marLeft w:val="0"/>
          <w:marRight w:val="0"/>
          <w:marTop w:val="0"/>
          <w:marBottom w:val="0"/>
          <w:divBdr>
            <w:top w:val="none" w:sz="0" w:space="0" w:color="auto"/>
            <w:left w:val="none" w:sz="0" w:space="0" w:color="auto"/>
            <w:bottom w:val="none" w:sz="0" w:space="0" w:color="auto"/>
            <w:right w:val="none" w:sz="0" w:space="0" w:color="auto"/>
          </w:divBdr>
          <w:divsChild>
            <w:div w:id="594287110">
              <w:marLeft w:val="0"/>
              <w:marRight w:val="0"/>
              <w:marTop w:val="0"/>
              <w:marBottom w:val="0"/>
              <w:divBdr>
                <w:top w:val="none" w:sz="0" w:space="0" w:color="auto"/>
                <w:left w:val="none" w:sz="0" w:space="0" w:color="auto"/>
                <w:bottom w:val="none" w:sz="0" w:space="0" w:color="auto"/>
                <w:right w:val="none" w:sz="0" w:space="0" w:color="auto"/>
              </w:divBdr>
              <w:divsChild>
                <w:div w:id="3568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29">
      <w:bodyDiv w:val="1"/>
      <w:marLeft w:val="0"/>
      <w:marRight w:val="0"/>
      <w:marTop w:val="0"/>
      <w:marBottom w:val="0"/>
      <w:divBdr>
        <w:top w:val="none" w:sz="0" w:space="0" w:color="auto"/>
        <w:left w:val="none" w:sz="0" w:space="0" w:color="auto"/>
        <w:bottom w:val="none" w:sz="0" w:space="0" w:color="auto"/>
        <w:right w:val="none" w:sz="0" w:space="0" w:color="auto"/>
      </w:divBdr>
    </w:div>
    <w:div w:id="1480608778">
      <w:bodyDiv w:val="1"/>
      <w:marLeft w:val="0"/>
      <w:marRight w:val="0"/>
      <w:marTop w:val="0"/>
      <w:marBottom w:val="0"/>
      <w:divBdr>
        <w:top w:val="none" w:sz="0" w:space="0" w:color="auto"/>
        <w:left w:val="none" w:sz="0" w:space="0" w:color="auto"/>
        <w:bottom w:val="none" w:sz="0" w:space="0" w:color="auto"/>
        <w:right w:val="none" w:sz="0" w:space="0" w:color="auto"/>
      </w:divBdr>
    </w:div>
    <w:div w:id="1485468857">
      <w:bodyDiv w:val="1"/>
      <w:marLeft w:val="0"/>
      <w:marRight w:val="0"/>
      <w:marTop w:val="0"/>
      <w:marBottom w:val="0"/>
      <w:divBdr>
        <w:top w:val="none" w:sz="0" w:space="0" w:color="auto"/>
        <w:left w:val="none" w:sz="0" w:space="0" w:color="auto"/>
        <w:bottom w:val="none" w:sz="0" w:space="0" w:color="auto"/>
        <w:right w:val="none" w:sz="0" w:space="0" w:color="auto"/>
      </w:divBdr>
      <w:divsChild>
        <w:div w:id="510602696">
          <w:marLeft w:val="0"/>
          <w:marRight w:val="0"/>
          <w:marTop w:val="0"/>
          <w:marBottom w:val="0"/>
          <w:divBdr>
            <w:top w:val="none" w:sz="0" w:space="0" w:color="auto"/>
            <w:left w:val="none" w:sz="0" w:space="0" w:color="auto"/>
            <w:bottom w:val="none" w:sz="0" w:space="0" w:color="auto"/>
            <w:right w:val="none" w:sz="0" w:space="0" w:color="auto"/>
          </w:divBdr>
          <w:divsChild>
            <w:div w:id="281765232">
              <w:marLeft w:val="0"/>
              <w:marRight w:val="0"/>
              <w:marTop w:val="0"/>
              <w:marBottom w:val="0"/>
              <w:divBdr>
                <w:top w:val="none" w:sz="0" w:space="0" w:color="auto"/>
                <w:left w:val="none" w:sz="0" w:space="0" w:color="auto"/>
                <w:bottom w:val="none" w:sz="0" w:space="0" w:color="auto"/>
                <w:right w:val="none" w:sz="0" w:space="0" w:color="auto"/>
              </w:divBdr>
              <w:divsChild>
                <w:div w:id="19787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0879">
      <w:bodyDiv w:val="1"/>
      <w:marLeft w:val="0"/>
      <w:marRight w:val="0"/>
      <w:marTop w:val="0"/>
      <w:marBottom w:val="0"/>
      <w:divBdr>
        <w:top w:val="none" w:sz="0" w:space="0" w:color="auto"/>
        <w:left w:val="none" w:sz="0" w:space="0" w:color="auto"/>
        <w:bottom w:val="none" w:sz="0" w:space="0" w:color="auto"/>
        <w:right w:val="none" w:sz="0" w:space="0" w:color="auto"/>
      </w:divBdr>
    </w:div>
    <w:div w:id="1494299536">
      <w:bodyDiv w:val="1"/>
      <w:marLeft w:val="0"/>
      <w:marRight w:val="0"/>
      <w:marTop w:val="0"/>
      <w:marBottom w:val="0"/>
      <w:divBdr>
        <w:top w:val="none" w:sz="0" w:space="0" w:color="auto"/>
        <w:left w:val="none" w:sz="0" w:space="0" w:color="auto"/>
        <w:bottom w:val="none" w:sz="0" w:space="0" w:color="auto"/>
        <w:right w:val="none" w:sz="0" w:space="0" w:color="auto"/>
      </w:divBdr>
      <w:divsChild>
        <w:div w:id="466898834">
          <w:marLeft w:val="0"/>
          <w:marRight w:val="0"/>
          <w:marTop w:val="0"/>
          <w:marBottom w:val="0"/>
          <w:divBdr>
            <w:top w:val="none" w:sz="0" w:space="0" w:color="auto"/>
            <w:left w:val="none" w:sz="0" w:space="0" w:color="auto"/>
            <w:bottom w:val="none" w:sz="0" w:space="0" w:color="auto"/>
            <w:right w:val="none" w:sz="0" w:space="0" w:color="auto"/>
          </w:divBdr>
          <w:divsChild>
            <w:div w:id="1328174063">
              <w:marLeft w:val="0"/>
              <w:marRight w:val="0"/>
              <w:marTop w:val="0"/>
              <w:marBottom w:val="0"/>
              <w:divBdr>
                <w:top w:val="none" w:sz="0" w:space="0" w:color="auto"/>
                <w:left w:val="none" w:sz="0" w:space="0" w:color="auto"/>
                <w:bottom w:val="none" w:sz="0" w:space="0" w:color="auto"/>
                <w:right w:val="none" w:sz="0" w:space="0" w:color="auto"/>
              </w:divBdr>
              <w:divsChild>
                <w:div w:id="1901401298">
                  <w:marLeft w:val="0"/>
                  <w:marRight w:val="0"/>
                  <w:marTop w:val="0"/>
                  <w:marBottom w:val="0"/>
                  <w:divBdr>
                    <w:top w:val="none" w:sz="0" w:space="0" w:color="auto"/>
                    <w:left w:val="none" w:sz="0" w:space="0" w:color="auto"/>
                    <w:bottom w:val="none" w:sz="0" w:space="0" w:color="auto"/>
                    <w:right w:val="none" w:sz="0" w:space="0" w:color="auto"/>
                  </w:divBdr>
                  <w:divsChild>
                    <w:div w:id="1270310305">
                      <w:marLeft w:val="0"/>
                      <w:marRight w:val="0"/>
                      <w:marTop w:val="0"/>
                      <w:marBottom w:val="0"/>
                      <w:divBdr>
                        <w:top w:val="none" w:sz="0" w:space="0" w:color="auto"/>
                        <w:left w:val="none" w:sz="0" w:space="0" w:color="auto"/>
                        <w:bottom w:val="none" w:sz="0" w:space="0" w:color="auto"/>
                        <w:right w:val="none" w:sz="0" w:space="0" w:color="auto"/>
                      </w:divBdr>
                      <w:divsChild>
                        <w:div w:id="1698041625">
                          <w:marLeft w:val="0"/>
                          <w:marRight w:val="0"/>
                          <w:marTop w:val="0"/>
                          <w:marBottom w:val="0"/>
                          <w:divBdr>
                            <w:top w:val="none" w:sz="0" w:space="0" w:color="auto"/>
                            <w:left w:val="none" w:sz="0" w:space="0" w:color="auto"/>
                            <w:bottom w:val="none" w:sz="0" w:space="0" w:color="auto"/>
                            <w:right w:val="none" w:sz="0" w:space="0" w:color="auto"/>
                          </w:divBdr>
                          <w:divsChild>
                            <w:div w:id="236600427">
                              <w:marLeft w:val="0"/>
                              <w:marRight w:val="0"/>
                              <w:marTop w:val="0"/>
                              <w:marBottom w:val="0"/>
                              <w:divBdr>
                                <w:top w:val="none" w:sz="0" w:space="0" w:color="auto"/>
                                <w:left w:val="none" w:sz="0" w:space="0" w:color="auto"/>
                                <w:bottom w:val="none" w:sz="0" w:space="0" w:color="auto"/>
                                <w:right w:val="none" w:sz="0" w:space="0" w:color="auto"/>
                              </w:divBdr>
                              <w:divsChild>
                                <w:div w:id="1263761016">
                                  <w:marLeft w:val="0"/>
                                  <w:marRight w:val="0"/>
                                  <w:marTop w:val="0"/>
                                  <w:marBottom w:val="0"/>
                                  <w:divBdr>
                                    <w:top w:val="none" w:sz="0" w:space="0" w:color="auto"/>
                                    <w:left w:val="none" w:sz="0" w:space="0" w:color="auto"/>
                                    <w:bottom w:val="none" w:sz="0" w:space="0" w:color="auto"/>
                                    <w:right w:val="none" w:sz="0" w:space="0" w:color="auto"/>
                                  </w:divBdr>
                                  <w:divsChild>
                                    <w:div w:id="1227911148">
                                      <w:marLeft w:val="0"/>
                                      <w:marRight w:val="0"/>
                                      <w:marTop w:val="0"/>
                                      <w:marBottom w:val="0"/>
                                      <w:divBdr>
                                        <w:top w:val="none" w:sz="0" w:space="0" w:color="auto"/>
                                        <w:left w:val="none" w:sz="0" w:space="0" w:color="auto"/>
                                        <w:bottom w:val="none" w:sz="0" w:space="0" w:color="auto"/>
                                        <w:right w:val="none" w:sz="0" w:space="0" w:color="auto"/>
                                      </w:divBdr>
                                      <w:divsChild>
                                        <w:div w:id="1290623141">
                                          <w:marLeft w:val="0"/>
                                          <w:marRight w:val="165"/>
                                          <w:marTop w:val="150"/>
                                          <w:marBottom w:val="0"/>
                                          <w:divBdr>
                                            <w:top w:val="none" w:sz="0" w:space="0" w:color="auto"/>
                                            <w:left w:val="none" w:sz="0" w:space="0" w:color="auto"/>
                                            <w:bottom w:val="none" w:sz="0" w:space="0" w:color="auto"/>
                                            <w:right w:val="none" w:sz="0" w:space="0" w:color="auto"/>
                                          </w:divBdr>
                                          <w:divsChild>
                                            <w:div w:id="1345860246">
                                              <w:marLeft w:val="0"/>
                                              <w:marRight w:val="0"/>
                                              <w:marTop w:val="0"/>
                                              <w:marBottom w:val="0"/>
                                              <w:divBdr>
                                                <w:top w:val="none" w:sz="0" w:space="0" w:color="auto"/>
                                                <w:left w:val="none" w:sz="0" w:space="0" w:color="auto"/>
                                                <w:bottom w:val="none" w:sz="0" w:space="0" w:color="auto"/>
                                                <w:right w:val="none" w:sz="0" w:space="0" w:color="auto"/>
                                              </w:divBdr>
                                              <w:divsChild>
                                                <w:div w:id="17535491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146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204234">
          <w:marLeft w:val="0"/>
          <w:marRight w:val="0"/>
          <w:marTop w:val="240"/>
          <w:marBottom w:val="0"/>
          <w:divBdr>
            <w:top w:val="none" w:sz="0" w:space="0" w:color="auto"/>
            <w:left w:val="none" w:sz="0" w:space="0" w:color="auto"/>
            <w:bottom w:val="none" w:sz="0" w:space="0" w:color="auto"/>
            <w:right w:val="none" w:sz="0" w:space="0" w:color="auto"/>
          </w:divBdr>
        </w:div>
      </w:divsChild>
    </w:div>
    <w:div w:id="1512723868">
      <w:bodyDiv w:val="1"/>
      <w:marLeft w:val="0"/>
      <w:marRight w:val="0"/>
      <w:marTop w:val="0"/>
      <w:marBottom w:val="0"/>
      <w:divBdr>
        <w:top w:val="none" w:sz="0" w:space="0" w:color="auto"/>
        <w:left w:val="none" w:sz="0" w:space="0" w:color="auto"/>
        <w:bottom w:val="none" w:sz="0" w:space="0" w:color="auto"/>
        <w:right w:val="none" w:sz="0" w:space="0" w:color="auto"/>
      </w:divBdr>
      <w:divsChild>
        <w:div w:id="1091005783">
          <w:marLeft w:val="0"/>
          <w:marRight w:val="0"/>
          <w:marTop w:val="0"/>
          <w:marBottom w:val="0"/>
          <w:divBdr>
            <w:top w:val="none" w:sz="0" w:space="0" w:color="auto"/>
            <w:left w:val="none" w:sz="0" w:space="0" w:color="auto"/>
            <w:bottom w:val="none" w:sz="0" w:space="0" w:color="auto"/>
            <w:right w:val="none" w:sz="0" w:space="0" w:color="auto"/>
          </w:divBdr>
          <w:divsChild>
            <w:div w:id="2059544450">
              <w:marLeft w:val="0"/>
              <w:marRight w:val="0"/>
              <w:marTop w:val="0"/>
              <w:marBottom w:val="0"/>
              <w:divBdr>
                <w:top w:val="none" w:sz="0" w:space="0" w:color="auto"/>
                <w:left w:val="none" w:sz="0" w:space="0" w:color="auto"/>
                <w:bottom w:val="none" w:sz="0" w:space="0" w:color="auto"/>
                <w:right w:val="none" w:sz="0" w:space="0" w:color="auto"/>
              </w:divBdr>
              <w:divsChild>
                <w:div w:id="1365473385">
                  <w:marLeft w:val="0"/>
                  <w:marRight w:val="0"/>
                  <w:marTop w:val="0"/>
                  <w:marBottom w:val="0"/>
                  <w:divBdr>
                    <w:top w:val="none" w:sz="0" w:space="0" w:color="auto"/>
                    <w:left w:val="none" w:sz="0" w:space="0" w:color="auto"/>
                    <w:bottom w:val="none" w:sz="0" w:space="0" w:color="auto"/>
                    <w:right w:val="none" w:sz="0" w:space="0" w:color="auto"/>
                  </w:divBdr>
                  <w:divsChild>
                    <w:div w:id="16467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5016">
      <w:bodyDiv w:val="1"/>
      <w:marLeft w:val="0"/>
      <w:marRight w:val="0"/>
      <w:marTop w:val="0"/>
      <w:marBottom w:val="0"/>
      <w:divBdr>
        <w:top w:val="none" w:sz="0" w:space="0" w:color="auto"/>
        <w:left w:val="none" w:sz="0" w:space="0" w:color="auto"/>
        <w:bottom w:val="none" w:sz="0" w:space="0" w:color="auto"/>
        <w:right w:val="none" w:sz="0" w:space="0" w:color="auto"/>
      </w:divBdr>
    </w:div>
    <w:div w:id="1534152261">
      <w:bodyDiv w:val="1"/>
      <w:marLeft w:val="0"/>
      <w:marRight w:val="0"/>
      <w:marTop w:val="0"/>
      <w:marBottom w:val="0"/>
      <w:divBdr>
        <w:top w:val="none" w:sz="0" w:space="0" w:color="auto"/>
        <w:left w:val="none" w:sz="0" w:space="0" w:color="auto"/>
        <w:bottom w:val="none" w:sz="0" w:space="0" w:color="auto"/>
        <w:right w:val="none" w:sz="0" w:space="0" w:color="auto"/>
      </w:divBdr>
    </w:div>
    <w:div w:id="1551963290">
      <w:bodyDiv w:val="1"/>
      <w:marLeft w:val="0"/>
      <w:marRight w:val="0"/>
      <w:marTop w:val="0"/>
      <w:marBottom w:val="0"/>
      <w:divBdr>
        <w:top w:val="none" w:sz="0" w:space="0" w:color="auto"/>
        <w:left w:val="none" w:sz="0" w:space="0" w:color="auto"/>
        <w:bottom w:val="none" w:sz="0" w:space="0" w:color="auto"/>
        <w:right w:val="none" w:sz="0" w:space="0" w:color="auto"/>
      </w:divBdr>
    </w:div>
    <w:div w:id="1552501868">
      <w:bodyDiv w:val="1"/>
      <w:marLeft w:val="0"/>
      <w:marRight w:val="0"/>
      <w:marTop w:val="0"/>
      <w:marBottom w:val="0"/>
      <w:divBdr>
        <w:top w:val="none" w:sz="0" w:space="0" w:color="auto"/>
        <w:left w:val="none" w:sz="0" w:space="0" w:color="auto"/>
        <w:bottom w:val="none" w:sz="0" w:space="0" w:color="auto"/>
        <w:right w:val="none" w:sz="0" w:space="0" w:color="auto"/>
      </w:divBdr>
    </w:div>
    <w:div w:id="1555966241">
      <w:bodyDiv w:val="1"/>
      <w:marLeft w:val="0"/>
      <w:marRight w:val="0"/>
      <w:marTop w:val="0"/>
      <w:marBottom w:val="0"/>
      <w:divBdr>
        <w:top w:val="none" w:sz="0" w:space="0" w:color="auto"/>
        <w:left w:val="none" w:sz="0" w:space="0" w:color="auto"/>
        <w:bottom w:val="none" w:sz="0" w:space="0" w:color="auto"/>
        <w:right w:val="none" w:sz="0" w:space="0" w:color="auto"/>
      </w:divBdr>
    </w:div>
    <w:div w:id="1556349642">
      <w:bodyDiv w:val="1"/>
      <w:marLeft w:val="0"/>
      <w:marRight w:val="0"/>
      <w:marTop w:val="0"/>
      <w:marBottom w:val="0"/>
      <w:divBdr>
        <w:top w:val="none" w:sz="0" w:space="0" w:color="auto"/>
        <w:left w:val="none" w:sz="0" w:space="0" w:color="auto"/>
        <w:bottom w:val="none" w:sz="0" w:space="0" w:color="auto"/>
        <w:right w:val="none" w:sz="0" w:space="0" w:color="auto"/>
      </w:divBdr>
    </w:div>
    <w:div w:id="1566452674">
      <w:bodyDiv w:val="1"/>
      <w:marLeft w:val="0"/>
      <w:marRight w:val="0"/>
      <w:marTop w:val="0"/>
      <w:marBottom w:val="0"/>
      <w:divBdr>
        <w:top w:val="none" w:sz="0" w:space="0" w:color="auto"/>
        <w:left w:val="none" w:sz="0" w:space="0" w:color="auto"/>
        <w:bottom w:val="none" w:sz="0" w:space="0" w:color="auto"/>
        <w:right w:val="none" w:sz="0" w:space="0" w:color="auto"/>
      </w:divBdr>
    </w:div>
    <w:div w:id="1575238032">
      <w:bodyDiv w:val="1"/>
      <w:marLeft w:val="0"/>
      <w:marRight w:val="0"/>
      <w:marTop w:val="0"/>
      <w:marBottom w:val="0"/>
      <w:divBdr>
        <w:top w:val="none" w:sz="0" w:space="0" w:color="auto"/>
        <w:left w:val="none" w:sz="0" w:space="0" w:color="auto"/>
        <w:bottom w:val="none" w:sz="0" w:space="0" w:color="auto"/>
        <w:right w:val="none" w:sz="0" w:space="0" w:color="auto"/>
      </w:divBdr>
    </w:div>
    <w:div w:id="1631084955">
      <w:bodyDiv w:val="1"/>
      <w:marLeft w:val="0"/>
      <w:marRight w:val="0"/>
      <w:marTop w:val="0"/>
      <w:marBottom w:val="0"/>
      <w:divBdr>
        <w:top w:val="none" w:sz="0" w:space="0" w:color="auto"/>
        <w:left w:val="none" w:sz="0" w:space="0" w:color="auto"/>
        <w:bottom w:val="none" w:sz="0" w:space="0" w:color="auto"/>
        <w:right w:val="none" w:sz="0" w:space="0" w:color="auto"/>
      </w:divBdr>
    </w:div>
    <w:div w:id="166192831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52">
          <w:marLeft w:val="0"/>
          <w:marRight w:val="0"/>
          <w:marTop w:val="0"/>
          <w:marBottom w:val="0"/>
          <w:divBdr>
            <w:top w:val="none" w:sz="0" w:space="0" w:color="auto"/>
            <w:left w:val="none" w:sz="0" w:space="0" w:color="auto"/>
            <w:bottom w:val="none" w:sz="0" w:space="0" w:color="auto"/>
            <w:right w:val="none" w:sz="0" w:space="0" w:color="auto"/>
          </w:divBdr>
        </w:div>
        <w:div w:id="405763069">
          <w:marLeft w:val="0"/>
          <w:marRight w:val="0"/>
          <w:marTop w:val="0"/>
          <w:marBottom w:val="0"/>
          <w:divBdr>
            <w:top w:val="none" w:sz="0" w:space="0" w:color="auto"/>
            <w:left w:val="none" w:sz="0" w:space="0" w:color="auto"/>
            <w:bottom w:val="none" w:sz="0" w:space="0" w:color="auto"/>
            <w:right w:val="none" w:sz="0" w:space="0" w:color="auto"/>
          </w:divBdr>
          <w:divsChild>
            <w:div w:id="1582107387">
              <w:marLeft w:val="0"/>
              <w:marRight w:val="165"/>
              <w:marTop w:val="150"/>
              <w:marBottom w:val="0"/>
              <w:divBdr>
                <w:top w:val="none" w:sz="0" w:space="0" w:color="auto"/>
                <w:left w:val="none" w:sz="0" w:space="0" w:color="auto"/>
                <w:bottom w:val="none" w:sz="0" w:space="0" w:color="auto"/>
                <w:right w:val="none" w:sz="0" w:space="0" w:color="auto"/>
              </w:divBdr>
              <w:divsChild>
                <w:div w:id="1466393256">
                  <w:marLeft w:val="0"/>
                  <w:marRight w:val="0"/>
                  <w:marTop w:val="0"/>
                  <w:marBottom w:val="0"/>
                  <w:divBdr>
                    <w:top w:val="none" w:sz="0" w:space="0" w:color="auto"/>
                    <w:left w:val="none" w:sz="0" w:space="0" w:color="auto"/>
                    <w:bottom w:val="none" w:sz="0" w:space="0" w:color="auto"/>
                    <w:right w:val="none" w:sz="0" w:space="0" w:color="auto"/>
                  </w:divBdr>
                  <w:divsChild>
                    <w:div w:id="10589365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1913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622">
      <w:bodyDiv w:val="1"/>
      <w:marLeft w:val="0"/>
      <w:marRight w:val="0"/>
      <w:marTop w:val="0"/>
      <w:marBottom w:val="0"/>
      <w:divBdr>
        <w:top w:val="none" w:sz="0" w:space="0" w:color="auto"/>
        <w:left w:val="none" w:sz="0" w:space="0" w:color="auto"/>
        <w:bottom w:val="none" w:sz="0" w:space="0" w:color="auto"/>
        <w:right w:val="none" w:sz="0" w:space="0" w:color="auto"/>
      </w:divBdr>
      <w:divsChild>
        <w:div w:id="1970628141">
          <w:marLeft w:val="0"/>
          <w:marRight w:val="0"/>
          <w:marTop w:val="0"/>
          <w:marBottom w:val="0"/>
          <w:divBdr>
            <w:top w:val="none" w:sz="0" w:space="0" w:color="auto"/>
            <w:left w:val="none" w:sz="0" w:space="0" w:color="auto"/>
            <w:bottom w:val="none" w:sz="0" w:space="0" w:color="auto"/>
            <w:right w:val="none" w:sz="0" w:space="0" w:color="auto"/>
          </w:divBdr>
        </w:div>
      </w:divsChild>
    </w:div>
    <w:div w:id="1671827749">
      <w:bodyDiv w:val="1"/>
      <w:marLeft w:val="0"/>
      <w:marRight w:val="0"/>
      <w:marTop w:val="0"/>
      <w:marBottom w:val="0"/>
      <w:divBdr>
        <w:top w:val="none" w:sz="0" w:space="0" w:color="auto"/>
        <w:left w:val="none" w:sz="0" w:space="0" w:color="auto"/>
        <w:bottom w:val="none" w:sz="0" w:space="0" w:color="auto"/>
        <w:right w:val="none" w:sz="0" w:space="0" w:color="auto"/>
      </w:divBdr>
    </w:div>
    <w:div w:id="1674533190">
      <w:bodyDiv w:val="1"/>
      <w:marLeft w:val="0"/>
      <w:marRight w:val="0"/>
      <w:marTop w:val="0"/>
      <w:marBottom w:val="0"/>
      <w:divBdr>
        <w:top w:val="none" w:sz="0" w:space="0" w:color="auto"/>
        <w:left w:val="none" w:sz="0" w:space="0" w:color="auto"/>
        <w:bottom w:val="none" w:sz="0" w:space="0" w:color="auto"/>
        <w:right w:val="none" w:sz="0" w:space="0" w:color="auto"/>
      </w:divBdr>
    </w:div>
    <w:div w:id="1694333890">
      <w:bodyDiv w:val="1"/>
      <w:marLeft w:val="0"/>
      <w:marRight w:val="0"/>
      <w:marTop w:val="0"/>
      <w:marBottom w:val="0"/>
      <w:divBdr>
        <w:top w:val="none" w:sz="0" w:space="0" w:color="auto"/>
        <w:left w:val="none" w:sz="0" w:space="0" w:color="auto"/>
        <w:bottom w:val="none" w:sz="0" w:space="0" w:color="auto"/>
        <w:right w:val="none" w:sz="0" w:space="0" w:color="auto"/>
      </w:divBdr>
    </w:div>
    <w:div w:id="1703480793">
      <w:bodyDiv w:val="1"/>
      <w:marLeft w:val="0"/>
      <w:marRight w:val="0"/>
      <w:marTop w:val="0"/>
      <w:marBottom w:val="0"/>
      <w:divBdr>
        <w:top w:val="none" w:sz="0" w:space="0" w:color="auto"/>
        <w:left w:val="none" w:sz="0" w:space="0" w:color="auto"/>
        <w:bottom w:val="none" w:sz="0" w:space="0" w:color="auto"/>
        <w:right w:val="none" w:sz="0" w:space="0" w:color="auto"/>
      </w:divBdr>
    </w:div>
    <w:div w:id="1736779245">
      <w:bodyDiv w:val="1"/>
      <w:marLeft w:val="0"/>
      <w:marRight w:val="0"/>
      <w:marTop w:val="0"/>
      <w:marBottom w:val="0"/>
      <w:divBdr>
        <w:top w:val="none" w:sz="0" w:space="0" w:color="auto"/>
        <w:left w:val="none" w:sz="0" w:space="0" w:color="auto"/>
        <w:bottom w:val="none" w:sz="0" w:space="0" w:color="auto"/>
        <w:right w:val="none" w:sz="0" w:space="0" w:color="auto"/>
      </w:divBdr>
    </w:div>
    <w:div w:id="1749185291">
      <w:bodyDiv w:val="1"/>
      <w:marLeft w:val="0"/>
      <w:marRight w:val="0"/>
      <w:marTop w:val="0"/>
      <w:marBottom w:val="0"/>
      <w:divBdr>
        <w:top w:val="none" w:sz="0" w:space="0" w:color="auto"/>
        <w:left w:val="none" w:sz="0" w:space="0" w:color="auto"/>
        <w:bottom w:val="none" w:sz="0" w:space="0" w:color="auto"/>
        <w:right w:val="none" w:sz="0" w:space="0" w:color="auto"/>
      </w:divBdr>
    </w:div>
    <w:div w:id="1751539833">
      <w:bodyDiv w:val="1"/>
      <w:marLeft w:val="0"/>
      <w:marRight w:val="0"/>
      <w:marTop w:val="0"/>
      <w:marBottom w:val="0"/>
      <w:divBdr>
        <w:top w:val="none" w:sz="0" w:space="0" w:color="auto"/>
        <w:left w:val="none" w:sz="0" w:space="0" w:color="auto"/>
        <w:bottom w:val="none" w:sz="0" w:space="0" w:color="auto"/>
        <w:right w:val="none" w:sz="0" w:space="0" w:color="auto"/>
      </w:divBdr>
    </w:div>
    <w:div w:id="1755668624">
      <w:bodyDiv w:val="1"/>
      <w:marLeft w:val="0"/>
      <w:marRight w:val="0"/>
      <w:marTop w:val="0"/>
      <w:marBottom w:val="0"/>
      <w:divBdr>
        <w:top w:val="none" w:sz="0" w:space="0" w:color="auto"/>
        <w:left w:val="none" w:sz="0" w:space="0" w:color="auto"/>
        <w:bottom w:val="none" w:sz="0" w:space="0" w:color="auto"/>
        <w:right w:val="none" w:sz="0" w:space="0" w:color="auto"/>
      </w:divBdr>
    </w:div>
    <w:div w:id="1798643700">
      <w:bodyDiv w:val="1"/>
      <w:marLeft w:val="0"/>
      <w:marRight w:val="0"/>
      <w:marTop w:val="0"/>
      <w:marBottom w:val="0"/>
      <w:divBdr>
        <w:top w:val="none" w:sz="0" w:space="0" w:color="auto"/>
        <w:left w:val="none" w:sz="0" w:space="0" w:color="auto"/>
        <w:bottom w:val="none" w:sz="0" w:space="0" w:color="auto"/>
        <w:right w:val="none" w:sz="0" w:space="0" w:color="auto"/>
      </w:divBdr>
    </w:div>
    <w:div w:id="1847476912">
      <w:bodyDiv w:val="1"/>
      <w:marLeft w:val="0"/>
      <w:marRight w:val="0"/>
      <w:marTop w:val="0"/>
      <w:marBottom w:val="0"/>
      <w:divBdr>
        <w:top w:val="none" w:sz="0" w:space="0" w:color="auto"/>
        <w:left w:val="none" w:sz="0" w:space="0" w:color="auto"/>
        <w:bottom w:val="none" w:sz="0" w:space="0" w:color="auto"/>
        <w:right w:val="none" w:sz="0" w:space="0" w:color="auto"/>
      </w:divBdr>
      <w:divsChild>
        <w:div w:id="2143838955">
          <w:marLeft w:val="0"/>
          <w:marRight w:val="0"/>
          <w:marTop w:val="0"/>
          <w:marBottom w:val="0"/>
          <w:divBdr>
            <w:top w:val="none" w:sz="0" w:space="0" w:color="auto"/>
            <w:left w:val="none" w:sz="0" w:space="0" w:color="auto"/>
            <w:bottom w:val="none" w:sz="0" w:space="0" w:color="auto"/>
            <w:right w:val="none" w:sz="0" w:space="0" w:color="auto"/>
          </w:divBdr>
          <w:divsChild>
            <w:div w:id="535121762">
              <w:marLeft w:val="0"/>
              <w:marRight w:val="0"/>
              <w:marTop w:val="0"/>
              <w:marBottom w:val="0"/>
              <w:divBdr>
                <w:top w:val="none" w:sz="0" w:space="0" w:color="auto"/>
                <w:left w:val="none" w:sz="0" w:space="0" w:color="auto"/>
                <w:bottom w:val="none" w:sz="0" w:space="0" w:color="auto"/>
                <w:right w:val="none" w:sz="0" w:space="0" w:color="auto"/>
              </w:divBdr>
              <w:divsChild>
                <w:div w:id="2098744483">
                  <w:marLeft w:val="0"/>
                  <w:marRight w:val="0"/>
                  <w:marTop w:val="0"/>
                  <w:marBottom w:val="0"/>
                  <w:divBdr>
                    <w:top w:val="none" w:sz="0" w:space="0" w:color="auto"/>
                    <w:left w:val="none" w:sz="0" w:space="0" w:color="auto"/>
                    <w:bottom w:val="none" w:sz="0" w:space="0" w:color="auto"/>
                    <w:right w:val="none" w:sz="0" w:space="0" w:color="auto"/>
                  </w:divBdr>
                  <w:divsChild>
                    <w:div w:id="1723479097">
                      <w:marLeft w:val="0"/>
                      <w:marRight w:val="0"/>
                      <w:marTop w:val="0"/>
                      <w:marBottom w:val="0"/>
                      <w:divBdr>
                        <w:top w:val="none" w:sz="0" w:space="0" w:color="auto"/>
                        <w:left w:val="none" w:sz="0" w:space="0" w:color="auto"/>
                        <w:bottom w:val="none" w:sz="0" w:space="0" w:color="auto"/>
                        <w:right w:val="none" w:sz="0" w:space="0" w:color="auto"/>
                      </w:divBdr>
                      <w:divsChild>
                        <w:div w:id="1680230324">
                          <w:marLeft w:val="0"/>
                          <w:marRight w:val="0"/>
                          <w:marTop w:val="0"/>
                          <w:marBottom w:val="0"/>
                          <w:divBdr>
                            <w:top w:val="none" w:sz="0" w:space="0" w:color="auto"/>
                            <w:left w:val="none" w:sz="0" w:space="0" w:color="auto"/>
                            <w:bottom w:val="none" w:sz="0" w:space="0" w:color="auto"/>
                            <w:right w:val="none" w:sz="0" w:space="0" w:color="auto"/>
                          </w:divBdr>
                          <w:divsChild>
                            <w:div w:id="105851069">
                              <w:marLeft w:val="0"/>
                              <w:marRight w:val="0"/>
                              <w:marTop w:val="0"/>
                              <w:marBottom w:val="0"/>
                              <w:divBdr>
                                <w:top w:val="none" w:sz="0" w:space="0" w:color="auto"/>
                                <w:left w:val="none" w:sz="0" w:space="0" w:color="auto"/>
                                <w:bottom w:val="none" w:sz="0" w:space="0" w:color="auto"/>
                                <w:right w:val="none" w:sz="0" w:space="0" w:color="auto"/>
                              </w:divBdr>
                              <w:divsChild>
                                <w:div w:id="2029990238">
                                  <w:marLeft w:val="0"/>
                                  <w:marRight w:val="0"/>
                                  <w:marTop w:val="0"/>
                                  <w:marBottom w:val="0"/>
                                  <w:divBdr>
                                    <w:top w:val="none" w:sz="0" w:space="0" w:color="auto"/>
                                    <w:left w:val="none" w:sz="0" w:space="0" w:color="auto"/>
                                    <w:bottom w:val="none" w:sz="0" w:space="0" w:color="auto"/>
                                    <w:right w:val="none" w:sz="0" w:space="0" w:color="auto"/>
                                  </w:divBdr>
                                  <w:divsChild>
                                    <w:div w:id="871501837">
                                      <w:marLeft w:val="0"/>
                                      <w:marRight w:val="0"/>
                                      <w:marTop w:val="0"/>
                                      <w:marBottom w:val="0"/>
                                      <w:divBdr>
                                        <w:top w:val="none" w:sz="0" w:space="0" w:color="auto"/>
                                        <w:left w:val="none" w:sz="0" w:space="0" w:color="auto"/>
                                        <w:bottom w:val="none" w:sz="0" w:space="0" w:color="auto"/>
                                        <w:right w:val="none" w:sz="0" w:space="0" w:color="auto"/>
                                      </w:divBdr>
                                    </w:div>
                                    <w:div w:id="1697807171">
                                      <w:marLeft w:val="0"/>
                                      <w:marRight w:val="0"/>
                                      <w:marTop w:val="0"/>
                                      <w:marBottom w:val="0"/>
                                      <w:divBdr>
                                        <w:top w:val="none" w:sz="0" w:space="0" w:color="auto"/>
                                        <w:left w:val="none" w:sz="0" w:space="0" w:color="auto"/>
                                        <w:bottom w:val="none" w:sz="0" w:space="0" w:color="auto"/>
                                        <w:right w:val="none" w:sz="0" w:space="0" w:color="auto"/>
                                      </w:divBdr>
                                      <w:divsChild>
                                        <w:div w:id="655304372">
                                          <w:marLeft w:val="0"/>
                                          <w:marRight w:val="165"/>
                                          <w:marTop w:val="150"/>
                                          <w:marBottom w:val="0"/>
                                          <w:divBdr>
                                            <w:top w:val="none" w:sz="0" w:space="0" w:color="auto"/>
                                            <w:left w:val="none" w:sz="0" w:space="0" w:color="auto"/>
                                            <w:bottom w:val="none" w:sz="0" w:space="0" w:color="auto"/>
                                            <w:right w:val="none" w:sz="0" w:space="0" w:color="auto"/>
                                          </w:divBdr>
                                          <w:divsChild>
                                            <w:div w:id="1664622618">
                                              <w:marLeft w:val="0"/>
                                              <w:marRight w:val="0"/>
                                              <w:marTop w:val="0"/>
                                              <w:marBottom w:val="0"/>
                                              <w:divBdr>
                                                <w:top w:val="none" w:sz="0" w:space="0" w:color="auto"/>
                                                <w:left w:val="none" w:sz="0" w:space="0" w:color="auto"/>
                                                <w:bottom w:val="none" w:sz="0" w:space="0" w:color="auto"/>
                                                <w:right w:val="none" w:sz="0" w:space="0" w:color="auto"/>
                                              </w:divBdr>
                                              <w:divsChild>
                                                <w:div w:id="1341616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739506">
          <w:marLeft w:val="0"/>
          <w:marRight w:val="0"/>
          <w:marTop w:val="240"/>
          <w:marBottom w:val="0"/>
          <w:divBdr>
            <w:top w:val="none" w:sz="0" w:space="0" w:color="auto"/>
            <w:left w:val="none" w:sz="0" w:space="0" w:color="auto"/>
            <w:bottom w:val="none" w:sz="0" w:space="0" w:color="auto"/>
            <w:right w:val="none" w:sz="0" w:space="0" w:color="auto"/>
          </w:divBdr>
        </w:div>
      </w:divsChild>
    </w:div>
    <w:div w:id="1855915868">
      <w:bodyDiv w:val="1"/>
      <w:marLeft w:val="0"/>
      <w:marRight w:val="0"/>
      <w:marTop w:val="0"/>
      <w:marBottom w:val="0"/>
      <w:divBdr>
        <w:top w:val="none" w:sz="0" w:space="0" w:color="auto"/>
        <w:left w:val="none" w:sz="0" w:space="0" w:color="auto"/>
        <w:bottom w:val="none" w:sz="0" w:space="0" w:color="auto"/>
        <w:right w:val="none" w:sz="0" w:space="0" w:color="auto"/>
      </w:divBdr>
    </w:div>
    <w:div w:id="1860004003">
      <w:bodyDiv w:val="1"/>
      <w:marLeft w:val="0"/>
      <w:marRight w:val="0"/>
      <w:marTop w:val="0"/>
      <w:marBottom w:val="0"/>
      <w:divBdr>
        <w:top w:val="none" w:sz="0" w:space="0" w:color="auto"/>
        <w:left w:val="none" w:sz="0" w:space="0" w:color="auto"/>
        <w:bottom w:val="none" w:sz="0" w:space="0" w:color="auto"/>
        <w:right w:val="none" w:sz="0" w:space="0" w:color="auto"/>
      </w:divBdr>
    </w:div>
    <w:div w:id="1861355528">
      <w:bodyDiv w:val="1"/>
      <w:marLeft w:val="0"/>
      <w:marRight w:val="0"/>
      <w:marTop w:val="0"/>
      <w:marBottom w:val="0"/>
      <w:divBdr>
        <w:top w:val="none" w:sz="0" w:space="0" w:color="auto"/>
        <w:left w:val="none" w:sz="0" w:space="0" w:color="auto"/>
        <w:bottom w:val="none" w:sz="0" w:space="0" w:color="auto"/>
        <w:right w:val="none" w:sz="0" w:space="0" w:color="auto"/>
      </w:divBdr>
    </w:div>
    <w:div w:id="1866167675">
      <w:bodyDiv w:val="1"/>
      <w:marLeft w:val="0"/>
      <w:marRight w:val="0"/>
      <w:marTop w:val="0"/>
      <w:marBottom w:val="0"/>
      <w:divBdr>
        <w:top w:val="none" w:sz="0" w:space="0" w:color="auto"/>
        <w:left w:val="none" w:sz="0" w:space="0" w:color="auto"/>
        <w:bottom w:val="none" w:sz="0" w:space="0" w:color="auto"/>
        <w:right w:val="none" w:sz="0" w:space="0" w:color="auto"/>
      </w:divBdr>
    </w:div>
    <w:div w:id="1895893082">
      <w:bodyDiv w:val="1"/>
      <w:marLeft w:val="0"/>
      <w:marRight w:val="0"/>
      <w:marTop w:val="0"/>
      <w:marBottom w:val="0"/>
      <w:divBdr>
        <w:top w:val="none" w:sz="0" w:space="0" w:color="auto"/>
        <w:left w:val="none" w:sz="0" w:space="0" w:color="auto"/>
        <w:bottom w:val="none" w:sz="0" w:space="0" w:color="auto"/>
        <w:right w:val="none" w:sz="0" w:space="0" w:color="auto"/>
      </w:divBdr>
    </w:div>
    <w:div w:id="1919173593">
      <w:bodyDiv w:val="1"/>
      <w:marLeft w:val="0"/>
      <w:marRight w:val="0"/>
      <w:marTop w:val="0"/>
      <w:marBottom w:val="0"/>
      <w:divBdr>
        <w:top w:val="none" w:sz="0" w:space="0" w:color="auto"/>
        <w:left w:val="none" w:sz="0" w:space="0" w:color="auto"/>
        <w:bottom w:val="none" w:sz="0" w:space="0" w:color="auto"/>
        <w:right w:val="none" w:sz="0" w:space="0" w:color="auto"/>
      </w:divBdr>
      <w:divsChild>
        <w:div w:id="1879855172">
          <w:marLeft w:val="0"/>
          <w:marRight w:val="0"/>
          <w:marTop w:val="0"/>
          <w:marBottom w:val="0"/>
          <w:divBdr>
            <w:top w:val="none" w:sz="0" w:space="0" w:color="auto"/>
            <w:left w:val="none" w:sz="0" w:space="0" w:color="auto"/>
            <w:bottom w:val="none" w:sz="0" w:space="0" w:color="auto"/>
            <w:right w:val="none" w:sz="0" w:space="0" w:color="auto"/>
          </w:divBdr>
          <w:divsChild>
            <w:div w:id="393116286">
              <w:marLeft w:val="0"/>
              <w:marRight w:val="0"/>
              <w:marTop w:val="0"/>
              <w:marBottom w:val="0"/>
              <w:divBdr>
                <w:top w:val="none" w:sz="0" w:space="0" w:color="auto"/>
                <w:left w:val="none" w:sz="0" w:space="0" w:color="auto"/>
                <w:bottom w:val="none" w:sz="0" w:space="0" w:color="auto"/>
                <w:right w:val="none" w:sz="0" w:space="0" w:color="auto"/>
              </w:divBdr>
              <w:divsChild>
                <w:div w:id="7340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8422">
      <w:bodyDiv w:val="1"/>
      <w:marLeft w:val="0"/>
      <w:marRight w:val="0"/>
      <w:marTop w:val="0"/>
      <w:marBottom w:val="0"/>
      <w:divBdr>
        <w:top w:val="none" w:sz="0" w:space="0" w:color="auto"/>
        <w:left w:val="none" w:sz="0" w:space="0" w:color="auto"/>
        <w:bottom w:val="none" w:sz="0" w:space="0" w:color="auto"/>
        <w:right w:val="none" w:sz="0" w:space="0" w:color="auto"/>
      </w:divBdr>
    </w:div>
    <w:div w:id="1958680664">
      <w:bodyDiv w:val="1"/>
      <w:marLeft w:val="0"/>
      <w:marRight w:val="0"/>
      <w:marTop w:val="0"/>
      <w:marBottom w:val="0"/>
      <w:divBdr>
        <w:top w:val="none" w:sz="0" w:space="0" w:color="auto"/>
        <w:left w:val="none" w:sz="0" w:space="0" w:color="auto"/>
        <w:bottom w:val="none" w:sz="0" w:space="0" w:color="auto"/>
        <w:right w:val="none" w:sz="0" w:space="0" w:color="auto"/>
      </w:divBdr>
    </w:div>
    <w:div w:id="1972663743">
      <w:bodyDiv w:val="1"/>
      <w:marLeft w:val="0"/>
      <w:marRight w:val="0"/>
      <w:marTop w:val="0"/>
      <w:marBottom w:val="0"/>
      <w:divBdr>
        <w:top w:val="none" w:sz="0" w:space="0" w:color="auto"/>
        <w:left w:val="none" w:sz="0" w:space="0" w:color="auto"/>
        <w:bottom w:val="none" w:sz="0" w:space="0" w:color="auto"/>
        <w:right w:val="none" w:sz="0" w:space="0" w:color="auto"/>
      </w:divBdr>
    </w:div>
    <w:div w:id="1989816997">
      <w:bodyDiv w:val="1"/>
      <w:marLeft w:val="0"/>
      <w:marRight w:val="0"/>
      <w:marTop w:val="0"/>
      <w:marBottom w:val="0"/>
      <w:divBdr>
        <w:top w:val="none" w:sz="0" w:space="0" w:color="auto"/>
        <w:left w:val="none" w:sz="0" w:space="0" w:color="auto"/>
        <w:bottom w:val="none" w:sz="0" w:space="0" w:color="auto"/>
        <w:right w:val="none" w:sz="0" w:space="0" w:color="auto"/>
      </w:divBdr>
    </w:div>
    <w:div w:id="2000040080">
      <w:bodyDiv w:val="1"/>
      <w:marLeft w:val="0"/>
      <w:marRight w:val="0"/>
      <w:marTop w:val="0"/>
      <w:marBottom w:val="0"/>
      <w:divBdr>
        <w:top w:val="none" w:sz="0" w:space="0" w:color="auto"/>
        <w:left w:val="none" w:sz="0" w:space="0" w:color="auto"/>
        <w:bottom w:val="none" w:sz="0" w:space="0" w:color="auto"/>
        <w:right w:val="none" w:sz="0" w:space="0" w:color="auto"/>
      </w:divBdr>
      <w:divsChild>
        <w:div w:id="929003328">
          <w:marLeft w:val="0"/>
          <w:marRight w:val="0"/>
          <w:marTop w:val="0"/>
          <w:marBottom w:val="0"/>
          <w:divBdr>
            <w:top w:val="none" w:sz="0" w:space="0" w:color="auto"/>
            <w:left w:val="none" w:sz="0" w:space="0" w:color="auto"/>
            <w:bottom w:val="none" w:sz="0" w:space="0" w:color="auto"/>
            <w:right w:val="none" w:sz="0" w:space="0" w:color="auto"/>
          </w:divBdr>
          <w:divsChild>
            <w:div w:id="48573001">
              <w:marLeft w:val="0"/>
              <w:marRight w:val="0"/>
              <w:marTop w:val="0"/>
              <w:marBottom w:val="0"/>
              <w:divBdr>
                <w:top w:val="none" w:sz="0" w:space="0" w:color="auto"/>
                <w:left w:val="none" w:sz="0" w:space="0" w:color="auto"/>
                <w:bottom w:val="none" w:sz="0" w:space="0" w:color="auto"/>
                <w:right w:val="none" w:sz="0" w:space="0" w:color="auto"/>
              </w:divBdr>
              <w:divsChild>
                <w:div w:id="2354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7040">
      <w:bodyDiv w:val="1"/>
      <w:marLeft w:val="0"/>
      <w:marRight w:val="0"/>
      <w:marTop w:val="0"/>
      <w:marBottom w:val="0"/>
      <w:divBdr>
        <w:top w:val="none" w:sz="0" w:space="0" w:color="auto"/>
        <w:left w:val="none" w:sz="0" w:space="0" w:color="auto"/>
        <w:bottom w:val="none" w:sz="0" w:space="0" w:color="auto"/>
        <w:right w:val="none" w:sz="0" w:space="0" w:color="auto"/>
      </w:divBdr>
    </w:div>
    <w:div w:id="2012295413">
      <w:bodyDiv w:val="1"/>
      <w:marLeft w:val="0"/>
      <w:marRight w:val="0"/>
      <w:marTop w:val="0"/>
      <w:marBottom w:val="0"/>
      <w:divBdr>
        <w:top w:val="none" w:sz="0" w:space="0" w:color="auto"/>
        <w:left w:val="none" w:sz="0" w:space="0" w:color="auto"/>
        <w:bottom w:val="none" w:sz="0" w:space="0" w:color="auto"/>
        <w:right w:val="none" w:sz="0" w:space="0" w:color="auto"/>
      </w:divBdr>
    </w:div>
    <w:div w:id="2032297493">
      <w:bodyDiv w:val="1"/>
      <w:marLeft w:val="0"/>
      <w:marRight w:val="0"/>
      <w:marTop w:val="0"/>
      <w:marBottom w:val="0"/>
      <w:divBdr>
        <w:top w:val="none" w:sz="0" w:space="0" w:color="auto"/>
        <w:left w:val="none" w:sz="0" w:space="0" w:color="auto"/>
        <w:bottom w:val="none" w:sz="0" w:space="0" w:color="auto"/>
        <w:right w:val="none" w:sz="0" w:space="0" w:color="auto"/>
      </w:divBdr>
    </w:div>
    <w:div w:id="2041977853">
      <w:bodyDiv w:val="1"/>
      <w:marLeft w:val="0"/>
      <w:marRight w:val="0"/>
      <w:marTop w:val="0"/>
      <w:marBottom w:val="0"/>
      <w:divBdr>
        <w:top w:val="none" w:sz="0" w:space="0" w:color="auto"/>
        <w:left w:val="none" w:sz="0" w:space="0" w:color="auto"/>
        <w:bottom w:val="none" w:sz="0" w:space="0" w:color="auto"/>
        <w:right w:val="none" w:sz="0" w:space="0" w:color="auto"/>
      </w:divBdr>
    </w:div>
    <w:div w:id="2043289578">
      <w:bodyDiv w:val="1"/>
      <w:marLeft w:val="0"/>
      <w:marRight w:val="0"/>
      <w:marTop w:val="0"/>
      <w:marBottom w:val="0"/>
      <w:divBdr>
        <w:top w:val="none" w:sz="0" w:space="0" w:color="auto"/>
        <w:left w:val="none" w:sz="0" w:space="0" w:color="auto"/>
        <w:bottom w:val="none" w:sz="0" w:space="0" w:color="auto"/>
        <w:right w:val="none" w:sz="0" w:space="0" w:color="auto"/>
      </w:divBdr>
    </w:div>
    <w:div w:id="2086293938">
      <w:bodyDiv w:val="1"/>
      <w:marLeft w:val="0"/>
      <w:marRight w:val="0"/>
      <w:marTop w:val="0"/>
      <w:marBottom w:val="0"/>
      <w:divBdr>
        <w:top w:val="none" w:sz="0" w:space="0" w:color="auto"/>
        <w:left w:val="none" w:sz="0" w:space="0" w:color="auto"/>
        <w:bottom w:val="none" w:sz="0" w:space="0" w:color="auto"/>
        <w:right w:val="none" w:sz="0" w:space="0" w:color="auto"/>
      </w:divBdr>
    </w:div>
    <w:div w:id="2111586492">
      <w:bodyDiv w:val="1"/>
      <w:marLeft w:val="0"/>
      <w:marRight w:val="0"/>
      <w:marTop w:val="0"/>
      <w:marBottom w:val="0"/>
      <w:divBdr>
        <w:top w:val="none" w:sz="0" w:space="0" w:color="auto"/>
        <w:left w:val="none" w:sz="0" w:space="0" w:color="auto"/>
        <w:bottom w:val="none" w:sz="0" w:space="0" w:color="auto"/>
        <w:right w:val="none" w:sz="0" w:space="0" w:color="auto"/>
      </w:divBdr>
      <w:divsChild>
        <w:div w:id="1149833587">
          <w:marLeft w:val="0"/>
          <w:marRight w:val="0"/>
          <w:marTop w:val="0"/>
          <w:marBottom w:val="0"/>
          <w:divBdr>
            <w:top w:val="none" w:sz="0" w:space="0" w:color="auto"/>
            <w:left w:val="none" w:sz="0" w:space="0" w:color="auto"/>
            <w:bottom w:val="none" w:sz="0" w:space="0" w:color="auto"/>
            <w:right w:val="none" w:sz="0" w:space="0" w:color="auto"/>
          </w:divBdr>
          <w:divsChild>
            <w:div w:id="241187282">
              <w:marLeft w:val="0"/>
              <w:marRight w:val="0"/>
              <w:marTop w:val="0"/>
              <w:marBottom w:val="0"/>
              <w:divBdr>
                <w:top w:val="none" w:sz="0" w:space="0" w:color="auto"/>
                <w:left w:val="none" w:sz="0" w:space="0" w:color="auto"/>
                <w:bottom w:val="none" w:sz="0" w:space="0" w:color="auto"/>
                <w:right w:val="none" w:sz="0" w:space="0" w:color="auto"/>
              </w:divBdr>
              <w:divsChild>
                <w:div w:id="12072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4623">
      <w:bodyDiv w:val="1"/>
      <w:marLeft w:val="0"/>
      <w:marRight w:val="0"/>
      <w:marTop w:val="0"/>
      <w:marBottom w:val="0"/>
      <w:divBdr>
        <w:top w:val="none" w:sz="0" w:space="0" w:color="auto"/>
        <w:left w:val="none" w:sz="0" w:space="0" w:color="auto"/>
        <w:bottom w:val="none" w:sz="0" w:space="0" w:color="auto"/>
        <w:right w:val="none" w:sz="0" w:space="0" w:color="auto"/>
      </w:divBdr>
    </w:div>
    <w:div w:id="2142185653">
      <w:bodyDiv w:val="1"/>
      <w:marLeft w:val="0"/>
      <w:marRight w:val="0"/>
      <w:marTop w:val="0"/>
      <w:marBottom w:val="0"/>
      <w:divBdr>
        <w:top w:val="none" w:sz="0" w:space="0" w:color="auto"/>
        <w:left w:val="none" w:sz="0" w:space="0" w:color="auto"/>
        <w:bottom w:val="none" w:sz="0" w:space="0" w:color="auto"/>
        <w:right w:val="none" w:sz="0" w:space="0" w:color="auto"/>
      </w:divBdr>
      <w:divsChild>
        <w:div w:id="2119133088">
          <w:marLeft w:val="0"/>
          <w:marRight w:val="0"/>
          <w:marTop w:val="0"/>
          <w:marBottom w:val="0"/>
          <w:divBdr>
            <w:top w:val="none" w:sz="0" w:space="0" w:color="auto"/>
            <w:left w:val="none" w:sz="0" w:space="0" w:color="auto"/>
            <w:bottom w:val="none" w:sz="0" w:space="0" w:color="auto"/>
            <w:right w:val="none" w:sz="0" w:space="0" w:color="auto"/>
          </w:divBdr>
        </w:div>
        <w:div w:id="605843514">
          <w:marLeft w:val="0"/>
          <w:marRight w:val="0"/>
          <w:marTop w:val="0"/>
          <w:marBottom w:val="0"/>
          <w:divBdr>
            <w:top w:val="none" w:sz="0" w:space="0" w:color="auto"/>
            <w:left w:val="none" w:sz="0" w:space="0" w:color="auto"/>
            <w:bottom w:val="none" w:sz="0" w:space="0" w:color="auto"/>
            <w:right w:val="none" w:sz="0" w:space="0" w:color="auto"/>
          </w:divBdr>
          <w:divsChild>
            <w:div w:id="2133862954">
              <w:marLeft w:val="0"/>
              <w:marRight w:val="165"/>
              <w:marTop w:val="150"/>
              <w:marBottom w:val="0"/>
              <w:divBdr>
                <w:top w:val="none" w:sz="0" w:space="0" w:color="auto"/>
                <w:left w:val="none" w:sz="0" w:space="0" w:color="auto"/>
                <w:bottom w:val="none" w:sz="0" w:space="0" w:color="auto"/>
                <w:right w:val="none" w:sz="0" w:space="0" w:color="auto"/>
              </w:divBdr>
              <w:divsChild>
                <w:div w:id="582302337">
                  <w:marLeft w:val="0"/>
                  <w:marRight w:val="0"/>
                  <w:marTop w:val="0"/>
                  <w:marBottom w:val="0"/>
                  <w:divBdr>
                    <w:top w:val="none" w:sz="0" w:space="0" w:color="auto"/>
                    <w:left w:val="none" w:sz="0" w:space="0" w:color="auto"/>
                    <w:bottom w:val="none" w:sz="0" w:space="0" w:color="auto"/>
                    <w:right w:val="none" w:sz="0" w:space="0" w:color="auto"/>
                  </w:divBdr>
                  <w:divsChild>
                    <w:div w:id="3617827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8163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C42F-0DB9-43EB-8C8F-57632EA1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7395</TotalTime>
  <Pages>1</Pages>
  <Words>14178</Words>
  <Characters>80820</Characters>
  <Application>Microsoft Office Word</Application>
  <DocSecurity>0</DocSecurity>
  <Lines>673</Lines>
  <Paragraphs>189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sunqiuyue</dc:creator>
  <cp:lastModifiedBy>sunqiuyue</cp:lastModifiedBy>
  <cp:revision>472</cp:revision>
  <dcterms:created xsi:type="dcterms:W3CDTF">2022-02-02T15:02:00Z</dcterms:created>
  <dcterms:modified xsi:type="dcterms:W3CDTF">2022-09-30T17:52:00Z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y fmtid="{D5CDD505-2E9C-101B-9397-08002B2CF9AE}" pid="22" name="Mendeley Document_1">
    <vt:lpwstr>True</vt:lpwstr>
  </property>
  <property fmtid="{D5CDD505-2E9C-101B-9397-08002B2CF9AE}" pid="23" name="Mendeley Unique User Id_1">
    <vt:lpwstr>64d7bfe7-5ab6-3eaa-9d2e-3d9203deb96f</vt:lpwstr>
  </property>
  <property fmtid="{D5CDD505-2E9C-101B-9397-08002B2CF9AE}" pid="24" name="Mendeley Citation Style_1">
    <vt:lpwstr>http://www.zotero.org/styles/apa</vt:lpwstr>
  </property>
</Properties>
</file>