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3ED67EC7" w:rsidR="008306DA" w:rsidRPr="008D31D9" w:rsidRDefault="008D31D9">
      <w:pPr>
        <w:rPr>
          <w:b/>
          <w:bCs/>
        </w:rPr>
      </w:pPr>
      <w:r w:rsidRPr="008D31D9">
        <w:rPr>
          <w:noProof/>
        </w:rPr>
        <w:drawing>
          <wp:anchor distT="0" distB="0" distL="114300" distR="114300" simplePos="0" relativeHeight="251660288" behindDoc="0" locked="0" layoutInCell="1" allowOverlap="1" wp14:anchorId="09F65C2B" wp14:editId="2284C4C0">
            <wp:simplePos x="0" y="0"/>
            <wp:positionH relativeFrom="column">
              <wp:posOffset>977900</wp:posOffset>
            </wp:positionH>
            <wp:positionV relativeFrom="paragraph">
              <wp:posOffset>418465</wp:posOffset>
            </wp:positionV>
            <wp:extent cx="3807460" cy="4927600"/>
            <wp:effectExtent l="0" t="0" r="2540" b="6350"/>
            <wp:wrapTopAndBottom/>
            <wp:docPr id="45" name="Picture 4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1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92C09" wp14:editId="6EE423BA">
                <wp:simplePos x="0" y="0"/>
                <wp:positionH relativeFrom="margin">
                  <wp:posOffset>977900</wp:posOffset>
                </wp:positionH>
                <wp:positionV relativeFrom="paragraph">
                  <wp:posOffset>5341620</wp:posOffset>
                </wp:positionV>
                <wp:extent cx="3807460" cy="635"/>
                <wp:effectExtent l="0" t="0" r="2540" b="6350"/>
                <wp:wrapTopAndBottom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303B2" w14:textId="671D04FB" w:rsidR="008D31D9" w:rsidRPr="009F65D1" w:rsidRDefault="00D760FC" w:rsidP="0047235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47235D"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S1</w:t>
                            </w:r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An elevation map of the city of Philadelphia in meters. Source: University of Vermont Spatial Analysis Laboratory, 2018. Base Map Source: Esri, </w:t>
                            </w:r>
                            <w:proofErr w:type="spellStart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DeLorme</w:t>
                            </w:r>
                            <w:proofErr w:type="spellEnd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HERE, TomTom, </w:t>
                            </w:r>
                            <w:proofErr w:type="spellStart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Intermap</w:t>
                            </w:r>
                            <w:proofErr w:type="spellEnd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increment P Corp., GEBCO, USGS, FAO, NPS, NRCAN, GeoBase, IGN, </w:t>
                            </w:r>
                            <w:proofErr w:type="spellStart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Kadaster</w:t>
                            </w:r>
                            <w:proofErr w:type="spellEnd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NL, Ordnance Survey, Esri Japan, METI, Esri China (Hong Kong), </w:t>
                            </w:r>
                            <w:proofErr w:type="spellStart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swisstopo</w:t>
                            </w:r>
                            <w:proofErr w:type="spellEnd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MapmyIndia</w:t>
                            </w:r>
                            <w:proofErr w:type="spellEnd"/>
                            <w:r w:rsidR="008D31D9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, and the GIS User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892C0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77pt;margin-top:420.6pt;width:299.8pt;height: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" stroked="f">
                <v:textbox style="mso-fit-shape-to-text:t" inset="0,0,0,0">
                  <w:txbxContent>
                    <w:p w14:paraId="00D303B2" w14:textId="671D04FB" w:rsidR="008D31D9" w:rsidRPr="009F65D1" w:rsidRDefault="00D760FC" w:rsidP="0047235D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Figure </w:t>
                      </w:r>
                      <w:r w:rsidR="0047235D"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S1</w:t>
                      </w:r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: An elevation map of the city of Philadelphia in meters. Source: University of Vermont Spatial Analysis Laboratory, 2018. Base Map Source: Esri, </w:t>
                      </w:r>
                      <w:proofErr w:type="spellStart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DeLorme</w:t>
                      </w:r>
                      <w:proofErr w:type="spellEnd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, HERE, TomTom, </w:t>
                      </w:r>
                      <w:proofErr w:type="spellStart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Intermap</w:t>
                      </w:r>
                      <w:proofErr w:type="spellEnd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, increment P Corp., GEBCO, USGS, FAO, NPS, NRCAN, GeoBase, IGN, </w:t>
                      </w:r>
                      <w:proofErr w:type="spellStart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Kadaster</w:t>
                      </w:r>
                      <w:proofErr w:type="spellEnd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NL, Ordnance Survey, Esri Japan, METI, Esri China (Hong Kong), </w:t>
                      </w:r>
                      <w:proofErr w:type="spellStart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swisstopo</w:t>
                      </w:r>
                      <w:proofErr w:type="spellEnd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MapmyIndia</w:t>
                      </w:r>
                      <w:proofErr w:type="spellEnd"/>
                      <w:r w:rsidR="008D31D9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, and the GIS User Community.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8D31D9">
        <w:rPr>
          <w:b/>
          <w:bCs/>
        </w:rPr>
        <w:t>Supplementary</w:t>
      </w:r>
      <w:r w:rsidR="49398298" w:rsidRPr="008D31D9">
        <w:rPr>
          <w:b/>
          <w:bCs/>
        </w:rPr>
        <w:t xml:space="preserve"> Material</w:t>
      </w:r>
      <w:r w:rsidR="00D760FC">
        <w:rPr>
          <w:b/>
          <w:bCs/>
        </w:rPr>
        <w:t>s</w:t>
      </w:r>
    </w:p>
    <w:p w14:paraId="3D942FB7" w14:textId="252057FF" w:rsidR="008D31D9" w:rsidRDefault="008D31D9"/>
    <w:p w14:paraId="440DB1C1" w14:textId="4502283F" w:rsidR="008D31D9" w:rsidRDefault="008D31D9"/>
    <w:p w14:paraId="25727758" w14:textId="4EED12AD" w:rsidR="49398298" w:rsidRPr="009F65D1" w:rsidRDefault="00D760FC" w:rsidP="49398298">
      <w:pPr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9F65D1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Table S1</w:t>
      </w:r>
      <w:r w:rsidR="001D341D" w:rsidRPr="009F65D1">
        <w:rPr>
          <w:rFonts w:ascii="Times New Roman" w:eastAsia="Calibri" w:hAnsi="Times New Roman" w:cs="Times New Roman"/>
          <w:i/>
          <w:iCs/>
          <w:sz w:val="20"/>
          <w:szCs w:val="20"/>
        </w:rPr>
        <w:t>: The variables chosen for each individual vulnerability index within this study.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1445"/>
        <w:gridCol w:w="1434"/>
        <w:gridCol w:w="942"/>
        <w:gridCol w:w="2867"/>
        <w:gridCol w:w="1417"/>
      </w:tblGrid>
      <w:tr w:rsidR="009329FB" w:rsidRPr="009329FB" w14:paraId="08F90E2D" w14:textId="77777777" w:rsidTr="001F0A43">
        <w:trPr>
          <w:trHeight w:val="360"/>
          <w:tblHeader/>
        </w:trPr>
        <w:tc>
          <w:tcPr>
            <w:tcW w:w="9360" w:type="dxa"/>
            <w:gridSpan w:val="6"/>
            <w:tcBorders>
              <w:top w:val="nil"/>
              <w:left w:val="nil"/>
              <w:right w:val="nil"/>
            </w:tcBorders>
          </w:tcPr>
          <w:p w14:paraId="2B1CBFDB" w14:textId="77777777" w:rsidR="009329FB" w:rsidRPr="009329FB" w:rsidRDefault="009329FB" w:rsidP="009329FB">
            <w:pPr>
              <w:keepNext/>
              <w:spacing w:after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29FB" w:rsidRPr="009329FB" w14:paraId="19A0CF02" w14:textId="77777777" w:rsidTr="001F0A43">
        <w:trPr>
          <w:tblHeader/>
        </w:trPr>
        <w:tc>
          <w:tcPr>
            <w:tcW w:w="1255" w:type="dxa"/>
            <w:hideMark/>
          </w:tcPr>
          <w:p w14:paraId="55A1911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Index</w:t>
            </w:r>
          </w:p>
        </w:tc>
        <w:tc>
          <w:tcPr>
            <w:tcW w:w="1445" w:type="dxa"/>
            <w:hideMark/>
          </w:tcPr>
          <w:p w14:paraId="3248EB4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Original Variable Name</w:t>
            </w:r>
          </w:p>
        </w:tc>
        <w:tc>
          <w:tcPr>
            <w:tcW w:w="1434" w:type="dxa"/>
          </w:tcPr>
          <w:p w14:paraId="327742F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Variable Description</w:t>
            </w:r>
          </w:p>
        </w:tc>
        <w:tc>
          <w:tcPr>
            <w:tcW w:w="942" w:type="dxa"/>
            <w:hideMark/>
          </w:tcPr>
          <w:p w14:paraId="245193D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2867" w:type="dxa"/>
            <w:hideMark/>
          </w:tcPr>
          <w:p w14:paraId="68A268B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417" w:type="dxa"/>
            <w:hideMark/>
          </w:tcPr>
          <w:p w14:paraId="39980FB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Resolution</w:t>
            </w:r>
          </w:p>
        </w:tc>
      </w:tr>
      <w:tr w:rsidR="009329FB" w:rsidRPr="009329FB" w14:paraId="186E6E0C" w14:textId="77777777" w:rsidTr="001F0A43">
        <w:trPr>
          <w:tblHeader/>
        </w:trPr>
        <w:tc>
          <w:tcPr>
            <w:tcW w:w="1255" w:type="dxa"/>
            <w:hideMark/>
          </w:tcPr>
          <w:p w14:paraId="4932312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Inundation Vulnerability</w:t>
            </w:r>
          </w:p>
        </w:tc>
        <w:tc>
          <w:tcPr>
            <w:tcW w:w="1445" w:type="dxa"/>
            <w:hideMark/>
          </w:tcPr>
          <w:p w14:paraId="2595870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Qpeak</w:t>
            </w:r>
            <w:proofErr w:type="spellEnd"/>
          </w:p>
        </w:tc>
        <w:tc>
          <w:tcPr>
            <w:tcW w:w="1434" w:type="dxa"/>
          </w:tcPr>
          <w:p w14:paraId="746AF9A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Flood extent for a 10-year, 24-hour design storm for Philadelphia</w:t>
            </w:r>
          </w:p>
        </w:tc>
        <w:tc>
          <w:tcPr>
            <w:tcW w:w="942" w:type="dxa"/>
            <w:hideMark/>
          </w:tcPr>
          <w:p w14:paraId="46F8662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867" w:type="dxa"/>
            <w:hideMark/>
          </w:tcPr>
          <w:p w14:paraId="4273514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Hosseiny</w:t>
            </w:r>
            <w:proofErr w:type="spellEnd"/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et al., 2020</w:t>
            </w:r>
          </w:p>
        </w:tc>
        <w:tc>
          <w:tcPr>
            <w:tcW w:w="1417" w:type="dxa"/>
            <w:hideMark/>
          </w:tcPr>
          <w:p w14:paraId="5D015D8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Micro subbasins</w:t>
            </w:r>
          </w:p>
        </w:tc>
      </w:tr>
      <w:tr w:rsidR="009329FB" w:rsidRPr="009329FB" w14:paraId="07417ED1" w14:textId="77777777" w:rsidTr="001F0A43">
        <w:trPr>
          <w:tblHeader/>
        </w:trPr>
        <w:tc>
          <w:tcPr>
            <w:tcW w:w="1255" w:type="dxa"/>
            <w:hideMark/>
          </w:tcPr>
          <w:p w14:paraId="5F807FF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Built-Environment Vulnerability</w:t>
            </w:r>
          </w:p>
        </w:tc>
        <w:tc>
          <w:tcPr>
            <w:tcW w:w="1445" w:type="dxa"/>
            <w:hideMark/>
          </w:tcPr>
          <w:p w14:paraId="5FB972F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STORIES</w:t>
            </w:r>
          </w:p>
        </w:tc>
        <w:tc>
          <w:tcPr>
            <w:tcW w:w="1434" w:type="dxa"/>
          </w:tcPr>
          <w:p w14:paraId="687BE72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Number of stories in a building</w:t>
            </w:r>
          </w:p>
        </w:tc>
        <w:tc>
          <w:tcPr>
            <w:tcW w:w="942" w:type="dxa"/>
            <w:hideMark/>
          </w:tcPr>
          <w:p w14:paraId="745F042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867" w:type="dxa"/>
            <w:hideMark/>
          </w:tcPr>
          <w:p w14:paraId="7C2F2F3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Philadelphia Water Department</w:t>
            </w:r>
          </w:p>
        </w:tc>
        <w:tc>
          <w:tcPr>
            <w:tcW w:w="1417" w:type="dxa"/>
            <w:hideMark/>
          </w:tcPr>
          <w:p w14:paraId="39337CA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Parcel</w:t>
            </w:r>
          </w:p>
        </w:tc>
      </w:tr>
      <w:tr w:rsidR="009329FB" w:rsidRPr="009329FB" w14:paraId="2250A205" w14:textId="77777777" w:rsidTr="001F0A43">
        <w:trPr>
          <w:tblHeader/>
        </w:trPr>
        <w:tc>
          <w:tcPr>
            <w:tcW w:w="1255" w:type="dxa"/>
            <w:hideMark/>
          </w:tcPr>
          <w:p w14:paraId="76AAC63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1083A90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YR_BUILT</w:t>
            </w:r>
          </w:p>
        </w:tc>
        <w:tc>
          <w:tcPr>
            <w:tcW w:w="1434" w:type="dxa"/>
          </w:tcPr>
          <w:p w14:paraId="25F7C15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Year building was built</w:t>
            </w:r>
          </w:p>
        </w:tc>
        <w:tc>
          <w:tcPr>
            <w:tcW w:w="942" w:type="dxa"/>
            <w:hideMark/>
          </w:tcPr>
          <w:p w14:paraId="2CC1EE7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867" w:type="dxa"/>
            <w:hideMark/>
          </w:tcPr>
          <w:p w14:paraId="26E72C3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Philadelphia Water Department</w:t>
            </w:r>
          </w:p>
        </w:tc>
        <w:tc>
          <w:tcPr>
            <w:tcW w:w="1417" w:type="dxa"/>
            <w:hideMark/>
          </w:tcPr>
          <w:p w14:paraId="0D982F0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Parcel</w:t>
            </w:r>
          </w:p>
        </w:tc>
      </w:tr>
      <w:tr w:rsidR="009329FB" w:rsidRPr="009329FB" w14:paraId="2924441C" w14:textId="77777777" w:rsidTr="001F0A43">
        <w:trPr>
          <w:tblHeader/>
        </w:trPr>
        <w:tc>
          <w:tcPr>
            <w:tcW w:w="1255" w:type="dxa"/>
            <w:hideMark/>
          </w:tcPr>
          <w:p w14:paraId="0A644D1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4ED684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BASMT</w:t>
            </w:r>
          </w:p>
        </w:tc>
        <w:tc>
          <w:tcPr>
            <w:tcW w:w="1434" w:type="dxa"/>
          </w:tcPr>
          <w:p w14:paraId="62C75E1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Presence of a basement on parcel</w:t>
            </w:r>
          </w:p>
        </w:tc>
        <w:tc>
          <w:tcPr>
            <w:tcW w:w="942" w:type="dxa"/>
            <w:hideMark/>
          </w:tcPr>
          <w:p w14:paraId="1571657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867" w:type="dxa"/>
            <w:hideMark/>
          </w:tcPr>
          <w:p w14:paraId="3A4E0FD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Philadelphia Water Department</w:t>
            </w:r>
          </w:p>
        </w:tc>
        <w:tc>
          <w:tcPr>
            <w:tcW w:w="1417" w:type="dxa"/>
            <w:hideMark/>
          </w:tcPr>
          <w:p w14:paraId="5FC1CEB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Parcel</w:t>
            </w:r>
          </w:p>
        </w:tc>
      </w:tr>
      <w:tr w:rsidR="009329FB" w:rsidRPr="009329FB" w14:paraId="5B277C4D" w14:textId="77777777" w:rsidTr="001F0A43">
        <w:trPr>
          <w:tblHeader/>
        </w:trPr>
        <w:tc>
          <w:tcPr>
            <w:tcW w:w="1255" w:type="dxa"/>
            <w:hideMark/>
          </w:tcPr>
          <w:p w14:paraId="6F55A2C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352F73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CAT_CD</w:t>
            </w:r>
          </w:p>
        </w:tc>
        <w:tc>
          <w:tcPr>
            <w:tcW w:w="1434" w:type="dxa"/>
          </w:tcPr>
          <w:p w14:paraId="60E234D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Building type on parcel</w:t>
            </w:r>
          </w:p>
        </w:tc>
        <w:tc>
          <w:tcPr>
            <w:tcW w:w="942" w:type="dxa"/>
            <w:hideMark/>
          </w:tcPr>
          <w:p w14:paraId="6113249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867" w:type="dxa"/>
            <w:hideMark/>
          </w:tcPr>
          <w:p w14:paraId="366F2C3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Philadelphia Water Department</w:t>
            </w:r>
          </w:p>
        </w:tc>
        <w:tc>
          <w:tcPr>
            <w:tcW w:w="1417" w:type="dxa"/>
            <w:hideMark/>
          </w:tcPr>
          <w:p w14:paraId="6200FE4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Parcel</w:t>
            </w:r>
          </w:p>
        </w:tc>
      </w:tr>
      <w:tr w:rsidR="009329FB" w:rsidRPr="009329FB" w14:paraId="3A4728E7" w14:textId="77777777" w:rsidTr="001F0A43">
        <w:trPr>
          <w:tblHeader/>
        </w:trPr>
        <w:tc>
          <w:tcPr>
            <w:tcW w:w="1255" w:type="dxa"/>
            <w:hideMark/>
          </w:tcPr>
          <w:p w14:paraId="14D86AA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D7FF92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TOP</w:t>
            </w:r>
          </w:p>
        </w:tc>
        <w:tc>
          <w:tcPr>
            <w:tcW w:w="1434" w:type="dxa"/>
          </w:tcPr>
          <w:p w14:paraId="41865CBB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Topography of parcel</w:t>
            </w:r>
          </w:p>
        </w:tc>
        <w:tc>
          <w:tcPr>
            <w:tcW w:w="942" w:type="dxa"/>
            <w:hideMark/>
          </w:tcPr>
          <w:p w14:paraId="5AA04CA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867" w:type="dxa"/>
            <w:hideMark/>
          </w:tcPr>
          <w:p w14:paraId="52AA3B0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Philadelphia Water Department</w:t>
            </w:r>
          </w:p>
        </w:tc>
        <w:tc>
          <w:tcPr>
            <w:tcW w:w="1417" w:type="dxa"/>
            <w:hideMark/>
          </w:tcPr>
          <w:p w14:paraId="67A8300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Parcel</w:t>
            </w:r>
          </w:p>
        </w:tc>
      </w:tr>
      <w:tr w:rsidR="009329FB" w:rsidRPr="009329FB" w14:paraId="6797E8D9" w14:textId="77777777" w:rsidTr="001F0A43">
        <w:trPr>
          <w:tblHeader/>
        </w:trPr>
        <w:tc>
          <w:tcPr>
            <w:tcW w:w="1255" w:type="dxa"/>
            <w:hideMark/>
          </w:tcPr>
          <w:p w14:paraId="56F8EDC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26C6A63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Imminently Dangerous Buildings</w:t>
            </w:r>
          </w:p>
        </w:tc>
        <w:tc>
          <w:tcPr>
            <w:tcW w:w="1434" w:type="dxa"/>
          </w:tcPr>
          <w:p w14:paraId="2DE2507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Licenses and Inspections department code violations for imminently dangerous buildings</w:t>
            </w:r>
          </w:p>
        </w:tc>
        <w:tc>
          <w:tcPr>
            <w:tcW w:w="942" w:type="dxa"/>
            <w:hideMark/>
          </w:tcPr>
          <w:p w14:paraId="5E3499B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67" w:type="dxa"/>
            <w:hideMark/>
          </w:tcPr>
          <w:p w14:paraId="22FA418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Open Data Philly</w:t>
            </w:r>
          </w:p>
          <w:p w14:paraId="75B07A0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(www.opendataphilly.com)</w:t>
            </w:r>
          </w:p>
        </w:tc>
        <w:tc>
          <w:tcPr>
            <w:tcW w:w="1417" w:type="dxa"/>
            <w:hideMark/>
          </w:tcPr>
          <w:p w14:paraId="0E477D2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0B14BDC3" w14:textId="77777777" w:rsidTr="001F0A43">
        <w:trPr>
          <w:tblHeader/>
        </w:trPr>
        <w:tc>
          <w:tcPr>
            <w:tcW w:w="1255" w:type="dxa"/>
            <w:hideMark/>
          </w:tcPr>
          <w:p w14:paraId="49CCBDD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E9B1E3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Unsafe Buildings</w:t>
            </w:r>
          </w:p>
        </w:tc>
        <w:tc>
          <w:tcPr>
            <w:tcW w:w="1434" w:type="dxa"/>
          </w:tcPr>
          <w:p w14:paraId="2FE2362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Licenses and Inspections department code violations for unsafe buildings</w:t>
            </w:r>
          </w:p>
        </w:tc>
        <w:tc>
          <w:tcPr>
            <w:tcW w:w="942" w:type="dxa"/>
            <w:hideMark/>
          </w:tcPr>
          <w:p w14:paraId="1443AB9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67" w:type="dxa"/>
            <w:hideMark/>
          </w:tcPr>
          <w:p w14:paraId="031B8A2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Open Data Philly</w:t>
            </w:r>
          </w:p>
          <w:p w14:paraId="528F545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(www.opendataphilly.com)</w:t>
            </w:r>
          </w:p>
        </w:tc>
        <w:tc>
          <w:tcPr>
            <w:tcW w:w="1417" w:type="dxa"/>
            <w:hideMark/>
          </w:tcPr>
          <w:p w14:paraId="5FA2FEC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58AE4720" w14:textId="77777777" w:rsidTr="001F0A43">
        <w:trPr>
          <w:tblHeader/>
        </w:trPr>
        <w:tc>
          <w:tcPr>
            <w:tcW w:w="1255" w:type="dxa"/>
            <w:hideMark/>
          </w:tcPr>
          <w:p w14:paraId="35C08E6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3724A1F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Schools</w:t>
            </w:r>
          </w:p>
        </w:tc>
        <w:tc>
          <w:tcPr>
            <w:tcW w:w="1434" w:type="dxa"/>
          </w:tcPr>
          <w:p w14:paraId="1367888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public schools</w:t>
            </w:r>
          </w:p>
        </w:tc>
        <w:tc>
          <w:tcPr>
            <w:tcW w:w="942" w:type="dxa"/>
            <w:hideMark/>
          </w:tcPr>
          <w:p w14:paraId="05ED9B8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867" w:type="dxa"/>
            <w:hideMark/>
          </w:tcPr>
          <w:p w14:paraId="077466E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Open Data Philly</w:t>
            </w:r>
          </w:p>
          <w:p w14:paraId="179BA19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(www.opendataphilly.com)</w:t>
            </w:r>
          </w:p>
        </w:tc>
        <w:tc>
          <w:tcPr>
            <w:tcW w:w="1417" w:type="dxa"/>
            <w:hideMark/>
          </w:tcPr>
          <w:p w14:paraId="48935EF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723B9DB4" w14:textId="77777777" w:rsidTr="001F0A43">
        <w:trPr>
          <w:tblHeader/>
        </w:trPr>
        <w:tc>
          <w:tcPr>
            <w:tcW w:w="1255" w:type="dxa"/>
            <w:hideMark/>
          </w:tcPr>
          <w:p w14:paraId="30EB6EF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530CD97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Hospitals</w:t>
            </w:r>
          </w:p>
        </w:tc>
        <w:tc>
          <w:tcPr>
            <w:tcW w:w="1434" w:type="dxa"/>
          </w:tcPr>
          <w:p w14:paraId="2F006F7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hospitals</w:t>
            </w:r>
          </w:p>
        </w:tc>
        <w:tc>
          <w:tcPr>
            <w:tcW w:w="942" w:type="dxa"/>
            <w:hideMark/>
          </w:tcPr>
          <w:p w14:paraId="3EC221D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867" w:type="dxa"/>
            <w:hideMark/>
          </w:tcPr>
          <w:p w14:paraId="389A2D7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Open Data Philly</w:t>
            </w:r>
          </w:p>
          <w:p w14:paraId="0DCF3D0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(www.opendataphilly.com)</w:t>
            </w:r>
          </w:p>
        </w:tc>
        <w:tc>
          <w:tcPr>
            <w:tcW w:w="1417" w:type="dxa"/>
            <w:hideMark/>
          </w:tcPr>
          <w:p w14:paraId="6265B0C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3A3082A0" w14:textId="77777777" w:rsidTr="001F0A43">
        <w:trPr>
          <w:tblHeader/>
        </w:trPr>
        <w:tc>
          <w:tcPr>
            <w:tcW w:w="1255" w:type="dxa"/>
            <w:hideMark/>
          </w:tcPr>
          <w:p w14:paraId="741DF34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3C0BED5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Fire Department Facilities</w:t>
            </w:r>
          </w:p>
        </w:tc>
        <w:tc>
          <w:tcPr>
            <w:tcW w:w="1434" w:type="dxa"/>
          </w:tcPr>
          <w:p w14:paraId="309D4C7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fire department stations</w:t>
            </w:r>
          </w:p>
        </w:tc>
        <w:tc>
          <w:tcPr>
            <w:tcW w:w="942" w:type="dxa"/>
            <w:hideMark/>
          </w:tcPr>
          <w:p w14:paraId="1D8B68F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867" w:type="dxa"/>
            <w:hideMark/>
          </w:tcPr>
          <w:p w14:paraId="0846AF9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Open Data Philly</w:t>
            </w:r>
          </w:p>
          <w:p w14:paraId="1ACBD26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(www.opendataphilly.com)</w:t>
            </w:r>
          </w:p>
        </w:tc>
        <w:tc>
          <w:tcPr>
            <w:tcW w:w="1417" w:type="dxa"/>
            <w:hideMark/>
          </w:tcPr>
          <w:p w14:paraId="1852C3D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6D1F87F7" w14:textId="77777777" w:rsidTr="001F0A43">
        <w:trPr>
          <w:tblHeader/>
        </w:trPr>
        <w:tc>
          <w:tcPr>
            <w:tcW w:w="1255" w:type="dxa"/>
            <w:hideMark/>
          </w:tcPr>
          <w:p w14:paraId="720FF45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691D7AA1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SEPTA Bus Stops</w:t>
            </w:r>
          </w:p>
        </w:tc>
        <w:tc>
          <w:tcPr>
            <w:tcW w:w="1434" w:type="dxa"/>
          </w:tcPr>
          <w:p w14:paraId="2AF6683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the SEPTA bus stops in Philadelphia</w:t>
            </w:r>
          </w:p>
        </w:tc>
        <w:tc>
          <w:tcPr>
            <w:tcW w:w="942" w:type="dxa"/>
            <w:hideMark/>
          </w:tcPr>
          <w:p w14:paraId="4A08541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67" w:type="dxa"/>
            <w:hideMark/>
          </w:tcPr>
          <w:p w14:paraId="3C8E5E2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SEPTA Open Data </w:t>
            </w:r>
          </w:p>
          <w:p w14:paraId="3CBEE4A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(www.septa.opendata.arcgis.com)</w:t>
            </w:r>
          </w:p>
        </w:tc>
        <w:tc>
          <w:tcPr>
            <w:tcW w:w="1417" w:type="dxa"/>
            <w:hideMark/>
          </w:tcPr>
          <w:p w14:paraId="0257608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4E9B87C8" w14:textId="77777777" w:rsidTr="001F0A43">
        <w:trPr>
          <w:tblHeader/>
        </w:trPr>
        <w:tc>
          <w:tcPr>
            <w:tcW w:w="1255" w:type="dxa"/>
            <w:hideMark/>
          </w:tcPr>
          <w:p w14:paraId="6DAFF5E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1279BAB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SEPTA Trolley Stops</w:t>
            </w:r>
          </w:p>
        </w:tc>
        <w:tc>
          <w:tcPr>
            <w:tcW w:w="1434" w:type="dxa"/>
          </w:tcPr>
          <w:p w14:paraId="62FC0A6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the SEPTA trolley stops in Philadelphia</w:t>
            </w:r>
          </w:p>
        </w:tc>
        <w:tc>
          <w:tcPr>
            <w:tcW w:w="942" w:type="dxa"/>
            <w:hideMark/>
          </w:tcPr>
          <w:p w14:paraId="7A2876D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67" w:type="dxa"/>
            <w:hideMark/>
          </w:tcPr>
          <w:p w14:paraId="7D6443B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SEPTA Open Data </w:t>
            </w:r>
          </w:p>
          <w:p w14:paraId="0A86981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(www.septa.opendata.arcgis.com)</w:t>
            </w:r>
          </w:p>
        </w:tc>
        <w:tc>
          <w:tcPr>
            <w:tcW w:w="1417" w:type="dxa"/>
            <w:hideMark/>
          </w:tcPr>
          <w:p w14:paraId="6884ED9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67B028FA" w14:textId="77777777" w:rsidTr="001F0A43">
        <w:trPr>
          <w:tblHeader/>
        </w:trPr>
        <w:tc>
          <w:tcPr>
            <w:tcW w:w="1255" w:type="dxa"/>
            <w:hideMark/>
          </w:tcPr>
          <w:p w14:paraId="3FB4D9E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1818290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SEPTA High Speed Rail Stops</w:t>
            </w:r>
          </w:p>
        </w:tc>
        <w:tc>
          <w:tcPr>
            <w:tcW w:w="1434" w:type="dxa"/>
          </w:tcPr>
          <w:p w14:paraId="71EA5DD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 locations of the SEPTA high speed rail stations for the Norristown, Broad Street, and Market-Frankford lines</w:t>
            </w:r>
          </w:p>
        </w:tc>
        <w:tc>
          <w:tcPr>
            <w:tcW w:w="942" w:type="dxa"/>
            <w:hideMark/>
          </w:tcPr>
          <w:p w14:paraId="471EBD5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867" w:type="dxa"/>
            <w:hideMark/>
          </w:tcPr>
          <w:p w14:paraId="0152DAA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SEPTA Open Data </w:t>
            </w:r>
          </w:p>
          <w:p w14:paraId="629BBC11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(www.septa.opendata.arcgis.com)</w:t>
            </w:r>
          </w:p>
        </w:tc>
        <w:tc>
          <w:tcPr>
            <w:tcW w:w="1417" w:type="dxa"/>
            <w:hideMark/>
          </w:tcPr>
          <w:p w14:paraId="0B8AD23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Point</w:t>
            </w:r>
          </w:p>
        </w:tc>
      </w:tr>
      <w:tr w:rsidR="009329FB" w:rsidRPr="009329FB" w14:paraId="391918EC" w14:textId="77777777" w:rsidTr="001F0A43">
        <w:trPr>
          <w:tblHeader/>
        </w:trPr>
        <w:tc>
          <w:tcPr>
            <w:tcW w:w="1255" w:type="dxa"/>
            <w:hideMark/>
          </w:tcPr>
          <w:p w14:paraId="6C20EF3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Social Vulnerability</w:t>
            </w:r>
          </w:p>
        </w:tc>
        <w:tc>
          <w:tcPr>
            <w:tcW w:w="1445" w:type="dxa"/>
            <w:hideMark/>
          </w:tcPr>
          <w:p w14:paraId="4685D62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RELATIONSHIP BY HOUSEHOLD TYPE (INCLUDING LIVING ALONE) FOR THE POPULATION 65 YEARS AND OVER</w:t>
            </w:r>
          </w:p>
        </w:tc>
        <w:tc>
          <w:tcPr>
            <w:tcW w:w="1434" w:type="dxa"/>
          </w:tcPr>
          <w:p w14:paraId="1774EFB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Residents over the age of 65 that live alone</w:t>
            </w:r>
          </w:p>
        </w:tc>
        <w:tc>
          <w:tcPr>
            <w:tcW w:w="942" w:type="dxa"/>
            <w:hideMark/>
          </w:tcPr>
          <w:p w14:paraId="7C1DABC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1954D3A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6647A09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64E8267B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1C05B83B" w14:textId="77777777" w:rsidTr="001F0A43">
        <w:trPr>
          <w:tblHeader/>
        </w:trPr>
        <w:tc>
          <w:tcPr>
            <w:tcW w:w="1255" w:type="dxa"/>
            <w:hideMark/>
          </w:tcPr>
          <w:p w14:paraId="12DDE03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64EF6696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EDUCATIONAL ATTAINMENT FOR THE POPULATION 25 YEARS AND OVER</w:t>
            </w:r>
          </w:p>
        </w:tc>
        <w:tc>
          <w:tcPr>
            <w:tcW w:w="1434" w:type="dxa"/>
          </w:tcPr>
          <w:p w14:paraId="4F3F62B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Residents 25 and older with no high school diploma</w:t>
            </w:r>
          </w:p>
        </w:tc>
        <w:tc>
          <w:tcPr>
            <w:tcW w:w="942" w:type="dxa"/>
            <w:hideMark/>
          </w:tcPr>
          <w:p w14:paraId="4DBA87E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07FC941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7FC9204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61E7FDF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1F56FF8D" w14:textId="77777777" w:rsidTr="001F0A43">
        <w:trPr>
          <w:tblHeader/>
        </w:trPr>
        <w:tc>
          <w:tcPr>
            <w:tcW w:w="1255" w:type="dxa"/>
            <w:hideMark/>
          </w:tcPr>
          <w:p w14:paraId="2279735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2849D9F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EMPLOYMENT STATUS FOR THE POPULATION 16 YEARS AND OVER</w:t>
            </w:r>
          </w:p>
        </w:tc>
        <w:tc>
          <w:tcPr>
            <w:tcW w:w="1434" w:type="dxa"/>
          </w:tcPr>
          <w:p w14:paraId="343CD0D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Unemployed residents</w:t>
            </w:r>
          </w:p>
        </w:tc>
        <w:tc>
          <w:tcPr>
            <w:tcW w:w="942" w:type="dxa"/>
            <w:hideMark/>
          </w:tcPr>
          <w:p w14:paraId="1C25CE8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71720BB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3F38DF3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03D862E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25123E61" w14:textId="77777777" w:rsidTr="001F0A43">
        <w:trPr>
          <w:tblHeader/>
        </w:trPr>
        <w:tc>
          <w:tcPr>
            <w:tcW w:w="1255" w:type="dxa"/>
            <w:hideMark/>
          </w:tcPr>
          <w:p w14:paraId="6796909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163534C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HISPANIC OR LATINO ORIGIN BY RACE</w:t>
            </w:r>
          </w:p>
        </w:tc>
        <w:tc>
          <w:tcPr>
            <w:tcW w:w="1434" w:type="dxa"/>
          </w:tcPr>
          <w:p w14:paraId="1236031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Hispanic or Latino residents</w:t>
            </w:r>
          </w:p>
        </w:tc>
        <w:tc>
          <w:tcPr>
            <w:tcW w:w="942" w:type="dxa"/>
            <w:hideMark/>
          </w:tcPr>
          <w:p w14:paraId="3D226D6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6CCC5B5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76D8FEA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7DAE5C27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1C46C945" w14:textId="77777777" w:rsidTr="001F0A43">
        <w:trPr>
          <w:tblHeader/>
        </w:trPr>
        <w:tc>
          <w:tcPr>
            <w:tcW w:w="1255" w:type="dxa"/>
            <w:hideMark/>
          </w:tcPr>
          <w:p w14:paraId="47EFCC9B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5589271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HOUSEHOLD LANGUAGE BY HOUSEHOLD LIMITED ENGLISH-SPEAKING STATUS</w:t>
            </w:r>
          </w:p>
        </w:tc>
        <w:tc>
          <w:tcPr>
            <w:tcW w:w="1434" w:type="dxa"/>
          </w:tcPr>
          <w:p w14:paraId="09AD2321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 household in which no member 14 years old and over (1) speaks only English or (2) speaks a non-English language and speaks English "very well." In other words, all members 14 years old and over have at least some difficulties with English</w:t>
            </w:r>
          </w:p>
        </w:tc>
        <w:tc>
          <w:tcPr>
            <w:tcW w:w="942" w:type="dxa"/>
            <w:hideMark/>
          </w:tcPr>
          <w:p w14:paraId="52295BF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17B8F3C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2D6E1C1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7437D081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6B2F251E" w14:textId="77777777" w:rsidTr="001F0A43">
        <w:trPr>
          <w:tblHeader/>
        </w:trPr>
        <w:tc>
          <w:tcPr>
            <w:tcW w:w="1255" w:type="dxa"/>
            <w:hideMark/>
          </w:tcPr>
          <w:p w14:paraId="62A41ED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D3F7EC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SEX BY AGE</w:t>
            </w:r>
          </w:p>
        </w:tc>
        <w:tc>
          <w:tcPr>
            <w:tcW w:w="1434" w:type="dxa"/>
          </w:tcPr>
          <w:p w14:paraId="17EFC1B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Residents under the age of 18</w:t>
            </w:r>
          </w:p>
        </w:tc>
        <w:tc>
          <w:tcPr>
            <w:tcW w:w="942" w:type="dxa"/>
            <w:hideMark/>
          </w:tcPr>
          <w:p w14:paraId="63E70AA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31918B74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379FBD9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06399C5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14C5284F" w14:textId="77777777" w:rsidTr="001F0A43">
        <w:trPr>
          <w:tblHeader/>
        </w:trPr>
        <w:tc>
          <w:tcPr>
            <w:tcW w:w="1255" w:type="dxa"/>
            <w:hideMark/>
          </w:tcPr>
          <w:p w14:paraId="0AAFF19A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1AD4649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SEX BY AGE</w:t>
            </w:r>
          </w:p>
        </w:tc>
        <w:tc>
          <w:tcPr>
            <w:tcW w:w="1434" w:type="dxa"/>
          </w:tcPr>
          <w:p w14:paraId="612468F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Residents over the age of 65</w:t>
            </w:r>
          </w:p>
        </w:tc>
        <w:tc>
          <w:tcPr>
            <w:tcW w:w="942" w:type="dxa"/>
            <w:hideMark/>
          </w:tcPr>
          <w:p w14:paraId="4CDBEA0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2BAEED8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70DA669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059DE0C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5E7799CA" w14:textId="77777777" w:rsidTr="001F0A43">
        <w:trPr>
          <w:tblHeader/>
        </w:trPr>
        <w:tc>
          <w:tcPr>
            <w:tcW w:w="1255" w:type="dxa"/>
            <w:hideMark/>
          </w:tcPr>
          <w:p w14:paraId="6AA8156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4D49B475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POVERTY STATUS IN THE PAST 12 MONTHS BY HOUSEHOLD TYPE BY AGE OF HOUSEHOLDER</w:t>
            </w:r>
          </w:p>
        </w:tc>
        <w:tc>
          <w:tcPr>
            <w:tcW w:w="1434" w:type="dxa"/>
          </w:tcPr>
          <w:p w14:paraId="1F9CD48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Residents living in poverty</w:t>
            </w:r>
          </w:p>
        </w:tc>
        <w:tc>
          <w:tcPr>
            <w:tcW w:w="942" w:type="dxa"/>
            <w:hideMark/>
          </w:tcPr>
          <w:p w14:paraId="5E913732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03FF6D4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791111A3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1EDEA549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3C1A9B11" w14:textId="77777777" w:rsidTr="001F0A43">
        <w:trPr>
          <w:tblHeader/>
        </w:trPr>
        <w:tc>
          <w:tcPr>
            <w:tcW w:w="1255" w:type="dxa"/>
            <w:hideMark/>
          </w:tcPr>
          <w:p w14:paraId="2D53C40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hideMark/>
          </w:tcPr>
          <w:p w14:paraId="0194451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RACE</w:t>
            </w:r>
          </w:p>
        </w:tc>
        <w:tc>
          <w:tcPr>
            <w:tcW w:w="1434" w:type="dxa"/>
          </w:tcPr>
          <w:p w14:paraId="302B698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African American residents</w:t>
            </w:r>
          </w:p>
        </w:tc>
        <w:tc>
          <w:tcPr>
            <w:tcW w:w="942" w:type="dxa"/>
            <w:hideMark/>
          </w:tcPr>
          <w:p w14:paraId="0C7D6380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2015-2019 </w:t>
            </w:r>
          </w:p>
          <w:p w14:paraId="415EEE9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5-year estimates</w:t>
            </w:r>
          </w:p>
        </w:tc>
        <w:tc>
          <w:tcPr>
            <w:tcW w:w="2867" w:type="dxa"/>
            <w:hideMark/>
          </w:tcPr>
          <w:p w14:paraId="71F40B2E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American Community Survey</w:t>
            </w:r>
          </w:p>
        </w:tc>
        <w:tc>
          <w:tcPr>
            <w:tcW w:w="1417" w:type="dxa"/>
            <w:hideMark/>
          </w:tcPr>
          <w:p w14:paraId="3A5DD0A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Census Block Group</w:t>
            </w:r>
          </w:p>
        </w:tc>
      </w:tr>
      <w:tr w:rsidR="009329FB" w:rsidRPr="009329FB" w14:paraId="0E9B3265" w14:textId="77777777" w:rsidTr="001F0A43">
        <w:trPr>
          <w:tblHeader/>
        </w:trPr>
        <w:tc>
          <w:tcPr>
            <w:tcW w:w="1255" w:type="dxa"/>
            <w:hideMark/>
          </w:tcPr>
          <w:p w14:paraId="63BBB371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GSI Maintenance Needs Index</w:t>
            </w:r>
          </w:p>
        </w:tc>
        <w:tc>
          <w:tcPr>
            <w:tcW w:w="1445" w:type="dxa"/>
            <w:hideMark/>
          </w:tcPr>
          <w:p w14:paraId="32DFCED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Maintenance</w:t>
            </w:r>
          </w:p>
        </w:tc>
        <w:tc>
          <w:tcPr>
            <w:tcW w:w="1434" w:type="dxa"/>
          </w:tcPr>
          <w:p w14:paraId="4F0EF14F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The predicted maintenance impacts to GSI for the City of Philadelphia including litter, leaf litter, and sediment impacts</w:t>
            </w:r>
          </w:p>
        </w:tc>
        <w:tc>
          <w:tcPr>
            <w:tcW w:w="942" w:type="dxa"/>
            <w:hideMark/>
          </w:tcPr>
          <w:p w14:paraId="0B4C506C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2018 - 2020</w:t>
            </w:r>
          </w:p>
        </w:tc>
        <w:tc>
          <w:tcPr>
            <w:tcW w:w="2867" w:type="dxa"/>
            <w:hideMark/>
          </w:tcPr>
          <w:p w14:paraId="09B60838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Homet et al., 2022</w:t>
            </w:r>
          </w:p>
        </w:tc>
        <w:tc>
          <w:tcPr>
            <w:tcW w:w="1417" w:type="dxa"/>
            <w:hideMark/>
          </w:tcPr>
          <w:p w14:paraId="2765FCAD" w14:textId="77777777" w:rsidR="009329FB" w:rsidRPr="009329FB" w:rsidRDefault="009329FB" w:rsidP="009329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9FB">
              <w:rPr>
                <w:rFonts w:ascii="Times New Roman" w:eastAsia="Calibri" w:hAnsi="Times New Roman" w:cs="Times New Roman"/>
                <w:sz w:val="24"/>
                <w:szCs w:val="24"/>
              </w:rPr>
              <w:t>Neighborhoods</w:t>
            </w:r>
          </w:p>
        </w:tc>
      </w:tr>
    </w:tbl>
    <w:p w14:paraId="15B8D5B4" w14:textId="22CDCF4D" w:rsidR="009329FB" w:rsidRDefault="009329FB" w:rsidP="49398298"/>
    <w:p w14:paraId="279EDE3B" w14:textId="5937F6AE" w:rsidR="00252A84" w:rsidRDefault="00252A84" w:rsidP="49398298">
      <w:r w:rsidRPr="00252A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47548" wp14:editId="08348009">
                <wp:simplePos x="0" y="0"/>
                <wp:positionH relativeFrom="margin">
                  <wp:posOffset>-589280</wp:posOffset>
                </wp:positionH>
                <wp:positionV relativeFrom="paragraph">
                  <wp:posOffset>394335</wp:posOffset>
                </wp:positionV>
                <wp:extent cx="7076440" cy="419100"/>
                <wp:effectExtent l="0" t="0" r="0" b="0"/>
                <wp:wrapTopAndBottom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440" cy="41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F7E2AE" w14:textId="589CCFA2" w:rsidR="00252A84" w:rsidRPr="009F65D1" w:rsidRDefault="00D760FC" w:rsidP="00252A8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  <w:u w:val="single"/>
                                <w:lang w:bidi="he-IL"/>
                              </w:rPr>
                            </w:pPr>
                            <w:r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Table</w:t>
                            </w:r>
                            <w:r w:rsidR="0047235D"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="0047235D"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="00252A84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The ranking methodology for levels of overall vulnerability using the existence of known co-benefits as a marker of something that could potentially improve overall vulnerability to climate-related events.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47548" id="Text Box 33" o:spid="_x0000_s1027" type="#_x0000_t202" style="position:absolute;margin-left:-46.4pt;margin-top:31.05pt;width:557.2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" stroked="f">
                <v:textbox inset="0,0,0,0">
                  <w:txbxContent>
                    <w:p w14:paraId="4AF7E2AE" w14:textId="589CCFA2" w:rsidR="00252A84" w:rsidRPr="009F65D1" w:rsidRDefault="00D760FC" w:rsidP="00252A84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  <w:u w:val="single"/>
                          <w:lang w:bidi="he-IL"/>
                        </w:rPr>
                      </w:pPr>
                      <w:r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Table</w:t>
                      </w:r>
                      <w:r w:rsidR="0047235D"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="0047235D"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="00252A84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: The ranking methodology for levels of overall vulnerability using the existence of known co-benefits as a marker of something that could potentially improve overall vulnerability to climate-related events.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1261282" w14:textId="52FF474D" w:rsidR="00252A84" w:rsidRDefault="0047235D" w:rsidP="49398298">
      <w:r w:rsidRPr="00252A84">
        <w:rPr>
          <w:noProof/>
        </w:rPr>
        <w:drawing>
          <wp:anchor distT="0" distB="0" distL="114300" distR="114300" simplePos="0" relativeHeight="251663360" behindDoc="0" locked="0" layoutInCell="1" allowOverlap="1" wp14:anchorId="7E0CAF64" wp14:editId="265F49DD">
            <wp:simplePos x="0" y="0"/>
            <wp:positionH relativeFrom="margin">
              <wp:align>center</wp:align>
            </wp:positionH>
            <wp:positionV relativeFrom="paragraph">
              <wp:posOffset>601345</wp:posOffset>
            </wp:positionV>
            <wp:extent cx="7120255" cy="1303655"/>
            <wp:effectExtent l="0" t="0" r="444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42C9" w14:textId="24ECA7AE" w:rsidR="00252A84" w:rsidRDefault="00252A84" w:rsidP="49398298"/>
    <w:p w14:paraId="09212BE5" w14:textId="77A06A1B" w:rsidR="00252A84" w:rsidRDefault="00252A84" w:rsidP="49398298"/>
    <w:p w14:paraId="366AAA59" w14:textId="5C52BC6E" w:rsidR="00252A84" w:rsidRDefault="0047235D" w:rsidP="49398298">
      <w:r w:rsidRPr="00180EE6">
        <w:rPr>
          <w:noProof/>
        </w:rPr>
        <w:drawing>
          <wp:anchor distT="0" distB="0" distL="114300" distR="114300" simplePos="0" relativeHeight="251666432" behindDoc="0" locked="0" layoutInCell="1" allowOverlap="1" wp14:anchorId="1233F575" wp14:editId="2F824C73">
            <wp:simplePos x="0" y="0"/>
            <wp:positionH relativeFrom="margin">
              <wp:posOffset>-723900</wp:posOffset>
            </wp:positionH>
            <wp:positionV relativeFrom="paragraph">
              <wp:posOffset>1016635</wp:posOffset>
            </wp:positionV>
            <wp:extent cx="7188200" cy="1405255"/>
            <wp:effectExtent l="0" t="0" r="0" b="444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E866E" w14:textId="6D13BECB" w:rsidR="00252A84" w:rsidRDefault="009F65D1" w:rsidP="49398298">
      <w:r w:rsidRPr="00180EE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E9BE0" wp14:editId="1E1220D8">
                <wp:simplePos x="0" y="0"/>
                <wp:positionH relativeFrom="column">
                  <wp:posOffset>-723900</wp:posOffset>
                </wp:positionH>
                <wp:positionV relativeFrom="paragraph">
                  <wp:posOffset>255270</wp:posOffset>
                </wp:positionV>
                <wp:extent cx="7120255" cy="403860"/>
                <wp:effectExtent l="0" t="0" r="4445" b="0"/>
                <wp:wrapTopAndBottom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255" cy="403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A2759A" w14:textId="40E01BE8" w:rsidR="00180EE6" w:rsidRPr="009F65D1" w:rsidRDefault="00D760FC" w:rsidP="00180EE6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u w:val="single"/>
                                <w:lang w:bidi="he-IL"/>
                              </w:rPr>
                            </w:pPr>
                            <w:r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Table S</w:t>
                            </w:r>
                            <w:r w:rsidR="0050772C" w:rsidRPr="009F65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 w:rsidR="00180EE6" w:rsidRPr="009F65D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: The ranking methodology for levels of predicted GSI maintenance impacts using the requirements within the Philadelphia GSI maintenance manual for GSI types (Philadelphia Water Department, 2012) as a marker of low, medium, or high maintenance need.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9BE0" id="Text Box 34" o:spid="_x0000_s1028" type="#_x0000_t202" style="position:absolute;margin-left:-57pt;margin-top:20.1pt;width:560.6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" stroked="f">
                <v:textbox inset="0,0,0,0">
                  <w:txbxContent>
                    <w:p w14:paraId="77A2759A" w14:textId="40E01BE8" w:rsidR="00180EE6" w:rsidRPr="009F65D1" w:rsidRDefault="00D760FC" w:rsidP="00180EE6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u w:val="single"/>
                          <w:lang w:bidi="he-IL"/>
                        </w:rPr>
                      </w:pPr>
                      <w:r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Table S</w:t>
                      </w:r>
                      <w:r w:rsidR="0050772C" w:rsidRPr="009F65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3</w:t>
                      </w:r>
                      <w:r w:rsidR="00180EE6" w:rsidRPr="009F65D1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: The ranking methodology for levels of predicted GSI maintenance impacts using the requirements within the Philadelphia GSI maintenance manual for GSI types (Philadelphia Water Department, 2012) as a marker of low, medium, or high maintenance need.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DB8BB7B" w14:textId="77777777" w:rsidR="0091418C" w:rsidRDefault="00D760FC" w:rsidP="0091418C">
      <w:pPr>
        <w:keepNext/>
      </w:pPr>
      <w:r>
        <w:rPr>
          <w:noProof/>
        </w:rPr>
        <w:lastRenderedPageBreak/>
        <w:drawing>
          <wp:inline distT="0" distB="0" distL="0" distR="0" wp14:anchorId="4628EDEB" wp14:editId="183FD458">
            <wp:extent cx="5943600" cy="3938270"/>
            <wp:effectExtent l="0" t="0" r="0" b="508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C335" w14:textId="38DCBBF6" w:rsidR="00D760FC" w:rsidRDefault="009F65D1" w:rsidP="0091418C">
      <w:pPr>
        <w:pStyle w:val="Caption"/>
        <w:rPr>
          <w:rFonts w:ascii="Times New Roman" w:hAnsi="Times New Roman" w:cs="Times New Roman"/>
          <w:color w:val="auto"/>
          <w:sz w:val="20"/>
          <w:szCs w:val="20"/>
        </w:rPr>
      </w:pPr>
      <w:r w:rsidRPr="009F65D1">
        <w:rPr>
          <w:rFonts w:ascii="Times New Roman" w:hAnsi="Times New Roman" w:cs="Times New Roman"/>
          <w:b/>
          <w:bCs/>
          <w:color w:val="auto"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2</w:t>
      </w:r>
      <w:r w:rsidRPr="009F65D1">
        <w:rPr>
          <w:rFonts w:ascii="Times New Roman" w:hAnsi="Times New Roman" w:cs="Times New Roman"/>
          <w:color w:val="auto"/>
          <w:sz w:val="20"/>
          <w:szCs w:val="20"/>
        </w:rPr>
        <w:t>: Scatterplot of the Inundation Index rankings (X) based on z-scores against the average of the Social Vulnerability Index and the Built-Environment Vulnerability Index rankings (Y). The yellow lines represent the separation between low and medium vulnerability ranks, where Z= +- 1. The red lines represent Z= +-2, where the plot is separated between medium and high vulnerability ranks.</w:t>
      </w:r>
    </w:p>
    <w:p w14:paraId="7B3C4CFC" w14:textId="77777777" w:rsidR="009F65D1" w:rsidRDefault="009F65D1" w:rsidP="009F65D1"/>
    <w:p w14:paraId="01B7E6A4" w14:textId="77777777" w:rsidR="009F65D1" w:rsidRDefault="009F65D1" w:rsidP="009F65D1"/>
    <w:p w14:paraId="35C30960" w14:textId="77777777" w:rsidR="009F65D1" w:rsidRDefault="009F65D1" w:rsidP="009F65D1"/>
    <w:p w14:paraId="26222D49" w14:textId="77777777" w:rsidR="00D30C2D" w:rsidRDefault="009F65D1" w:rsidP="00D30C2D">
      <w:pPr>
        <w:keepNext/>
      </w:pPr>
      <w:r>
        <w:rPr>
          <w:noProof/>
        </w:rPr>
        <w:lastRenderedPageBreak/>
        <w:drawing>
          <wp:inline distT="0" distB="0" distL="0" distR="0" wp14:anchorId="6C8071FE" wp14:editId="54356E86">
            <wp:extent cx="5943600" cy="2971800"/>
            <wp:effectExtent l="0" t="0" r="0" b="0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DDFC" w14:textId="1848A886" w:rsidR="009F65D1" w:rsidRDefault="00D30C2D" w:rsidP="00D30C2D">
      <w:pPr>
        <w:pStyle w:val="Caption"/>
        <w:rPr>
          <w:rFonts w:ascii="Times New Roman" w:hAnsi="Times New Roman" w:cs="Times New Roman"/>
          <w:color w:val="auto"/>
          <w:sz w:val="20"/>
          <w:szCs w:val="20"/>
        </w:rPr>
      </w:pPr>
      <w:r w:rsidRPr="00F538F6">
        <w:rPr>
          <w:rFonts w:ascii="Times New Roman" w:hAnsi="Times New Roman" w:cs="Times New Roman"/>
          <w:b/>
          <w:bCs/>
          <w:color w:val="auto"/>
          <w:sz w:val="20"/>
          <w:szCs w:val="20"/>
        </w:rPr>
        <w:t>Figure S3</w:t>
      </w:r>
      <w:r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: A boxplot of the </w:t>
      </w:r>
      <w:r w:rsidR="009A455D" w:rsidRPr="00F538F6">
        <w:rPr>
          <w:rFonts w:ascii="Times New Roman" w:hAnsi="Times New Roman" w:cs="Times New Roman"/>
          <w:color w:val="auto"/>
          <w:sz w:val="20"/>
          <w:szCs w:val="20"/>
        </w:rPr>
        <w:t>rank percentiles of the OVI scores including the Re</w:t>
      </w:r>
      <w:r w:rsidR="00E60BA6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gional, Standardized, and Z-Score methods. </w:t>
      </w:r>
      <w:r w:rsidR="001D1D70" w:rsidRPr="00F538F6">
        <w:rPr>
          <w:rFonts w:ascii="Times New Roman" w:hAnsi="Times New Roman" w:cs="Times New Roman"/>
          <w:color w:val="auto"/>
          <w:sz w:val="20"/>
          <w:szCs w:val="20"/>
        </w:rPr>
        <w:t>A total of 1,29</w:t>
      </w:r>
      <w:r w:rsidR="00710234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4 census block groups were included in this analysis, </w:t>
      </w:r>
      <w:r w:rsidR="00220E05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with 36 </w:t>
      </w:r>
      <w:r w:rsidR="00AA1E12" w:rsidRPr="00F538F6">
        <w:rPr>
          <w:rFonts w:ascii="Times New Roman" w:hAnsi="Times New Roman" w:cs="Times New Roman"/>
          <w:color w:val="auto"/>
          <w:sz w:val="20"/>
          <w:szCs w:val="20"/>
        </w:rPr>
        <w:t>groups being removed due to null values from census</w:t>
      </w:r>
      <w:r w:rsidR="004A2EFD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data.</w:t>
      </w:r>
      <w:r w:rsidR="00061AB6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3765C">
        <w:rPr>
          <w:rFonts w:ascii="Times New Roman" w:hAnsi="Times New Roman" w:cs="Times New Roman"/>
          <w:color w:val="auto"/>
          <w:sz w:val="20"/>
          <w:szCs w:val="20"/>
        </w:rPr>
        <w:t>An</w:t>
      </w:r>
      <w:r w:rsidR="00061AB6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assumption of normality</w:t>
      </w:r>
      <w:r w:rsidR="0084299F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(Shapiro Wilk test: W=</w:t>
      </w:r>
      <w:r w:rsidR="002B55A4">
        <w:rPr>
          <w:rFonts w:ascii="Times New Roman" w:hAnsi="Times New Roman" w:cs="Times New Roman"/>
          <w:color w:val="auto"/>
          <w:sz w:val="20"/>
          <w:szCs w:val="20"/>
        </w:rPr>
        <w:t>0.9554</w:t>
      </w:r>
      <w:r w:rsidR="0084299F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, p</w:t>
      </w:r>
      <w:r w:rsidR="00B02AE9" w:rsidRPr="00B02AE9">
        <w:t xml:space="preserve"> </w:t>
      </w:r>
      <w:r w:rsidR="00B02AE9" w:rsidRPr="00B02AE9">
        <w:rPr>
          <w:rFonts w:ascii="Times New Roman" w:hAnsi="Times New Roman" w:cs="Times New Roman"/>
          <w:color w:val="auto"/>
          <w:sz w:val="20"/>
          <w:szCs w:val="20"/>
        </w:rPr>
        <w:t>&lt; 2.2e-16</w:t>
      </w:r>
      <w:r w:rsidR="0084299F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)</w:t>
      </w:r>
      <w:r w:rsidR="001823AE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E3725">
        <w:rPr>
          <w:rFonts w:ascii="Times New Roman" w:hAnsi="Times New Roman" w:cs="Times New Roman"/>
          <w:color w:val="auto"/>
          <w:sz w:val="20"/>
          <w:szCs w:val="20"/>
        </w:rPr>
        <w:t>was not satisfied and failed to satisfy with a transformation</w:t>
      </w:r>
      <w:r w:rsidR="0096027C">
        <w:rPr>
          <w:rFonts w:ascii="Times New Roman" w:hAnsi="Times New Roman" w:cs="Times New Roman"/>
          <w:color w:val="auto"/>
          <w:sz w:val="20"/>
          <w:szCs w:val="20"/>
        </w:rPr>
        <w:t xml:space="preserve"> while</w:t>
      </w:r>
      <w:r w:rsidR="001823AE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homogeneity of variances (Bartlett’s test: K-squared=</w:t>
      </w:r>
      <w:r w:rsidR="001F3CC2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86F22" w:rsidRPr="00186F22">
        <w:rPr>
          <w:rFonts w:ascii="Times New Roman" w:hAnsi="Times New Roman" w:cs="Times New Roman"/>
          <w:color w:val="auto"/>
          <w:sz w:val="20"/>
          <w:szCs w:val="20"/>
        </w:rPr>
        <w:t>1.931e-05</w:t>
      </w:r>
      <w:r w:rsidR="001F3CC2" w:rsidRPr="0038685A">
        <w:rPr>
          <w:rFonts w:ascii="Times New Roman" w:hAnsi="Times New Roman" w:cs="Times New Roman"/>
          <w:color w:val="auto"/>
          <w:sz w:val="20"/>
          <w:szCs w:val="20"/>
        </w:rPr>
        <w:t>, p=</w:t>
      </w:r>
      <w:r w:rsidR="00F3765C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1</w:t>
      </w:r>
      <w:r w:rsidR="001F3CC2" w:rsidRPr="0038685A">
        <w:rPr>
          <w:rFonts w:ascii="Times New Roman" w:hAnsi="Times New Roman" w:cs="Times New Roman"/>
          <w:color w:val="auto"/>
          <w:sz w:val="20"/>
          <w:szCs w:val="20"/>
        </w:rPr>
        <w:t>) w</w:t>
      </w:r>
      <w:r w:rsidR="0096027C" w:rsidRPr="0038685A">
        <w:rPr>
          <w:rFonts w:ascii="Times New Roman" w:hAnsi="Times New Roman" w:cs="Times New Roman"/>
          <w:color w:val="auto"/>
          <w:sz w:val="20"/>
          <w:szCs w:val="20"/>
        </w:rPr>
        <w:t>as satisfied</w:t>
      </w:r>
      <w:r w:rsidR="001F3CC2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BA22CD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This data conforms to a non-parametric </w:t>
      </w:r>
      <w:r w:rsidR="007F6016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one-way ANOVA </w:t>
      </w:r>
      <w:r w:rsidR="00AD02EC" w:rsidRPr="0038685A">
        <w:rPr>
          <w:rFonts w:ascii="Times New Roman" w:hAnsi="Times New Roman" w:cs="Times New Roman"/>
          <w:color w:val="auto"/>
          <w:sz w:val="20"/>
          <w:szCs w:val="20"/>
        </w:rPr>
        <w:t>design</w:t>
      </w:r>
      <w:r w:rsidR="0017233E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and an ANOVA analysis was used (</w:t>
      </w:r>
      <w:r w:rsidR="00F22D9C" w:rsidRPr="0038685A">
        <w:rPr>
          <w:rFonts w:ascii="Times New Roman" w:hAnsi="Times New Roman" w:cs="Times New Roman"/>
          <w:color w:val="auto"/>
          <w:sz w:val="20"/>
          <w:szCs w:val="20"/>
        </w:rPr>
        <w:t>F</w:t>
      </w:r>
      <w:r w:rsidR="001F6241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2,1294= </w:t>
      </w:r>
      <w:r w:rsidR="00566F83" w:rsidRPr="0038685A">
        <w:rPr>
          <w:rFonts w:ascii="Times New Roman" w:hAnsi="Times New Roman" w:cs="Times New Roman"/>
          <w:color w:val="auto"/>
          <w:sz w:val="20"/>
          <w:szCs w:val="20"/>
        </w:rPr>
        <w:t>3.695, p=0.0249).</w:t>
      </w:r>
      <w:r w:rsidR="00233447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A posteriori </w:t>
      </w:r>
      <w:r w:rsidR="00207090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Tukey’s test shows that the Regional scoring method  is significantly different than </w:t>
      </w:r>
      <w:r w:rsidR="00A6070F" w:rsidRPr="0038685A">
        <w:rPr>
          <w:rFonts w:ascii="Times New Roman" w:hAnsi="Times New Roman" w:cs="Times New Roman"/>
          <w:color w:val="auto"/>
          <w:sz w:val="20"/>
          <w:szCs w:val="20"/>
        </w:rPr>
        <w:t>the other two methods of Standardized and Z-Scores (letters A and B above each group).</w:t>
      </w:r>
      <w:r w:rsidR="00E169D7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The line in each boxplot represents the mean</w:t>
      </w:r>
      <w:r w:rsidR="00947B85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ranked percentile for that scoring method (Regional= </w:t>
      </w:r>
      <w:r w:rsidR="0057584F" w:rsidRPr="0038685A">
        <w:rPr>
          <w:rFonts w:ascii="Times New Roman" w:hAnsi="Times New Roman" w:cs="Times New Roman"/>
          <w:color w:val="auto"/>
          <w:sz w:val="20"/>
          <w:szCs w:val="20"/>
        </w:rPr>
        <w:t>0.4</w:t>
      </w:r>
      <w:r w:rsidR="00181ED7" w:rsidRPr="0038685A">
        <w:rPr>
          <w:rFonts w:ascii="Times New Roman" w:hAnsi="Times New Roman" w:cs="Times New Roman"/>
          <w:color w:val="auto"/>
          <w:sz w:val="20"/>
          <w:szCs w:val="20"/>
        </w:rPr>
        <w:t>736</w:t>
      </w:r>
      <w:r w:rsidR="00947B85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, Standardized= </w:t>
      </w:r>
      <w:r w:rsidR="00181ED7" w:rsidRPr="0038685A">
        <w:rPr>
          <w:rFonts w:ascii="Times New Roman" w:hAnsi="Times New Roman" w:cs="Times New Roman"/>
          <w:color w:val="auto"/>
          <w:sz w:val="20"/>
          <w:szCs w:val="20"/>
        </w:rPr>
        <w:t>0.5004</w:t>
      </w:r>
      <w:r w:rsidR="00947B85" w:rsidRPr="0038685A">
        <w:rPr>
          <w:rFonts w:ascii="Times New Roman" w:hAnsi="Times New Roman" w:cs="Times New Roman"/>
          <w:color w:val="auto"/>
          <w:sz w:val="20"/>
          <w:szCs w:val="20"/>
        </w:rPr>
        <w:t>, and Z-Score=</w:t>
      </w:r>
      <w:r w:rsidR="009636A9" w:rsidRPr="0038685A">
        <w:rPr>
          <w:rFonts w:ascii="Times New Roman" w:hAnsi="Times New Roman" w:cs="Times New Roman"/>
          <w:color w:val="auto"/>
          <w:sz w:val="20"/>
          <w:szCs w:val="20"/>
        </w:rPr>
        <w:t>0.5004</w:t>
      </w:r>
      <w:r w:rsidR="00947B85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).</w:t>
      </w:r>
      <w:r w:rsidR="00532D80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The outer edges of each box </w:t>
      </w:r>
      <w:r w:rsidR="009636A9" w:rsidRPr="0038685A">
        <w:rPr>
          <w:rFonts w:ascii="Times New Roman" w:hAnsi="Times New Roman" w:cs="Times New Roman"/>
          <w:color w:val="auto"/>
          <w:sz w:val="20"/>
          <w:szCs w:val="20"/>
        </w:rPr>
        <w:t>represent</w:t>
      </w:r>
      <w:r w:rsidR="00532D80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one standard deviation from the mean</w:t>
      </w:r>
      <w:r w:rsidR="007B4E90" w:rsidRPr="0038685A">
        <w:rPr>
          <w:rFonts w:ascii="Times New Roman" w:hAnsi="Times New Roman" w:cs="Times New Roman"/>
          <w:color w:val="auto"/>
          <w:sz w:val="20"/>
          <w:szCs w:val="20"/>
        </w:rPr>
        <w:t xml:space="preserve"> for that scoring method (Regional</w:t>
      </w:r>
      <w:r w:rsidR="007B4E90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= </w:t>
      </w:r>
      <w:r w:rsidR="008D3036">
        <w:rPr>
          <w:rFonts w:ascii="Times New Roman" w:hAnsi="Times New Roman" w:cs="Times New Roman"/>
          <w:color w:val="auto"/>
          <w:sz w:val="20"/>
          <w:szCs w:val="20"/>
        </w:rPr>
        <w:t>0.288</w:t>
      </w:r>
      <w:r w:rsidR="00B26077">
        <w:rPr>
          <w:rFonts w:ascii="Times New Roman" w:hAnsi="Times New Roman" w:cs="Times New Roman"/>
          <w:color w:val="auto"/>
          <w:sz w:val="20"/>
          <w:szCs w:val="20"/>
        </w:rPr>
        <w:t>8</w:t>
      </w:r>
      <w:r w:rsidR="007B4E90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, Standardized= </w:t>
      </w:r>
      <w:r w:rsidR="00B26077">
        <w:rPr>
          <w:rFonts w:ascii="Times New Roman" w:hAnsi="Times New Roman" w:cs="Times New Roman"/>
          <w:color w:val="auto"/>
          <w:sz w:val="20"/>
          <w:szCs w:val="20"/>
        </w:rPr>
        <w:t>0.2888</w:t>
      </w:r>
      <w:r w:rsidR="007B4E90" w:rsidRPr="00F538F6">
        <w:rPr>
          <w:rFonts w:ascii="Times New Roman" w:hAnsi="Times New Roman" w:cs="Times New Roman"/>
          <w:color w:val="auto"/>
          <w:sz w:val="20"/>
          <w:szCs w:val="20"/>
        </w:rPr>
        <w:t xml:space="preserve">, and Z-Score= </w:t>
      </w:r>
      <w:r w:rsidR="00B26077">
        <w:rPr>
          <w:rFonts w:ascii="Times New Roman" w:hAnsi="Times New Roman" w:cs="Times New Roman"/>
          <w:color w:val="auto"/>
          <w:sz w:val="20"/>
          <w:szCs w:val="20"/>
        </w:rPr>
        <w:t>0.2888</w:t>
      </w:r>
      <w:r w:rsidR="007B4E90" w:rsidRPr="00F538F6">
        <w:rPr>
          <w:rFonts w:ascii="Times New Roman" w:hAnsi="Times New Roman" w:cs="Times New Roman"/>
          <w:color w:val="auto"/>
          <w:sz w:val="20"/>
          <w:szCs w:val="20"/>
        </w:rPr>
        <w:t>).</w:t>
      </w:r>
    </w:p>
    <w:p w14:paraId="151AED01" w14:textId="77777777" w:rsidR="001F0A43" w:rsidRDefault="001F0A43" w:rsidP="001F0A43"/>
    <w:p w14:paraId="1D1C946D" w14:textId="5EBDF3B2" w:rsidR="001F0A43" w:rsidRPr="001F0A43" w:rsidRDefault="001F0A43" w:rsidP="001F0A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83AECF9" wp14:editId="37971660">
                <wp:simplePos x="0" y="0"/>
                <wp:positionH relativeFrom="column">
                  <wp:posOffset>967740</wp:posOffset>
                </wp:positionH>
                <wp:positionV relativeFrom="paragraph">
                  <wp:posOffset>5212080</wp:posOffset>
                </wp:positionV>
                <wp:extent cx="3978275" cy="762000"/>
                <wp:effectExtent l="0" t="0" r="3175" b="0"/>
                <wp:wrapTight wrapText="bothSides">
                  <wp:wrapPolygon edited="0">
                    <wp:start x="0" y="0"/>
                    <wp:lineTo x="0" y="21060"/>
                    <wp:lineTo x="21514" y="21060"/>
                    <wp:lineTo x="21514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762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9EDD3" w14:textId="6AE16B4F" w:rsidR="001F0A43" w:rsidRPr="00D24E96" w:rsidRDefault="001F0A43" w:rsidP="001F0A4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D24E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Figure</w:t>
                            </w:r>
                            <w:r w:rsidR="007B5C37" w:rsidRPr="00D24E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S4</w:t>
                            </w:r>
                            <w:r w:rsidRPr="00D24E9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7B5C37" w:rsidRPr="00D24E9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Spatial analysis of </w:t>
                            </w:r>
                            <w:r w:rsidR="009F0C1A" w:rsidRPr="00D24E9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the scoring agreement between all three scoring methods for the OVI. </w:t>
                            </w:r>
                            <w:r w:rsidR="004C0BE3" w:rsidRPr="00D24E9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 result of 2 out of 3 indicates that only two scoring methods were considered similar </w:t>
                            </w:r>
                            <w:r w:rsidR="00FF1E58" w:rsidRPr="00D24E9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to each other, a score of 3 out of 3 indicates that all three methods </w:t>
                            </w:r>
                            <w:r w:rsidR="00D24E96" w:rsidRPr="00D24E9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agreed in the vulnerability scores for a block group.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ECF9" id="Text Box 5" o:spid="_x0000_s1029" type="#_x0000_t202" style="position:absolute;margin-left:76.2pt;margin-top:410.4pt;width:313.25pt;height:60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" stroked="f">
                <v:textbox inset="0,0,0,0">
                  <w:txbxContent>
                    <w:p w14:paraId="5809EDD3" w14:textId="6AE16B4F" w:rsidR="001F0A43" w:rsidRPr="00D24E96" w:rsidRDefault="001F0A43" w:rsidP="001F0A43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 w:rsidRPr="00D24E9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Figure</w:t>
                      </w:r>
                      <w:r w:rsidR="007B5C37" w:rsidRPr="00D24E9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S4</w:t>
                      </w:r>
                      <w:r w:rsidRPr="00D24E9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7B5C37" w:rsidRPr="00D24E9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Spatial analysis of </w:t>
                      </w:r>
                      <w:r w:rsidR="009F0C1A" w:rsidRPr="00D24E9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the scoring agreement between all three scoring methods for the OVI. </w:t>
                      </w:r>
                      <w:r w:rsidR="004C0BE3" w:rsidRPr="00D24E9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 result of 2 out of 3 indicates that only two scoring methods were considered similar </w:t>
                      </w:r>
                      <w:r w:rsidR="00FF1E58" w:rsidRPr="00D24E9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to each other, a score of 3 out of 3 indicates that all three methods </w:t>
                      </w:r>
                      <w:r w:rsidR="00D24E96" w:rsidRPr="00D24E9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agreed in the vulnerability scores for a block group.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2FD1882" wp14:editId="776E16B7">
            <wp:simplePos x="0" y="0"/>
            <wp:positionH relativeFrom="column">
              <wp:posOffset>967740</wp:posOffset>
            </wp:positionH>
            <wp:positionV relativeFrom="paragraph">
              <wp:posOffset>0</wp:posOffset>
            </wp:positionV>
            <wp:extent cx="3978275" cy="5151120"/>
            <wp:effectExtent l="0" t="0" r="3175" b="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0A43" w:rsidRPr="001F0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2908"/>
    <w:multiLevelType w:val="hybridMultilevel"/>
    <w:tmpl w:val="A6B4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7389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580202"/>
    <w:rsid w:val="00061AB6"/>
    <w:rsid w:val="0017233E"/>
    <w:rsid w:val="00180EE6"/>
    <w:rsid w:val="00181ED7"/>
    <w:rsid w:val="001823AE"/>
    <w:rsid w:val="00186F22"/>
    <w:rsid w:val="001D1D70"/>
    <w:rsid w:val="001D341D"/>
    <w:rsid w:val="001F0A43"/>
    <w:rsid w:val="001F3CC2"/>
    <w:rsid w:val="001F6241"/>
    <w:rsid w:val="00207090"/>
    <w:rsid w:val="00220E05"/>
    <w:rsid w:val="00233447"/>
    <w:rsid w:val="00252A84"/>
    <w:rsid w:val="002B55A4"/>
    <w:rsid w:val="0038685A"/>
    <w:rsid w:val="00427B7B"/>
    <w:rsid w:val="0047235D"/>
    <w:rsid w:val="004A2EFD"/>
    <w:rsid w:val="004C0BE3"/>
    <w:rsid w:val="0050772C"/>
    <w:rsid w:val="005143AF"/>
    <w:rsid w:val="00532D80"/>
    <w:rsid w:val="00566F83"/>
    <w:rsid w:val="0057584F"/>
    <w:rsid w:val="00710234"/>
    <w:rsid w:val="007B4E90"/>
    <w:rsid w:val="007B5C37"/>
    <w:rsid w:val="007F6016"/>
    <w:rsid w:val="008306DA"/>
    <w:rsid w:val="0084299F"/>
    <w:rsid w:val="008D3036"/>
    <w:rsid w:val="008D31D9"/>
    <w:rsid w:val="0091418C"/>
    <w:rsid w:val="009329FB"/>
    <w:rsid w:val="00947B85"/>
    <w:rsid w:val="0096027C"/>
    <w:rsid w:val="009636A9"/>
    <w:rsid w:val="009A455D"/>
    <w:rsid w:val="009F0C1A"/>
    <w:rsid w:val="009F65D1"/>
    <w:rsid w:val="00A6070F"/>
    <w:rsid w:val="00AA1E12"/>
    <w:rsid w:val="00AD02EC"/>
    <w:rsid w:val="00B02AE9"/>
    <w:rsid w:val="00B26077"/>
    <w:rsid w:val="00BA22CD"/>
    <w:rsid w:val="00D24E96"/>
    <w:rsid w:val="00D30C2D"/>
    <w:rsid w:val="00D760FC"/>
    <w:rsid w:val="00E169D7"/>
    <w:rsid w:val="00E60BA6"/>
    <w:rsid w:val="00F22D9C"/>
    <w:rsid w:val="00F3765C"/>
    <w:rsid w:val="00F538F6"/>
    <w:rsid w:val="00FE3725"/>
    <w:rsid w:val="00FF1E58"/>
    <w:rsid w:val="3E580202"/>
    <w:rsid w:val="49398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80202"/>
  <w15:chartTrackingRefBased/>
  <w15:docId w15:val="{6A7ED801-6BF0-45F8-9590-E61BE212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1418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776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Homet</dc:creator>
  <cp:keywords/>
  <dc:description/>
  <cp:lastModifiedBy>Peleg Kremer</cp:lastModifiedBy>
  <cp:revision>58</cp:revision>
  <dcterms:created xsi:type="dcterms:W3CDTF">2022-04-30T17:59:00Z</dcterms:created>
  <dcterms:modified xsi:type="dcterms:W3CDTF">2022-05-31T21:59:00Z</dcterms:modified>
</cp:coreProperties>
</file>