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B7D9" w14:textId="299A896F" w:rsidR="001C0053" w:rsidRDefault="000C5310" w:rsidP="001C0053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  <w:r w:rsidRPr="000C5310">
        <w:rPr>
          <w:b/>
          <w:bCs/>
          <w:lang w:val="en-US"/>
        </w:rPr>
        <w:t xml:space="preserve">Supplemental </w:t>
      </w:r>
      <w:r>
        <w:rPr>
          <w:b/>
          <w:bCs/>
          <w:lang w:val="en-US"/>
        </w:rPr>
        <w:t>T</w:t>
      </w:r>
      <w:r w:rsidRPr="000C5310">
        <w:rPr>
          <w:b/>
          <w:bCs/>
          <w:lang w:val="en-US"/>
        </w:rPr>
        <w:t>ables</w:t>
      </w:r>
    </w:p>
    <w:p w14:paraId="28972178" w14:textId="48EBD0A2" w:rsidR="000C5310" w:rsidRDefault="000C5310" w:rsidP="001C0053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</w:p>
    <w:p w14:paraId="19AFC11A" w14:textId="068FCBA7" w:rsidR="000C5310" w:rsidRDefault="000C5310" w:rsidP="001C0053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</w:p>
    <w:p w14:paraId="55848AE7" w14:textId="77777777" w:rsidR="000C5310" w:rsidRPr="000C5310" w:rsidRDefault="000C5310" w:rsidP="001C0053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</w:p>
    <w:p w14:paraId="0CE21636" w14:textId="7E48C564" w:rsidR="00D13115" w:rsidRPr="004475C4" w:rsidRDefault="00D13115" w:rsidP="00D13115">
      <w:pPr>
        <w:pStyle w:val="Lgende"/>
      </w:pPr>
      <w:r w:rsidRPr="004475C4">
        <w:t xml:space="preserve">Table </w:t>
      </w:r>
      <w:r w:rsidR="00816435" w:rsidRPr="004475C4">
        <w:t>S</w:t>
      </w:r>
      <w:fldSimple w:instr=" SEQ Table \* ARABIC ">
        <w:r w:rsidR="004475C4" w:rsidRPr="004475C4">
          <w:rPr>
            <w:noProof/>
          </w:rPr>
          <w:t>1</w:t>
        </w:r>
      </w:fldSimple>
      <w:r w:rsidRPr="004475C4">
        <w:t xml:space="preserve">. </w:t>
      </w:r>
      <w:r w:rsidRPr="004475C4">
        <w:rPr>
          <w:b w:val="0"/>
          <w:bCs w:val="0"/>
        </w:rPr>
        <w:t>Summary of statistical results of microbiological measurements. Note: results are presented as mean value (min value</w:t>
      </w:r>
      <w:r w:rsidR="00C979DA">
        <w:rPr>
          <w:b w:val="0"/>
          <w:bCs w:val="0"/>
        </w:rPr>
        <w:t xml:space="preserve"> –</w:t>
      </w:r>
      <w:r w:rsidRPr="004475C4">
        <w:rPr>
          <w:b w:val="0"/>
          <w:bCs w:val="0"/>
        </w:rPr>
        <w:t xml:space="preserve"> max</w:t>
      </w:r>
      <w:r w:rsidR="00C979DA">
        <w:rPr>
          <w:b w:val="0"/>
          <w:bCs w:val="0"/>
        </w:rPr>
        <w:t xml:space="preserve"> </w:t>
      </w:r>
      <w:r w:rsidRPr="004475C4">
        <w:rPr>
          <w:b w:val="0"/>
          <w:bCs w:val="0"/>
        </w:rPr>
        <w:t>value).</w:t>
      </w:r>
    </w:p>
    <w:tbl>
      <w:tblPr>
        <w:tblStyle w:val="Grilledutableau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2"/>
        <w:gridCol w:w="1349"/>
        <w:gridCol w:w="1349"/>
        <w:gridCol w:w="1349"/>
        <w:gridCol w:w="1349"/>
        <w:gridCol w:w="1349"/>
        <w:gridCol w:w="1350"/>
      </w:tblGrid>
      <w:tr w:rsidR="00BC1ECA" w:rsidRPr="00BC1ECA" w14:paraId="2927BFBC" w14:textId="77777777" w:rsidTr="00F5429E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60E884" w14:textId="77777777" w:rsidR="00BC1ECA" w:rsidRPr="00F5429E" w:rsidRDefault="00BC1ECA" w:rsidP="00F5429E">
            <w:pPr>
              <w:spacing w:beforeLines="40" w:before="96" w:afterLines="40" w:after="96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5429E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>Parameter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C4C4A0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16-week building closure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B82291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24 h after recommissioning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12D2A4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4-week after recommissioning</w:t>
            </w:r>
          </w:p>
        </w:tc>
      </w:tr>
      <w:tr w:rsidR="00BC1ECA" w:rsidRPr="00BC1ECA" w14:paraId="432DEA03" w14:textId="77777777" w:rsidTr="00472448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F36756" w14:textId="77777777" w:rsidR="00BC1ECA" w:rsidRPr="00BC1ECA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D0387E" w14:textId="77777777" w:rsidR="00BC1ECA" w:rsidRPr="00BC1ECA" w:rsidRDefault="00BC1ECA" w:rsidP="00641040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First draw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140321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5-min flush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C8DC29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First draw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B2DC33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5-min flush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B6590E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First draw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8367B1" w14:textId="77777777" w:rsidR="00BC1ECA" w:rsidRPr="00627C57" w:rsidRDefault="00BC1ECA" w:rsidP="00BC1ECA">
            <w:pPr>
              <w:spacing w:beforeLines="40" w:before="96" w:afterLines="40" w:after="96"/>
              <w:contextualSpacing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C57">
              <w:rPr>
                <w:rFonts w:cs="Times New Roman"/>
                <w:color w:val="000000" w:themeColor="text1"/>
                <w:sz w:val="20"/>
                <w:szCs w:val="20"/>
              </w:rPr>
              <w:t>5-min flush</w:t>
            </w:r>
          </w:p>
        </w:tc>
      </w:tr>
      <w:tr w:rsidR="00BC1ECA" w:rsidRPr="00BC1ECA" w14:paraId="58155721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53774078" w14:textId="2F3BB35C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Bacterial</w:t>
            </w:r>
            <w:r w:rsidR="003404ED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 xml:space="preserve">ATP </w:t>
            </w:r>
          </w:p>
          <w:p w14:paraId="20F10B18" w14:textId="77777777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(pg ATP/mL)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A4366D7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10.0</w:t>
            </w:r>
          </w:p>
          <w:p w14:paraId="66CD3F1D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(0.7 – 24.2)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AFB22C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0.7</w:t>
            </w:r>
          </w:p>
          <w:p w14:paraId="3F725E6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(0.1 – 3.0)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219C3FC1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1.8</w:t>
            </w:r>
          </w:p>
          <w:p w14:paraId="02469AA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(0.2 – 9.9)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9A76303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0.3</w:t>
            </w:r>
          </w:p>
          <w:p w14:paraId="558E575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(0 – 1.9)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0B968A4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5.0</w:t>
            </w:r>
          </w:p>
          <w:p w14:paraId="73F032B8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(1.7 – 10.1)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0D6A032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0.4</w:t>
            </w:r>
          </w:p>
          <w:p w14:paraId="24CC98F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(0 – 2.3)</w:t>
            </w:r>
          </w:p>
        </w:tc>
      </w:tr>
      <w:tr w:rsidR="00BC1ECA" w:rsidRPr="00BC1ECA" w14:paraId="70D58599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45BC828D" w14:textId="08E39CC4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Total cell counts (cell/mL)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BE934D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1.7e+06</w:t>
            </w:r>
          </w:p>
          <w:p w14:paraId="6C9CD8DF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(1.3e+05 – 3.8e+06)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838C8D7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2.4e+05</w:t>
            </w:r>
          </w:p>
          <w:p w14:paraId="157DB441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(6.1e+04 – 1.3e+06)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278D46B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4.8e+05</w:t>
            </w:r>
          </w:p>
          <w:p w14:paraId="4079C631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(1.7e+05 – 1.2e+06)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AB51DEB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1.6e+05</w:t>
            </w:r>
          </w:p>
          <w:p w14:paraId="31498B3A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(9.4e+04 – 3.2e+05)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D6EF527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7.2e+05</w:t>
            </w:r>
          </w:p>
          <w:p w14:paraId="54BFC524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(4.2e+05 – 1.2e+06)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BFAC62D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1.1e+05</w:t>
            </w:r>
          </w:p>
          <w:p w14:paraId="3E918CDB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(4.5e+04 – 2.6e+05)</w:t>
            </w:r>
          </w:p>
        </w:tc>
      </w:tr>
      <w:tr w:rsidR="00BC1ECA" w:rsidRPr="00BC1ECA" w14:paraId="029CE95C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4A7328D4" w14:textId="15C4A969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Intact cell counts (cell/mL)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3EF23CB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5.2e+05</w:t>
            </w:r>
          </w:p>
          <w:p w14:paraId="6E10CB77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(8.0e+03 – 1.1e+06)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55A85E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4.8e+04</w:t>
            </w:r>
          </w:p>
          <w:p w14:paraId="4CCF912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(7.6e+02 – 4.5e+05)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200AC1B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9.1e+04</w:t>
            </w:r>
          </w:p>
          <w:p w14:paraId="7ED77C52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(1.7e+04 – 4.2e+05)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2BC940F0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2.2e+04</w:t>
            </w:r>
          </w:p>
          <w:p w14:paraId="62CD076F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(3.4e+03 – 9.1e+04)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EA31BC4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2.4e+05</w:t>
            </w:r>
          </w:p>
          <w:p w14:paraId="026D245E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(1.5e+05 – 4.4e+05)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3018EED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2.7e+04</w:t>
            </w:r>
          </w:p>
          <w:p w14:paraId="4790370E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(4.1e+03 – 1.1e+05)</w:t>
            </w:r>
          </w:p>
        </w:tc>
      </w:tr>
      <w:tr w:rsidR="00BC1ECA" w:rsidRPr="00BC1ECA" w14:paraId="19506FDC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58B116A8" w14:textId="19DF0BB2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Viability ratio (%)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CBF19A1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32</w:t>
            </w:r>
          </w:p>
          <w:p w14:paraId="6A4703D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(6 – 54)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416C0EF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13</w:t>
            </w:r>
          </w:p>
          <w:p w14:paraId="6987508E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 – 33)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072A393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18</w:t>
            </w:r>
          </w:p>
          <w:p w14:paraId="79E1E6D1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(6 – 35)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A60D91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11</w:t>
            </w:r>
          </w:p>
          <w:p w14:paraId="2074EFE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(4 – 29)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4123E1EF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35</w:t>
            </w:r>
          </w:p>
          <w:p w14:paraId="189F5B14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(17 – 48)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3475CC28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21</w:t>
            </w:r>
          </w:p>
          <w:p w14:paraId="2625F5B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(9 – 50)</w:t>
            </w:r>
          </w:p>
        </w:tc>
      </w:tr>
      <w:tr w:rsidR="00BC1ECA" w:rsidRPr="00BC1ECA" w14:paraId="54441F31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3DE0007F" w14:textId="77777777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 xml:space="preserve">ATP/ICC </w:t>
            </w:r>
          </w:p>
          <w:p w14:paraId="557FDD1B" w14:textId="77777777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(pg ATP/cell)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25522DE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6.8e-05</w:t>
            </w:r>
          </w:p>
          <w:p w14:paraId="5CB7A945" w14:textId="275DA53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(2.9e-06 – 1.1e-03)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0CE5984E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3.2e-05</w:t>
            </w:r>
          </w:p>
          <w:p w14:paraId="5F10B2D0" w14:textId="383881BD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(7.2e-07 – 6.6e-05)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EA8C48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2.3e-05</w:t>
            </w:r>
          </w:p>
          <w:p w14:paraId="4B886F9F" w14:textId="30C13EF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(3.2e-06 – 7.3e-05)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4C2EF4E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1.1e-05</w:t>
            </w:r>
          </w:p>
          <w:p w14:paraId="407679CB" w14:textId="169C3494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(1.4e-06 – 3.6e-05)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C2B30D9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2.1e-05</w:t>
            </w:r>
          </w:p>
          <w:p w14:paraId="3FFDAEFA" w14:textId="0341F7ED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(7.9e-06 – 4.4e-05)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022E84DD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1.3e-05</w:t>
            </w:r>
          </w:p>
          <w:p w14:paraId="4DABD62B" w14:textId="2D62F0BF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(3.1e-06 – 5.3e-05)</w:t>
            </w:r>
          </w:p>
        </w:tc>
      </w:tr>
      <w:tr w:rsidR="00BC1ECA" w:rsidRPr="00BC1ECA" w14:paraId="0AC5D50E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546D7709" w14:textId="77777777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ATP/TCC</w:t>
            </w:r>
          </w:p>
          <w:p w14:paraId="067C851E" w14:textId="77777777" w:rsidR="00BC1ECA" w:rsidRPr="00472448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(p ATP/cell)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720B7223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8.5e-06</w:t>
            </w:r>
          </w:p>
          <w:p w14:paraId="3C26A94B" w14:textId="5B51D1E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(5.3e-07 – 6.7e-05)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3239706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2.9e-06</w:t>
            </w:r>
          </w:p>
          <w:p w14:paraId="6099BDD6" w14:textId="10A7B7A2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(2.4e-07 – 8.4e-06)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0514B13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4.4e-06</w:t>
            </w:r>
          </w:p>
          <w:p w14:paraId="05DEF867" w14:textId="66A9C3F1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(3.4e-07 – 1.3e-05)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5EC3918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1.3e-06</w:t>
            </w:r>
          </w:p>
          <w:p w14:paraId="625737F7" w14:textId="2E1B60A4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(2.1e-07 – 8.7e-06)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470AEE4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7.2e-06</w:t>
            </w:r>
          </w:p>
          <w:p w14:paraId="0964C536" w14:textId="0AA188D4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(2.1e-06 – 1.4e-05)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79EE55C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3.2e-06</w:t>
            </w:r>
          </w:p>
          <w:p w14:paraId="475E6141" w14:textId="27C302E5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(2.8e-07 – 1.9e-05)</w:t>
            </w:r>
          </w:p>
        </w:tc>
      </w:tr>
      <w:tr w:rsidR="00BC1ECA" w:rsidRPr="00BC1ECA" w14:paraId="08465FAD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EEECE1" w:themeColor="background2"/>
              <w:right w:val="nil"/>
            </w:tcBorders>
            <w:vAlign w:val="center"/>
          </w:tcPr>
          <w:p w14:paraId="628B36C7" w14:textId="52D3B771" w:rsidR="00BC1ECA" w:rsidRPr="00F6478D" w:rsidRDefault="00EA5CD6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F6478D">
              <w:rPr>
                <w:rFonts w:cs="Times New Roman"/>
                <w:color w:val="000000" w:themeColor="text1"/>
                <w:sz w:val="21"/>
                <w:szCs w:val="21"/>
              </w:rPr>
              <w:t>Culture-based</w:t>
            </w:r>
            <w:r w:rsidR="00BC1ECA" w:rsidRPr="00F6478D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BC1ECA" w:rsidRPr="00F6478D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L</w:t>
            </w:r>
            <w:r w:rsidR="00E2708A" w:rsidRPr="00F6478D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>.pneumophila</w:t>
            </w:r>
            <w:r w:rsidR="00BC1ECA" w:rsidRPr="00F6478D">
              <w:rPr>
                <w:rFonts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C1ECA" w:rsidRPr="00F6478D">
              <w:rPr>
                <w:rFonts w:cs="Times New Roman"/>
                <w:color w:val="000000" w:themeColor="text1"/>
                <w:sz w:val="21"/>
                <w:szCs w:val="21"/>
              </w:rPr>
              <w:t>(MPN/L)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1C14F1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4 487</w:t>
            </w:r>
          </w:p>
          <w:p w14:paraId="4003837D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30 000)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61D8285A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1 622</w:t>
            </w:r>
          </w:p>
          <w:p w14:paraId="3C90EBA6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22 726)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1EAD08D0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100</w:t>
            </w:r>
          </w:p>
          <w:p w14:paraId="6F37CE4E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723)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4AF26FC2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23</w:t>
            </w:r>
          </w:p>
          <w:p w14:paraId="51B65532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264)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5AEF325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2 368</w:t>
            </w:r>
          </w:p>
          <w:p w14:paraId="256AD88C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30 000)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vAlign w:val="center"/>
          </w:tcPr>
          <w:p w14:paraId="0F023B65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450</w:t>
            </w:r>
          </w:p>
          <w:p w14:paraId="63AD3E92" w14:textId="77777777" w:rsidR="00BC1ECA" w:rsidRPr="00472448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72448">
              <w:rPr>
                <w:rFonts w:cs="Times New Roman"/>
                <w:color w:val="000000" w:themeColor="text1"/>
                <w:sz w:val="21"/>
                <w:szCs w:val="21"/>
              </w:rPr>
              <w:t>(5 – 3 971)</w:t>
            </w:r>
          </w:p>
        </w:tc>
      </w:tr>
      <w:tr w:rsidR="00BC1ECA" w:rsidRPr="00BC1ECA" w14:paraId="2F439AF3" w14:textId="77777777" w:rsidTr="00472448">
        <w:trPr>
          <w:trHeight w:val="20"/>
          <w:jc w:val="center"/>
        </w:trPr>
        <w:tc>
          <w:tcPr>
            <w:tcW w:w="1271" w:type="dxa"/>
            <w:tcBorders>
              <w:top w:val="single" w:sz="4" w:space="0" w:color="EEECE1" w:themeColor="background2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center"/>
          </w:tcPr>
          <w:p w14:paraId="0ED13443" w14:textId="5EB0F1A8" w:rsidR="00BC1ECA" w:rsidRPr="00EA5CD6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fr-CA"/>
              </w:rPr>
            </w:pPr>
            <w:r w:rsidRPr="00EA5CD6">
              <w:rPr>
                <w:rFonts w:cs="Times New Roman"/>
                <w:color w:val="000000" w:themeColor="text1"/>
                <w:sz w:val="21"/>
                <w:szCs w:val="21"/>
                <w:lang w:val="fr-CA"/>
              </w:rPr>
              <w:t xml:space="preserve">qPCR </w:t>
            </w:r>
            <w:r w:rsidRPr="00EA5CD6"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fr-CA"/>
              </w:rPr>
              <w:t>L</w:t>
            </w:r>
            <w:r w:rsidR="00E2708A" w:rsidRPr="00EA5CD6"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fr-CA"/>
              </w:rPr>
              <w:t>.pneumophila</w:t>
            </w:r>
            <w:r w:rsidRPr="00EA5CD6"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fr-CA"/>
              </w:rPr>
              <w:t xml:space="preserve"> </w:t>
            </w:r>
          </w:p>
          <w:p w14:paraId="0ACE9B9A" w14:textId="77777777" w:rsidR="00BC1ECA" w:rsidRPr="00EA5CD6" w:rsidRDefault="00BC1ECA" w:rsidP="00641040">
            <w:pPr>
              <w:spacing w:beforeLines="40" w:before="96" w:afterLines="40" w:after="96"/>
              <w:contextualSpacing/>
              <w:rPr>
                <w:rFonts w:cs="Times New Roman"/>
                <w:color w:val="000000" w:themeColor="text1"/>
                <w:sz w:val="21"/>
                <w:szCs w:val="21"/>
                <w:lang w:val="fr-CA"/>
              </w:rPr>
            </w:pPr>
            <w:r w:rsidRPr="00EA5CD6">
              <w:rPr>
                <w:rFonts w:cs="Times New Roman"/>
                <w:color w:val="000000" w:themeColor="text1"/>
                <w:sz w:val="21"/>
                <w:szCs w:val="21"/>
                <w:lang w:val="fr-CA"/>
              </w:rPr>
              <w:t>(gu/L)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33340B55" w14:textId="2B82FD5A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63 82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2</w:t>
            </w:r>
          </w:p>
          <w:p w14:paraId="6EA3920B" w14:textId="790D9681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0 – 1 160 000)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1426ABDB" w14:textId="4119D63C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3 46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</w:p>
          <w:p w14:paraId="2A9BADC7" w14:textId="1AA8602C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0 – 17 200)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31666E21" w14:textId="7216EF90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6 8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39</w:t>
            </w:r>
          </w:p>
          <w:p w14:paraId="419BC2BA" w14:textId="2F60F0FC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0 – 54 800)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0F8A3224" w14:textId="6ABE547A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68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6</w:t>
            </w:r>
          </w:p>
          <w:p w14:paraId="43B23704" w14:textId="157A7234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</w:t>
            </w:r>
            <w:r w:rsidR="00061137" w:rsidRPr="00AE5B81">
              <w:rPr>
                <w:rFonts w:cs="Times New Roman"/>
                <w:color w:val="000000" w:themeColor="text1"/>
                <w:sz w:val="21"/>
                <w:szCs w:val="21"/>
              </w:rPr>
              <w:t>1</w:t>
            </w: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0 – 2 730)</w:t>
            </w:r>
          </w:p>
        </w:tc>
        <w:tc>
          <w:tcPr>
            <w:tcW w:w="1349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26F5672D" w14:textId="77777777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47 007</w:t>
            </w:r>
          </w:p>
          <w:p w14:paraId="2F83F135" w14:textId="77777777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(132 – 808 000)</w:t>
            </w:r>
          </w:p>
        </w:tc>
        <w:tc>
          <w:tcPr>
            <w:tcW w:w="1350" w:type="dxa"/>
            <w:tcBorders>
              <w:top w:val="single" w:sz="4" w:space="0" w:color="EEECE1" w:themeColor="background2"/>
              <w:left w:val="nil"/>
              <w:bottom w:val="single" w:sz="4" w:space="0" w:color="000000"/>
              <w:right w:val="nil"/>
            </w:tcBorders>
            <w:vAlign w:val="center"/>
          </w:tcPr>
          <w:p w14:paraId="73C93925" w14:textId="77777777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3 158</w:t>
            </w:r>
          </w:p>
          <w:p w14:paraId="09A237CE" w14:textId="77777777" w:rsidR="00BC1ECA" w:rsidRPr="00AE5B81" w:rsidRDefault="00BC1ECA" w:rsidP="00641040">
            <w:pPr>
              <w:spacing w:beforeLines="40" w:before="96" w:afterLines="40" w:after="96" w:line="276" w:lineRule="auto"/>
              <w:contextualSpacing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AE5B81">
              <w:rPr>
                <w:rFonts w:cs="Times New Roman"/>
                <w:color w:val="000000" w:themeColor="text1"/>
                <w:sz w:val="21"/>
                <w:szCs w:val="21"/>
              </w:rPr>
              <w:t>(169 – 18 200)</w:t>
            </w:r>
          </w:p>
        </w:tc>
      </w:tr>
    </w:tbl>
    <w:p w14:paraId="725E4A9A" w14:textId="44B422F5" w:rsidR="001E0F4E" w:rsidRDefault="001E0F4E" w:rsidP="00BC1ECA"/>
    <w:p w14:paraId="03CF9267" w14:textId="11BD6C66" w:rsidR="001E0F4E" w:rsidRDefault="001E0F4E">
      <w:pPr>
        <w:spacing w:before="0" w:after="200" w:line="276" w:lineRule="auto"/>
      </w:pPr>
    </w:p>
    <w:p w14:paraId="2AF44100" w14:textId="65E3FD51" w:rsidR="000C5310" w:rsidRDefault="000C5310">
      <w:pPr>
        <w:spacing w:before="0" w:after="200" w:line="276" w:lineRule="auto"/>
      </w:pPr>
    </w:p>
    <w:p w14:paraId="7679FE2A" w14:textId="4118871F" w:rsidR="000C5310" w:rsidRDefault="000C5310">
      <w:pPr>
        <w:spacing w:before="0" w:after="200" w:line="276" w:lineRule="auto"/>
      </w:pPr>
    </w:p>
    <w:p w14:paraId="65047F76" w14:textId="789AAB7A" w:rsidR="000C5310" w:rsidRDefault="000C5310">
      <w:pPr>
        <w:spacing w:before="0" w:after="200" w:line="276" w:lineRule="auto"/>
      </w:pPr>
    </w:p>
    <w:p w14:paraId="60B170D0" w14:textId="1241C165" w:rsidR="000C5310" w:rsidRDefault="000C5310">
      <w:pPr>
        <w:spacing w:before="0" w:after="200" w:line="276" w:lineRule="auto"/>
      </w:pPr>
    </w:p>
    <w:p w14:paraId="7FA4ED65" w14:textId="77777777" w:rsidR="000C5310" w:rsidRDefault="000C5310">
      <w:pPr>
        <w:spacing w:before="0" w:after="200" w:line="276" w:lineRule="auto"/>
      </w:pPr>
    </w:p>
    <w:p w14:paraId="0BA216CA" w14:textId="77777777" w:rsidR="007E66C6" w:rsidRDefault="007E66C6" w:rsidP="004475C4">
      <w:pPr>
        <w:pStyle w:val="Lgende"/>
      </w:pPr>
    </w:p>
    <w:p w14:paraId="115A64C0" w14:textId="77777777" w:rsidR="007E66C6" w:rsidRDefault="007E66C6" w:rsidP="004475C4">
      <w:pPr>
        <w:pStyle w:val="Lgende"/>
      </w:pPr>
    </w:p>
    <w:p w14:paraId="26ED929B" w14:textId="6450F881" w:rsidR="004475C4" w:rsidRPr="004475C4" w:rsidRDefault="004475C4" w:rsidP="004475C4">
      <w:pPr>
        <w:pStyle w:val="Lgende"/>
      </w:pPr>
      <w:r w:rsidRPr="004475C4">
        <w:t xml:space="preserve">Table </w:t>
      </w:r>
      <w:r w:rsidR="000C5310">
        <w:t>S</w:t>
      </w:r>
      <w:fldSimple w:instr=" SEQ Table \* ARABIC ">
        <w:r w:rsidRPr="004475C4">
          <w:rPr>
            <w:noProof/>
          </w:rPr>
          <w:t>2</w:t>
        </w:r>
      </w:fldSimple>
      <w:r w:rsidRPr="004475C4">
        <w:t xml:space="preserve">. </w:t>
      </w:r>
      <w:r w:rsidRPr="004475C4">
        <w:rPr>
          <w:rFonts w:eastAsia="Times New Roman" w:cs="Arial"/>
          <w:b w:val="0"/>
          <w:bCs w:val="0"/>
          <w:lang w:eastAsia="fr-CA"/>
        </w:rPr>
        <w:t>Mean per exposure risk values for both Legionellosis health outcomes (Pontiac fever and Legionnaires’ disease – LD) in conventional (&gt; 13 lpm) and low-flow (&lt; 7 lpm) showerheads.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9"/>
        <w:gridCol w:w="1181"/>
        <w:gridCol w:w="1156"/>
        <w:gridCol w:w="1156"/>
        <w:gridCol w:w="1156"/>
        <w:gridCol w:w="1156"/>
        <w:gridCol w:w="1156"/>
        <w:gridCol w:w="1157"/>
      </w:tblGrid>
      <w:tr w:rsidR="001E0F4E" w:rsidRPr="00C40B98" w14:paraId="38267F6D" w14:textId="77777777" w:rsidTr="005253B7">
        <w:trPr>
          <w:trHeight w:val="699"/>
        </w:trPr>
        <w:tc>
          <w:tcPr>
            <w:tcW w:w="1649" w:type="dxa"/>
            <w:vMerge w:val="restart"/>
            <w:vAlign w:val="center"/>
          </w:tcPr>
          <w:p w14:paraId="4D303091" w14:textId="77777777" w:rsidR="001E0F4E" w:rsidRPr="00C40B98" w:rsidRDefault="001E0F4E" w:rsidP="005253B7">
            <w:pPr>
              <w:rPr>
                <w:rFonts w:eastAsia="Times New Roman" w:cs="Arial"/>
                <w:b/>
                <w:bCs/>
                <w:lang w:eastAsia="fr-CA"/>
              </w:rPr>
            </w:pPr>
            <w:r>
              <w:rPr>
                <w:rFonts w:eastAsia="Times New Roman" w:cs="Arial"/>
                <w:b/>
                <w:bCs/>
                <w:lang w:eastAsia="fr-CA"/>
              </w:rPr>
              <w:t>Health outcome</w:t>
            </w:r>
          </w:p>
        </w:tc>
        <w:tc>
          <w:tcPr>
            <w:tcW w:w="1181" w:type="dxa"/>
            <w:vMerge w:val="restart"/>
            <w:vAlign w:val="center"/>
          </w:tcPr>
          <w:p w14:paraId="4CC3F887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b/>
                <w:bCs/>
                <w:lang w:eastAsia="fr-CA"/>
              </w:rPr>
            </w:pPr>
            <w:r>
              <w:rPr>
                <w:rFonts w:eastAsia="Times New Roman" w:cs="Arial"/>
                <w:b/>
                <w:bCs/>
                <w:lang w:eastAsia="fr-CA"/>
              </w:rPr>
              <w:t>Shower type</w:t>
            </w:r>
          </w:p>
        </w:tc>
        <w:tc>
          <w:tcPr>
            <w:tcW w:w="2312" w:type="dxa"/>
            <w:gridSpan w:val="2"/>
            <w:vAlign w:val="center"/>
          </w:tcPr>
          <w:p w14:paraId="15222252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b/>
                <w:bCs/>
                <w:lang w:eastAsia="fr-CA"/>
              </w:rPr>
            </w:pPr>
            <w:r w:rsidRPr="00C40B98">
              <w:rPr>
                <w:rFonts w:eastAsia="Times New Roman" w:cs="Arial"/>
                <w:b/>
                <w:bCs/>
                <w:lang w:eastAsia="fr-CA"/>
              </w:rPr>
              <w:t>16-week building closure</w:t>
            </w:r>
          </w:p>
        </w:tc>
        <w:tc>
          <w:tcPr>
            <w:tcW w:w="2312" w:type="dxa"/>
            <w:gridSpan w:val="2"/>
            <w:vAlign w:val="center"/>
          </w:tcPr>
          <w:p w14:paraId="598B5E02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b/>
                <w:bCs/>
                <w:lang w:eastAsia="fr-CA"/>
              </w:rPr>
            </w:pPr>
            <w:r w:rsidRPr="00C40B98">
              <w:rPr>
                <w:rFonts w:eastAsia="Times New Roman" w:cs="Arial"/>
                <w:b/>
                <w:bCs/>
                <w:lang w:eastAsia="fr-CA"/>
              </w:rPr>
              <w:t>24 h after recommissioning</w:t>
            </w:r>
          </w:p>
        </w:tc>
        <w:tc>
          <w:tcPr>
            <w:tcW w:w="2313" w:type="dxa"/>
            <w:gridSpan w:val="2"/>
            <w:vAlign w:val="center"/>
          </w:tcPr>
          <w:p w14:paraId="52A251BC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b/>
                <w:bCs/>
                <w:lang w:eastAsia="fr-CA"/>
              </w:rPr>
            </w:pPr>
            <w:r w:rsidRPr="00C40B98">
              <w:rPr>
                <w:rFonts w:eastAsia="Times New Roman" w:cs="Arial"/>
                <w:b/>
                <w:bCs/>
                <w:lang w:eastAsia="fr-CA"/>
              </w:rPr>
              <w:t>4-week after recommissioning</w:t>
            </w:r>
          </w:p>
        </w:tc>
      </w:tr>
      <w:tr w:rsidR="001E0F4E" w:rsidRPr="00C40B98" w14:paraId="046FB2E2" w14:textId="77777777" w:rsidTr="005253B7">
        <w:trPr>
          <w:trHeight w:val="541"/>
        </w:trPr>
        <w:tc>
          <w:tcPr>
            <w:tcW w:w="1649" w:type="dxa"/>
            <w:vMerge/>
            <w:vAlign w:val="center"/>
          </w:tcPr>
          <w:p w14:paraId="37F3422E" w14:textId="77777777" w:rsidR="001E0F4E" w:rsidRPr="00C40B98" w:rsidRDefault="001E0F4E" w:rsidP="005253B7">
            <w:pPr>
              <w:rPr>
                <w:rFonts w:eastAsia="Times New Roman" w:cs="Arial"/>
                <w:b/>
                <w:bCs/>
                <w:lang w:eastAsia="fr-CA"/>
              </w:rPr>
            </w:pPr>
          </w:p>
        </w:tc>
        <w:tc>
          <w:tcPr>
            <w:tcW w:w="1181" w:type="dxa"/>
            <w:vMerge/>
          </w:tcPr>
          <w:p w14:paraId="0A3EA06D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</w:p>
        </w:tc>
        <w:tc>
          <w:tcPr>
            <w:tcW w:w="1156" w:type="dxa"/>
            <w:vAlign w:val="center"/>
          </w:tcPr>
          <w:p w14:paraId="1F9D348A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First draw</w:t>
            </w:r>
          </w:p>
        </w:tc>
        <w:tc>
          <w:tcPr>
            <w:tcW w:w="1156" w:type="dxa"/>
            <w:vAlign w:val="center"/>
          </w:tcPr>
          <w:p w14:paraId="6CF55BC9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5-min flush</w:t>
            </w:r>
          </w:p>
        </w:tc>
        <w:tc>
          <w:tcPr>
            <w:tcW w:w="1156" w:type="dxa"/>
            <w:vAlign w:val="center"/>
          </w:tcPr>
          <w:p w14:paraId="1BCF1D11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First draw</w:t>
            </w:r>
          </w:p>
        </w:tc>
        <w:tc>
          <w:tcPr>
            <w:tcW w:w="1156" w:type="dxa"/>
            <w:vAlign w:val="center"/>
          </w:tcPr>
          <w:p w14:paraId="739AD024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5-min flush</w:t>
            </w:r>
          </w:p>
        </w:tc>
        <w:tc>
          <w:tcPr>
            <w:tcW w:w="1156" w:type="dxa"/>
            <w:vAlign w:val="center"/>
          </w:tcPr>
          <w:p w14:paraId="152FF369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First draw</w:t>
            </w:r>
          </w:p>
        </w:tc>
        <w:tc>
          <w:tcPr>
            <w:tcW w:w="1157" w:type="dxa"/>
            <w:vAlign w:val="center"/>
          </w:tcPr>
          <w:p w14:paraId="6B99C035" w14:textId="77777777" w:rsidR="001E0F4E" w:rsidRPr="00C40B98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C40B98">
              <w:rPr>
                <w:rFonts w:eastAsia="Times New Roman" w:cs="Arial"/>
                <w:sz w:val="22"/>
                <w:szCs w:val="21"/>
                <w:lang w:eastAsia="fr-CA"/>
              </w:rPr>
              <w:t>5-min flush</w:t>
            </w:r>
          </w:p>
        </w:tc>
      </w:tr>
      <w:tr w:rsidR="001E0F4E" w:rsidRPr="00C40B98" w14:paraId="48D94B4E" w14:textId="77777777" w:rsidTr="005253B7">
        <w:trPr>
          <w:trHeight w:val="619"/>
        </w:trPr>
        <w:tc>
          <w:tcPr>
            <w:tcW w:w="1649" w:type="dxa"/>
            <w:vMerge w:val="restart"/>
            <w:vAlign w:val="center"/>
          </w:tcPr>
          <w:p w14:paraId="4C2E44DE" w14:textId="77777777" w:rsidR="001E0F4E" w:rsidRPr="002E25CB" w:rsidRDefault="001E0F4E" w:rsidP="005253B7">
            <w:pPr>
              <w:spacing w:after="120"/>
              <w:rPr>
                <w:rFonts w:eastAsia="Times New Roman" w:cs="Arial"/>
                <w:i/>
                <w:iCs/>
                <w:sz w:val="22"/>
                <w:szCs w:val="21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Pontiac fever endpoint with a </w:t>
            </w:r>
            <w:r>
              <w:rPr>
                <w:rFonts w:eastAsia="Times New Roman" w:cs="Arial"/>
                <w:i/>
                <w:iCs/>
                <w:sz w:val="22"/>
                <w:szCs w:val="21"/>
                <w:lang w:eastAsia="fr-CA"/>
              </w:rPr>
              <w:t>per exposure risk</w:t>
            </w:r>
          </w:p>
        </w:tc>
        <w:tc>
          <w:tcPr>
            <w:tcW w:w="1181" w:type="dxa"/>
            <w:vAlign w:val="center"/>
          </w:tcPr>
          <w:p w14:paraId="2614DE67" w14:textId="77777777" w:rsidR="001E0F4E" w:rsidRPr="002E25CB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&gt;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 </w:t>
            </w: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13 lp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>m</w:t>
            </w:r>
          </w:p>
        </w:tc>
        <w:tc>
          <w:tcPr>
            <w:tcW w:w="1156" w:type="dxa"/>
            <w:vAlign w:val="center"/>
          </w:tcPr>
          <w:p w14:paraId="09A4E286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vertAlign w:val="superscript"/>
                <w:lang w:eastAsia="fr-CA"/>
              </w:rPr>
            </w:pPr>
            <w:r w:rsidRPr="005768EA">
              <w:rPr>
                <w:rFonts w:eastAsia="Times New Roman" w:cs="Arial"/>
                <w:sz w:val="22"/>
                <w:lang w:eastAsia="fr-CA"/>
              </w:rPr>
              <w:t>1.4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-2</w:t>
            </w:r>
          </w:p>
        </w:tc>
        <w:tc>
          <w:tcPr>
            <w:tcW w:w="1156" w:type="dxa"/>
            <w:vAlign w:val="center"/>
          </w:tcPr>
          <w:p w14:paraId="1592DEA3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4.1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3</w:t>
            </w:r>
          </w:p>
        </w:tc>
        <w:tc>
          <w:tcPr>
            <w:tcW w:w="1156" w:type="dxa"/>
            <w:vAlign w:val="center"/>
          </w:tcPr>
          <w:p w14:paraId="3E73D048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2.7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4</w:t>
            </w:r>
          </w:p>
        </w:tc>
        <w:tc>
          <w:tcPr>
            <w:tcW w:w="1156" w:type="dxa"/>
            <w:vAlign w:val="center"/>
          </w:tcPr>
          <w:p w14:paraId="7C0A356A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7.3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5</w:t>
            </w:r>
          </w:p>
        </w:tc>
        <w:tc>
          <w:tcPr>
            <w:tcW w:w="1156" w:type="dxa"/>
            <w:vAlign w:val="center"/>
          </w:tcPr>
          <w:p w14:paraId="2EB02CDA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6.2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3</w:t>
            </w:r>
          </w:p>
        </w:tc>
        <w:tc>
          <w:tcPr>
            <w:tcW w:w="1157" w:type="dxa"/>
            <w:vAlign w:val="center"/>
          </w:tcPr>
          <w:p w14:paraId="37B57F16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3</w:t>
            </w:r>
          </w:p>
        </w:tc>
      </w:tr>
      <w:tr w:rsidR="001E0F4E" w:rsidRPr="00C40B98" w14:paraId="10B1B85F" w14:textId="77777777" w:rsidTr="005253B7">
        <w:trPr>
          <w:trHeight w:val="620"/>
        </w:trPr>
        <w:tc>
          <w:tcPr>
            <w:tcW w:w="1649" w:type="dxa"/>
            <w:vMerge/>
            <w:vAlign w:val="center"/>
          </w:tcPr>
          <w:p w14:paraId="532AC0C8" w14:textId="77777777" w:rsidR="001E0F4E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</w:p>
        </w:tc>
        <w:tc>
          <w:tcPr>
            <w:tcW w:w="1181" w:type="dxa"/>
            <w:vAlign w:val="center"/>
          </w:tcPr>
          <w:p w14:paraId="2A32A381" w14:textId="77777777" w:rsidR="001E0F4E" w:rsidRPr="003A317B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>&lt; 7 lpm</w:t>
            </w:r>
          </w:p>
        </w:tc>
        <w:tc>
          <w:tcPr>
            <w:tcW w:w="1156" w:type="dxa"/>
            <w:vAlign w:val="center"/>
          </w:tcPr>
          <w:p w14:paraId="73B76673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2.6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3</w:t>
            </w:r>
          </w:p>
        </w:tc>
        <w:tc>
          <w:tcPr>
            <w:tcW w:w="1156" w:type="dxa"/>
            <w:vAlign w:val="center"/>
          </w:tcPr>
          <w:p w14:paraId="5DE23AC5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 xml:space="preserve">7.8 </w:t>
            </w:r>
            <w:r w:rsidRPr="005768EA">
              <w:rPr>
                <w:rFonts w:eastAsia="Times New Roman" w:cs="Arial"/>
                <w:sz w:val="22"/>
                <w:lang w:eastAsia="fr-CA"/>
              </w:rPr>
              <w:t>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4</w:t>
            </w:r>
          </w:p>
        </w:tc>
        <w:tc>
          <w:tcPr>
            <w:tcW w:w="1156" w:type="dxa"/>
            <w:vAlign w:val="center"/>
          </w:tcPr>
          <w:p w14:paraId="4AF56E1C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5.3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5</w:t>
            </w:r>
          </w:p>
        </w:tc>
        <w:tc>
          <w:tcPr>
            <w:tcW w:w="1156" w:type="dxa"/>
            <w:vAlign w:val="center"/>
          </w:tcPr>
          <w:p w14:paraId="448DFA25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1.4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5</w:t>
            </w:r>
          </w:p>
        </w:tc>
        <w:tc>
          <w:tcPr>
            <w:tcW w:w="1156" w:type="dxa"/>
            <w:vAlign w:val="center"/>
          </w:tcPr>
          <w:p w14:paraId="15C22C58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1.2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3</w:t>
            </w:r>
          </w:p>
        </w:tc>
        <w:tc>
          <w:tcPr>
            <w:tcW w:w="1157" w:type="dxa"/>
            <w:vAlign w:val="center"/>
          </w:tcPr>
          <w:p w14:paraId="552BE9B5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2.7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4</w:t>
            </w:r>
          </w:p>
        </w:tc>
      </w:tr>
      <w:tr w:rsidR="001E0F4E" w:rsidRPr="00C40B98" w14:paraId="09C4D2BC" w14:textId="77777777" w:rsidTr="005253B7">
        <w:trPr>
          <w:trHeight w:val="620"/>
        </w:trPr>
        <w:tc>
          <w:tcPr>
            <w:tcW w:w="1649" w:type="dxa"/>
            <w:vMerge w:val="restart"/>
            <w:vAlign w:val="center"/>
          </w:tcPr>
          <w:p w14:paraId="0CFAD268" w14:textId="77777777" w:rsidR="001E0F4E" w:rsidRPr="002E25CB" w:rsidRDefault="001E0F4E" w:rsidP="005253B7">
            <w:pPr>
              <w:spacing w:after="120"/>
              <w:rPr>
                <w:rFonts w:eastAsia="Times New Roman" w:cs="Arial"/>
                <w:i/>
                <w:iCs/>
                <w:sz w:val="22"/>
                <w:szCs w:val="21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LD endpoint with a </w:t>
            </w:r>
            <w:r>
              <w:rPr>
                <w:rFonts w:eastAsia="Times New Roman" w:cs="Arial"/>
                <w:i/>
                <w:iCs/>
                <w:sz w:val="22"/>
                <w:szCs w:val="21"/>
                <w:lang w:eastAsia="fr-CA"/>
              </w:rPr>
              <w:t>per exposure risk</w:t>
            </w:r>
          </w:p>
        </w:tc>
        <w:tc>
          <w:tcPr>
            <w:tcW w:w="1181" w:type="dxa"/>
            <w:vAlign w:val="center"/>
          </w:tcPr>
          <w:p w14:paraId="0D66949C" w14:textId="77777777" w:rsidR="001E0F4E" w:rsidRPr="00C40B98" w:rsidRDefault="001E0F4E" w:rsidP="005253B7">
            <w:pPr>
              <w:spacing w:after="120"/>
              <w:rPr>
                <w:rFonts w:eastAsia="Times New Roman" w:cs="Arial"/>
                <w:lang w:eastAsia="fr-CA"/>
              </w:rPr>
            </w:pP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&gt;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 </w:t>
            </w: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13 lp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>m</w:t>
            </w:r>
          </w:p>
        </w:tc>
        <w:tc>
          <w:tcPr>
            <w:tcW w:w="1156" w:type="dxa"/>
            <w:vAlign w:val="center"/>
          </w:tcPr>
          <w:p w14:paraId="335FDA52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 w:rsidRPr="005768EA">
              <w:rPr>
                <w:rFonts w:eastAsia="Times New Roman" w:cs="Arial"/>
                <w:sz w:val="22"/>
                <w:lang w:eastAsia="fr-CA"/>
              </w:rPr>
              <w:t>1.4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5</w:t>
            </w:r>
          </w:p>
        </w:tc>
        <w:tc>
          <w:tcPr>
            <w:tcW w:w="1156" w:type="dxa"/>
            <w:vAlign w:val="center"/>
          </w:tcPr>
          <w:p w14:paraId="7F4757B9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4.7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6" w:type="dxa"/>
            <w:vAlign w:val="center"/>
          </w:tcPr>
          <w:p w14:paraId="6EFD4F89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2.9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  <w:tc>
          <w:tcPr>
            <w:tcW w:w="1156" w:type="dxa"/>
            <w:vAlign w:val="center"/>
          </w:tcPr>
          <w:p w14:paraId="06E13A60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7.5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0989353E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6.6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7" w:type="dxa"/>
            <w:vAlign w:val="center"/>
          </w:tcPr>
          <w:p w14:paraId="6FCC401F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1.4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</w:tr>
      <w:tr w:rsidR="001E0F4E" w:rsidRPr="00C40B98" w14:paraId="6A540739" w14:textId="77777777" w:rsidTr="005253B7">
        <w:trPr>
          <w:trHeight w:val="619"/>
        </w:trPr>
        <w:tc>
          <w:tcPr>
            <w:tcW w:w="1649" w:type="dxa"/>
            <w:vMerge/>
            <w:vAlign w:val="center"/>
          </w:tcPr>
          <w:p w14:paraId="5ED5384F" w14:textId="77777777" w:rsidR="001E0F4E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</w:p>
        </w:tc>
        <w:tc>
          <w:tcPr>
            <w:tcW w:w="1181" w:type="dxa"/>
            <w:vAlign w:val="center"/>
          </w:tcPr>
          <w:p w14:paraId="34DE0983" w14:textId="77777777" w:rsidR="001E0F4E" w:rsidRPr="00C40B98" w:rsidRDefault="001E0F4E" w:rsidP="005253B7">
            <w:pPr>
              <w:spacing w:after="120"/>
              <w:rPr>
                <w:rFonts w:eastAsia="Times New Roman" w:cs="Arial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>&lt; 7 lpm</w:t>
            </w:r>
          </w:p>
        </w:tc>
        <w:tc>
          <w:tcPr>
            <w:tcW w:w="1156" w:type="dxa"/>
            <w:vAlign w:val="center"/>
          </w:tcPr>
          <w:p w14:paraId="451FC620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2.6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6" w:type="dxa"/>
            <w:vAlign w:val="center"/>
          </w:tcPr>
          <w:p w14:paraId="6F0083CD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8.8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  <w:tc>
          <w:tcPr>
            <w:tcW w:w="1156" w:type="dxa"/>
            <w:vAlign w:val="center"/>
          </w:tcPr>
          <w:p w14:paraId="01CD48EF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5.7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3B73BD3C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1.5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622F7A6B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7" w:type="dxa"/>
            <w:vAlign w:val="center"/>
          </w:tcPr>
          <w:p w14:paraId="5278409F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2.8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</w:tr>
      <w:tr w:rsidR="001E0F4E" w:rsidRPr="00C40B98" w14:paraId="12DB1B09" w14:textId="77777777" w:rsidTr="005253B7">
        <w:trPr>
          <w:trHeight w:val="620"/>
        </w:trPr>
        <w:tc>
          <w:tcPr>
            <w:tcW w:w="1649" w:type="dxa"/>
            <w:vMerge w:val="restart"/>
            <w:vAlign w:val="center"/>
          </w:tcPr>
          <w:p w14:paraId="34A61264" w14:textId="77777777" w:rsidR="001E0F4E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LD endpoint with a </w:t>
            </w:r>
            <w:r>
              <w:rPr>
                <w:rFonts w:eastAsia="Times New Roman" w:cs="Arial"/>
                <w:i/>
                <w:iCs/>
                <w:sz w:val="22"/>
                <w:szCs w:val="21"/>
                <w:lang w:eastAsia="fr-CA"/>
              </w:rPr>
              <w:t>per exposure DALY</w:t>
            </w:r>
          </w:p>
        </w:tc>
        <w:tc>
          <w:tcPr>
            <w:tcW w:w="1181" w:type="dxa"/>
            <w:vAlign w:val="center"/>
          </w:tcPr>
          <w:p w14:paraId="621C4365" w14:textId="77777777" w:rsidR="001E0F4E" w:rsidRPr="00C40B98" w:rsidRDefault="001E0F4E" w:rsidP="005253B7">
            <w:pPr>
              <w:spacing w:after="120"/>
              <w:rPr>
                <w:rFonts w:eastAsia="Times New Roman" w:cs="Arial"/>
                <w:lang w:eastAsia="fr-CA"/>
              </w:rPr>
            </w:pP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&gt;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 xml:space="preserve"> </w:t>
            </w:r>
            <w:r w:rsidRPr="002E25CB">
              <w:rPr>
                <w:rFonts w:eastAsia="Times New Roman" w:cs="Arial"/>
                <w:sz w:val="22"/>
                <w:szCs w:val="21"/>
                <w:lang w:eastAsia="fr-CA"/>
              </w:rPr>
              <w:t>13 lp</w:t>
            </w:r>
            <w:r>
              <w:rPr>
                <w:rFonts w:eastAsia="Times New Roman" w:cs="Arial"/>
                <w:sz w:val="22"/>
                <w:szCs w:val="21"/>
                <w:lang w:eastAsia="fr-CA"/>
              </w:rPr>
              <w:t>m</w:t>
            </w:r>
          </w:p>
        </w:tc>
        <w:tc>
          <w:tcPr>
            <w:tcW w:w="1156" w:type="dxa"/>
            <w:vAlign w:val="center"/>
          </w:tcPr>
          <w:p w14:paraId="715254F4" w14:textId="501C9A4A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 w:rsidRPr="005768EA">
              <w:rPr>
                <w:rFonts w:eastAsia="Times New Roman" w:cs="Arial"/>
                <w:sz w:val="22"/>
                <w:lang w:eastAsia="fr-CA"/>
              </w:rPr>
              <w:t>1.</w:t>
            </w:r>
            <w:r w:rsidR="003B1FE7">
              <w:rPr>
                <w:rFonts w:eastAsia="Times New Roman" w:cs="Arial"/>
                <w:sz w:val="22"/>
                <w:lang w:eastAsia="fr-CA"/>
              </w:rPr>
              <w:t>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5</w:t>
            </w:r>
          </w:p>
        </w:tc>
        <w:tc>
          <w:tcPr>
            <w:tcW w:w="1156" w:type="dxa"/>
            <w:vAlign w:val="center"/>
          </w:tcPr>
          <w:p w14:paraId="7E91F79E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4.5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6" w:type="dxa"/>
            <w:vAlign w:val="center"/>
          </w:tcPr>
          <w:p w14:paraId="40D566A7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2.8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  <w:tc>
          <w:tcPr>
            <w:tcW w:w="1156" w:type="dxa"/>
            <w:vAlign w:val="center"/>
          </w:tcPr>
          <w:p w14:paraId="55CFF10E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7.3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255F7E81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6.4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7" w:type="dxa"/>
            <w:vAlign w:val="center"/>
          </w:tcPr>
          <w:p w14:paraId="5B84DB3A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1.4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</w:tr>
      <w:tr w:rsidR="001E0F4E" w:rsidRPr="00C40B98" w14:paraId="01204E95" w14:textId="77777777" w:rsidTr="005253B7">
        <w:trPr>
          <w:trHeight w:val="620"/>
        </w:trPr>
        <w:tc>
          <w:tcPr>
            <w:tcW w:w="1649" w:type="dxa"/>
            <w:vMerge/>
            <w:vAlign w:val="center"/>
          </w:tcPr>
          <w:p w14:paraId="7AA8EF60" w14:textId="77777777" w:rsidR="001E0F4E" w:rsidRDefault="001E0F4E" w:rsidP="005253B7">
            <w:pPr>
              <w:spacing w:after="120"/>
              <w:rPr>
                <w:rFonts w:eastAsia="Times New Roman" w:cs="Arial"/>
                <w:sz w:val="22"/>
                <w:szCs w:val="21"/>
                <w:lang w:eastAsia="fr-CA"/>
              </w:rPr>
            </w:pPr>
          </w:p>
        </w:tc>
        <w:tc>
          <w:tcPr>
            <w:tcW w:w="1181" w:type="dxa"/>
            <w:vAlign w:val="center"/>
          </w:tcPr>
          <w:p w14:paraId="3DF41E2D" w14:textId="77777777" w:rsidR="001E0F4E" w:rsidRPr="00C40B98" w:rsidRDefault="001E0F4E" w:rsidP="005253B7">
            <w:pPr>
              <w:spacing w:after="120"/>
              <w:rPr>
                <w:rFonts w:eastAsia="Times New Roman" w:cs="Arial"/>
                <w:lang w:eastAsia="fr-CA"/>
              </w:rPr>
            </w:pPr>
            <w:r>
              <w:rPr>
                <w:rFonts w:eastAsia="Times New Roman" w:cs="Arial"/>
                <w:sz w:val="22"/>
                <w:szCs w:val="21"/>
                <w:lang w:eastAsia="fr-CA"/>
              </w:rPr>
              <w:t>&lt; 7 lpm</w:t>
            </w:r>
          </w:p>
        </w:tc>
        <w:tc>
          <w:tcPr>
            <w:tcW w:w="1156" w:type="dxa"/>
            <w:vAlign w:val="center"/>
          </w:tcPr>
          <w:p w14:paraId="59367831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2.6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6" w:type="dxa"/>
            <w:vAlign w:val="center"/>
          </w:tcPr>
          <w:p w14:paraId="19ADD375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8.6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  <w:tc>
          <w:tcPr>
            <w:tcW w:w="1156" w:type="dxa"/>
            <w:vAlign w:val="center"/>
          </w:tcPr>
          <w:p w14:paraId="3C95F94F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5.5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608A2251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1.4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8</w:t>
            </w:r>
          </w:p>
        </w:tc>
        <w:tc>
          <w:tcPr>
            <w:tcW w:w="1156" w:type="dxa"/>
            <w:vAlign w:val="center"/>
          </w:tcPr>
          <w:p w14:paraId="2E53565E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1.2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6</w:t>
            </w:r>
          </w:p>
        </w:tc>
        <w:tc>
          <w:tcPr>
            <w:tcW w:w="1157" w:type="dxa"/>
            <w:vAlign w:val="center"/>
          </w:tcPr>
          <w:p w14:paraId="4E251EED" w14:textId="77777777" w:rsidR="001E0F4E" w:rsidRPr="005768EA" w:rsidRDefault="001E0F4E" w:rsidP="005253B7">
            <w:pPr>
              <w:spacing w:after="120"/>
              <w:jc w:val="center"/>
              <w:rPr>
                <w:rFonts w:eastAsia="Times New Roman" w:cs="Arial"/>
                <w:sz w:val="22"/>
                <w:lang w:eastAsia="fr-CA"/>
              </w:rPr>
            </w:pPr>
            <w:r>
              <w:rPr>
                <w:rFonts w:eastAsia="Times New Roman" w:cs="Arial"/>
                <w:sz w:val="22"/>
                <w:lang w:eastAsia="fr-CA"/>
              </w:rPr>
              <w:t>2.7</w:t>
            </w:r>
            <w:r w:rsidRPr="005768EA">
              <w:rPr>
                <w:rFonts w:eastAsia="Times New Roman" w:cs="Arial"/>
                <w:sz w:val="22"/>
                <w:lang w:eastAsia="fr-CA"/>
              </w:rPr>
              <w:t xml:space="preserve"> X 10</w:t>
            </w:r>
            <w:r w:rsidRPr="005768EA">
              <w:rPr>
                <w:rFonts w:eastAsia="Times New Roman" w:cs="Arial"/>
                <w:sz w:val="22"/>
                <w:vertAlign w:val="superscript"/>
                <w:lang w:eastAsia="fr-CA"/>
              </w:rPr>
              <w:t>-</w:t>
            </w:r>
            <w:r>
              <w:rPr>
                <w:rFonts w:eastAsia="Times New Roman" w:cs="Arial"/>
                <w:sz w:val="22"/>
                <w:vertAlign w:val="superscript"/>
                <w:lang w:eastAsia="fr-CA"/>
              </w:rPr>
              <w:t>7</w:t>
            </w:r>
          </w:p>
        </w:tc>
      </w:tr>
    </w:tbl>
    <w:p w14:paraId="4DADDE8E" w14:textId="223FC75A" w:rsidR="001E0F4E" w:rsidRDefault="001E0F4E">
      <w:pPr>
        <w:spacing w:before="0" w:after="200" w:line="276" w:lineRule="auto"/>
      </w:pPr>
    </w:p>
    <w:p w14:paraId="703F3A80" w14:textId="77777777" w:rsidR="00BC1ECA" w:rsidRDefault="00BC1ECA" w:rsidP="00BC1ECA"/>
    <w:p w14:paraId="4FEC8060" w14:textId="4878E08B" w:rsidR="001E0F4E" w:rsidRDefault="001E0F4E" w:rsidP="00A80357"/>
    <w:p w14:paraId="48BED917" w14:textId="30B97B8D" w:rsidR="005F528D" w:rsidRPr="00A60BF0" w:rsidRDefault="005F528D" w:rsidP="00A60BF0">
      <w:pPr>
        <w:spacing w:before="0" w:after="200" w:line="276" w:lineRule="auto"/>
      </w:pPr>
    </w:p>
    <w:sectPr w:rsidR="005F528D" w:rsidRPr="00A60BF0" w:rsidSect="00A60BF0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75B6" w14:textId="77777777" w:rsidR="00837CE7" w:rsidRDefault="00837CE7" w:rsidP="00117666">
      <w:pPr>
        <w:spacing w:after="0"/>
      </w:pPr>
      <w:r>
        <w:separator/>
      </w:r>
    </w:p>
  </w:endnote>
  <w:endnote w:type="continuationSeparator" w:id="0">
    <w:p w14:paraId="56457F1F" w14:textId="77777777" w:rsidR="00837CE7" w:rsidRDefault="00837CE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61941705"/>
      <w:docPartObj>
        <w:docPartGallery w:val="Page Numbers (Bottom of Page)"/>
        <w:docPartUnique/>
      </w:docPartObj>
    </w:sdtPr>
    <w:sdtContent>
      <w:p w14:paraId="6AFC81DD" w14:textId="454FF4CA" w:rsidR="00A60BF0" w:rsidRDefault="00A60BF0" w:rsidP="00A94D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C93025F" w14:textId="77777777" w:rsidR="00995F6A" w:rsidRPr="00577C4C" w:rsidRDefault="00C52A7B" w:rsidP="00A60BF0">
    <w:pPr>
      <w:ind w:right="360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19888400"/>
      <w:docPartObj>
        <w:docPartGallery w:val="Page Numbers (Bottom of Page)"/>
        <w:docPartUnique/>
      </w:docPartObj>
    </w:sdtPr>
    <w:sdtContent>
      <w:p w14:paraId="276EC59F" w14:textId="3F776DC1" w:rsidR="00A60BF0" w:rsidRDefault="00A60BF0" w:rsidP="00A94D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B4D6A35" w14:textId="63BA65B2" w:rsidR="00995F6A" w:rsidRPr="00577C4C" w:rsidRDefault="00837CE7" w:rsidP="00A60BF0">
    <w:pPr>
      <w:ind w:right="360"/>
      <w:rPr>
        <w:b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B072" w14:textId="77777777" w:rsidR="00837CE7" w:rsidRDefault="00837CE7" w:rsidP="00117666">
      <w:pPr>
        <w:spacing w:after="0"/>
      </w:pPr>
      <w:r>
        <w:separator/>
      </w:r>
    </w:p>
  </w:footnote>
  <w:footnote w:type="continuationSeparator" w:id="0">
    <w:p w14:paraId="7601766C" w14:textId="77777777" w:rsidR="00837CE7" w:rsidRDefault="00837CE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5CADC723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62016837">
    <w:abstractNumId w:val="0"/>
  </w:num>
  <w:num w:numId="2" w16cid:durableId="649943920">
    <w:abstractNumId w:val="4"/>
  </w:num>
  <w:num w:numId="3" w16cid:durableId="152264565">
    <w:abstractNumId w:val="1"/>
  </w:num>
  <w:num w:numId="4" w16cid:durableId="681318526">
    <w:abstractNumId w:val="5"/>
  </w:num>
  <w:num w:numId="5" w16cid:durableId="7277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272384">
    <w:abstractNumId w:val="3"/>
  </w:num>
  <w:num w:numId="7" w16cid:durableId="189874535">
    <w:abstractNumId w:val="6"/>
  </w:num>
  <w:num w:numId="8" w16cid:durableId="1457529621">
    <w:abstractNumId w:val="6"/>
  </w:num>
  <w:num w:numId="9" w16cid:durableId="326327639">
    <w:abstractNumId w:val="6"/>
  </w:num>
  <w:num w:numId="10" w16cid:durableId="955523873">
    <w:abstractNumId w:val="6"/>
  </w:num>
  <w:num w:numId="11" w16cid:durableId="1731922585">
    <w:abstractNumId w:val="6"/>
  </w:num>
  <w:num w:numId="12" w16cid:durableId="1859925663">
    <w:abstractNumId w:val="6"/>
  </w:num>
  <w:num w:numId="13" w16cid:durableId="1184589833">
    <w:abstractNumId w:val="3"/>
  </w:num>
  <w:num w:numId="14" w16cid:durableId="664091730">
    <w:abstractNumId w:val="2"/>
  </w:num>
  <w:num w:numId="15" w16cid:durableId="1423255678">
    <w:abstractNumId w:val="2"/>
  </w:num>
  <w:num w:numId="16" w16cid:durableId="1175265279">
    <w:abstractNumId w:val="2"/>
  </w:num>
  <w:num w:numId="17" w16cid:durableId="632322893">
    <w:abstractNumId w:val="2"/>
  </w:num>
  <w:num w:numId="18" w16cid:durableId="428820669">
    <w:abstractNumId w:val="2"/>
  </w:num>
  <w:num w:numId="19" w16cid:durableId="37561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0BE2"/>
    <w:rsid w:val="0001436A"/>
    <w:rsid w:val="00017B4D"/>
    <w:rsid w:val="0002677F"/>
    <w:rsid w:val="00034304"/>
    <w:rsid w:val="00035434"/>
    <w:rsid w:val="00047F97"/>
    <w:rsid w:val="00052A14"/>
    <w:rsid w:val="000552D5"/>
    <w:rsid w:val="00061137"/>
    <w:rsid w:val="00077D53"/>
    <w:rsid w:val="00077FDA"/>
    <w:rsid w:val="000A4ADD"/>
    <w:rsid w:val="000C46E2"/>
    <w:rsid w:val="000C5310"/>
    <w:rsid w:val="00105FD9"/>
    <w:rsid w:val="00117666"/>
    <w:rsid w:val="00121339"/>
    <w:rsid w:val="001260C5"/>
    <w:rsid w:val="001549D3"/>
    <w:rsid w:val="00160065"/>
    <w:rsid w:val="00167E46"/>
    <w:rsid w:val="00177D84"/>
    <w:rsid w:val="00197BA9"/>
    <w:rsid w:val="001B5E6D"/>
    <w:rsid w:val="001C0053"/>
    <w:rsid w:val="001E0F4E"/>
    <w:rsid w:val="0021170E"/>
    <w:rsid w:val="00254B31"/>
    <w:rsid w:val="00267D18"/>
    <w:rsid w:val="00274347"/>
    <w:rsid w:val="00276C70"/>
    <w:rsid w:val="0028231E"/>
    <w:rsid w:val="002868E2"/>
    <w:rsid w:val="002869C3"/>
    <w:rsid w:val="002936E4"/>
    <w:rsid w:val="002A6852"/>
    <w:rsid w:val="002B4A57"/>
    <w:rsid w:val="002C74CA"/>
    <w:rsid w:val="002F058E"/>
    <w:rsid w:val="003123F4"/>
    <w:rsid w:val="0031743B"/>
    <w:rsid w:val="00326631"/>
    <w:rsid w:val="0033290C"/>
    <w:rsid w:val="003404ED"/>
    <w:rsid w:val="003544FB"/>
    <w:rsid w:val="00360678"/>
    <w:rsid w:val="003B1FE7"/>
    <w:rsid w:val="003B7FCD"/>
    <w:rsid w:val="003C54B3"/>
    <w:rsid w:val="003D2F2D"/>
    <w:rsid w:val="00401590"/>
    <w:rsid w:val="004017A7"/>
    <w:rsid w:val="004475C4"/>
    <w:rsid w:val="00447801"/>
    <w:rsid w:val="00452E9C"/>
    <w:rsid w:val="00472448"/>
    <w:rsid w:val="004735C8"/>
    <w:rsid w:val="004947A6"/>
    <w:rsid w:val="004961FF"/>
    <w:rsid w:val="004A2CBF"/>
    <w:rsid w:val="004D2926"/>
    <w:rsid w:val="004E762D"/>
    <w:rsid w:val="004F01D3"/>
    <w:rsid w:val="0051486B"/>
    <w:rsid w:val="00517A89"/>
    <w:rsid w:val="005250F2"/>
    <w:rsid w:val="00527003"/>
    <w:rsid w:val="00535375"/>
    <w:rsid w:val="00563300"/>
    <w:rsid w:val="00593EEA"/>
    <w:rsid w:val="005A5EEE"/>
    <w:rsid w:val="005B0865"/>
    <w:rsid w:val="005D0A72"/>
    <w:rsid w:val="005F528D"/>
    <w:rsid w:val="0061471E"/>
    <w:rsid w:val="00617DEC"/>
    <w:rsid w:val="006232AD"/>
    <w:rsid w:val="00627C57"/>
    <w:rsid w:val="006375C7"/>
    <w:rsid w:val="00654E8F"/>
    <w:rsid w:val="00660D05"/>
    <w:rsid w:val="00676E0D"/>
    <w:rsid w:val="006820B1"/>
    <w:rsid w:val="006B2C90"/>
    <w:rsid w:val="006B4838"/>
    <w:rsid w:val="006B64D0"/>
    <w:rsid w:val="006B7D14"/>
    <w:rsid w:val="00701727"/>
    <w:rsid w:val="0070566C"/>
    <w:rsid w:val="00714C50"/>
    <w:rsid w:val="0071587F"/>
    <w:rsid w:val="00725A7D"/>
    <w:rsid w:val="007501BE"/>
    <w:rsid w:val="00780FF0"/>
    <w:rsid w:val="00790BB3"/>
    <w:rsid w:val="007A1B13"/>
    <w:rsid w:val="007B5E29"/>
    <w:rsid w:val="007C206C"/>
    <w:rsid w:val="007D2EDB"/>
    <w:rsid w:val="007E66C6"/>
    <w:rsid w:val="00813EA2"/>
    <w:rsid w:val="00816435"/>
    <w:rsid w:val="00817DD6"/>
    <w:rsid w:val="0083759F"/>
    <w:rsid w:val="00837CE7"/>
    <w:rsid w:val="00856773"/>
    <w:rsid w:val="00885156"/>
    <w:rsid w:val="00892AB2"/>
    <w:rsid w:val="00895229"/>
    <w:rsid w:val="008F5F0B"/>
    <w:rsid w:val="00906F59"/>
    <w:rsid w:val="009151AA"/>
    <w:rsid w:val="00922D50"/>
    <w:rsid w:val="009270C2"/>
    <w:rsid w:val="0093429D"/>
    <w:rsid w:val="009371FB"/>
    <w:rsid w:val="00943573"/>
    <w:rsid w:val="00947A05"/>
    <w:rsid w:val="00960433"/>
    <w:rsid w:val="00964134"/>
    <w:rsid w:val="00970F7D"/>
    <w:rsid w:val="00994A3D"/>
    <w:rsid w:val="009B057D"/>
    <w:rsid w:val="009C2B12"/>
    <w:rsid w:val="009E44F1"/>
    <w:rsid w:val="00A174D9"/>
    <w:rsid w:val="00A31A0A"/>
    <w:rsid w:val="00A50859"/>
    <w:rsid w:val="00A60BF0"/>
    <w:rsid w:val="00A72FEE"/>
    <w:rsid w:val="00A80357"/>
    <w:rsid w:val="00AA4D24"/>
    <w:rsid w:val="00AB21DF"/>
    <w:rsid w:val="00AB4AA3"/>
    <w:rsid w:val="00AB56B5"/>
    <w:rsid w:val="00AB6715"/>
    <w:rsid w:val="00AE5B81"/>
    <w:rsid w:val="00B1239B"/>
    <w:rsid w:val="00B1671E"/>
    <w:rsid w:val="00B25EB8"/>
    <w:rsid w:val="00B27DAC"/>
    <w:rsid w:val="00B37F4D"/>
    <w:rsid w:val="00B563BB"/>
    <w:rsid w:val="00B84709"/>
    <w:rsid w:val="00B92852"/>
    <w:rsid w:val="00BC1ECA"/>
    <w:rsid w:val="00C017DA"/>
    <w:rsid w:val="00C0515C"/>
    <w:rsid w:val="00C07284"/>
    <w:rsid w:val="00C50C53"/>
    <w:rsid w:val="00C52A7B"/>
    <w:rsid w:val="00C56BAF"/>
    <w:rsid w:val="00C679AA"/>
    <w:rsid w:val="00C75972"/>
    <w:rsid w:val="00C93A7C"/>
    <w:rsid w:val="00C979DA"/>
    <w:rsid w:val="00CA28EA"/>
    <w:rsid w:val="00CD066B"/>
    <w:rsid w:val="00CD64B0"/>
    <w:rsid w:val="00CE4FEE"/>
    <w:rsid w:val="00D060CF"/>
    <w:rsid w:val="00D126B3"/>
    <w:rsid w:val="00D13115"/>
    <w:rsid w:val="00D27F36"/>
    <w:rsid w:val="00D74B71"/>
    <w:rsid w:val="00DA7090"/>
    <w:rsid w:val="00DB59C3"/>
    <w:rsid w:val="00DC259A"/>
    <w:rsid w:val="00DE193F"/>
    <w:rsid w:val="00DE23E8"/>
    <w:rsid w:val="00E2708A"/>
    <w:rsid w:val="00E52377"/>
    <w:rsid w:val="00E537AD"/>
    <w:rsid w:val="00E60B5C"/>
    <w:rsid w:val="00E64E17"/>
    <w:rsid w:val="00E866C9"/>
    <w:rsid w:val="00E91DC4"/>
    <w:rsid w:val="00EA3D3C"/>
    <w:rsid w:val="00EA5CD6"/>
    <w:rsid w:val="00EC090A"/>
    <w:rsid w:val="00ED20B5"/>
    <w:rsid w:val="00EE4FB8"/>
    <w:rsid w:val="00F03E61"/>
    <w:rsid w:val="00F31471"/>
    <w:rsid w:val="00F45A87"/>
    <w:rsid w:val="00F46900"/>
    <w:rsid w:val="00F5429E"/>
    <w:rsid w:val="00F61D89"/>
    <w:rsid w:val="00F6478D"/>
    <w:rsid w:val="00F657C8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en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customStyle="1" w:styleId="paragraph">
    <w:name w:val="paragraph"/>
    <w:basedOn w:val="Normal"/>
    <w:rsid w:val="001C0053"/>
    <w:pPr>
      <w:spacing w:before="100" w:beforeAutospacing="1" w:after="100" w:afterAutospacing="1"/>
    </w:pPr>
    <w:rPr>
      <w:rFonts w:eastAsia="Times New Roman" w:cs="Times New Roman"/>
      <w:szCs w:val="24"/>
      <w:lang w:val="fr-CA" w:eastAsia="fr-CA"/>
    </w:rPr>
  </w:style>
  <w:style w:type="character" w:customStyle="1" w:styleId="normaltextrun">
    <w:name w:val="normaltextrun"/>
    <w:basedOn w:val="Policepardfaut"/>
    <w:rsid w:val="001C0053"/>
  </w:style>
  <w:style w:type="character" w:customStyle="1" w:styleId="eop">
    <w:name w:val="eop"/>
    <w:basedOn w:val="Policepardfaut"/>
    <w:rsid w:val="001C0053"/>
  </w:style>
  <w:style w:type="character" w:customStyle="1" w:styleId="scxw75500090">
    <w:name w:val="scxw75500090"/>
    <w:basedOn w:val="Policepardfaut"/>
    <w:rsid w:val="001C0053"/>
  </w:style>
  <w:style w:type="paragraph" w:styleId="Rvision">
    <w:name w:val="Revision"/>
    <w:hidden/>
    <w:uiPriority w:val="99"/>
    <w:semiHidden/>
    <w:rsid w:val="00E91DC4"/>
    <w:pPr>
      <w:spacing w:after="0" w:line="240" w:lineRule="auto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C93A7C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A6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BD9AD0B1934FBE527A7F8BC99EBC" ma:contentTypeVersion="8" ma:contentTypeDescription="Create a new document." ma:contentTypeScope="" ma:versionID="e86786cb8b43033493cbf2966f39b161">
  <xsd:schema xmlns:xsd="http://www.w3.org/2001/XMLSchema" xmlns:xs="http://www.w3.org/2001/XMLSchema" xmlns:p="http://schemas.microsoft.com/office/2006/metadata/properties" xmlns:ns2="22f74b8e-b477-4d52-9cd8-c15c055f2980" targetNamespace="http://schemas.microsoft.com/office/2006/metadata/properties" ma:root="true" ma:fieldsID="bb27051c52772175556d5180f5f78804" ns2:_="">
    <xsd:import namespace="22f74b8e-b477-4d52-9cd8-c15c055f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74b8e-b477-4d52-9cd8-c15c055f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D4D4B-ADA0-4AB4-81C8-A225279AC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1958F-7A30-454D-B81B-E4AAD5F9E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F7954-E7C7-4794-8AB0-BE130AC5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74b8e-b477-4d52-9cd8-c15c055f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35</TotalTime>
  <Pages>2</Pages>
  <Words>347</Words>
  <Characters>2273</Characters>
  <Application>Microsoft Office Word</Application>
  <DocSecurity>0</DocSecurity>
  <Lines>113</Lines>
  <Paragraphs>97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Marianne Grimard-Conea</cp:lastModifiedBy>
  <cp:revision>32</cp:revision>
  <cp:lastPrinted>2022-05-30T17:16:00Z</cp:lastPrinted>
  <dcterms:created xsi:type="dcterms:W3CDTF">2022-05-30T17:15:00Z</dcterms:created>
  <dcterms:modified xsi:type="dcterms:W3CDTF">2022-06-01T16:35:00Z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0x010100B45FBD9AD0B1934FBE527A7F8BC99EBC</vt:lpwstr>
  </property>
</Properties>
</file>