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85B2" w14:textId="278CA2C1" w:rsidR="009D2CCB" w:rsidRPr="009B236E" w:rsidRDefault="0071144D" w:rsidP="009D2CCB">
      <w:pPr>
        <w:jc w:val="center"/>
        <w:rPr>
          <w:b/>
          <w:bCs/>
        </w:rPr>
      </w:pPr>
      <w:r w:rsidRPr="009B236E">
        <w:rPr>
          <w:b/>
          <w:bCs/>
        </w:rPr>
        <w:t>Supplemental Materials</w:t>
      </w:r>
    </w:p>
    <w:p w14:paraId="4B1214EF" w14:textId="2FFADFA7" w:rsidR="00437B12" w:rsidRDefault="00A81095">
      <w:r>
        <w:rPr>
          <w:noProof/>
        </w:rPr>
        <w:drawing>
          <wp:inline distT="0" distB="0" distL="0" distR="0" wp14:anchorId="4662D186" wp14:editId="4E352915">
            <wp:extent cx="6400800" cy="3482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a:extLst>
                        <a:ext uri="{28A0092B-C50C-407E-A947-70E740481C1C}">
                          <a14:useLocalDpi xmlns:a14="http://schemas.microsoft.com/office/drawing/2010/main" val="0"/>
                        </a:ext>
                      </a:extLst>
                    </a:blip>
                    <a:srcRect l="3705" t="22650" r="4130" b="27206"/>
                    <a:stretch/>
                  </pic:blipFill>
                  <pic:spPr bwMode="auto">
                    <a:xfrm>
                      <a:off x="0" y="0"/>
                      <a:ext cx="6400800" cy="3482487"/>
                    </a:xfrm>
                    <a:prstGeom prst="rect">
                      <a:avLst/>
                    </a:prstGeom>
                    <a:ln>
                      <a:noFill/>
                    </a:ln>
                    <a:extLst>
                      <a:ext uri="{53640926-AAD7-44D8-BBD7-CCE9431645EC}">
                        <a14:shadowObscured xmlns:a14="http://schemas.microsoft.com/office/drawing/2010/main"/>
                      </a:ext>
                    </a:extLst>
                  </pic:spPr>
                </pic:pic>
              </a:graphicData>
            </a:graphic>
          </wp:inline>
        </w:drawing>
      </w:r>
    </w:p>
    <w:p w14:paraId="4851ACD0" w14:textId="7CF9A6C5" w:rsidR="0071144D" w:rsidRDefault="0071144D">
      <w:r w:rsidRPr="009D2CCB">
        <w:rPr>
          <w:b/>
          <w:bCs/>
        </w:rPr>
        <w:t>Figure S1.</w:t>
      </w:r>
      <w:r>
        <w:t xml:space="preserve"> </w:t>
      </w:r>
      <w:r w:rsidRPr="0071144D">
        <w:rPr>
          <w:i/>
          <w:iCs/>
        </w:rPr>
        <w:t>Single Underlying Latent Factor Across Constructs and Timepoints.</w:t>
      </w:r>
      <w:r>
        <w:t xml:space="preserve"> This model assumes variation is shared across constructs and timepoints (some </w:t>
      </w:r>
      <w:r w:rsidR="00CA69D7">
        <w:t xml:space="preserve">tasks </w:t>
      </w:r>
      <w:r>
        <w:t>loading more strongly than others), but shared variation is not construct</w:t>
      </w:r>
      <w:r w:rsidR="00A236B7">
        <w:t>-</w:t>
      </w:r>
      <w:r>
        <w:t xml:space="preserve"> or timepoint</w:t>
      </w:r>
      <w:r w:rsidR="00A236B7">
        <w:t>-specific</w:t>
      </w:r>
      <w:r>
        <w:t xml:space="preserve">. </w:t>
      </w:r>
    </w:p>
    <w:p w14:paraId="107FCAC8" w14:textId="11930DD6" w:rsidR="0098141B" w:rsidRDefault="0098141B">
      <w:r w:rsidRPr="00793026">
        <w:rPr>
          <w:color w:val="000000" w:themeColor="text1"/>
        </w:rPr>
        <w:t>HTKS = Head-Toes-Knees Shoulders Task; DNS = Day/Night Stroop Task; DCCS = Dimensional Change Card Sort Task; PPVT = Peabody Picture Vocabulary Test-Revised; WJLW</w:t>
      </w:r>
      <w:r>
        <w:rPr>
          <w:color w:val="000000" w:themeColor="text1"/>
        </w:rPr>
        <w:t>I</w:t>
      </w:r>
      <w:r w:rsidRPr="00793026">
        <w:rPr>
          <w:color w:val="000000" w:themeColor="text1"/>
        </w:rPr>
        <w:t xml:space="preserve"> = Woodcock-Johnson Letter Word Recognition; GRTR = Get Ready to Read; BRL</w:t>
      </w:r>
      <w:r>
        <w:rPr>
          <w:color w:val="000000" w:themeColor="text1"/>
        </w:rPr>
        <w:t>I</w:t>
      </w:r>
      <w:r w:rsidRPr="00793026">
        <w:rPr>
          <w:color w:val="000000" w:themeColor="text1"/>
        </w:rPr>
        <w:t xml:space="preserve"> = Bracken Letter Subtest; WJAP = Woodcock-Johnson Applied Problems; PENS = Preschool Early Numeracy Scale; </w:t>
      </w:r>
      <w:r>
        <w:rPr>
          <w:color w:val="000000" w:themeColor="text1"/>
        </w:rPr>
        <w:t>PALM</w:t>
      </w:r>
      <w:r w:rsidRPr="00793026">
        <w:rPr>
          <w:color w:val="000000" w:themeColor="text1"/>
        </w:rPr>
        <w:t xml:space="preserve"> = Math Language Assessment; BRN</w:t>
      </w:r>
      <w:r>
        <w:rPr>
          <w:color w:val="000000" w:themeColor="text1"/>
        </w:rPr>
        <w:t>C</w:t>
      </w:r>
      <w:r w:rsidRPr="00793026">
        <w:rPr>
          <w:color w:val="000000" w:themeColor="text1"/>
        </w:rPr>
        <w:t xml:space="preserve"> = Bracken Numeracy Subtest; N</w:t>
      </w:r>
      <w:r>
        <w:rPr>
          <w:color w:val="000000" w:themeColor="text1"/>
        </w:rPr>
        <w:t>I</w:t>
      </w:r>
      <w:r w:rsidRPr="00793026">
        <w:rPr>
          <w:color w:val="000000" w:themeColor="text1"/>
        </w:rPr>
        <w:t xml:space="preserve"> = Numeral Identification; CARD = Cardinality</w:t>
      </w:r>
    </w:p>
    <w:p w14:paraId="7613B6D2" w14:textId="77777777" w:rsidR="005A2E0B" w:rsidRDefault="005A2E0B">
      <w:r>
        <w:br w:type="page"/>
      </w:r>
    </w:p>
    <w:p w14:paraId="2342E93A" w14:textId="4D2846D3" w:rsidR="0071144D" w:rsidRDefault="00A81095">
      <w:r>
        <w:rPr>
          <w:noProof/>
        </w:rPr>
        <w:lastRenderedPageBreak/>
        <w:drawing>
          <wp:inline distT="0" distB="0" distL="0" distR="0" wp14:anchorId="1D31F495" wp14:editId="5D43D51A">
            <wp:extent cx="6400800" cy="3560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l="4416" t="22365" r="4416" b="26918"/>
                    <a:stretch/>
                  </pic:blipFill>
                  <pic:spPr bwMode="auto">
                    <a:xfrm>
                      <a:off x="0" y="0"/>
                      <a:ext cx="6400800" cy="3560787"/>
                    </a:xfrm>
                    <a:prstGeom prst="rect">
                      <a:avLst/>
                    </a:prstGeom>
                    <a:ln>
                      <a:noFill/>
                    </a:ln>
                    <a:extLst>
                      <a:ext uri="{53640926-AAD7-44D8-BBD7-CCE9431645EC}">
                        <a14:shadowObscured xmlns:a14="http://schemas.microsoft.com/office/drawing/2010/main"/>
                      </a:ext>
                    </a:extLst>
                  </pic:spPr>
                </pic:pic>
              </a:graphicData>
            </a:graphic>
          </wp:inline>
        </w:drawing>
      </w:r>
    </w:p>
    <w:p w14:paraId="12A8964E" w14:textId="495E5F69" w:rsidR="0071144D" w:rsidRDefault="0071144D" w:rsidP="0071144D">
      <w:r w:rsidRPr="009D2CCB">
        <w:rPr>
          <w:b/>
          <w:bCs/>
        </w:rPr>
        <w:t>Figure S2.</w:t>
      </w:r>
      <w:r>
        <w:t xml:space="preserve"> </w:t>
      </w:r>
      <w:r w:rsidRPr="0071144D">
        <w:rPr>
          <w:i/>
          <w:iCs/>
        </w:rPr>
        <w:t xml:space="preserve">Single Underlying Latent </w:t>
      </w:r>
      <w:r>
        <w:rPr>
          <w:i/>
          <w:iCs/>
        </w:rPr>
        <w:t xml:space="preserve">Random Intercept </w:t>
      </w:r>
      <w:r w:rsidRPr="0071144D">
        <w:rPr>
          <w:i/>
          <w:iCs/>
        </w:rPr>
        <w:t>Across Constructs and Timepoints.</w:t>
      </w:r>
      <w:r>
        <w:t xml:space="preserve"> This model is more restrictive than S1, and assumes variation is equally shared across constructs and timepoints, but is still not</w:t>
      </w:r>
      <w:r w:rsidR="005333A1">
        <w:t xml:space="preserve"> construct- or timepoint-specific</w:t>
      </w:r>
      <w:r>
        <w:t xml:space="preserve">. </w:t>
      </w:r>
    </w:p>
    <w:p w14:paraId="1FD85E24" w14:textId="41EBD174" w:rsidR="005A2E0B" w:rsidRDefault="0098141B">
      <w:r w:rsidRPr="00793026">
        <w:rPr>
          <w:color w:val="000000" w:themeColor="text1"/>
        </w:rPr>
        <w:t>HTKS = Head-Toes-Knees Shoulders Task; DNS = Day/Night Stroop Task; DCCS = Dimensional Change Card Sort Task; PPVT = Peabody Picture Vocabulary Test-Revised; WJLW</w:t>
      </w:r>
      <w:r>
        <w:rPr>
          <w:color w:val="000000" w:themeColor="text1"/>
        </w:rPr>
        <w:t>I</w:t>
      </w:r>
      <w:r w:rsidRPr="00793026">
        <w:rPr>
          <w:color w:val="000000" w:themeColor="text1"/>
        </w:rPr>
        <w:t xml:space="preserve"> = Woodcock-Johnson Letter Word Recognition; GRTR = Get Ready to Read; BRL</w:t>
      </w:r>
      <w:r>
        <w:rPr>
          <w:color w:val="000000" w:themeColor="text1"/>
        </w:rPr>
        <w:t>I</w:t>
      </w:r>
      <w:r w:rsidRPr="00793026">
        <w:rPr>
          <w:color w:val="000000" w:themeColor="text1"/>
        </w:rPr>
        <w:t xml:space="preserve"> = Bracken Letter Subtest; WJAP = Woodcock-Johnson Applied Problems; PENS = Preschool Early Numeracy Scale; </w:t>
      </w:r>
      <w:r>
        <w:rPr>
          <w:color w:val="000000" w:themeColor="text1"/>
        </w:rPr>
        <w:t>PALM</w:t>
      </w:r>
      <w:r w:rsidRPr="00793026">
        <w:rPr>
          <w:color w:val="000000" w:themeColor="text1"/>
        </w:rPr>
        <w:t xml:space="preserve"> = Math Language Assessment; BRN</w:t>
      </w:r>
      <w:r>
        <w:rPr>
          <w:color w:val="000000" w:themeColor="text1"/>
        </w:rPr>
        <w:t>C</w:t>
      </w:r>
      <w:r w:rsidRPr="00793026">
        <w:rPr>
          <w:color w:val="000000" w:themeColor="text1"/>
        </w:rPr>
        <w:t xml:space="preserve"> = Bracken Numeracy Subtest; N</w:t>
      </w:r>
      <w:r>
        <w:rPr>
          <w:color w:val="000000" w:themeColor="text1"/>
        </w:rPr>
        <w:t>I</w:t>
      </w:r>
      <w:r w:rsidRPr="00793026">
        <w:rPr>
          <w:color w:val="000000" w:themeColor="text1"/>
        </w:rPr>
        <w:t xml:space="preserve"> = Numeral Identification; CARD = Cardinality</w:t>
      </w:r>
      <w:r w:rsidR="005A2E0B">
        <w:br w:type="page"/>
      </w:r>
    </w:p>
    <w:p w14:paraId="0D18FCD8" w14:textId="1F1E7FE3" w:rsidR="0071144D" w:rsidRDefault="00A81095">
      <w:r>
        <w:rPr>
          <w:noProof/>
        </w:rPr>
        <w:lastRenderedPageBreak/>
        <w:drawing>
          <wp:inline distT="0" distB="0" distL="0" distR="0" wp14:anchorId="701CF1B7" wp14:editId="43D7A547">
            <wp:extent cx="6126480" cy="55403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l="1568" t="5698" r="4700" b="9538"/>
                    <a:stretch/>
                  </pic:blipFill>
                  <pic:spPr bwMode="auto">
                    <a:xfrm>
                      <a:off x="0" y="0"/>
                      <a:ext cx="6126480" cy="5540328"/>
                    </a:xfrm>
                    <a:prstGeom prst="rect">
                      <a:avLst/>
                    </a:prstGeom>
                    <a:ln>
                      <a:noFill/>
                    </a:ln>
                    <a:extLst>
                      <a:ext uri="{53640926-AAD7-44D8-BBD7-CCE9431645EC}">
                        <a14:shadowObscured xmlns:a14="http://schemas.microsoft.com/office/drawing/2010/main"/>
                      </a:ext>
                    </a:extLst>
                  </pic:spPr>
                </pic:pic>
              </a:graphicData>
            </a:graphic>
          </wp:inline>
        </w:drawing>
      </w:r>
    </w:p>
    <w:p w14:paraId="031E2082" w14:textId="77777777" w:rsidR="0098141B" w:rsidRDefault="00457FA4">
      <w:r w:rsidRPr="009D2CCB">
        <w:rPr>
          <w:b/>
          <w:bCs/>
        </w:rPr>
        <w:t xml:space="preserve">Figure S3. </w:t>
      </w:r>
      <w:r>
        <w:rPr>
          <w:i/>
          <w:iCs/>
        </w:rPr>
        <w:t>Timepoint-Specific</w:t>
      </w:r>
      <w:r w:rsidRPr="0071144D">
        <w:rPr>
          <w:i/>
          <w:iCs/>
        </w:rPr>
        <w:t xml:space="preserve"> Latent Factor</w:t>
      </w:r>
      <w:r>
        <w:rPr>
          <w:i/>
          <w:iCs/>
        </w:rPr>
        <w:t>s</w:t>
      </w:r>
      <w:r w:rsidRPr="0071144D">
        <w:rPr>
          <w:i/>
          <w:iCs/>
        </w:rPr>
        <w:t>.</w:t>
      </w:r>
      <w:r>
        <w:t xml:space="preserve"> This model assumes variation is shared across constructs (some </w:t>
      </w:r>
      <w:r w:rsidR="00CA69D7">
        <w:t xml:space="preserve">tasks </w:t>
      </w:r>
      <w:r>
        <w:t xml:space="preserve">loading more strongly than others) but distinct latent factors exist for timepoints (though the latent factors are correlated). </w:t>
      </w:r>
    </w:p>
    <w:p w14:paraId="04FEEC0C" w14:textId="35D1C09E" w:rsidR="005A2E0B" w:rsidRDefault="0098141B">
      <w:r w:rsidRPr="00793026">
        <w:rPr>
          <w:color w:val="000000" w:themeColor="text1"/>
        </w:rPr>
        <w:lastRenderedPageBreak/>
        <w:t>HTKS = Head-Toes-Knees Shoulders Task; DNS = Day/Night Stroop Task; DCCS = Dimensional Change Card Sort Task; PPVT = Peabody Picture Vocabulary Test-Revised; WJLW</w:t>
      </w:r>
      <w:r>
        <w:rPr>
          <w:color w:val="000000" w:themeColor="text1"/>
        </w:rPr>
        <w:t>I</w:t>
      </w:r>
      <w:r w:rsidRPr="00793026">
        <w:rPr>
          <w:color w:val="000000" w:themeColor="text1"/>
        </w:rPr>
        <w:t xml:space="preserve"> = Woodcock-Johnson Letter Word Recognition; GRTR = Get Ready to Read; BRL</w:t>
      </w:r>
      <w:r>
        <w:rPr>
          <w:color w:val="000000" w:themeColor="text1"/>
        </w:rPr>
        <w:t>I</w:t>
      </w:r>
      <w:r w:rsidRPr="00793026">
        <w:rPr>
          <w:color w:val="000000" w:themeColor="text1"/>
        </w:rPr>
        <w:t xml:space="preserve"> = Bracken Letter Subtest; WJAP = Woodcock-Johnson Applied Problems; PENS = Preschool Early Numeracy Scale; </w:t>
      </w:r>
      <w:r>
        <w:rPr>
          <w:color w:val="000000" w:themeColor="text1"/>
        </w:rPr>
        <w:t>PALM</w:t>
      </w:r>
      <w:r w:rsidRPr="00793026">
        <w:rPr>
          <w:color w:val="000000" w:themeColor="text1"/>
        </w:rPr>
        <w:t xml:space="preserve"> = Math Language Assessment; BRN</w:t>
      </w:r>
      <w:r>
        <w:rPr>
          <w:color w:val="000000" w:themeColor="text1"/>
        </w:rPr>
        <w:t>C</w:t>
      </w:r>
      <w:r w:rsidRPr="00793026">
        <w:rPr>
          <w:color w:val="000000" w:themeColor="text1"/>
        </w:rPr>
        <w:t xml:space="preserve"> = Bracken Numeracy Subtest; N</w:t>
      </w:r>
      <w:r>
        <w:rPr>
          <w:color w:val="000000" w:themeColor="text1"/>
        </w:rPr>
        <w:t>I</w:t>
      </w:r>
      <w:r w:rsidRPr="00793026">
        <w:rPr>
          <w:color w:val="000000" w:themeColor="text1"/>
        </w:rPr>
        <w:t xml:space="preserve"> = Numeral Identification; CARD = Cardinality</w:t>
      </w:r>
      <w:r w:rsidR="005A2E0B">
        <w:br w:type="page"/>
      </w:r>
    </w:p>
    <w:p w14:paraId="55779BAF" w14:textId="11A3177A" w:rsidR="00457FA4" w:rsidRDefault="00A81095">
      <w:r>
        <w:rPr>
          <w:noProof/>
        </w:rPr>
        <w:lastRenderedPageBreak/>
        <w:drawing>
          <wp:inline distT="0" distB="0" distL="0" distR="0" wp14:anchorId="38C8609D" wp14:editId="482C4675">
            <wp:extent cx="6217920" cy="55935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a:extLst>
                        <a:ext uri="{28A0092B-C50C-407E-A947-70E740481C1C}">
                          <a14:useLocalDpi xmlns:a14="http://schemas.microsoft.com/office/drawing/2010/main" val="0"/>
                        </a:ext>
                      </a:extLst>
                    </a:blip>
                    <a:srcRect l="1852" t="5412" r="4558" b="10396"/>
                    <a:stretch/>
                  </pic:blipFill>
                  <pic:spPr bwMode="auto">
                    <a:xfrm>
                      <a:off x="0" y="0"/>
                      <a:ext cx="6217920" cy="5593505"/>
                    </a:xfrm>
                    <a:prstGeom prst="rect">
                      <a:avLst/>
                    </a:prstGeom>
                    <a:ln>
                      <a:noFill/>
                    </a:ln>
                    <a:extLst>
                      <a:ext uri="{53640926-AAD7-44D8-BBD7-CCE9431645EC}">
                        <a14:shadowObscured xmlns:a14="http://schemas.microsoft.com/office/drawing/2010/main"/>
                      </a:ext>
                    </a:extLst>
                  </pic:spPr>
                </pic:pic>
              </a:graphicData>
            </a:graphic>
          </wp:inline>
        </w:drawing>
      </w:r>
    </w:p>
    <w:p w14:paraId="4D4374AB" w14:textId="3286774B" w:rsidR="005A2E0B" w:rsidRDefault="00457FA4">
      <w:r w:rsidRPr="009D2CCB">
        <w:rPr>
          <w:b/>
          <w:bCs/>
        </w:rPr>
        <w:t>Figure S</w:t>
      </w:r>
      <w:r w:rsidR="00A12CE3" w:rsidRPr="009D2CCB">
        <w:rPr>
          <w:b/>
          <w:bCs/>
        </w:rPr>
        <w:t>4</w:t>
      </w:r>
      <w:r w:rsidRPr="009D2CCB">
        <w:rPr>
          <w:b/>
          <w:bCs/>
        </w:rPr>
        <w:t>.</w:t>
      </w:r>
      <w:r>
        <w:t xml:space="preserve"> </w:t>
      </w:r>
      <w:r>
        <w:rPr>
          <w:i/>
          <w:iCs/>
        </w:rPr>
        <w:t>Timepoint-Specific</w:t>
      </w:r>
      <w:r w:rsidRPr="0071144D">
        <w:rPr>
          <w:i/>
          <w:iCs/>
        </w:rPr>
        <w:t xml:space="preserve"> Latent </w:t>
      </w:r>
      <w:r w:rsidR="00A12CE3">
        <w:rPr>
          <w:i/>
          <w:iCs/>
        </w:rPr>
        <w:t>Random Intercepts</w:t>
      </w:r>
      <w:r w:rsidRPr="0071144D">
        <w:rPr>
          <w:i/>
          <w:iCs/>
        </w:rPr>
        <w:t>.</w:t>
      </w:r>
      <w:r>
        <w:t xml:space="preserve"> This model </w:t>
      </w:r>
      <w:r w:rsidR="00A12CE3">
        <w:t xml:space="preserve">is more restrictive than S3, and </w:t>
      </w:r>
      <w:r>
        <w:t xml:space="preserve">assumes variation is </w:t>
      </w:r>
      <w:r w:rsidR="00A12CE3">
        <w:t xml:space="preserve">equally </w:t>
      </w:r>
      <w:r>
        <w:t>shared across constructs</w:t>
      </w:r>
      <w:r w:rsidR="00A12CE3">
        <w:t>,</w:t>
      </w:r>
      <w:r>
        <w:t xml:space="preserve"> but distinct latent </w:t>
      </w:r>
      <w:r w:rsidR="00A12CE3">
        <w:t>random intercepts</w:t>
      </w:r>
      <w:r>
        <w:t xml:space="preserve"> exist for timepoints (though they are correlated). </w:t>
      </w:r>
      <w:r w:rsidR="0098141B" w:rsidRPr="00793026">
        <w:rPr>
          <w:color w:val="000000" w:themeColor="text1"/>
        </w:rPr>
        <w:t>HTKS = Head-Toes-</w:t>
      </w:r>
      <w:r w:rsidR="0098141B" w:rsidRPr="00793026">
        <w:rPr>
          <w:color w:val="000000" w:themeColor="text1"/>
        </w:rPr>
        <w:lastRenderedPageBreak/>
        <w:t>Knees Shoulders Task; DNS =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r w:rsidR="005A2E0B">
        <w:br w:type="page"/>
      </w:r>
    </w:p>
    <w:p w14:paraId="7DDDE82D" w14:textId="0FCA004C" w:rsidR="00457FA4" w:rsidRDefault="00A81095">
      <w:r>
        <w:rPr>
          <w:noProof/>
        </w:rPr>
        <w:lastRenderedPageBreak/>
        <w:drawing>
          <wp:inline distT="0" distB="0" distL="0" distR="0" wp14:anchorId="537A0D45" wp14:editId="468BAFE9">
            <wp:extent cx="6400800" cy="35438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0">
                      <a:extLst>
                        <a:ext uri="{28A0092B-C50C-407E-A947-70E740481C1C}">
                          <a14:useLocalDpi xmlns:a14="http://schemas.microsoft.com/office/drawing/2010/main" val="0"/>
                        </a:ext>
                      </a:extLst>
                    </a:blip>
                    <a:srcRect l="4131" t="21795" r="4273" b="27492"/>
                    <a:stretch/>
                  </pic:blipFill>
                  <pic:spPr bwMode="auto">
                    <a:xfrm>
                      <a:off x="0" y="0"/>
                      <a:ext cx="6400800" cy="3543833"/>
                    </a:xfrm>
                    <a:prstGeom prst="rect">
                      <a:avLst/>
                    </a:prstGeom>
                    <a:ln>
                      <a:noFill/>
                    </a:ln>
                    <a:extLst>
                      <a:ext uri="{53640926-AAD7-44D8-BBD7-CCE9431645EC}">
                        <a14:shadowObscured xmlns:a14="http://schemas.microsoft.com/office/drawing/2010/main"/>
                      </a:ext>
                    </a:extLst>
                  </pic:spPr>
                </pic:pic>
              </a:graphicData>
            </a:graphic>
          </wp:inline>
        </w:drawing>
      </w:r>
    </w:p>
    <w:p w14:paraId="02F33DB0" w14:textId="486BA124" w:rsidR="00A12CE3" w:rsidRDefault="00A12CE3" w:rsidP="00A12CE3">
      <w:r w:rsidRPr="009D2CCB">
        <w:rPr>
          <w:b/>
          <w:bCs/>
        </w:rPr>
        <w:t>Figure S5.</w:t>
      </w:r>
      <w:r>
        <w:t xml:space="preserve"> </w:t>
      </w:r>
      <w:r>
        <w:rPr>
          <w:i/>
          <w:iCs/>
        </w:rPr>
        <w:t>Construct-Specific</w:t>
      </w:r>
      <w:r w:rsidRPr="0071144D">
        <w:rPr>
          <w:i/>
          <w:iCs/>
        </w:rPr>
        <w:t xml:space="preserve"> Latent Factor</w:t>
      </w:r>
      <w:r>
        <w:rPr>
          <w:i/>
          <w:iCs/>
        </w:rPr>
        <w:t>s</w:t>
      </w:r>
      <w:r w:rsidRPr="0071144D">
        <w:rPr>
          <w:i/>
          <w:iCs/>
        </w:rPr>
        <w:t>.</w:t>
      </w:r>
      <w:r>
        <w:t xml:space="preserve"> This model assumes variation is shared across timepoints (some </w:t>
      </w:r>
      <w:r w:rsidR="00CA69D7">
        <w:t xml:space="preserve">tasks </w:t>
      </w:r>
      <w:r>
        <w:t xml:space="preserve">loading more strongly than others) but distinct latent factors exist for constructs (though the latent factors are correlated). </w:t>
      </w:r>
      <w:r w:rsidR="0098141B" w:rsidRPr="00793026">
        <w:rPr>
          <w:color w:val="000000" w:themeColor="text1"/>
        </w:rPr>
        <w:t>HTKS = Head-Toes-Knees Shoulders Task; DNS =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p>
    <w:p w14:paraId="3259A56B" w14:textId="77777777" w:rsidR="005A2E0B" w:rsidRDefault="005A2E0B">
      <w:r>
        <w:br w:type="page"/>
      </w:r>
    </w:p>
    <w:p w14:paraId="727EBBB0" w14:textId="1050D53D" w:rsidR="00A12CE3" w:rsidRDefault="00A81095">
      <w:r>
        <w:rPr>
          <w:noProof/>
        </w:rPr>
        <w:lastRenderedPageBreak/>
        <w:drawing>
          <wp:inline distT="0" distB="0" distL="0" distR="0" wp14:anchorId="08113F29" wp14:editId="5078B6B4">
            <wp:extent cx="6400800" cy="34933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a:extLst>
                        <a:ext uri="{28A0092B-C50C-407E-A947-70E740481C1C}">
                          <a14:useLocalDpi xmlns:a14="http://schemas.microsoft.com/office/drawing/2010/main" val="0"/>
                        </a:ext>
                      </a:extLst>
                    </a:blip>
                    <a:srcRect l="3989" t="22507" r="4130" b="27348"/>
                    <a:stretch/>
                  </pic:blipFill>
                  <pic:spPr bwMode="auto">
                    <a:xfrm>
                      <a:off x="0" y="0"/>
                      <a:ext cx="6400800" cy="3493318"/>
                    </a:xfrm>
                    <a:prstGeom prst="rect">
                      <a:avLst/>
                    </a:prstGeom>
                    <a:ln>
                      <a:noFill/>
                    </a:ln>
                    <a:extLst>
                      <a:ext uri="{53640926-AAD7-44D8-BBD7-CCE9431645EC}">
                        <a14:shadowObscured xmlns:a14="http://schemas.microsoft.com/office/drawing/2010/main"/>
                      </a:ext>
                    </a:extLst>
                  </pic:spPr>
                </pic:pic>
              </a:graphicData>
            </a:graphic>
          </wp:inline>
        </w:drawing>
      </w:r>
    </w:p>
    <w:p w14:paraId="08DDE919" w14:textId="7218FCCF" w:rsidR="00A12CE3" w:rsidRDefault="00A12CE3" w:rsidP="00A12CE3">
      <w:r w:rsidRPr="009D2CCB">
        <w:rPr>
          <w:b/>
          <w:bCs/>
        </w:rPr>
        <w:t>Figure S6.</w:t>
      </w:r>
      <w:r>
        <w:t xml:space="preserve"> </w:t>
      </w:r>
      <w:r>
        <w:rPr>
          <w:i/>
          <w:iCs/>
        </w:rPr>
        <w:t>Construct- and Timepoint-Specific</w:t>
      </w:r>
      <w:r w:rsidRPr="0071144D">
        <w:rPr>
          <w:i/>
          <w:iCs/>
        </w:rPr>
        <w:t xml:space="preserve"> Latent Factor</w:t>
      </w:r>
      <w:r>
        <w:rPr>
          <w:i/>
          <w:iCs/>
        </w:rPr>
        <w:t>s</w:t>
      </w:r>
      <w:r w:rsidRPr="0071144D">
        <w:rPr>
          <w:i/>
          <w:iCs/>
        </w:rPr>
        <w:t>.</w:t>
      </w:r>
      <w:r>
        <w:t xml:space="preserve"> This model assumes variation is distinct by construct and timepoint (though the latent factors are all correlated).</w:t>
      </w:r>
      <w:r w:rsidR="0098141B" w:rsidRPr="0098141B">
        <w:rPr>
          <w:color w:val="000000" w:themeColor="text1"/>
        </w:rPr>
        <w:t xml:space="preserve"> </w:t>
      </w:r>
      <w:r w:rsidR="0098141B" w:rsidRPr="00793026">
        <w:rPr>
          <w:color w:val="000000" w:themeColor="text1"/>
        </w:rPr>
        <w:t>HTKS = Head-Toes-Knees Shoulders Task; DNS =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p>
    <w:p w14:paraId="0DA29E9B" w14:textId="77777777" w:rsidR="005A2E0B" w:rsidRDefault="005A2E0B">
      <w:r>
        <w:br w:type="page"/>
      </w:r>
    </w:p>
    <w:p w14:paraId="5FE90126" w14:textId="18424D9B" w:rsidR="00A12CE3" w:rsidRDefault="00A81095">
      <w:r>
        <w:rPr>
          <w:noProof/>
        </w:rPr>
        <w:lastRenderedPageBreak/>
        <w:drawing>
          <wp:inline distT="0" distB="0" distL="0" distR="0" wp14:anchorId="42A7E416" wp14:editId="65021837">
            <wp:extent cx="6035040" cy="538050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2">
                      <a:extLst>
                        <a:ext uri="{28A0092B-C50C-407E-A947-70E740481C1C}">
                          <a14:useLocalDpi xmlns:a14="http://schemas.microsoft.com/office/drawing/2010/main" val="0"/>
                        </a:ext>
                      </a:extLst>
                    </a:blip>
                    <a:srcRect l="997" t="5413" r="4895" b="10684"/>
                    <a:stretch/>
                  </pic:blipFill>
                  <pic:spPr bwMode="auto">
                    <a:xfrm>
                      <a:off x="0" y="0"/>
                      <a:ext cx="6035040" cy="5380507"/>
                    </a:xfrm>
                    <a:prstGeom prst="rect">
                      <a:avLst/>
                    </a:prstGeom>
                    <a:ln>
                      <a:noFill/>
                    </a:ln>
                    <a:extLst>
                      <a:ext uri="{53640926-AAD7-44D8-BBD7-CCE9431645EC}">
                        <a14:shadowObscured xmlns:a14="http://schemas.microsoft.com/office/drawing/2010/main"/>
                      </a:ext>
                    </a:extLst>
                  </pic:spPr>
                </pic:pic>
              </a:graphicData>
            </a:graphic>
          </wp:inline>
        </w:drawing>
      </w:r>
    </w:p>
    <w:p w14:paraId="741B7C45" w14:textId="6C9134F2" w:rsidR="005A2E0B" w:rsidRDefault="00A12CE3">
      <w:r w:rsidRPr="009D2CCB">
        <w:rPr>
          <w:b/>
          <w:bCs/>
        </w:rPr>
        <w:t>Figure S7.</w:t>
      </w:r>
      <w:r>
        <w:t xml:space="preserve"> </w:t>
      </w:r>
      <w:r w:rsidRPr="0071144D">
        <w:rPr>
          <w:i/>
          <w:iCs/>
        </w:rPr>
        <w:t xml:space="preserve">Single Underlying Latent </w:t>
      </w:r>
      <w:r>
        <w:rPr>
          <w:i/>
          <w:iCs/>
        </w:rPr>
        <w:t>Random Intercept and Timepoint-Specific</w:t>
      </w:r>
      <w:r w:rsidRPr="0071144D">
        <w:rPr>
          <w:i/>
          <w:iCs/>
        </w:rPr>
        <w:t xml:space="preserve"> Latent Factor</w:t>
      </w:r>
      <w:r>
        <w:rPr>
          <w:i/>
          <w:iCs/>
        </w:rPr>
        <w:t>s</w:t>
      </w:r>
      <w:r w:rsidRPr="0071144D">
        <w:rPr>
          <w:i/>
          <w:iCs/>
        </w:rPr>
        <w:t>.</w:t>
      </w:r>
      <w:r>
        <w:t xml:space="preserve"> This model is an extension of S2 and S3, assuming a single underlying random intercept (shared variation across constructs and timepoints), with remaining residual variation contributing to timepoint-specific latent factors only (that are correlated). </w:t>
      </w:r>
      <w:r w:rsidR="0098141B" w:rsidRPr="00793026">
        <w:rPr>
          <w:color w:val="000000" w:themeColor="text1"/>
        </w:rPr>
        <w:t xml:space="preserve">HTKS = Head-Toes-Knees Shoulders Task; DNS </w:t>
      </w:r>
      <w:r w:rsidR="0098141B" w:rsidRPr="00793026">
        <w:rPr>
          <w:color w:val="000000" w:themeColor="text1"/>
        </w:rPr>
        <w:lastRenderedPageBreak/>
        <w:t>=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r w:rsidR="005A2E0B">
        <w:br w:type="page"/>
      </w:r>
    </w:p>
    <w:p w14:paraId="4FC06562" w14:textId="5D40BC2F" w:rsidR="00A12CE3" w:rsidRDefault="00A81095">
      <w:r>
        <w:rPr>
          <w:noProof/>
        </w:rPr>
        <w:lastRenderedPageBreak/>
        <w:drawing>
          <wp:inline distT="0" distB="0" distL="0" distR="0" wp14:anchorId="17803B8E" wp14:editId="1AD7BDE1">
            <wp:extent cx="6400800" cy="355406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3">
                      <a:extLst>
                        <a:ext uri="{28A0092B-C50C-407E-A947-70E740481C1C}">
                          <a14:useLocalDpi xmlns:a14="http://schemas.microsoft.com/office/drawing/2010/main" val="0"/>
                        </a:ext>
                      </a:extLst>
                    </a:blip>
                    <a:srcRect l="4417" t="22080" r="3988" b="27062"/>
                    <a:stretch/>
                  </pic:blipFill>
                  <pic:spPr bwMode="auto">
                    <a:xfrm>
                      <a:off x="0" y="0"/>
                      <a:ext cx="6400800" cy="3554064"/>
                    </a:xfrm>
                    <a:prstGeom prst="rect">
                      <a:avLst/>
                    </a:prstGeom>
                    <a:ln>
                      <a:noFill/>
                    </a:ln>
                    <a:extLst>
                      <a:ext uri="{53640926-AAD7-44D8-BBD7-CCE9431645EC}">
                        <a14:shadowObscured xmlns:a14="http://schemas.microsoft.com/office/drawing/2010/main"/>
                      </a:ext>
                    </a:extLst>
                  </pic:spPr>
                </pic:pic>
              </a:graphicData>
            </a:graphic>
          </wp:inline>
        </w:drawing>
      </w:r>
    </w:p>
    <w:p w14:paraId="6D0589F7" w14:textId="6CE53542" w:rsidR="00A12CE3" w:rsidRDefault="00A12CE3" w:rsidP="00A12CE3">
      <w:r w:rsidRPr="009D2CCB">
        <w:rPr>
          <w:b/>
          <w:bCs/>
        </w:rPr>
        <w:t>Figure S8.</w:t>
      </w:r>
      <w:r>
        <w:t xml:space="preserve"> </w:t>
      </w:r>
      <w:r w:rsidRPr="0071144D">
        <w:rPr>
          <w:i/>
          <w:iCs/>
        </w:rPr>
        <w:t xml:space="preserve">Single Underlying Latent </w:t>
      </w:r>
      <w:r>
        <w:rPr>
          <w:i/>
          <w:iCs/>
        </w:rPr>
        <w:t>Random Intercept and Construct-Specific</w:t>
      </w:r>
      <w:r w:rsidRPr="0071144D">
        <w:rPr>
          <w:i/>
          <w:iCs/>
        </w:rPr>
        <w:t xml:space="preserve"> Latent Factor</w:t>
      </w:r>
      <w:r>
        <w:rPr>
          <w:i/>
          <w:iCs/>
        </w:rPr>
        <w:t>s</w:t>
      </w:r>
      <w:r w:rsidRPr="0071144D">
        <w:rPr>
          <w:i/>
          <w:iCs/>
        </w:rPr>
        <w:t>.</w:t>
      </w:r>
      <w:r>
        <w:t xml:space="preserve"> This model is an extension of S2 and S5, assuming a single underlying random intercept (shared variation across constructs and timepoints), with remaining residual variation contributing to construct-specific latent factors only (that are correlated). </w:t>
      </w:r>
      <w:r w:rsidR="0098141B" w:rsidRPr="00793026">
        <w:rPr>
          <w:color w:val="000000" w:themeColor="text1"/>
        </w:rPr>
        <w:t>HTKS = Head-Toes-Knees Shoulders Task; DNS =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p>
    <w:p w14:paraId="62D85196" w14:textId="77777777" w:rsidR="005A2E0B" w:rsidRDefault="005A2E0B">
      <w:r>
        <w:br w:type="page"/>
      </w:r>
    </w:p>
    <w:p w14:paraId="22F6B189" w14:textId="462A8508" w:rsidR="00A12CE3" w:rsidRDefault="00A81095">
      <w:r>
        <w:rPr>
          <w:noProof/>
        </w:rPr>
        <w:lastRenderedPageBreak/>
        <w:drawing>
          <wp:inline distT="0" distB="0" distL="0" distR="0" wp14:anchorId="683E51AE" wp14:editId="0358C132">
            <wp:extent cx="6400800" cy="3566187"/>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4">
                      <a:extLst>
                        <a:ext uri="{28A0092B-C50C-407E-A947-70E740481C1C}">
                          <a14:useLocalDpi xmlns:a14="http://schemas.microsoft.com/office/drawing/2010/main" val="0"/>
                        </a:ext>
                      </a:extLst>
                    </a:blip>
                    <a:srcRect l="4701" t="21652" r="4273" b="27633"/>
                    <a:stretch/>
                  </pic:blipFill>
                  <pic:spPr bwMode="auto">
                    <a:xfrm>
                      <a:off x="0" y="0"/>
                      <a:ext cx="6400800" cy="3566187"/>
                    </a:xfrm>
                    <a:prstGeom prst="rect">
                      <a:avLst/>
                    </a:prstGeom>
                    <a:ln>
                      <a:noFill/>
                    </a:ln>
                    <a:extLst>
                      <a:ext uri="{53640926-AAD7-44D8-BBD7-CCE9431645EC}">
                        <a14:shadowObscured xmlns:a14="http://schemas.microsoft.com/office/drawing/2010/main"/>
                      </a:ext>
                    </a:extLst>
                  </pic:spPr>
                </pic:pic>
              </a:graphicData>
            </a:graphic>
          </wp:inline>
        </w:drawing>
      </w:r>
    </w:p>
    <w:p w14:paraId="2BA759F2" w14:textId="5D90F5AA" w:rsidR="00A12CE3" w:rsidRDefault="00A12CE3" w:rsidP="00A12CE3">
      <w:r w:rsidRPr="009D2CCB">
        <w:rPr>
          <w:b/>
          <w:bCs/>
        </w:rPr>
        <w:t xml:space="preserve">Figure S9. </w:t>
      </w:r>
      <w:r w:rsidRPr="0071144D">
        <w:rPr>
          <w:i/>
          <w:iCs/>
        </w:rPr>
        <w:t xml:space="preserve">Single Underlying Latent </w:t>
      </w:r>
      <w:r>
        <w:rPr>
          <w:i/>
          <w:iCs/>
        </w:rPr>
        <w:t>Random Intercept and Construct- and Timepoint-Specific</w:t>
      </w:r>
      <w:r w:rsidRPr="0071144D">
        <w:rPr>
          <w:i/>
          <w:iCs/>
        </w:rPr>
        <w:t xml:space="preserve"> Latent Factor</w:t>
      </w:r>
      <w:r>
        <w:rPr>
          <w:i/>
          <w:iCs/>
        </w:rPr>
        <w:t>s</w:t>
      </w:r>
      <w:r w:rsidRPr="0071144D">
        <w:rPr>
          <w:i/>
          <w:iCs/>
        </w:rPr>
        <w:t>.</w:t>
      </w:r>
      <w:r>
        <w:t xml:space="preserve"> This model is an extension of S2 and S6, assuming a single underlying random intercept (shared variation across constructs and timepoints), with remaining residual variation contributing to construct- and timepoint-specific latent factors (that are correlated). </w:t>
      </w:r>
      <w:r w:rsidR="0098141B" w:rsidRPr="00793026">
        <w:rPr>
          <w:color w:val="000000" w:themeColor="text1"/>
        </w:rPr>
        <w:t>HTKS = Head-Toes-Knees Shoulders Task; DNS = Day/Night Stroop Task; DCCS = Dimensional Change Card Sort Task; PPVT = Peabody Picture Vocabulary Test-Revised; WJLW</w:t>
      </w:r>
      <w:r w:rsidR="0098141B">
        <w:rPr>
          <w:color w:val="000000" w:themeColor="text1"/>
        </w:rPr>
        <w:t>I</w:t>
      </w:r>
      <w:r w:rsidR="0098141B" w:rsidRPr="00793026">
        <w:rPr>
          <w:color w:val="000000" w:themeColor="text1"/>
        </w:rPr>
        <w:t xml:space="preserve"> = Woodcock-Johnson Letter Word Recognition; GRTR = Get Ready to Read; BRL</w:t>
      </w:r>
      <w:r w:rsidR="0098141B">
        <w:rPr>
          <w:color w:val="000000" w:themeColor="text1"/>
        </w:rPr>
        <w:t>I</w:t>
      </w:r>
      <w:r w:rsidR="0098141B" w:rsidRPr="00793026">
        <w:rPr>
          <w:color w:val="000000" w:themeColor="text1"/>
        </w:rPr>
        <w:t xml:space="preserve"> = Bracken Letter Subtest; WJAP = Woodcock-Johnson Applied Problems; PENS = Preschool Early Numeracy Scale; </w:t>
      </w:r>
      <w:r w:rsidR="0098141B">
        <w:rPr>
          <w:color w:val="000000" w:themeColor="text1"/>
        </w:rPr>
        <w:t>PALM</w:t>
      </w:r>
      <w:r w:rsidR="0098141B" w:rsidRPr="00793026">
        <w:rPr>
          <w:color w:val="000000" w:themeColor="text1"/>
        </w:rPr>
        <w:t xml:space="preserve"> = Math Language Assessment; BRN</w:t>
      </w:r>
      <w:r w:rsidR="0098141B">
        <w:rPr>
          <w:color w:val="000000" w:themeColor="text1"/>
        </w:rPr>
        <w:t>C</w:t>
      </w:r>
      <w:r w:rsidR="0098141B" w:rsidRPr="00793026">
        <w:rPr>
          <w:color w:val="000000" w:themeColor="text1"/>
        </w:rPr>
        <w:t xml:space="preserve"> = Bracken Numeracy Subtest; N</w:t>
      </w:r>
      <w:r w:rsidR="0098141B">
        <w:rPr>
          <w:color w:val="000000" w:themeColor="text1"/>
        </w:rPr>
        <w:t>I</w:t>
      </w:r>
      <w:r w:rsidR="0098141B" w:rsidRPr="00793026">
        <w:rPr>
          <w:color w:val="000000" w:themeColor="text1"/>
        </w:rPr>
        <w:t xml:space="preserve"> = Numeral Identification; CARD = Cardinality</w:t>
      </w:r>
    </w:p>
    <w:p w14:paraId="0897897A" w14:textId="3881D33B" w:rsidR="002C5D22" w:rsidRDefault="002C5D22" w:rsidP="00A12CE3"/>
    <w:p w14:paraId="72CE7176" w14:textId="77777777" w:rsidR="002C5D22" w:rsidRDefault="002C5D22" w:rsidP="00A12CE3">
      <w:pPr>
        <w:sectPr w:rsidR="002C5D22" w:rsidSect="0071144D">
          <w:pgSz w:w="15840" w:h="12240" w:orient="landscape"/>
          <w:pgMar w:top="1440" w:right="1440" w:bottom="1440" w:left="1440" w:header="720" w:footer="720" w:gutter="0"/>
          <w:cols w:space="720"/>
          <w:docGrid w:linePitch="360"/>
        </w:sectPr>
      </w:pPr>
    </w:p>
    <w:p w14:paraId="2CE0A4A1" w14:textId="77777777" w:rsidR="002C5D22" w:rsidRPr="003F09EF" w:rsidRDefault="002C5D22" w:rsidP="002C5D22">
      <w:pPr>
        <w:rPr>
          <w:i/>
          <w:iCs/>
        </w:rPr>
      </w:pPr>
      <w:r>
        <w:rPr>
          <w:b/>
          <w:bCs/>
        </w:rPr>
        <w:lastRenderedPageBreak/>
        <w:t xml:space="preserve">Supplemental Table 1. </w:t>
      </w:r>
      <w:r w:rsidRPr="003F09EF">
        <w:rPr>
          <w:i/>
          <w:iCs/>
        </w:rPr>
        <w:t>Additional Measurement Information</w:t>
      </w:r>
    </w:p>
    <w:p w14:paraId="4118838A" w14:textId="77777777" w:rsidR="002C5D22" w:rsidRPr="003F09EF" w:rsidRDefault="002C5D22" w:rsidP="002C5D2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4"/>
        <w:gridCol w:w="7443"/>
      </w:tblGrid>
      <w:tr w:rsidR="002C5D22" w:rsidRPr="00C26054" w14:paraId="6040C092" w14:textId="77777777" w:rsidTr="00E76C56">
        <w:tc>
          <w:tcPr>
            <w:tcW w:w="5000" w:type="pct"/>
            <w:gridSpan w:val="3"/>
            <w:tcBorders>
              <w:top w:val="single" w:sz="4" w:space="0" w:color="auto"/>
              <w:bottom w:val="single" w:sz="4" w:space="0" w:color="auto"/>
            </w:tcBorders>
            <w:vAlign w:val="center"/>
          </w:tcPr>
          <w:p w14:paraId="647B10CF" w14:textId="77777777" w:rsidR="002C5D22" w:rsidRPr="00C26054" w:rsidRDefault="002C5D22" w:rsidP="00E76C56">
            <w:pPr>
              <w:jc w:val="center"/>
              <w:rPr>
                <w:sz w:val="22"/>
                <w:szCs w:val="22"/>
              </w:rPr>
            </w:pPr>
            <w:r w:rsidRPr="00C26054">
              <w:rPr>
                <w:sz w:val="22"/>
                <w:szCs w:val="22"/>
              </w:rPr>
              <w:t>Executive Function Tasks</w:t>
            </w:r>
          </w:p>
        </w:tc>
      </w:tr>
      <w:tr w:rsidR="0098141B" w:rsidRPr="00C26054" w14:paraId="012FC63F" w14:textId="77777777" w:rsidTr="00E76C56">
        <w:tc>
          <w:tcPr>
            <w:tcW w:w="717" w:type="pct"/>
            <w:tcBorders>
              <w:top w:val="single" w:sz="4" w:space="0" w:color="auto"/>
              <w:bottom w:val="single" w:sz="4" w:space="0" w:color="auto"/>
            </w:tcBorders>
            <w:vAlign w:val="center"/>
          </w:tcPr>
          <w:p w14:paraId="2F28860B" w14:textId="28F61185" w:rsidR="0098141B" w:rsidRPr="0098141B" w:rsidRDefault="0098141B" w:rsidP="0098141B">
            <w:pPr>
              <w:jc w:val="center"/>
              <w:rPr>
                <w:sz w:val="22"/>
                <w:szCs w:val="22"/>
              </w:rPr>
            </w:pPr>
            <w:r w:rsidRPr="0098141B">
              <w:rPr>
                <w:sz w:val="22"/>
                <w:szCs w:val="22"/>
              </w:rPr>
              <w:t>Measure</w:t>
            </w:r>
          </w:p>
        </w:tc>
        <w:tc>
          <w:tcPr>
            <w:tcW w:w="4283" w:type="pct"/>
            <w:gridSpan w:val="2"/>
            <w:tcBorders>
              <w:top w:val="single" w:sz="4" w:space="0" w:color="auto"/>
              <w:bottom w:val="single" w:sz="4" w:space="0" w:color="auto"/>
            </w:tcBorders>
            <w:vAlign w:val="center"/>
          </w:tcPr>
          <w:p w14:paraId="40AB2824" w14:textId="77777777" w:rsidR="0098141B" w:rsidRPr="00C26054" w:rsidRDefault="0098141B" w:rsidP="0098141B">
            <w:pPr>
              <w:jc w:val="center"/>
              <w:rPr>
                <w:sz w:val="22"/>
                <w:szCs w:val="22"/>
              </w:rPr>
            </w:pPr>
            <w:r w:rsidRPr="00C26054">
              <w:rPr>
                <w:sz w:val="22"/>
                <w:szCs w:val="22"/>
              </w:rPr>
              <w:t>Procedures</w:t>
            </w:r>
          </w:p>
        </w:tc>
      </w:tr>
      <w:tr w:rsidR="0098141B" w:rsidRPr="00C26054" w14:paraId="1DBABB0B" w14:textId="77777777" w:rsidTr="00E76C56">
        <w:tc>
          <w:tcPr>
            <w:tcW w:w="717" w:type="pct"/>
            <w:tcBorders>
              <w:top w:val="single" w:sz="4" w:space="0" w:color="auto"/>
              <w:bottom w:val="single" w:sz="4" w:space="0" w:color="auto"/>
            </w:tcBorders>
            <w:vAlign w:val="center"/>
          </w:tcPr>
          <w:p w14:paraId="20D51836" w14:textId="51332D57" w:rsidR="0098141B" w:rsidRPr="0098141B" w:rsidRDefault="0098141B" w:rsidP="0098141B">
            <w:pPr>
              <w:rPr>
                <w:sz w:val="22"/>
                <w:szCs w:val="22"/>
              </w:rPr>
            </w:pPr>
            <w:r w:rsidRPr="0098141B">
              <w:rPr>
                <w:bCs/>
                <w:sz w:val="22"/>
                <w:szCs w:val="22"/>
              </w:rPr>
              <w:t>Head-Toes-Knees-Shoulders</w:t>
            </w:r>
            <w:r w:rsidRPr="0098141B">
              <w:rPr>
                <w:sz w:val="22"/>
                <w:szCs w:val="22"/>
              </w:rPr>
              <w:t xml:space="preserve"> (HTKS; McClelland et al., 2014)</w:t>
            </w:r>
          </w:p>
        </w:tc>
        <w:tc>
          <w:tcPr>
            <w:tcW w:w="4283" w:type="pct"/>
            <w:gridSpan w:val="2"/>
            <w:tcBorders>
              <w:top w:val="single" w:sz="4" w:space="0" w:color="auto"/>
              <w:bottom w:val="single" w:sz="4" w:space="0" w:color="auto"/>
            </w:tcBorders>
          </w:tcPr>
          <w:p w14:paraId="2A0E815F" w14:textId="77777777" w:rsidR="0098141B" w:rsidRPr="00C26054" w:rsidRDefault="0098141B" w:rsidP="0098141B">
            <w:pPr>
              <w:rPr>
                <w:sz w:val="22"/>
                <w:szCs w:val="22"/>
                <w:u w:val="single"/>
              </w:rPr>
            </w:pPr>
            <w:r w:rsidRPr="00C26054">
              <w:rPr>
                <w:sz w:val="22"/>
                <w:szCs w:val="22"/>
                <w:u w:val="single"/>
              </w:rPr>
              <w:t xml:space="preserve">Skills Assessed: </w:t>
            </w:r>
            <w:r w:rsidRPr="00C26054">
              <w:rPr>
                <w:sz w:val="22"/>
                <w:szCs w:val="22"/>
              </w:rPr>
              <w:t>Working memory, inhibitory control, and cognitive flexibility.</w:t>
            </w:r>
          </w:p>
          <w:p w14:paraId="0985EFDF" w14:textId="77777777" w:rsidR="0098141B" w:rsidRPr="00C26054" w:rsidRDefault="0098141B" w:rsidP="0098141B">
            <w:pPr>
              <w:rPr>
                <w:sz w:val="22"/>
                <w:szCs w:val="22"/>
                <w:u w:val="single"/>
              </w:rPr>
            </w:pPr>
            <w:r w:rsidRPr="00C26054">
              <w:rPr>
                <w:sz w:val="22"/>
                <w:szCs w:val="22"/>
                <w:u w:val="single"/>
              </w:rPr>
              <w:t>Task:</w:t>
            </w:r>
            <w:r w:rsidRPr="00C26054">
              <w:rPr>
                <w:sz w:val="22"/>
                <w:szCs w:val="22"/>
              </w:rPr>
              <w:t xml:space="preserve"> </w:t>
            </w:r>
            <w:r w:rsidRPr="00C26054">
              <w:rPr>
                <w:bCs/>
                <w:color w:val="000000" w:themeColor="text1"/>
                <w:sz w:val="22"/>
                <w:szCs w:val="22"/>
              </w:rPr>
              <w:t xml:space="preserve">Children were taught four rules that were presented as pairs (e.g., “touch your head/toes,” “touch your knees/shoulders”). Children were told to do the </w:t>
            </w:r>
            <w:r w:rsidRPr="00C26054">
              <w:rPr>
                <w:bCs/>
                <w:i/>
                <w:iCs/>
                <w:color w:val="000000" w:themeColor="text1"/>
                <w:sz w:val="22"/>
                <w:szCs w:val="22"/>
              </w:rPr>
              <w:t>opposite</w:t>
            </w:r>
            <w:r w:rsidRPr="00C26054">
              <w:rPr>
                <w:bCs/>
                <w:color w:val="000000" w:themeColor="text1"/>
                <w:sz w:val="22"/>
                <w:szCs w:val="22"/>
              </w:rPr>
              <w:t xml:space="preserve"> of what the research assistant said (e.g., touch their toes when the research assistant said, “touch your head”). The testing component included three sections of 10 items (i.e., 30 items total) which become more difficult as children progressed through the task and were required to remember new rules (e.g., touch their shoulders when the research assistant said, “touch your toes”).</w:t>
            </w:r>
          </w:p>
          <w:p w14:paraId="724FEB61" w14:textId="77777777" w:rsidR="0098141B" w:rsidRPr="00C26054" w:rsidRDefault="0098141B" w:rsidP="0098141B">
            <w:pPr>
              <w:rPr>
                <w:bCs/>
                <w:color w:val="000000" w:themeColor="text1"/>
                <w:sz w:val="22"/>
                <w:szCs w:val="22"/>
              </w:rPr>
            </w:pPr>
            <w:r w:rsidRPr="00C26054">
              <w:rPr>
                <w:sz w:val="22"/>
                <w:szCs w:val="22"/>
                <w:u w:val="single"/>
              </w:rPr>
              <w:t>Scoring:</w:t>
            </w:r>
            <w:r w:rsidRPr="00C26054">
              <w:rPr>
                <w:bCs/>
                <w:color w:val="000000" w:themeColor="text1"/>
                <w:sz w:val="22"/>
                <w:szCs w:val="22"/>
              </w:rPr>
              <w:t xml:space="preserve"> Children were awarded 2 points for a correct response, 1 point for self-correcting an incorrect response, and 0 points for an incorrect response. To advance to the next section, children had to score at least 4 points on the preceding section. </w:t>
            </w:r>
          </w:p>
          <w:p w14:paraId="7F05D49E" w14:textId="77777777" w:rsidR="0098141B" w:rsidRPr="00C26054" w:rsidRDefault="0098141B" w:rsidP="0098141B">
            <w:pPr>
              <w:rPr>
                <w:sz w:val="22"/>
                <w:szCs w:val="22"/>
              </w:rPr>
            </w:pPr>
            <w:r w:rsidRPr="00C26054">
              <w:rPr>
                <w:bCs/>
                <w:color w:val="000000" w:themeColor="text1"/>
                <w:sz w:val="22"/>
                <w:szCs w:val="22"/>
                <w:u w:val="single"/>
              </w:rPr>
              <w:t>Psychometric Properties:</w:t>
            </w:r>
            <w:r w:rsidRPr="00C26054">
              <w:rPr>
                <w:bCs/>
                <w:color w:val="000000" w:themeColor="text1"/>
                <w:sz w:val="22"/>
                <w:szCs w:val="22"/>
              </w:rPr>
              <w:t xml:space="preserve"> In our sample, the HTKS demonstrated excellent internal consistency (</w:t>
            </w:r>
            <w:r w:rsidRPr="00C26054">
              <w:rPr>
                <w:rFonts w:ascii="Symbol" w:hAnsi="Symbol"/>
                <w:bCs/>
                <w:color w:val="000000" w:themeColor="text1"/>
                <w:sz w:val="22"/>
                <w:szCs w:val="22"/>
              </w:rPr>
              <w:t>w</w:t>
            </w:r>
            <w:r w:rsidRPr="004A77A1">
              <w:rPr>
                <w:rFonts w:cs="Times New Roman"/>
                <w:bCs/>
                <w:color w:val="000000" w:themeColor="text1"/>
                <w:sz w:val="22"/>
                <w:szCs w:val="22"/>
                <w:vertAlign w:val="subscript"/>
              </w:rPr>
              <w:t>fall</w:t>
            </w:r>
            <w:r w:rsidRPr="004A77A1">
              <w:rPr>
                <w:rFonts w:cs="Times New Roman"/>
                <w:bCs/>
                <w:color w:val="000000" w:themeColor="text1"/>
                <w:sz w:val="22"/>
                <w:szCs w:val="22"/>
              </w:rPr>
              <w:t xml:space="preserve"> = .96;</w:t>
            </w:r>
            <w:r w:rsidRPr="00C26054">
              <w:rPr>
                <w:rFonts w:asciiTheme="minorHAnsi" w:hAnsiTheme="minorHAnsi" w:cstheme="minorHAnsi"/>
                <w:bCs/>
                <w:color w:val="000000" w:themeColor="text1"/>
                <w:sz w:val="22"/>
                <w:szCs w:val="22"/>
              </w:rPr>
              <w:t xml:space="preserve"> </w:t>
            </w:r>
            <w:r w:rsidRPr="00C26054">
              <w:rPr>
                <w:rFonts w:ascii="Symbol" w:hAnsi="Symbol"/>
                <w:bCs/>
                <w:color w:val="000000" w:themeColor="text1"/>
                <w:sz w:val="22"/>
                <w:szCs w:val="22"/>
              </w:rPr>
              <w:t>w</w:t>
            </w:r>
            <w:r w:rsidRPr="004A77A1">
              <w:rPr>
                <w:rFonts w:cs="Times New Roman"/>
                <w:bCs/>
                <w:color w:val="000000" w:themeColor="text1"/>
                <w:sz w:val="22"/>
                <w:szCs w:val="22"/>
                <w:vertAlign w:val="subscript"/>
              </w:rPr>
              <w:t>spring</w:t>
            </w:r>
            <w:r w:rsidRPr="00C26054">
              <w:rPr>
                <w:rFonts w:asciiTheme="minorHAnsi" w:hAnsiTheme="minorHAnsi" w:cstheme="minorHAnsi"/>
                <w:bCs/>
                <w:color w:val="000000" w:themeColor="text1"/>
                <w:sz w:val="22"/>
                <w:szCs w:val="22"/>
              </w:rPr>
              <w:t xml:space="preserve"> = .</w:t>
            </w:r>
            <w:r w:rsidRPr="00C26054">
              <w:rPr>
                <w:rFonts w:cs="Times New Roman"/>
                <w:bCs/>
                <w:color w:val="000000" w:themeColor="text1"/>
                <w:sz w:val="22"/>
                <w:szCs w:val="22"/>
              </w:rPr>
              <w:t>97).</w:t>
            </w:r>
          </w:p>
        </w:tc>
      </w:tr>
      <w:tr w:rsidR="0098141B" w:rsidRPr="00C26054" w14:paraId="2767F570" w14:textId="77777777" w:rsidTr="00E76C56">
        <w:trPr>
          <w:trHeight w:val="2016"/>
        </w:trPr>
        <w:tc>
          <w:tcPr>
            <w:tcW w:w="717" w:type="pct"/>
            <w:tcBorders>
              <w:top w:val="single" w:sz="4" w:space="0" w:color="auto"/>
              <w:bottom w:val="single" w:sz="4" w:space="0" w:color="auto"/>
            </w:tcBorders>
            <w:vAlign w:val="center"/>
          </w:tcPr>
          <w:p w14:paraId="4D19AEE2" w14:textId="6745AE19" w:rsidR="0098141B" w:rsidRPr="0098141B" w:rsidRDefault="0098141B" w:rsidP="0098141B">
            <w:pPr>
              <w:rPr>
                <w:sz w:val="22"/>
                <w:szCs w:val="22"/>
              </w:rPr>
            </w:pPr>
            <w:r w:rsidRPr="0098141B">
              <w:rPr>
                <w:bCs/>
                <w:sz w:val="22"/>
                <w:szCs w:val="22"/>
              </w:rPr>
              <w:t>Day/Night Stroop</w:t>
            </w:r>
            <w:r w:rsidRPr="0098141B">
              <w:rPr>
                <w:bCs/>
                <w:color w:val="000000" w:themeColor="text1"/>
                <w:sz w:val="22"/>
                <w:szCs w:val="22"/>
              </w:rPr>
              <w:t xml:space="preserve"> (DNS;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{"citationItems":[{"id":"ITEM-1","itemData":{"DOI":"10.1016/0010-0277(94)90068-X","ISSN":"00100277","abstract":"One hundred and sixty children 3 1 2-7 years of age (10M, 10F at each 6-month interval) were tested on a task that requires inhibitory control of action plus learning and remembering two rules. They were asked to say \"day\" whenever a black card with the moon and stars appeared and to say \"night\" when shown a white card with a bright sun. Children &lt;5 years had great difficulty. They started out performing well, but could not sustain this over the course of the 16-trial session. Response latency decreased from 3 1 2 to 4 1 2 years. Children &lt;4 1 2 years performed well when they took very long to respond. To test whether the requirement to learn and remember two rules alone was sufficient to cause children difficulty, 80 children 3 1 2-5 years old were tested on a control version of the task (\"say 'day' to one abstract design and 'night' to another\"). Even the youngest children performed at a high level. We conclude that the requirement to learn and remember two rules is not in itself sufficient to account for the poor performance of the younger children in the experimental condition. © 1994.","author":[{"dropping-particle":"","family":"Gerstadt","given":"Cherie L.","non-dropping-particle":"","parse-names":false,"suffix":""},{"dropping-particle":"","family":"Hong","given":"Yoon Joo","non-dropping-particle":"","parse-names":false,"suffix":""},{"dropping-particle":"","family":"Diamond","given":"Adele","non-dropping-particle":"","parse-names":false,"suffix":""}],"container-title":"Cognition","id":"ITEM-1","issue":"2","issued":{"date-parts":[["1994","11"]]},"page":"129-153","title":"The relationship between cognition and action: performance of children 3.5-7 years old on a stroop-like day-night test","type":"article-journal","volume":"53"},"uris":["http://www.mendeley.com/documents/?uuid=6b0bfaf1-cfd9-4aaf-8c8b-c260d7e793ae"]}],"mendeley":{"formattedCitation":"(Gerstadt et al., 1994)","manualFormatting":"(DNS; Gerstadt et al., 1994)","plainTextFormattedCitation":"(Gerstadt et al., 1994)","previouslyFormattedCitation":"(Gerstadt et al., 1994)"},"properties":{"noteIndex":0},"schema":"https://github.com/citation-style-language/schema/raw/master/csl-citation.json"}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Gerstadt et al., 1994)</w:t>
            </w:r>
            <w:r w:rsidRPr="0098141B">
              <w:rPr>
                <w:bCs/>
                <w:color w:val="000000" w:themeColor="text1"/>
                <w:sz w:val="22"/>
                <w:szCs w:val="22"/>
              </w:rPr>
              <w:fldChar w:fldCharType="end"/>
            </w:r>
          </w:p>
        </w:tc>
        <w:tc>
          <w:tcPr>
            <w:tcW w:w="4283" w:type="pct"/>
            <w:gridSpan w:val="2"/>
            <w:tcBorders>
              <w:top w:val="single" w:sz="4" w:space="0" w:color="auto"/>
              <w:bottom w:val="single" w:sz="4" w:space="0" w:color="auto"/>
            </w:tcBorders>
          </w:tcPr>
          <w:p w14:paraId="6D56E70B" w14:textId="77777777" w:rsidR="0098141B" w:rsidRPr="00C26054" w:rsidRDefault="0098141B" w:rsidP="0098141B">
            <w:pPr>
              <w:rPr>
                <w:sz w:val="22"/>
                <w:szCs w:val="22"/>
                <w:u w:val="single"/>
              </w:rPr>
            </w:pPr>
            <w:r w:rsidRPr="00282360">
              <w:rPr>
                <w:sz w:val="22"/>
                <w:szCs w:val="22"/>
                <w:u w:val="single"/>
              </w:rPr>
              <w:t>Skills Assessed</w:t>
            </w:r>
            <w:r w:rsidRPr="00C26054">
              <w:rPr>
                <w:sz w:val="22"/>
                <w:szCs w:val="22"/>
              </w:rPr>
              <w:t>: Inhibitory control.</w:t>
            </w:r>
          </w:p>
          <w:p w14:paraId="39EA941F" w14:textId="77777777" w:rsidR="0098141B" w:rsidRPr="00C26054" w:rsidRDefault="0098141B" w:rsidP="0098141B">
            <w:pPr>
              <w:rPr>
                <w:bCs/>
                <w:color w:val="000000" w:themeColor="text1"/>
                <w:sz w:val="22"/>
                <w:szCs w:val="22"/>
              </w:rPr>
            </w:pPr>
            <w:r w:rsidRPr="00C26054">
              <w:rPr>
                <w:sz w:val="22"/>
                <w:szCs w:val="22"/>
                <w:u w:val="single"/>
              </w:rPr>
              <w:t>Task:</w:t>
            </w:r>
            <w:r w:rsidRPr="00C26054">
              <w:rPr>
                <w:bCs/>
                <w:color w:val="000000" w:themeColor="text1"/>
                <w:sz w:val="22"/>
                <w:szCs w:val="22"/>
              </w:rPr>
              <w:t xml:space="preserve"> Children were shown a set of 16 cards that each had a drawing of a sun (“day”) or a moon (“night”) on them. During this task, children were shown one card at a time and had to say the </w:t>
            </w:r>
            <w:r w:rsidRPr="00C26054">
              <w:rPr>
                <w:bCs/>
                <w:i/>
                <w:iCs/>
                <w:color w:val="000000" w:themeColor="text1"/>
                <w:sz w:val="22"/>
                <w:szCs w:val="22"/>
              </w:rPr>
              <w:t>opposite</w:t>
            </w:r>
            <w:r w:rsidRPr="00C26054">
              <w:rPr>
                <w:bCs/>
                <w:color w:val="000000" w:themeColor="text1"/>
                <w:sz w:val="22"/>
                <w:szCs w:val="22"/>
              </w:rPr>
              <w:t xml:space="preserve"> time of day that was represented by the card (i.e., say “night” when shown a picture of the sun; say “day” when shown a picture of the moon).</w:t>
            </w:r>
          </w:p>
          <w:p w14:paraId="77413E4D" w14:textId="77777777" w:rsidR="0098141B" w:rsidRPr="00C26054" w:rsidRDefault="0098141B" w:rsidP="0098141B">
            <w:pPr>
              <w:rPr>
                <w:bCs/>
                <w:iCs/>
                <w:color w:val="000000" w:themeColor="text1"/>
                <w:sz w:val="22"/>
                <w:szCs w:val="22"/>
              </w:rPr>
            </w:pPr>
            <w:r w:rsidRPr="00C26054">
              <w:rPr>
                <w:bCs/>
                <w:iCs/>
                <w:color w:val="000000" w:themeColor="text1"/>
                <w:sz w:val="22"/>
                <w:szCs w:val="22"/>
                <w:u w:val="single"/>
              </w:rPr>
              <w:t>Scoring:</w:t>
            </w:r>
            <w:r w:rsidRPr="00C26054">
              <w:rPr>
                <w:bCs/>
                <w:iCs/>
                <w:color w:val="000000" w:themeColor="text1"/>
                <w:sz w:val="22"/>
                <w:szCs w:val="22"/>
              </w:rPr>
              <w:t xml:space="preserve"> Children were awarded 2 points for every correct answer, 1 point for answers that were self-corrected or similar to the correct answer (e.g., saying “sun” instead of “day”), and 0 points for incorrect responses.</w:t>
            </w:r>
          </w:p>
          <w:p w14:paraId="1D001665" w14:textId="77777777" w:rsidR="0098141B" w:rsidRPr="004B4C82" w:rsidRDefault="0098141B" w:rsidP="0098141B">
            <w:pPr>
              <w:rPr>
                <w:bCs/>
                <w:iCs/>
                <w:color w:val="000000" w:themeColor="text1"/>
                <w:sz w:val="22"/>
                <w:szCs w:val="22"/>
              </w:rPr>
            </w:pPr>
            <w:r w:rsidRPr="00C26054">
              <w:rPr>
                <w:sz w:val="22"/>
                <w:szCs w:val="22"/>
                <w:u w:val="single"/>
              </w:rPr>
              <w:t>Psychometric Properties:</w:t>
            </w:r>
            <w:r w:rsidRPr="00C26054">
              <w:rPr>
                <w:sz w:val="22"/>
                <w:szCs w:val="22"/>
              </w:rPr>
              <w:t xml:space="preserve"> </w:t>
            </w:r>
            <w:r w:rsidRPr="00C26054">
              <w:rPr>
                <w:bCs/>
                <w:color w:val="000000" w:themeColor="text1"/>
                <w:sz w:val="22"/>
                <w:szCs w:val="22"/>
              </w:rPr>
              <w:t xml:space="preserve">The DNS has demonstrated strong internal consistency when used with </w:t>
            </w:r>
            <w:r>
              <w:rPr>
                <w:bCs/>
                <w:color w:val="000000" w:themeColor="text1"/>
                <w:sz w:val="22"/>
                <w:szCs w:val="22"/>
              </w:rPr>
              <w:t>preschoolers</w:t>
            </w:r>
            <w:r w:rsidRPr="00C26054">
              <w:rPr>
                <w:bCs/>
                <w:color w:val="000000" w:themeColor="text1"/>
                <w:sz w:val="22"/>
                <w:szCs w:val="22"/>
              </w:rPr>
              <w:t xml:space="preserve"> </w:t>
            </w:r>
            <w:r w:rsidRPr="00C26054">
              <w:rPr>
                <w:bCs/>
                <w:color w:val="000000" w:themeColor="text1"/>
                <w:sz w:val="22"/>
                <w:szCs w:val="22"/>
              </w:rPr>
              <w:fldChar w:fldCharType="begin" w:fldLock="1"/>
            </w:r>
            <w:r w:rsidRPr="00C26054">
              <w:rPr>
                <w:bCs/>
                <w:color w:val="000000" w:themeColor="text1"/>
                <w:sz w:val="22"/>
                <w:szCs w:val="22"/>
              </w:rPr>
              <w:instrText>ADDIN CSL_CITATION {"citationItems":[{"id":"ITEM-1","itemData":{"DOI":"10.1016/0010-0277(94)90068-X","ISSN":"00100277","abstract":"One hundred and sixty children 3 1 2-7 years of age (10M, 10F at each 6-month interval) were tested on a task that requires inhibitory control of action plus learning and remembering two rules. They were asked to say \"day\" whenever a black card with the moon and stars appeared and to say \"night\" when shown a white card with a bright sun. Children &lt;5 years had great difficulty. They started out performing well, but could not sustain this over the course of the 16-trial session. Response latency decreased from 3 1 2 to 4 1 2 years. Children &lt;4 1 2 years performed well when they took very long to respond. To test whether the requirement to learn and remember two rules alone was sufficient to cause children difficulty, 80 children 3 1 2-5 years old were tested on a control version of the task (\"say 'day' to one abstract design and 'night' to another\"). Even the youngest children performed at a high level. We conclude that the requirement to learn and remember two rules is not in itself sufficient to account for the poor performance of the younger children in the experimental condition. © 1994.","author":[{"dropping-particle":"","family":"Gerstadt","given":"Cherie L.","non-dropping-particle":"","parse-names":false,"suffix":""},{"dropping-particle":"","family":"Hong","given":"Yoon Joo","non-dropping-particle":"","parse-names":false,"suffix":""},{"dropping-particle":"","family":"Diamond","given":"Adele","non-dropping-particle":"","parse-names":false,"suffix":""}],"container-title":"Cognition","id":"ITEM-1","issue":"2","issued":{"date-parts":[["1994","11"]]},"page":"129-153","title":"The relationship between cognition and action: performance of children 3.5-7 years old on a stroop-like day-night test","type":"article-journal","volume":"53"},"uris":["http://www.mendeley.com/documents/?uuid=6b0bfaf1-cfd9-4aaf-8c8b-c260d7e793ae"]},{"id":"ITEM-2","itemData":{"DOI":"10.3389/fpsyg.2014.00599","ISSN":"1664-1078","abstract":"Children's behavioral self-regulation and executive function (EF; including attentional or cognitive flexibility, working memory, and inhibitory control) are strong predictors of academic achievement. The present study examined the psychometric properties of a measure of behavioral self-regulation called the Head-Toes-Knees-Shoulders (HTKS) by assessing construct validity, including relations to EF measures, and predictive validity to academic achievement growth between prekindergarten and kindergarten. In the fall and spring of prekindergarten and kindergarten, 208 children (51% enrolled in Head Start) were assessed on the HTKS, measures of cognitive flexibility, working memory (WM), and inhibitory control, and measures of emergent literacy, mathematics, and vocabulary. For construct validity, the HTKS was significantly related to cognitive flexibility, working memory, and inhibitory control in prekindergarten and kindergarten. For predictive validity in prekindergarten, a random effects model indicated that the HTKS significantly predicted growth in mathematics, whereas a cognitive flexibility task significantly predicted growth in mathematics and vocabulary. In kindergarten, the HTKS was the only measure to significantly predict growth in all academic outcomes. An alternative conservative analytical approach, a fixed effects analysis (FEA) model, also indicated that growth in both the HTKS and measures of EF significantly predicted growth in mathematics over four time points between prekindergarten and kindergarten. Results demonstrate that the HTKS involves cognitive flexibility, working memory, and inhibitory control, and is substantively implicated in early achievement, with the strongest relations found for growth in achievement during kindergarten and associations with emergent mathematics. © 2014 McClelland, Cameron, Duncan, Bowles, Acock, Miao and Pratt.","author":[{"dropping-particle":"","family":"McClelland","given":"Megan M.","non-dropping-particle":"","parse-names":false,"suffix":""},{"dropping-particle":"","family":"Cameron","given":"Claire E.","non-dropping-particle":"","parse-names":false,"suffix":""},{"dropping-particle":"","family":"Duncan","given":"R.J.","non-dropping-particle":"","parse-names":false,"suffix":""},{"dropping-particle":"","family":"Bowles","given":"Ryan P.","non-dropping-particle":"","parse-names":false,"suffix":""},{"dropping-particle":"","family":"Acock","given":"Alan C.","non-dropping-particle":"","parse-names":false,"suffix":""},{"dropping-particle":"","family":"Miao","given":"Alicia","non-dropping-particle":"","parse-names":false,"suffix":""},{"dropping-particle":"","family":"Pratt","given":"Megan E.","non-dropping-particle":"","parse-names":false,"suffix":""}],"container-title":"Frontiers in Psychology","id":"ITEM-2","issue":"599","issued":{"date-parts":[["2014","6","17"]]},"title":"Predictors of early growth in academic achievement: The head-toes-knees-shoulders task","type":"article-journal","volume":"5"},"uris":["http://www.mendeley.com/documents/?uuid=2eda5751-723f-44aa-9d63-6699c0e49cad"]},{"id":"ITEM-3","itemData":{"DOI":"10.1016/j.jecp.2018.12.005","ISSN":"00220965","abstract":"The primary aim of the current study was to identify the predictive relations of both vocabulary and mathematical language to executive functioning (EF) development using a sample of 558 preschool children (Mage = 57.75 months, SD = 3.71). Monthly family income ranged from $0 to $5539 (M = $1508.18, SD = $892.92). Among the sample, 44% of the children were African American, 32% were Caucasian, 12% were Hispanic, 11% were multiracial, and 1% were Asian. Although the primary study goal was to examine the extent to which language predicted EF development, a secondary aim was to explore whether EF also predicted vocabulary and mathematical language development. Regression analyses accounting for classroom-level variance and key covariates revealed that vocabulary was a significant predictor of EF at the end of preschool after accounting for fall EF. When mathematical language was added into the models, it was a significant predictor of EF, but vocabulary was no longer significant. Furthermore, EF predicted vocabulary and mathematical language. These findings suggest that young children's mathematical language skills are related to the acquisition of higher levels of EF during the preschool year and that there may be bidirectional associations between EF and mathematical language in preschool. Implications for future research are discussed.","author":[{"dropping-particle":"","family":"Schmitt","given":"S. A.","non-dropping-particle":"","parse-names":false,"suffix":""},{"dropping-particle":"","family":"Purpura","given":"D. J.","non-dropping-particle":"","parse-names":false,"suffix":""},{"dropping-particle":"","family":"Elicker","given":"J.","non-dropping-particle":"","parse-names":false,"suffix":""}],"container-title":"Journal of Experimental Child Psychology","id":"ITEM-3","issued":{"date-parts":[["2019","4"]]},"page":"55-68","title":"Predictive links among vocabulary, mathematical language, and executive functioning in preschoolers","type":"article-journal","volume":"180"},"uris":["http://www.mendeley.com/documents/?uuid=68a5786d-ffd6-4209-8a88-3697736f7ec2"]}],"mendeley":{"formattedCitation":"(Gerstadt et al., 1994; McClelland et al., 2014; Schmitt, Purpura, et al., 2019)","manualFormatting":"(e.g., Gerstadt et al., 1994; McClelland et al., 2014; Schmitt, Purpura, et al., 2019)","plainTextFormattedCitation":"(Gerstadt et al., 1994; McClelland et al., 2014; Schmitt, Purpura, et al., 2019)","previouslyFormattedCitation":"(Gerstadt et al., 1994; McClelland et al., 2014; Schmitt, Purpura, et al., 2019)"},"properties":{"noteIndex":0},"schema":"https://github.com/citation-style-language/schema/raw/master/csl-citation.json"}</w:instrText>
            </w:r>
            <w:r w:rsidRPr="00C26054">
              <w:rPr>
                <w:bCs/>
                <w:color w:val="000000" w:themeColor="text1"/>
                <w:sz w:val="22"/>
                <w:szCs w:val="22"/>
              </w:rPr>
              <w:fldChar w:fldCharType="separate"/>
            </w:r>
            <w:r w:rsidRPr="00C26054">
              <w:rPr>
                <w:bCs/>
                <w:noProof/>
                <w:color w:val="000000" w:themeColor="text1"/>
                <w:sz w:val="22"/>
                <w:szCs w:val="22"/>
              </w:rPr>
              <w:t>(e.g., Gerstadt et al., 1994; McClelland et al., 2014; Schmitt, Purpura, et al., 2019)</w:t>
            </w:r>
            <w:r w:rsidRPr="00C26054">
              <w:rPr>
                <w:bCs/>
                <w:color w:val="000000" w:themeColor="text1"/>
                <w:sz w:val="22"/>
                <w:szCs w:val="22"/>
              </w:rPr>
              <w:fldChar w:fldCharType="end"/>
            </w:r>
            <w:r w:rsidRPr="00C26054">
              <w:rPr>
                <w:bCs/>
                <w:color w:val="000000" w:themeColor="text1"/>
                <w:sz w:val="22"/>
                <w:szCs w:val="22"/>
              </w:rPr>
              <w:t>, including in the current sample (</w:t>
            </w:r>
            <w:r w:rsidRPr="00C26054">
              <w:rPr>
                <w:rFonts w:ascii="Symbol" w:hAnsi="Symbol"/>
                <w:bCs/>
                <w:color w:val="000000" w:themeColor="text1"/>
                <w:sz w:val="22"/>
                <w:szCs w:val="22"/>
              </w:rPr>
              <w:t>w</w:t>
            </w:r>
            <w:r w:rsidRPr="00C26054">
              <w:rPr>
                <w:rFonts w:asciiTheme="minorHAnsi" w:hAnsiTheme="minorHAnsi" w:cstheme="minorHAnsi"/>
                <w:bCs/>
                <w:color w:val="000000" w:themeColor="text1"/>
                <w:sz w:val="22"/>
                <w:szCs w:val="22"/>
                <w:vertAlign w:val="subscript"/>
              </w:rPr>
              <w:t>fall</w:t>
            </w:r>
            <w:r w:rsidRPr="00C26054">
              <w:rPr>
                <w:rFonts w:asciiTheme="minorHAnsi" w:hAnsiTheme="minorHAnsi" w:cstheme="minorHAnsi"/>
                <w:bCs/>
                <w:color w:val="000000" w:themeColor="text1"/>
                <w:sz w:val="22"/>
                <w:szCs w:val="22"/>
              </w:rPr>
              <w:t xml:space="preserve"> = .</w:t>
            </w:r>
            <w:r w:rsidRPr="00C26054">
              <w:rPr>
                <w:rFonts w:cs="Times New Roman"/>
                <w:bCs/>
                <w:color w:val="000000" w:themeColor="text1"/>
                <w:sz w:val="22"/>
                <w:szCs w:val="22"/>
              </w:rPr>
              <w:t>92</w:t>
            </w:r>
            <w:r w:rsidRPr="00C26054">
              <w:rPr>
                <w:rFonts w:asciiTheme="minorHAnsi" w:hAnsiTheme="minorHAnsi" w:cstheme="minorHAnsi"/>
                <w:bCs/>
                <w:color w:val="000000" w:themeColor="text1"/>
                <w:sz w:val="22"/>
                <w:szCs w:val="22"/>
              </w:rPr>
              <w:t xml:space="preserve">; </w:t>
            </w:r>
            <w:r w:rsidRPr="00C26054">
              <w:rPr>
                <w:rFonts w:ascii="Symbol" w:hAnsi="Symbol"/>
                <w:bCs/>
                <w:color w:val="000000" w:themeColor="text1"/>
                <w:sz w:val="22"/>
                <w:szCs w:val="22"/>
              </w:rPr>
              <w:t>w</w:t>
            </w:r>
            <w:r w:rsidRPr="00C26054">
              <w:rPr>
                <w:rFonts w:asciiTheme="minorHAnsi" w:hAnsiTheme="minorHAnsi" w:cstheme="minorHAnsi"/>
                <w:bCs/>
                <w:color w:val="000000" w:themeColor="text1"/>
                <w:sz w:val="22"/>
                <w:szCs w:val="22"/>
                <w:vertAlign w:val="subscript"/>
              </w:rPr>
              <w:t>spring</w:t>
            </w:r>
            <w:r w:rsidRPr="00C26054">
              <w:rPr>
                <w:rFonts w:asciiTheme="minorHAnsi" w:hAnsiTheme="minorHAnsi" w:cstheme="minorHAnsi"/>
                <w:bCs/>
                <w:color w:val="000000" w:themeColor="text1"/>
                <w:sz w:val="22"/>
                <w:szCs w:val="22"/>
              </w:rPr>
              <w:t xml:space="preserve"> = .</w:t>
            </w:r>
            <w:r w:rsidRPr="00C26054">
              <w:rPr>
                <w:rFonts w:cs="Times New Roman"/>
                <w:bCs/>
                <w:color w:val="000000" w:themeColor="text1"/>
                <w:sz w:val="22"/>
                <w:szCs w:val="22"/>
              </w:rPr>
              <w:t>91).</w:t>
            </w:r>
          </w:p>
        </w:tc>
      </w:tr>
      <w:tr w:rsidR="0098141B" w:rsidRPr="00C26054" w14:paraId="57ADF506" w14:textId="77777777" w:rsidTr="00E76C56">
        <w:tc>
          <w:tcPr>
            <w:tcW w:w="717" w:type="pct"/>
            <w:tcBorders>
              <w:top w:val="single" w:sz="4" w:space="0" w:color="auto"/>
              <w:bottom w:val="single" w:sz="4" w:space="0" w:color="auto"/>
            </w:tcBorders>
            <w:vAlign w:val="center"/>
          </w:tcPr>
          <w:p w14:paraId="5A3F8DDF" w14:textId="406BBFFA" w:rsidR="0098141B" w:rsidRPr="0098141B" w:rsidRDefault="0098141B" w:rsidP="0098141B">
            <w:pPr>
              <w:rPr>
                <w:sz w:val="22"/>
                <w:szCs w:val="22"/>
              </w:rPr>
            </w:pPr>
            <w:r w:rsidRPr="0098141B">
              <w:rPr>
                <w:bCs/>
                <w:sz w:val="22"/>
                <w:szCs w:val="22"/>
              </w:rPr>
              <w:t>Dimensional Change Card Sort* (</w:t>
            </w:r>
            <w:r w:rsidRPr="0098141B">
              <w:rPr>
                <w:bCs/>
                <w:color w:val="000000" w:themeColor="text1"/>
                <w:sz w:val="22"/>
                <w:szCs w:val="22"/>
              </w:rPr>
              <w:t xml:space="preserve">DCCS;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{"citationItems":[{"id":"ITEM-1","itemData":{"DOI":"10.1038/nprot.2006.46","ISSN":"1754-2189","abstract":"The dimensional change card sort (DCCS) is an easily administered and widely used measure of executive function that is suitable for use with participants across a wide range of ages. In the standard version, children are required to sort a series of bivalent test cards, first according to one dimension (e.g., color), and then according to the other (e.g., shape). Most 3-year-olds perseverate during the post-switch phase, exhibiting a pattern of inflexibility similar to that seen in patients with prefrontal cortical damage. By 5 years of age, most children switch when instructed to do so. Performance on the DCCS provides an index of the development of executive function, and it is impaired in children with disorders such as attention-deficit/ hyperactivity disorder (ADHD) and autism. We describe the protocol for the standard version (duration = 5 min) and the more challenging border version (duration = 5 min), which may be used with children as old as 7 years.","author":[{"dropping-particle":"","family":"Zelazo","given":"Philip David","non-dropping-particle":"","parse-names":false,"suffix":""}],"container-title":"Nature Protocols","id":"ITEM-1","issue":"1","issued":{"date-parts":[["2006","6","27"]]},"page":"297-301","title":"The Dimensional Change Card Sort (DCCS): A method of assessing executive function in children","type":"article-journal","volume":"1"},"uris":["http://www.mendeley.com/documents/?uuid=f1325fbf-b79e-4ee2-96a1-e74aa9f3febf"]}],"mendeley":{"formattedCitation":"(Zelazo, 2006)","manualFormatting":"(DCCS; Zelazo, 2006)","plainTextFormattedCitation":"(Zelazo, 2006)","previouslyFormattedCitation":"(Zelazo, 2006)"},"properties":{"noteIndex":0},"schema":"https://github.com/citation-style-language/schema/raw/master/csl-citation.json"}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 xml:space="preserve"> Zelazo, 2006)</w:t>
            </w:r>
            <w:r w:rsidRPr="0098141B">
              <w:rPr>
                <w:bCs/>
                <w:color w:val="000000" w:themeColor="text1"/>
                <w:sz w:val="22"/>
                <w:szCs w:val="22"/>
              </w:rPr>
              <w:fldChar w:fldCharType="end"/>
            </w:r>
          </w:p>
        </w:tc>
        <w:tc>
          <w:tcPr>
            <w:tcW w:w="4283" w:type="pct"/>
            <w:gridSpan w:val="2"/>
            <w:tcBorders>
              <w:top w:val="single" w:sz="4" w:space="0" w:color="auto"/>
              <w:bottom w:val="single" w:sz="4" w:space="0" w:color="auto"/>
            </w:tcBorders>
          </w:tcPr>
          <w:p w14:paraId="53328917" w14:textId="77777777" w:rsidR="0098141B" w:rsidRPr="00C26054" w:rsidRDefault="0098141B" w:rsidP="0098141B">
            <w:pPr>
              <w:rPr>
                <w:sz w:val="22"/>
                <w:szCs w:val="22"/>
              </w:rPr>
            </w:pPr>
            <w:r w:rsidRPr="00C26054">
              <w:rPr>
                <w:bCs/>
                <w:color w:val="000000" w:themeColor="text1"/>
                <w:sz w:val="22"/>
                <w:szCs w:val="22"/>
                <w:u w:val="single"/>
              </w:rPr>
              <w:t>Skills Assessed:</w:t>
            </w:r>
            <w:r w:rsidRPr="00C26054">
              <w:rPr>
                <w:bCs/>
                <w:color w:val="000000" w:themeColor="text1"/>
                <w:sz w:val="22"/>
                <w:szCs w:val="22"/>
              </w:rPr>
              <w:t xml:space="preserve"> </w:t>
            </w:r>
            <w:r w:rsidRPr="00C26054">
              <w:rPr>
                <w:sz w:val="22"/>
                <w:szCs w:val="22"/>
              </w:rPr>
              <w:t>Cognitive flexibility.</w:t>
            </w:r>
          </w:p>
          <w:p w14:paraId="54C21278" w14:textId="77777777" w:rsidR="0098141B" w:rsidRPr="00C26054" w:rsidRDefault="0098141B" w:rsidP="0098141B">
            <w:pPr>
              <w:rPr>
                <w:bCs/>
                <w:color w:val="000000" w:themeColor="text1"/>
                <w:sz w:val="22"/>
                <w:szCs w:val="22"/>
              </w:rPr>
            </w:pPr>
            <w:r w:rsidRPr="00C26054">
              <w:rPr>
                <w:bCs/>
                <w:color w:val="000000" w:themeColor="text1"/>
                <w:sz w:val="22"/>
                <w:szCs w:val="22"/>
                <w:u w:val="single"/>
              </w:rPr>
              <w:t>Task</w:t>
            </w:r>
            <w:r>
              <w:rPr>
                <w:bCs/>
                <w:color w:val="000000" w:themeColor="text1"/>
                <w:sz w:val="22"/>
                <w:szCs w:val="22"/>
                <w:u w:val="single"/>
              </w:rPr>
              <w:t>:</w:t>
            </w:r>
            <w:r w:rsidRPr="00C26054">
              <w:rPr>
                <w:bCs/>
                <w:color w:val="000000" w:themeColor="text1"/>
                <w:sz w:val="22"/>
                <w:szCs w:val="22"/>
              </w:rPr>
              <w:t xml:space="preserve"> Children were presented with four boxes with unique pictures (a big blue dog, a small yellow bird, a medium-sized red fish, and a frog [a “distraction’ box]) attached to them and were asked to place cards into the box that corresponds with the research assistant’s instructions. The task included four phases that require children to sort 6 cards based on specific dimensions. First, children were asked to sort cards based on their shape (e.g., a card with a dog on it would be placed in the box with the picture of the dog, regardless of its size and color). Second, children had to arrange cards according to their color (e.g., a card with a red dog would be placed in the box with a red animal on it, regardless of the shape or size of the picture on the box). Third, children arranged the cards into corresponding boxes based on size (e.g., a card with a large animal on it would be placed in the box with a large animal, regardless of the shape or color of the picture on the card). If children correctly sorted at least 5 of the 6 cards during the size phase, they moved on to the f</w:t>
            </w:r>
            <w:r>
              <w:rPr>
                <w:bCs/>
                <w:color w:val="000000" w:themeColor="text1"/>
                <w:sz w:val="22"/>
                <w:szCs w:val="22"/>
              </w:rPr>
              <w:t>ourth</w:t>
            </w:r>
            <w:r w:rsidRPr="00C26054">
              <w:rPr>
                <w:bCs/>
                <w:color w:val="000000" w:themeColor="text1"/>
                <w:sz w:val="22"/>
                <w:szCs w:val="22"/>
              </w:rPr>
              <w:t xml:space="preserve"> phase of the task which required children to sort according to previous dimension</w:t>
            </w:r>
            <w:r>
              <w:rPr>
                <w:bCs/>
                <w:color w:val="000000" w:themeColor="text1"/>
                <w:sz w:val="22"/>
                <w:szCs w:val="22"/>
              </w:rPr>
              <w:t>s</w:t>
            </w:r>
            <w:r w:rsidRPr="00C26054">
              <w:rPr>
                <w:bCs/>
                <w:color w:val="000000" w:themeColor="text1"/>
                <w:sz w:val="22"/>
                <w:szCs w:val="22"/>
              </w:rPr>
              <w:t xml:space="preserve"> based on the presence or absence of a border on the card.</w:t>
            </w:r>
          </w:p>
          <w:p w14:paraId="344B5AA3" w14:textId="77777777" w:rsidR="0098141B" w:rsidRDefault="0098141B" w:rsidP="0098141B">
            <w:pPr>
              <w:rPr>
                <w:bCs/>
                <w:color w:val="000000" w:themeColor="text1"/>
                <w:sz w:val="22"/>
                <w:szCs w:val="22"/>
              </w:rPr>
            </w:pPr>
            <w:r w:rsidRPr="00C26054">
              <w:rPr>
                <w:bCs/>
                <w:color w:val="000000" w:themeColor="text1"/>
                <w:sz w:val="22"/>
                <w:szCs w:val="22"/>
                <w:u w:val="single"/>
              </w:rPr>
              <w:t>Scoring:</w:t>
            </w:r>
            <w:r>
              <w:rPr>
                <w:bCs/>
                <w:color w:val="000000" w:themeColor="text1"/>
                <w:sz w:val="22"/>
                <w:szCs w:val="22"/>
              </w:rPr>
              <w:t xml:space="preserve"> C</w:t>
            </w:r>
            <w:r w:rsidRPr="00C26054">
              <w:rPr>
                <w:bCs/>
                <w:color w:val="000000" w:themeColor="text1"/>
                <w:sz w:val="22"/>
                <w:szCs w:val="22"/>
              </w:rPr>
              <w:t xml:space="preserve">hildren were awarded 1 point for each correct answer, for a maximum possible score of 24 points. Although different scoring methods exists for card </w:t>
            </w:r>
            <w:r w:rsidRPr="00C26054">
              <w:rPr>
                <w:bCs/>
                <w:color w:val="000000" w:themeColor="text1"/>
                <w:sz w:val="22"/>
                <w:szCs w:val="22"/>
              </w:rPr>
              <w:lastRenderedPageBreak/>
              <w:t xml:space="preserve">sorting tasks, we followed the same protocol used in a prior study using this specific assessment (McClelland et al., 2014). </w:t>
            </w:r>
          </w:p>
          <w:p w14:paraId="49E0FF46" w14:textId="77777777" w:rsidR="0098141B" w:rsidRPr="004A77A1" w:rsidRDefault="0098141B" w:rsidP="0098141B">
            <w:pPr>
              <w:rPr>
                <w:bCs/>
                <w:color w:val="000000" w:themeColor="text1"/>
                <w:sz w:val="22"/>
                <w:szCs w:val="22"/>
                <w:u w:val="single"/>
              </w:rPr>
            </w:pPr>
            <w:r w:rsidRPr="004A77A1">
              <w:rPr>
                <w:bCs/>
                <w:color w:val="000000" w:themeColor="text1"/>
                <w:sz w:val="22"/>
                <w:szCs w:val="22"/>
                <w:u w:val="single"/>
              </w:rPr>
              <w:t>Psychometric Properties:</w:t>
            </w:r>
            <w:r>
              <w:rPr>
                <w:bCs/>
                <w:color w:val="000000" w:themeColor="text1"/>
                <w:sz w:val="22"/>
                <w:szCs w:val="22"/>
              </w:rPr>
              <w:t xml:space="preserve"> </w:t>
            </w:r>
            <w:r w:rsidRPr="00C26054">
              <w:rPr>
                <w:bCs/>
                <w:color w:val="000000" w:themeColor="text1"/>
                <w:sz w:val="22"/>
                <w:szCs w:val="22"/>
              </w:rPr>
              <w:t xml:space="preserve">This iteration of the DCCS has been used in previous studies (e.g., </w:t>
            </w:r>
            <w:r w:rsidRPr="00C26054">
              <w:rPr>
                <w:bCs/>
                <w:color w:val="000000" w:themeColor="text1"/>
                <w:sz w:val="22"/>
                <w:szCs w:val="22"/>
              </w:rPr>
              <w:fldChar w:fldCharType="begin" w:fldLock="1"/>
            </w:r>
            <w:r w:rsidRPr="00C26054">
              <w:rPr>
                <w:bCs/>
                <w:color w:val="000000" w:themeColor="text1"/>
                <w:sz w:val="22"/>
                <w:szCs w:val="22"/>
              </w:rPr>
              <w:instrText>ADDIN CSL_CITATION {"citationItems":[{"id":"ITEM-1","itemData":{"DOI":"10.1177/0165025418785469","ISSN":"0165-0254","abstract":"This study investigated cross-cultural variation in the development of executive functioning (EF) across the preschool period for United States and Chinese children from low and high socioeconomic families using a longitudinal design. Participants included 216 preschool children (n = 125 from the US; n = 91 from Shanghai and Jiangxi, China). On average, children were approximately 4 years old. In the US sample, 56% were female, and in the Chinese sample, 54% were female. Results from multi-level models varied slightly with regard to specific EF domains, but generally indicated that Chinese children experienced greater gains in EF during the preschool period compared to US children. Cross-cultural differences in EF growth did not vary by socioeconomic status. These findings highlight cultural variability in the development of EF and provide a foundation for additional research exploring factors that may help explain differential growth in EF for Chinese children compared to US children during the preschool period.","author":[{"dropping-particle":"","family":"Schmitt","given":"S.A.","non-dropping-particle":"","parse-names":false,"suffix":""},{"dropping-particle":"","family":"Korucu","given":"Irem","non-dropping-particle":"","parse-names":false,"suffix":""},{"dropping-particle":"","family":"Purpura","given":"David J.","non-dropping-particle":"","parse-names":false,"suffix":""},{"dropping-particle":"","family":"Whiteman","given":"Shawn","non-dropping-particle":"","parse-names":false,"suffix":""},{"dropping-particle":"","family":"Zhang","given":"Chenyi","non-dropping-particle":"","parse-names":false,"suffix":""},{"dropping-particle":"","family":"Yang","given":"Fuyi","non-dropping-particle":"","parse-names":false,"suffix":""}],"container-title":"International Journal of Behavioral Development","id":"ITEM-1","issue":"3","issued":{"date-parts":[["2019","5","13"]]},"page":"212-220","title":"Exploring cross-cultural variations in the development of executive function for preschoolers from low and high socioeconomic families","type":"article-journal","volume":"43"},"uris":["http://www.mendeley.com/documents/?uuid=9fac3db2-e967-493d-bb61-1f17a878d87b"]}],"mendeley":{"formattedCitation":"(Schmitt, Korucu, et al., 2019)","manualFormatting":"Schmitt, Korucu, et al., 2019)","plainTextFormattedCitation":"(Schmitt, Korucu, et al., 2019)","previouslyFormattedCitation":"(Schmitt, Korucu, et al., 2019)"},"properties":{"noteIndex":0},"schema":"https://github.com/citation-style-language/schema/raw/master/csl-citation.json"}</w:instrText>
            </w:r>
            <w:r w:rsidRPr="00C26054">
              <w:rPr>
                <w:bCs/>
                <w:color w:val="000000" w:themeColor="text1"/>
                <w:sz w:val="22"/>
                <w:szCs w:val="22"/>
              </w:rPr>
              <w:fldChar w:fldCharType="separate"/>
            </w:r>
            <w:r w:rsidRPr="00C26054">
              <w:rPr>
                <w:bCs/>
                <w:noProof/>
                <w:color w:val="000000" w:themeColor="text1"/>
                <w:sz w:val="22"/>
                <w:szCs w:val="22"/>
              </w:rPr>
              <w:t>Schmitt, Korucu, et al., 2019)</w:t>
            </w:r>
            <w:r w:rsidRPr="00C26054">
              <w:rPr>
                <w:bCs/>
                <w:color w:val="000000" w:themeColor="text1"/>
                <w:sz w:val="22"/>
                <w:szCs w:val="22"/>
              </w:rPr>
              <w:fldChar w:fldCharType="end"/>
            </w:r>
            <w:r w:rsidRPr="00C26054">
              <w:rPr>
                <w:bCs/>
                <w:color w:val="000000" w:themeColor="text1"/>
                <w:sz w:val="22"/>
                <w:szCs w:val="22"/>
              </w:rPr>
              <w:t xml:space="preserve"> and has demonstrated strong reliability in previous studies </w:t>
            </w:r>
            <w:r w:rsidRPr="00C26054">
              <w:rPr>
                <w:bCs/>
                <w:color w:val="000000" w:themeColor="text1"/>
                <w:sz w:val="22"/>
                <w:szCs w:val="22"/>
              </w:rPr>
              <w:fldChar w:fldCharType="begin" w:fldLock="1"/>
            </w:r>
            <w:r w:rsidRPr="00C26054">
              <w:rPr>
                <w:bCs/>
                <w:color w:val="000000" w:themeColor="text1"/>
                <w:sz w:val="22"/>
                <w:szCs w:val="22"/>
              </w:rPr>
              <w:instrText>ADDIN CSL_CITATION {"citationItems":[{"id":"ITEM-1","itemData":{"DOI":"10.3389/fpsyg.2014.00599","ISSN":"1664-1078","abstract":"Children's behavioral self-regulation and executive function (EF; including attentional or cognitive flexibility, working memory, and inhibitory control) are strong predictors of academic achievement. The present study examined the psychometric properties of a measure of behavioral self-regulation called the Head-Toes-Knees-Shoulders (HTKS) by assessing construct validity, including relations to EF measures, and predictive validity to academic achievement growth between prekindergarten and kindergarten. In the fall and spring of prekindergarten and kindergarten, 208 children (51% enrolled in Head Start) were assessed on the HTKS, measures of cognitive flexibility, working memory (WM), and inhibitory control, and measures of emergent literacy, mathematics, and vocabulary. For construct validity, the HTKS was significantly related to cognitive flexibility, working memory, and inhibitory control in prekindergarten and kindergarten. For predictive validity in prekindergarten, a random effects model indicated that the HTKS significantly predicted growth in mathematics, whereas a cognitive flexibility task significantly predicted growth in mathematics and vocabulary. In kindergarten, the HTKS was the only measure to significantly predict growth in all academic outcomes. An alternative conservative analytical approach, a fixed effects analysis (FEA) model, also indicated that growth in both the HTKS and measures of EF significantly predicted growth in mathematics over four time points between prekindergarten and kindergarten. Results demonstrate that the HTKS involves cognitive flexibility, working memory, and inhibitory control, and is substantively implicated in early achievement, with the strongest relations found for growth in achievement during kindergarten and associations with emergent mathematics. © 2014 McClelland, Cameron, Duncan, Bowles, Acock, Miao and Pratt.","author":[{"dropping-particle":"","family":"McClelland","given":"Megan M.","non-dropping-particle":"","parse-names":false,"suffix":""},{"dropping-particle":"","family":"Cameron","given":"Claire E.","non-dropping-particle":"","parse-names":false,"suffix":""},{"dropping-particle":"","family":"Duncan","given":"R.J.","non-dropping-particle":"","parse-names":false,"suffix":""},{"dropping-particle":"","family":"Bowles","given":"Ryan P.","non-dropping-particle":"","parse-names":false,"suffix":""},{"dropping-particle":"","family":"Acock","given":"Alan C.","non-dropping-particle":"","parse-names":false,"suffix":""},{"dropping-particle":"","family":"Miao","given":"Alicia","non-dropping-particle":"","parse-names":false,"suffix":""},{"dropping-particle":"","family":"Pratt","given":"Megan E.","non-dropping-particle":"","parse-names":false,"suffix":""}],"container-title":"Frontiers in Psychology","id":"ITEM-1","issue":"599","issued":{"date-parts":[["2014","6","17"]]},"title":"Predictors of early growth in academic achievement: The head-toes-knees-shoulders task","type":"article-journal","volume":"5"},"uris":["http://www.mendeley.com/documents/?uuid=2eda5751-723f-44aa-9d63-6699c0e49cad"]}],"mendeley":{"formattedCitation":"(McClelland et al., 2014)","plainTextFormattedCitation":"(McClelland et al., 2014)","previouslyFormattedCitation":"(McClelland et al., 2014)"},"properties":{"noteIndex":0},"schema":"https://github.com/citation-style-language/schema/raw/master/csl-citation.json"}</w:instrText>
            </w:r>
            <w:r w:rsidRPr="00C26054">
              <w:rPr>
                <w:bCs/>
                <w:color w:val="000000" w:themeColor="text1"/>
                <w:sz w:val="22"/>
                <w:szCs w:val="22"/>
              </w:rPr>
              <w:fldChar w:fldCharType="separate"/>
            </w:r>
            <w:r w:rsidRPr="00C26054">
              <w:rPr>
                <w:bCs/>
                <w:noProof/>
                <w:color w:val="000000" w:themeColor="text1"/>
                <w:sz w:val="22"/>
                <w:szCs w:val="22"/>
              </w:rPr>
              <w:t>(McClelland et al., 2014)</w:t>
            </w:r>
            <w:r w:rsidRPr="00C26054">
              <w:rPr>
                <w:bCs/>
                <w:color w:val="000000" w:themeColor="text1"/>
                <w:sz w:val="22"/>
                <w:szCs w:val="22"/>
              </w:rPr>
              <w:fldChar w:fldCharType="end"/>
            </w:r>
            <w:r w:rsidRPr="00C26054">
              <w:rPr>
                <w:bCs/>
                <w:color w:val="000000" w:themeColor="text1"/>
                <w:sz w:val="22"/>
                <w:szCs w:val="22"/>
              </w:rPr>
              <w:t xml:space="preserve"> as well as the current sample (</w:t>
            </w:r>
            <w:r w:rsidRPr="00C26054">
              <w:rPr>
                <w:rFonts w:ascii="Symbol" w:hAnsi="Symbol"/>
                <w:bCs/>
                <w:color w:val="000000" w:themeColor="text1"/>
                <w:sz w:val="22"/>
                <w:szCs w:val="22"/>
              </w:rPr>
              <w:t>w</w:t>
            </w:r>
            <w:r w:rsidRPr="004A77A1">
              <w:rPr>
                <w:rFonts w:cs="Times New Roman"/>
                <w:bCs/>
                <w:color w:val="000000" w:themeColor="text1"/>
                <w:sz w:val="22"/>
                <w:szCs w:val="22"/>
                <w:vertAlign w:val="subscript"/>
              </w:rPr>
              <w:t>fall</w:t>
            </w:r>
            <w:r w:rsidRPr="004A77A1">
              <w:rPr>
                <w:rFonts w:cs="Times New Roman"/>
                <w:bCs/>
                <w:color w:val="000000" w:themeColor="text1"/>
                <w:sz w:val="22"/>
                <w:szCs w:val="22"/>
              </w:rPr>
              <w:t xml:space="preserve"> = .92;</w:t>
            </w:r>
            <w:r w:rsidRPr="00C26054">
              <w:rPr>
                <w:rFonts w:asciiTheme="minorHAnsi" w:hAnsiTheme="minorHAnsi" w:cstheme="minorHAnsi"/>
                <w:bCs/>
                <w:color w:val="000000" w:themeColor="text1"/>
                <w:sz w:val="22"/>
                <w:szCs w:val="22"/>
              </w:rPr>
              <w:t xml:space="preserve"> </w:t>
            </w:r>
            <w:r w:rsidRPr="00C26054">
              <w:rPr>
                <w:rFonts w:ascii="Symbol" w:hAnsi="Symbol"/>
                <w:bCs/>
                <w:color w:val="000000" w:themeColor="text1"/>
                <w:sz w:val="22"/>
                <w:szCs w:val="22"/>
              </w:rPr>
              <w:t>w</w:t>
            </w:r>
            <w:r w:rsidRPr="004A77A1">
              <w:rPr>
                <w:rFonts w:cs="Times New Roman"/>
                <w:bCs/>
                <w:color w:val="000000" w:themeColor="text1"/>
                <w:sz w:val="22"/>
                <w:szCs w:val="22"/>
                <w:vertAlign w:val="subscript"/>
              </w:rPr>
              <w:t>spring</w:t>
            </w:r>
            <w:r w:rsidRPr="004A77A1">
              <w:rPr>
                <w:rFonts w:cs="Times New Roman"/>
                <w:bCs/>
                <w:color w:val="000000" w:themeColor="text1"/>
                <w:sz w:val="22"/>
                <w:szCs w:val="22"/>
              </w:rPr>
              <w:t xml:space="preserve"> = .95).</w:t>
            </w:r>
          </w:p>
        </w:tc>
      </w:tr>
      <w:tr w:rsidR="0098141B" w:rsidRPr="00C26054" w14:paraId="0A6D09B5" w14:textId="77777777" w:rsidTr="00E76C56">
        <w:tblPrEx>
          <w:tblBorders>
            <w:top w:val="single" w:sz="4" w:space="0" w:color="auto"/>
            <w:bottom w:val="single" w:sz="4" w:space="0" w:color="auto"/>
          </w:tblBorders>
        </w:tblPrEx>
        <w:tc>
          <w:tcPr>
            <w:tcW w:w="5000" w:type="pct"/>
            <w:gridSpan w:val="3"/>
            <w:tcBorders>
              <w:top w:val="single" w:sz="4" w:space="0" w:color="auto"/>
              <w:bottom w:val="single" w:sz="4" w:space="0" w:color="auto"/>
            </w:tcBorders>
            <w:vAlign w:val="center"/>
          </w:tcPr>
          <w:p w14:paraId="479DC3CA" w14:textId="12E6CEBB" w:rsidR="0098141B" w:rsidRPr="0098141B" w:rsidRDefault="0098141B" w:rsidP="0098141B">
            <w:pPr>
              <w:jc w:val="center"/>
              <w:rPr>
                <w:sz w:val="22"/>
                <w:szCs w:val="22"/>
              </w:rPr>
            </w:pPr>
            <w:r w:rsidRPr="0098141B">
              <w:rPr>
                <w:sz w:val="22"/>
                <w:szCs w:val="22"/>
              </w:rPr>
              <w:lastRenderedPageBreak/>
              <w:br w:type="page"/>
              <w:t>Language/Literacy Tasks</w:t>
            </w:r>
          </w:p>
        </w:tc>
      </w:tr>
      <w:tr w:rsidR="0098141B" w:rsidRPr="00C26054" w14:paraId="2127076F" w14:textId="77777777" w:rsidTr="00E76C56">
        <w:tblPrEx>
          <w:tblBorders>
            <w:top w:val="single" w:sz="4" w:space="0" w:color="auto"/>
            <w:bottom w:val="single" w:sz="4" w:space="0" w:color="auto"/>
          </w:tblBorders>
        </w:tblPrEx>
        <w:tc>
          <w:tcPr>
            <w:tcW w:w="750" w:type="pct"/>
            <w:gridSpan w:val="2"/>
            <w:tcBorders>
              <w:top w:val="single" w:sz="4" w:space="0" w:color="auto"/>
              <w:bottom w:val="single" w:sz="4" w:space="0" w:color="auto"/>
            </w:tcBorders>
            <w:vAlign w:val="center"/>
          </w:tcPr>
          <w:p w14:paraId="141A18C2" w14:textId="7263DB0F" w:rsidR="0098141B" w:rsidRPr="0098141B" w:rsidRDefault="0098141B" w:rsidP="0098141B">
            <w:pPr>
              <w:jc w:val="center"/>
              <w:rPr>
                <w:sz w:val="22"/>
                <w:szCs w:val="22"/>
              </w:rPr>
            </w:pPr>
            <w:r w:rsidRPr="0098141B">
              <w:rPr>
                <w:sz w:val="22"/>
                <w:szCs w:val="22"/>
              </w:rPr>
              <w:t>Measure</w:t>
            </w:r>
          </w:p>
        </w:tc>
        <w:tc>
          <w:tcPr>
            <w:tcW w:w="4250" w:type="pct"/>
            <w:tcBorders>
              <w:top w:val="single" w:sz="4" w:space="0" w:color="auto"/>
              <w:bottom w:val="single" w:sz="4" w:space="0" w:color="auto"/>
            </w:tcBorders>
            <w:vAlign w:val="center"/>
          </w:tcPr>
          <w:p w14:paraId="48348033" w14:textId="77777777" w:rsidR="0098141B" w:rsidRPr="00C26054" w:rsidRDefault="0098141B" w:rsidP="0098141B">
            <w:pPr>
              <w:jc w:val="center"/>
              <w:rPr>
                <w:sz w:val="22"/>
                <w:szCs w:val="22"/>
              </w:rPr>
            </w:pPr>
            <w:r w:rsidRPr="00C26054">
              <w:rPr>
                <w:sz w:val="22"/>
                <w:szCs w:val="22"/>
              </w:rPr>
              <w:t>Procedures</w:t>
            </w:r>
          </w:p>
        </w:tc>
      </w:tr>
      <w:tr w:rsidR="0098141B" w:rsidRPr="00C26054" w14:paraId="598BB285" w14:textId="77777777" w:rsidTr="00E76C56">
        <w:tblPrEx>
          <w:tblBorders>
            <w:top w:val="single" w:sz="4" w:space="0" w:color="auto"/>
            <w:bottom w:val="single" w:sz="4" w:space="0" w:color="auto"/>
          </w:tblBorders>
        </w:tblPrEx>
        <w:tc>
          <w:tcPr>
            <w:tcW w:w="750" w:type="pct"/>
            <w:gridSpan w:val="2"/>
            <w:tcBorders>
              <w:top w:val="single" w:sz="4" w:space="0" w:color="auto"/>
              <w:bottom w:val="single" w:sz="4" w:space="0" w:color="auto"/>
            </w:tcBorders>
            <w:vAlign w:val="center"/>
          </w:tcPr>
          <w:p w14:paraId="7154FE2B" w14:textId="1EE967F8" w:rsidR="0098141B" w:rsidRPr="0098141B" w:rsidRDefault="0098141B" w:rsidP="0098141B">
            <w:pPr>
              <w:rPr>
                <w:sz w:val="22"/>
                <w:szCs w:val="22"/>
              </w:rPr>
            </w:pPr>
            <w:r w:rsidRPr="0098141B">
              <w:rPr>
                <w:bCs/>
                <w:sz w:val="22"/>
                <w:szCs w:val="22"/>
              </w:rPr>
              <w:t>Peabody Picture Vocabulary Test (</w:t>
            </w:r>
            <w:r w:rsidRPr="0098141B">
              <w:rPr>
                <w:bCs/>
                <w:color w:val="000000" w:themeColor="text1"/>
                <w:sz w:val="22"/>
                <w:szCs w:val="22"/>
              </w:rPr>
              <w:t xml:space="preserve">PPVT;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author":[{"dropping-particle":"","family":"Dunn","given":"L.M.","non-dropping-particle":"","parse-names":false,"suffix":""},{"dropping-particle":"","family":"Dunn","given":"D.M.","non-dropping-particle":"","parse-names":false,"suffix":""}],"id":"ITEM-1","issued":{"date-parts":[["2007"]]},"publisher":"Pearson Assessments","title":"PPVT-4: Peabody picture vocabulary test","type":"article"},"uris":["http://www.mendeley.com/documents/?uuid=72a83916-387e-40b5-a541-0fcbf14e5ce5"]}],"mendeley":{"formattedCitation":"(Dunn &amp; Dunn, 2007)","manualFormatting":"Dunn &amp; Dunn, 2007)","plainTextFormattedCitation":"(Dunn &amp; Dunn, 2007)","previouslyFormattedCitation":"(Dunn &amp; Dunn, 2007)"},"properties":{"noteIndex":0},"schema":"https://github.com/citation-style-language/schema/raw/master/csl-citation.json"}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Dunn &amp; Dunn, 2007)</w:t>
            </w:r>
            <w:r w:rsidRPr="0098141B">
              <w:rPr>
                <w:bCs/>
                <w:color w:val="000000" w:themeColor="text1"/>
                <w:sz w:val="22"/>
                <w:szCs w:val="22"/>
              </w:rPr>
              <w:fldChar w:fldCharType="end"/>
            </w:r>
          </w:p>
        </w:tc>
        <w:tc>
          <w:tcPr>
            <w:tcW w:w="4250" w:type="pct"/>
            <w:tcBorders>
              <w:top w:val="single" w:sz="4" w:space="0" w:color="auto"/>
              <w:bottom w:val="single" w:sz="4" w:space="0" w:color="auto"/>
            </w:tcBorders>
          </w:tcPr>
          <w:p w14:paraId="64A7B772" w14:textId="77777777" w:rsidR="0098141B" w:rsidRPr="001B69F3" w:rsidRDefault="0098141B" w:rsidP="0098141B">
            <w:pPr>
              <w:rPr>
                <w:sz w:val="22"/>
                <w:szCs w:val="22"/>
              </w:rPr>
            </w:pPr>
            <w:r w:rsidRPr="001B69F3">
              <w:rPr>
                <w:sz w:val="22"/>
                <w:szCs w:val="22"/>
                <w:u w:val="single"/>
              </w:rPr>
              <w:t>Skills Assessed:</w:t>
            </w:r>
            <w:r w:rsidRPr="001B69F3">
              <w:rPr>
                <w:sz w:val="22"/>
                <w:szCs w:val="22"/>
              </w:rPr>
              <w:t xml:space="preserve"> Receptive vocabulary.</w:t>
            </w:r>
          </w:p>
          <w:p w14:paraId="11358C20" w14:textId="77777777" w:rsidR="0098141B" w:rsidRPr="001B69F3" w:rsidRDefault="0098141B" w:rsidP="0098141B">
            <w:pPr>
              <w:rPr>
                <w:sz w:val="22"/>
                <w:szCs w:val="22"/>
                <w:u w:val="single"/>
              </w:rPr>
            </w:pPr>
            <w:r w:rsidRPr="001B69F3">
              <w:rPr>
                <w:sz w:val="22"/>
                <w:szCs w:val="22"/>
                <w:u w:val="single"/>
              </w:rPr>
              <w:t>Task:</w:t>
            </w:r>
            <w:r w:rsidRPr="001B69F3">
              <w:rPr>
                <w:bCs/>
                <w:color w:val="000000" w:themeColor="text1"/>
                <w:sz w:val="22"/>
                <w:szCs w:val="22"/>
              </w:rPr>
              <w:t xml:space="preserve"> The PPVT is administered using a stimulus book that includes four illustrations for each testing item. For each item, the research assistant asked the child to point to the picture that matches the word they said (e.g., “Put your finger on the picture that shows </w:t>
            </w:r>
            <w:r w:rsidRPr="001B69F3">
              <w:rPr>
                <w:bCs/>
                <w:i/>
                <w:iCs/>
                <w:color w:val="000000" w:themeColor="text1"/>
                <w:sz w:val="22"/>
                <w:szCs w:val="22"/>
              </w:rPr>
              <w:t>laughing).</w:t>
            </w:r>
          </w:p>
          <w:p w14:paraId="4E4D56D4" w14:textId="77777777" w:rsidR="0098141B" w:rsidRPr="001B69F3" w:rsidRDefault="0098141B" w:rsidP="0098141B">
            <w:pPr>
              <w:rPr>
                <w:bCs/>
                <w:color w:val="000000" w:themeColor="text1"/>
                <w:sz w:val="22"/>
                <w:szCs w:val="22"/>
              </w:rPr>
            </w:pPr>
            <w:r w:rsidRPr="001B69F3">
              <w:rPr>
                <w:sz w:val="22"/>
                <w:szCs w:val="22"/>
                <w:u w:val="single"/>
              </w:rPr>
              <w:t>Scoring:</w:t>
            </w:r>
            <w:r w:rsidRPr="001B69F3">
              <w:rPr>
                <w:bCs/>
                <w:color w:val="000000" w:themeColor="text1"/>
                <w:sz w:val="22"/>
                <w:szCs w:val="22"/>
              </w:rPr>
              <w:t xml:space="preserve"> The PPVT consists of 19 age-based sets that include</w:t>
            </w:r>
            <w:r>
              <w:rPr>
                <w:bCs/>
                <w:color w:val="000000" w:themeColor="text1"/>
                <w:sz w:val="22"/>
                <w:szCs w:val="22"/>
              </w:rPr>
              <w:t>s</w:t>
            </w:r>
            <w:r w:rsidRPr="001B69F3">
              <w:rPr>
                <w:bCs/>
                <w:color w:val="000000" w:themeColor="text1"/>
                <w:sz w:val="22"/>
                <w:szCs w:val="22"/>
              </w:rPr>
              <w:t xml:space="preserve"> 12 items each, for a total of 228 items. For brevity, children’s starting point for the assessment is determined based on their age. If children d</w:t>
            </w:r>
            <w:r>
              <w:rPr>
                <w:bCs/>
                <w:color w:val="000000" w:themeColor="text1"/>
                <w:sz w:val="22"/>
                <w:szCs w:val="22"/>
              </w:rPr>
              <w:t>id</w:t>
            </w:r>
            <w:r w:rsidRPr="001B69F3">
              <w:rPr>
                <w:bCs/>
                <w:color w:val="000000" w:themeColor="text1"/>
                <w:sz w:val="22"/>
                <w:szCs w:val="22"/>
              </w:rPr>
              <w:t xml:space="preserve"> not correctly identify at least 11 items within their starting set, the assessment is continued using the previous item set until a basal level has been established. Children earn</w:t>
            </w:r>
            <w:r>
              <w:rPr>
                <w:bCs/>
                <w:color w:val="000000" w:themeColor="text1"/>
                <w:sz w:val="22"/>
                <w:szCs w:val="22"/>
              </w:rPr>
              <w:t>ed</w:t>
            </w:r>
            <w:r w:rsidRPr="001B69F3">
              <w:rPr>
                <w:bCs/>
                <w:color w:val="000000" w:themeColor="text1"/>
                <w:sz w:val="22"/>
                <w:szCs w:val="22"/>
              </w:rPr>
              <w:t xml:space="preserve"> one point for each picture they correctly identif</w:t>
            </w:r>
            <w:r>
              <w:rPr>
                <w:bCs/>
                <w:color w:val="000000" w:themeColor="text1"/>
                <w:sz w:val="22"/>
                <w:szCs w:val="22"/>
              </w:rPr>
              <w:t>ied</w:t>
            </w:r>
            <w:r w:rsidRPr="001B69F3">
              <w:rPr>
                <w:bCs/>
                <w:color w:val="000000" w:themeColor="text1"/>
                <w:sz w:val="22"/>
                <w:szCs w:val="22"/>
              </w:rPr>
              <w:t>. The assessment continue</w:t>
            </w:r>
            <w:r>
              <w:rPr>
                <w:bCs/>
                <w:color w:val="000000" w:themeColor="text1"/>
                <w:sz w:val="22"/>
                <w:szCs w:val="22"/>
              </w:rPr>
              <w:t>d</w:t>
            </w:r>
            <w:r w:rsidRPr="001B69F3">
              <w:rPr>
                <w:bCs/>
                <w:color w:val="000000" w:themeColor="text1"/>
                <w:sz w:val="22"/>
                <w:szCs w:val="22"/>
              </w:rPr>
              <w:t xml:space="preserve"> until children respond</w:t>
            </w:r>
            <w:r>
              <w:rPr>
                <w:bCs/>
                <w:color w:val="000000" w:themeColor="text1"/>
                <w:sz w:val="22"/>
                <w:szCs w:val="22"/>
              </w:rPr>
              <w:t>ed</w:t>
            </w:r>
            <w:r w:rsidRPr="001B69F3">
              <w:rPr>
                <w:bCs/>
                <w:color w:val="000000" w:themeColor="text1"/>
                <w:sz w:val="22"/>
                <w:szCs w:val="22"/>
              </w:rPr>
              <w:t xml:space="preserve"> incorrectly to 8 or more items within the same set.</w:t>
            </w:r>
          </w:p>
          <w:p w14:paraId="0808ED7E" w14:textId="77777777" w:rsidR="0098141B" w:rsidRPr="001B69F3" w:rsidRDefault="0098141B" w:rsidP="0098141B">
            <w:pPr>
              <w:rPr>
                <w:sz w:val="22"/>
                <w:szCs w:val="22"/>
                <w:u w:val="single"/>
              </w:rPr>
            </w:pPr>
            <w:r w:rsidRPr="001B69F3">
              <w:rPr>
                <w:bCs/>
                <w:color w:val="000000" w:themeColor="text1"/>
                <w:sz w:val="22"/>
                <w:szCs w:val="22"/>
                <w:u w:val="single"/>
              </w:rPr>
              <w:t>Psychometric Properties:</w:t>
            </w:r>
            <w:r w:rsidRPr="001B69F3">
              <w:rPr>
                <w:bCs/>
                <w:color w:val="000000" w:themeColor="text1"/>
                <w:sz w:val="22"/>
                <w:szCs w:val="22"/>
              </w:rPr>
              <w:t xml:space="preserve"> The PPVT is a common assessment of vocabulary skills for both children and adults and has strong psychometric properties. In our sample, the PPVT demonstrated strong internal consistency (</w:t>
            </w:r>
            <w:r w:rsidRPr="001B69F3">
              <w:rPr>
                <w:rFonts w:ascii="Symbol" w:hAnsi="Symbol"/>
                <w:bCs/>
                <w:color w:val="000000" w:themeColor="text1"/>
                <w:sz w:val="22"/>
                <w:szCs w:val="22"/>
              </w:rPr>
              <w:t>w</w:t>
            </w:r>
            <w:r w:rsidRPr="001B69F3">
              <w:rPr>
                <w:rFonts w:cs="Times New Roman"/>
                <w:bCs/>
                <w:color w:val="000000" w:themeColor="text1"/>
                <w:sz w:val="22"/>
                <w:szCs w:val="22"/>
                <w:vertAlign w:val="subscript"/>
              </w:rPr>
              <w:t>fall</w:t>
            </w:r>
            <w:r w:rsidRPr="001B69F3">
              <w:rPr>
                <w:rFonts w:cs="Times New Roman"/>
                <w:bCs/>
                <w:color w:val="000000" w:themeColor="text1"/>
                <w:sz w:val="22"/>
                <w:szCs w:val="22"/>
              </w:rPr>
              <w:t xml:space="preserve"> = .96;</w:t>
            </w:r>
            <w:r w:rsidRPr="001B69F3">
              <w:rPr>
                <w:rFonts w:asciiTheme="minorHAnsi" w:hAnsiTheme="minorHAnsi" w:cstheme="minorHAnsi"/>
                <w:bCs/>
                <w:color w:val="000000" w:themeColor="text1"/>
                <w:sz w:val="22"/>
                <w:szCs w:val="22"/>
              </w:rPr>
              <w:t xml:space="preserve"> </w:t>
            </w:r>
            <w:r w:rsidRPr="001B69F3">
              <w:rPr>
                <w:rFonts w:ascii="Symbol" w:hAnsi="Symbol"/>
                <w:bCs/>
                <w:color w:val="000000" w:themeColor="text1"/>
                <w:sz w:val="22"/>
                <w:szCs w:val="22"/>
              </w:rPr>
              <w:t>w</w:t>
            </w:r>
            <w:r w:rsidRPr="001B69F3">
              <w:rPr>
                <w:rFonts w:cs="Times New Roman"/>
                <w:bCs/>
                <w:color w:val="000000" w:themeColor="text1"/>
                <w:sz w:val="22"/>
                <w:szCs w:val="22"/>
                <w:vertAlign w:val="subscript"/>
              </w:rPr>
              <w:t>spring</w:t>
            </w:r>
            <w:r w:rsidRPr="001B69F3">
              <w:rPr>
                <w:rFonts w:cs="Times New Roman"/>
                <w:bCs/>
                <w:color w:val="000000" w:themeColor="text1"/>
                <w:sz w:val="22"/>
                <w:szCs w:val="22"/>
              </w:rPr>
              <w:t xml:space="preserve"> = .96</w:t>
            </w:r>
            <w:r w:rsidRPr="001B69F3">
              <w:rPr>
                <w:rFonts w:asciiTheme="minorHAnsi" w:hAnsiTheme="minorHAnsi" w:cstheme="minorHAnsi"/>
                <w:bCs/>
                <w:color w:val="000000" w:themeColor="text1"/>
                <w:sz w:val="22"/>
                <w:szCs w:val="22"/>
              </w:rPr>
              <w:t xml:space="preserve">), </w:t>
            </w:r>
            <w:r w:rsidRPr="001B69F3">
              <w:rPr>
                <w:bCs/>
                <w:color w:val="000000" w:themeColor="text1"/>
                <w:sz w:val="22"/>
                <w:szCs w:val="22"/>
              </w:rPr>
              <w:t xml:space="preserve">corroborating the results of past studies </w:t>
            </w:r>
            <w:r w:rsidRPr="001B69F3">
              <w:rPr>
                <w:bCs/>
                <w:color w:val="000000" w:themeColor="text1"/>
                <w:sz w:val="22"/>
                <w:szCs w:val="22"/>
              </w:rPr>
              <w:fldChar w:fldCharType="begin" w:fldLock="1"/>
            </w:r>
            <w:r w:rsidRPr="001B69F3">
              <w:rPr>
                <w:bCs/>
                <w:color w:val="000000" w:themeColor="text1"/>
                <w:sz w:val="22"/>
                <w:szCs w:val="22"/>
              </w:rPr>
              <w:instrText>ADDIN CSL_CITATION {"citationItems":[{"id":"ITEM-1","itemData":{"author":[{"dropping-particle":"","family":"Dunn","given":"L.M.","non-dropping-particle":"","parse-names":false,"suffix":""},{"dropping-particle":"","family":"Dunn","given":"D.M.","non-dropping-particle":"","parse-names":false,"suffix":""}],"id":"ITEM-1","issued":{"date-parts":[["2007"]]},"publisher":"Pearson Assessments","title":"PPVT-4: Peabody picture vocabulary test","type":"article"},"uris":["http://www.mendeley.com/documents/?uuid=72a83916-387e-40b5-a541-0fcbf14e5ce5"]}],"mendeley":{"formattedCitation":"(Dunn &amp; Dunn, 2007)","plainTextFormattedCitation":"(Dunn &amp; Dunn, 2007)","previouslyFormattedCitation":"(Dunn &amp; Dunn, 2007)"},"properties":{"noteIndex":0},"schema":"https://github.com/citation-style-language/schema/raw/master/csl-citation.json"}</w:instrText>
            </w:r>
            <w:r w:rsidRPr="001B69F3">
              <w:rPr>
                <w:bCs/>
                <w:color w:val="000000" w:themeColor="text1"/>
                <w:sz w:val="22"/>
                <w:szCs w:val="22"/>
              </w:rPr>
              <w:fldChar w:fldCharType="separate"/>
            </w:r>
            <w:r w:rsidRPr="001B69F3">
              <w:rPr>
                <w:bCs/>
                <w:noProof/>
                <w:color w:val="000000" w:themeColor="text1"/>
                <w:sz w:val="22"/>
                <w:szCs w:val="22"/>
              </w:rPr>
              <w:t>(Dunn &amp; Dunn, 2007)</w:t>
            </w:r>
            <w:r w:rsidRPr="001B69F3">
              <w:rPr>
                <w:bCs/>
                <w:color w:val="000000" w:themeColor="text1"/>
                <w:sz w:val="22"/>
                <w:szCs w:val="22"/>
              </w:rPr>
              <w:fldChar w:fldCharType="end"/>
            </w:r>
            <w:r w:rsidRPr="001B69F3">
              <w:rPr>
                <w:bCs/>
                <w:color w:val="000000" w:themeColor="text1"/>
                <w:sz w:val="22"/>
                <w:szCs w:val="22"/>
              </w:rPr>
              <w:t>.</w:t>
            </w:r>
          </w:p>
        </w:tc>
      </w:tr>
      <w:tr w:rsidR="0098141B" w:rsidRPr="00C26054" w14:paraId="56E9D54C" w14:textId="77777777" w:rsidTr="00E76C56">
        <w:tblPrEx>
          <w:tblBorders>
            <w:top w:val="single" w:sz="4" w:space="0" w:color="auto"/>
            <w:bottom w:val="single" w:sz="4" w:space="0" w:color="auto"/>
          </w:tblBorders>
        </w:tblPrEx>
        <w:trPr>
          <w:trHeight w:val="2016"/>
        </w:trPr>
        <w:tc>
          <w:tcPr>
            <w:tcW w:w="750" w:type="pct"/>
            <w:gridSpan w:val="2"/>
            <w:tcBorders>
              <w:top w:val="single" w:sz="4" w:space="0" w:color="auto"/>
              <w:bottom w:val="single" w:sz="4" w:space="0" w:color="auto"/>
            </w:tcBorders>
            <w:vAlign w:val="center"/>
          </w:tcPr>
          <w:p w14:paraId="5F4C778C" w14:textId="5551B891" w:rsidR="0098141B" w:rsidRPr="0098141B" w:rsidRDefault="0098141B" w:rsidP="0098141B">
            <w:pPr>
              <w:rPr>
                <w:sz w:val="22"/>
                <w:szCs w:val="22"/>
              </w:rPr>
            </w:pPr>
            <w:r w:rsidRPr="0098141B">
              <w:rPr>
                <w:bCs/>
                <w:sz w:val="22"/>
                <w:szCs w:val="22"/>
              </w:rPr>
              <w:t>Letter-Word Identification subtest of the Woodcock-Johnson (</w:t>
            </w:r>
            <w:r w:rsidRPr="0098141B">
              <w:rPr>
                <w:bCs/>
                <w:color w:val="000000" w:themeColor="text1"/>
                <w:sz w:val="22"/>
                <w:szCs w:val="22"/>
              </w:rPr>
              <w:t xml:space="preserve">WJLWI;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{"citationItems":[{"id":"ITEM-1","itemData":{"ISBN":"9781563958885","abstract":"To cite the WJ IV Tests of Achievement, use: Schrank, F. A., Mather, N., &amp; McGrew, K. S. (2014). Woodcock-Johnson IV Tests of Achievement. Rolling Meadows, IL: Riverside","author":[{"dropping-particle":"","family":"Schrank","given":"F. A.","non-dropping-particle":"","parse-names":false,"suffix":""},{"dropping-particle":"","family":"Mather","given":"N.","non-dropping-particle":"","parse-names":false,"suffix":""},{"dropping-particle":"","family":"McGrew","given":"K. S.","non-dropping-particle":"","parse-names":false,"suffix":""}],"id":"ITEM-1","issued":{"date-parts":[["2014"]]},"publisher":"Riverside","publisher-place":"Rolling Meadows, IL","title":"Woodcock-Johnson IV Test of Achievement","type":"article"},"uris":["http://www.mendeley.com/documents/?uuid=c9f82c07-fbf2-4bfe-ba1c-002789c3c4ed"]}],"mendeley":{"formattedCitation":"(Schrank et al., 2014)","manualFormatting":"Schrank et al., 2014)","plainTextFormattedCitation":"(Schrank et al., 2014)","previouslyFormattedCitation":"(Schrank et al., 2014)"},"properties":{"noteIndex":0},"schema":"https://github.com/citation-style-language/schema/raw/master/csl-citation.json"}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Schrank et al., 2014)</w:t>
            </w:r>
            <w:r w:rsidRPr="0098141B">
              <w:rPr>
                <w:bCs/>
                <w:color w:val="000000" w:themeColor="text1"/>
                <w:sz w:val="22"/>
                <w:szCs w:val="22"/>
              </w:rPr>
              <w:fldChar w:fldCharType="end"/>
            </w:r>
          </w:p>
        </w:tc>
        <w:tc>
          <w:tcPr>
            <w:tcW w:w="4250" w:type="pct"/>
            <w:tcBorders>
              <w:top w:val="single" w:sz="4" w:space="0" w:color="auto"/>
              <w:bottom w:val="single" w:sz="4" w:space="0" w:color="auto"/>
            </w:tcBorders>
          </w:tcPr>
          <w:p w14:paraId="139330E5" w14:textId="77777777" w:rsidR="0098141B" w:rsidRPr="00C34B29" w:rsidRDefault="0098141B" w:rsidP="0098141B">
            <w:pPr>
              <w:rPr>
                <w:sz w:val="22"/>
                <w:szCs w:val="22"/>
              </w:rPr>
            </w:pPr>
            <w:r w:rsidRPr="00C34B29">
              <w:rPr>
                <w:sz w:val="22"/>
                <w:szCs w:val="22"/>
                <w:u w:val="single"/>
              </w:rPr>
              <w:t>Skills Assessed:</w:t>
            </w:r>
            <w:r w:rsidRPr="00C34B29">
              <w:rPr>
                <w:sz w:val="22"/>
                <w:szCs w:val="22"/>
              </w:rPr>
              <w:t xml:space="preserve"> Letter and word recognition, decoding skills.</w:t>
            </w:r>
          </w:p>
          <w:p w14:paraId="10C77E69" w14:textId="77777777" w:rsidR="0098141B" w:rsidRPr="00C34B29" w:rsidRDefault="0098141B" w:rsidP="0098141B">
            <w:pPr>
              <w:pStyle w:val="NormalWeb"/>
              <w:widowControl w:val="0"/>
              <w:spacing w:before="0" w:beforeAutospacing="0" w:after="0" w:afterAutospacing="0"/>
              <w:contextualSpacing/>
              <w:rPr>
                <w:bCs/>
                <w:color w:val="000000" w:themeColor="text1"/>
                <w:sz w:val="22"/>
                <w:szCs w:val="22"/>
              </w:rPr>
            </w:pPr>
            <w:r w:rsidRPr="00C34B29">
              <w:rPr>
                <w:sz w:val="22"/>
                <w:szCs w:val="22"/>
                <w:u w:val="single"/>
              </w:rPr>
              <w:t>Task:</w:t>
            </w:r>
            <w:r w:rsidRPr="00C34B29">
              <w:rPr>
                <w:bCs/>
                <w:color w:val="000000" w:themeColor="text1"/>
                <w:sz w:val="22"/>
                <w:szCs w:val="22"/>
              </w:rPr>
              <w:t xml:space="preserve"> Children were presented with a list of letters and/or words and were asked to verbally identify them (e.g., “What letter is this?) or point to the letter or word that the assessor asked them to identify. </w:t>
            </w:r>
          </w:p>
          <w:p w14:paraId="504944FB" w14:textId="77777777" w:rsidR="0098141B" w:rsidRDefault="0098141B" w:rsidP="0098141B">
            <w:pPr>
              <w:rPr>
                <w:bCs/>
                <w:color w:val="000000" w:themeColor="text1"/>
                <w:sz w:val="22"/>
                <w:szCs w:val="22"/>
              </w:rPr>
            </w:pPr>
            <w:r w:rsidRPr="00C34B29">
              <w:rPr>
                <w:sz w:val="22"/>
                <w:szCs w:val="22"/>
                <w:u w:val="single"/>
              </w:rPr>
              <w:t>Scoring:</w:t>
            </w:r>
            <w:r w:rsidRPr="00C34B29">
              <w:rPr>
                <w:bCs/>
                <w:color w:val="000000" w:themeColor="text1"/>
                <w:sz w:val="22"/>
                <w:szCs w:val="22"/>
              </w:rPr>
              <w:t xml:space="preserve"> The WJLWI includes 76 items grouped into 15 sets. Children earn</w:t>
            </w:r>
            <w:r>
              <w:rPr>
                <w:bCs/>
                <w:color w:val="000000" w:themeColor="text1"/>
                <w:sz w:val="22"/>
                <w:szCs w:val="22"/>
              </w:rPr>
              <w:t>ed</w:t>
            </w:r>
            <w:r w:rsidRPr="00C34B29">
              <w:rPr>
                <w:bCs/>
                <w:color w:val="000000" w:themeColor="text1"/>
                <w:sz w:val="22"/>
                <w:szCs w:val="22"/>
              </w:rPr>
              <w:t xml:space="preserve"> one point per correct answer, for a possible high raw score of 76. The test administ</w:t>
            </w:r>
            <w:r>
              <w:rPr>
                <w:bCs/>
                <w:color w:val="000000" w:themeColor="text1"/>
                <w:sz w:val="22"/>
                <w:szCs w:val="22"/>
              </w:rPr>
              <w:t>rator</w:t>
            </w:r>
            <w:r w:rsidRPr="00C34B29">
              <w:rPr>
                <w:bCs/>
                <w:color w:val="000000" w:themeColor="text1"/>
                <w:sz w:val="22"/>
                <w:szCs w:val="22"/>
              </w:rPr>
              <w:t xml:space="preserve"> suspend</w:t>
            </w:r>
            <w:r>
              <w:rPr>
                <w:bCs/>
                <w:color w:val="000000" w:themeColor="text1"/>
                <w:sz w:val="22"/>
                <w:szCs w:val="22"/>
              </w:rPr>
              <w:t>ed</w:t>
            </w:r>
            <w:r w:rsidRPr="00C34B29">
              <w:rPr>
                <w:bCs/>
                <w:color w:val="000000" w:themeColor="text1"/>
                <w:sz w:val="22"/>
                <w:szCs w:val="22"/>
              </w:rPr>
              <w:t xml:space="preserve"> testing after </w:t>
            </w:r>
            <w:r>
              <w:rPr>
                <w:bCs/>
                <w:color w:val="000000" w:themeColor="text1"/>
                <w:sz w:val="22"/>
                <w:szCs w:val="22"/>
              </w:rPr>
              <w:t xml:space="preserve">the </w:t>
            </w:r>
            <w:r w:rsidRPr="00C34B29">
              <w:rPr>
                <w:bCs/>
                <w:color w:val="000000" w:themeColor="text1"/>
                <w:sz w:val="22"/>
                <w:szCs w:val="22"/>
              </w:rPr>
              <w:t>child</w:t>
            </w:r>
            <w:r>
              <w:rPr>
                <w:bCs/>
                <w:color w:val="000000" w:themeColor="text1"/>
                <w:sz w:val="22"/>
                <w:szCs w:val="22"/>
              </w:rPr>
              <w:t xml:space="preserve"> </w:t>
            </w:r>
            <w:r w:rsidRPr="00C34B29">
              <w:rPr>
                <w:bCs/>
                <w:color w:val="000000" w:themeColor="text1"/>
                <w:sz w:val="22"/>
                <w:szCs w:val="22"/>
              </w:rPr>
              <w:t>incorrectly respond</w:t>
            </w:r>
            <w:r>
              <w:rPr>
                <w:bCs/>
                <w:color w:val="000000" w:themeColor="text1"/>
                <w:sz w:val="22"/>
                <w:szCs w:val="22"/>
              </w:rPr>
              <w:t>ed</w:t>
            </w:r>
            <w:r w:rsidRPr="00C34B29">
              <w:rPr>
                <w:bCs/>
                <w:color w:val="000000" w:themeColor="text1"/>
                <w:sz w:val="22"/>
                <w:szCs w:val="22"/>
              </w:rPr>
              <w:t xml:space="preserve"> to six items in a row at the end of a set.</w:t>
            </w:r>
            <w:r>
              <w:rPr>
                <w:bCs/>
                <w:color w:val="000000" w:themeColor="text1"/>
                <w:sz w:val="22"/>
                <w:szCs w:val="22"/>
              </w:rPr>
              <w:t xml:space="preserve"> </w:t>
            </w:r>
          </w:p>
          <w:p w14:paraId="25E82BEC" w14:textId="77777777" w:rsidR="0098141B" w:rsidRPr="00C20A61" w:rsidRDefault="0098141B" w:rsidP="0098141B">
            <w:pPr>
              <w:rPr>
                <w:bCs/>
                <w:color w:val="000000" w:themeColor="text1"/>
                <w:sz w:val="22"/>
                <w:szCs w:val="22"/>
              </w:rPr>
            </w:pPr>
            <w:r w:rsidRPr="00C34B29">
              <w:rPr>
                <w:bCs/>
                <w:color w:val="000000" w:themeColor="text1"/>
                <w:sz w:val="22"/>
                <w:szCs w:val="22"/>
                <w:u w:val="single"/>
              </w:rPr>
              <w:t>Psychometric Properties:</w:t>
            </w:r>
            <w:r w:rsidRPr="00C34B29">
              <w:rPr>
                <w:bCs/>
                <w:color w:val="000000" w:themeColor="text1"/>
                <w:sz w:val="22"/>
                <w:szCs w:val="22"/>
              </w:rPr>
              <w:t xml:space="preserve"> Reviews have demonstrated that subtests of the Woodcock-Johnson Tests of Achievement demonstrate acceptable to excellent reliability </w:t>
            </w:r>
            <w:r w:rsidRPr="00C34B29">
              <w:rPr>
                <w:bCs/>
                <w:color w:val="000000" w:themeColor="text1"/>
                <w:sz w:val="22"/>
                <w:szCs w:val="22"/>
              </w:rPr>
              <w:fldChar w:fldCharType="begin" w:fldLock="1"/>
            </w:r>
            <w:r w:rsidRPr="00C34B29">
              <w:rPr>
                <w:bCs/>
                <w:color w:val="000000" w:themeColor="text1"/>
                <w:sz w:val="22"/>
                <w:szCs w:val="22"/>
              </w:rPr>
              <w:instrText>ADDIN CSL_CITATION {"citationItems":[{"id":"ITEM-1","itemData":{"DOI":"10.1177/0734282915569447","ISBN":"0734282915","ISSN":"0734-2829","abstract":"The Woodcock-Johnson IV Tests of Achievement (WJ IV ACH; Schrank, Mather, &amp; McGrew, 2014a) is an individually administered measure containing tests of reading, mathematics, written language, and academic knowledge. Areas of reading, mathematics, and written language each include tests of basic skills, fluency, and application. Academic knowledge includes tests of science, social studies, and humanities. The test authors note that the WJ IV ACH can be used to assist with determining an individual's academic strengths and weaknesses, diagnosing specific abilities and disabilities, and educational planning (Schrank et al., 2014a). When used in conjunction with the WJ IV Tests of Cognitive Abilities (WJ IV COG; Schrank, McGrew, &amp; Mather, 2014) and the WJ IV Tests of Oral Language (WJ IV OL; Schrank, Mather, &amp; McGrew, 2014b), it can also be used to evaluate variations between an individual's achievement and cognitive and linguistic abilities. Interpretation of WJ IV test batteries is based on the Cattell-Horn-Carroll (CHC) theory of cognitive abilities (see Schneider &amp; McGrew, 2012). The WJ IV ACH was published by Riverside in 2014; the previous version, the WJ III Tests of Achievement (Woodcock, McGrew, &amp; Mather, 2001), was published in 2001. There are seven new tests in the WJ IV ACH; however, it no longer includes tests of oral language abilities as these are now published separately. Examiners should have knowledge of exact WJ IV ACH administration and scoring procedures; graduate-level training in educational and psychological assessment is recommended (Schrank et al., 2014a). The test may be administered to individuals from age 2 to over 90 years. Most of the tests in the WJ IV ACH require 5 to 10 min to administer; however, some require 15 to 20 min. This review concluded that despite some relatively minor limitations, the WJ IV ACH is a strong test and meets its stated purpose. If used appropriately, and as a complement to other forms of psychological and educational data, it can certainly assist with diagnosis of specific disabilities and can serve as a general evaluation tool to guide more narrow evaluations that can better inform intervention and educational planning.","author":[{"dropping-particle":"","family":"Villarreal","given":"Victor","non-dropping-particle":"","parse-names":false,"suffix":""}],"container-title":"Journal of Psychoeducational Assessment","id":"ITEM-1","issue":"4","issued":{"date-parts":[["2015","7","2"]]},"page":"391-398","title":"Test Review: Schrank, F. A., Mather, N., &amp; McGrew, K. S. (2014). Woodcock-Johnson IV Tests of Achievement","type":"article-journal","volume":"33"},"uris":["http://www.mendeley.com/documents/?uuid=9ea56002-bfe6-4b73-b44d-4b5b318999ff"]}],"mendeley":{"formattedCitation":"(Villarreal, 2015)","plainTextFormattedCitation":"(Villarreal, 2015)","previouslyFormattedCitation":"(Villarreal, 2015)"},"properties":{"noteIndex":0},"schema":"https://github.com/citation-style-language/schema/raw/master/csl-citation.json"}</w:instrText>
            </w:r>
            <w:r w:rsidRPr="00C34B29">
              <w:rPr>
                <w:bCs/>
                <w:color w:val="000000" w:themeColor="text1"/>
                <w:sz w:val="22"/>
                <w:szCs w:val="22"/>
              </w:rPr>
              <w:fldChar w:fldCharType="separate"/>
            </w:r>
            <w:r w:rsidRPr="00C34B29">
              <w:rPr>
                <w:bCs/>
                <w:noProof/>
                <w:color w:val="000000" w:themeColor="text1"/>
                <w:sz w:val="22"/>
                <w:szCs w:val="22"/>
              </w:rPr>
              <w:t>(Villarreal, 2015)</w:t>
            </w:r>
            <w:r w:rsidRPr="00C34B29">
              <w:rPr>
                <w:bCs/>
                <w:color w:val="000000" w:themeColor="text1"/>
                <w:sz w:val="22"/>
                <w:szCs w:val="22"/>
              </w:rPr>
              <w:fldChar w:fldCharType="end"/>
            </w:r>
            <w:r w:rsidRPr="00C34B29">
              <w:rPr>
                <w:bCs/>
                <w:color w:val="000000" w:themeColor="text1"/>
                <w:sz w:val="22"/>
                <w:szCs w:val="22"/>
              </w:rPr>
              <w:t>.</w:t>
            </w:r>
          </w:p>
        </w:tc>
      </w:tr>
      <w:tr w:rsidR="0098141B" w:rsidRPr="00C26054" w14:paraId="18FEA9FA" w14:textId="77777777" w:rsidTr="00E76C56">
        <w:tblPrEx>
          <w:tblBorders>
            <w:top w:val="single" w:sz="4" w:space="0" w:color="auto"/>
            <w:bottom w:val="single" w:sz="4" w:space="0" w:color="auto"/>
          </w:tblBorders>
        </w:tblPrEx>
        <w:tc>
          <w:tcPr>
            <w:tcW w:w="750" w:type="pct"/>
            <w:gridSpan w:val="2"/>
            <w:tcBorders>
              <w:top w:val="single" w:sz="4" w:space="0" w:color="auto"/>
              <w:bottom w:val="single" w:sz="4" w:space="0" w:color="auto"/>
            </w:tcBorders>
            <w:vAlign w:val="center"/>
          </w:tcPr>
          <w:p w14:paraId="63A8B945" w14:textId="364D2BB9" w:rsidR="0098141B" w:rsidRPr="0098141B" w:rsidRDefault="0098141B" w:rsidP="0098141B">
            <w:pPr>
              <w:rPr>
                <w:sz w:val="22"/>
                <w:szCs w:val="22"/>
              </w:rPr>
            </w:pPr>
            <w:r w:rsidRPr="0098141B">
              <w:rPr>
                <w:bCs/>
                <w:sz w:val="22"/>
                <w:szCs w:val="22"/>
              </w:rPr>
              <w:t>Letters subtest of the Bracken Basic Concept Scale</w:t>
            </w:r>
            <w:r w:rsidRPr="0098141B">
              <w:rPr>
                <w:bCs/>
                <w:color w:val="000000" w:themeColor="text1"/>
                <w:sz w:val="22"/>
                <w:szCs w:val="22"/>
              </w:rPr>
              <w:t xml:space="preserve"> (BRLI;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{"citationItems":[{"id":"ITEM-1","itemData":{"author":[{"dropping-particle":"","family":"Bracken","given":"B.A.","non-dropping-particle":"","parse-names":false,"suffix":""}],"id":"ITEM-1","issued":{"date-parts":[["2006"]]},"publisher":"Psychological Corporation","publisher-place":"San Antonio, TX","title":"Bracken Basic Concept Scale - Third Edition: Receptive examiner's manual","type":"article"},"uris":["http://www.mendeley.com/documents/?uuid=8461822a-bc23-4b32-8a30-5f16b3e60986"]}],"mendeley":{"formattedCitation":"(Bracken, 2006)","manualFormatting":"Bracken, 2006)","plainTextFormattedCitation":"(Bracken, 2006)","previouslyFormattedCitation":"(Bracken, 2006)"},"properties":{"noteIndex":0},"schema":"https://github.com/citation-style-language/schema/raw/master/csl-citation.json"}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Bracken, 2006)</w:t>
            </w:r>
            <w:r w:rsidRPr="0098141B">
              <w:rPr>
                <w:bCs/>
                <w:color w:val="000000" w:themeColor="text1"/>
                <w:sz w:val="22"/>
                <w:szCs w:val="22"/>
              </w:rPr>
              <w:fldChar w:fldCharType="end"/>
            </w:r>
          </w:p>
        </w:tc>
        <w:tc>
          <w:tcPr>
            <w:tcW w:w="4250" w:type="pct"/>
            <w:tcBorders>
              <w:top w:val="single" w:sz="4" w:space="0" w:color="auto"/>
              <w:bottom w:val="single" w:sz="4" w:space="0" w:color="auto"/>
            </w:tcBorders>
          </w:tcPr>
          <w:p w14:paraId="5AD88526" w14:textId="77777777" w:rsidR="0098141B" w:rsidRDefault="0098141B" w:rsidP="0098141B">
            <w:pPr>
              <w:rPr>
                <w:sz w:val="22"/>
                <w:szCs w:val="22"/>
                <w:u w:val="single"/>
              </w:rPr>
            </w:pPr>
            <w:r w:rsidRPr="00C26054">
              <w:rPr>
                <w:sz w:val="22"/>
                <w:szCs w:val="22"/>
                <w:u w:val="single"/>
              </w:rPr>
              <w:t>Skills Assessed:</w:t>
            </w:r>
            <w:r w:rsidRPr="0083685F">
              <w:rPr>
                <w:sz w:val="22"/>
                <w:szCs w:val="22"/>
              </w:rPr>
              <w:t xml:space="preserve"> Letter recognition.</w:t>
            </w:r>
          </w:p>
          <w:p w14:paraId="3F78F106" w14:textId="77777777" w:rsidR="0098141B" w:rsidRPr="00C26054" w:rsidRDefault="0098141B" w:rsidP="0098141B">
            <w:pPr>
              <w:rPr>
                <w:sz w:val="22"/>
                <w:szCs w:val="22"/>
                <w:u w:val="single"/>
              </w:rPr>
            </w:pPr>
            <w:r>
              <w:rPr>
                <w:sz w:val="22"/>
                <w:szCs w:val="22"/>
                <w:u w:val="single"/>
              </w:rPr>
              <w:t>Task:</w:t>
            </w:r>
            <w:r w:rsidRPr="004B5B52">
              <w:rPr>
                <w:bCs/>
                <w:color w:val="000000" w:themeColor="text1"/>
              </w:rPr>
              <w:t xml:space="preserve"> </w:t>
            </w:r>
            <w:r w:rsidRPr="0083685F">
              <w:rPr>
                <w:bCs/>
                <w:color w:val="000000" w:themeColor="text1"/>
                <w:sz w:val="22"/>
                <w:szCs w:val="22"/>
              </w:rPr>
              <w:t xml:space="preserve">During the BRLI, children </w:t>
            </w:r>
            <w:r>
              <w:rPr>
                <w:bCs/>
                <w:color w:val="000000" w:themeColor="text1"/>
                <w:sz w:val="22"/>
                <w:szCs w:val="22"/>
              </w:rPr>
              <w:t>we</w:t>
            </w:r>
            <w:r w:rsidRPr="0083685F">
              <w:rPr>
                <w:bCs/>
                <w:color w:val="000000" w:themeColor="text1"/>
                <w:sz w:val="22"/>
                <w:szCs w:val="22"/>
              </w:rPr>
              <w:t xml:space="preserve">re shown pages of the stimulus book that have several letters (uppercase and/or lowercase) scattered across them. They </w:t>
            </w:r>
            <w:r>
              <w:rPr>
                <w:bCs/>
                <w:color w:val="000000" w:themeColor="text1"/>
                <w:sz w:val="22"/>
                <w:szCs w:val="22"/>
              </w:rPr>
              <w:t>we</w:t>
            </w:r>
            <w:r w:rsidRPr="0083685F">
              <w:rPr>
                <w:bCs/>
                <w:color w:val="000000" w:themeColor="text1"/>
                <w:sz w:val="22"/>
                <w:szCs w:val="22"/>
              </w:rPr>
              <w:t>re asked to identify specific letters by pointing to the letter on the page that correspond</w:t>
            </w:r>
            <w:r>
              <w:rPr>
                <w:bCs/>
                <w:color w:val="000000" w:themeColor="text1"/>
                <w:sz w:val="22"/>
                <w:szCs w:val="22"/>
              </w:rPr>
              <w:t>ed</w:t>
            </w:r>
            <w:r w:rsidRPr="0083685F">
              <w:rPr>
                <w:bCs/>
                <w:color w:val="000000" w:themeColor="text1"/>
                <w:sz w:val="22"/>
                <w:szCs w:val="22"/>
              </w:rPr>
              <w:t xml:space="preserve"> with the research assistant’s instructions (e.g., Show me, “A”).</w:t>
            </w:r>
          </w:p>
          <w:p w14:paraId="1DC35470" w14:textId="77777777" w:rsidR="0098141B" w:rsidRPr="00C26054" w:rsidRDefault="0098141B" w:rsidP="0098141B">
            <w:pPr>
              <w:rPr>
                <w:bCs/>
                <w:color w:val="000000" w:themeColor="text1"/>
                <w:sz w:val="22"/>
                <w:szCs w:val="22"/>
              </w:rPr>
            </w:pPr>
            <w:r w:rsidRPr="00C26054">
              <w:rPr>
                <w:sz w:val="22"/>
                <w:szCs w:val="22"/>
                <w:u w:val="single"/>
              </w:rPr>
              <w:t>Scoring:</w:t>
            </w:r>
            <w:r w:rsidRPr="00C26054">
              <w:rPr>
                <w:bCs/>
                <w:color w:val="000000" w:themeColor="text1"/>
                <w:sz w:val="22"/>
                <w:szCs w:val="22"/>
              </w:rPr>
              <w:t xml:space="preserve"> </w:t>
            </w:r>
            <w:r w:rsidRPr="004B5B52">
              <w:rPr>
                <w:bCs/>
                <w:color w:val="000000" w:themeColor="text1"/>
              </w:rPr>
              <w:t xml:space="preserve">The </w:t>
            </w:r>
            <w:r>
              <w:rPr>
                <w:bCs/>
                <w:color w:val="000000" w:themeColor="text1"/>
              </w:rPr>
              <w:t>BRLI</w:t>
            </w:r>
            <w:r w:rsidRPr="004B5B52">
              <w:rPr>
                <w:bCs/>
                <w:color w:val="000000" w:themeColor="text1"/>
              </w:rPr>
              <w:t xml:space="preserve"> consists of 15 items and children earn</w:t>
            </w:r>
            <w:r>
              <w:rPr>
                <w:bCs/>
                <w:color w:val="000000" w:themeColor="text1"/>
              </w:rPr>
              <w:t>ed</w:t>
            </w:r>
            <w:r w:rsidRPr="004B5B52">
              <w:rPr>
                <w:bCs/>
                <w:color w:val="000000" w:themeColor="text1"/>
              </w:rPr>
              <w:t xml:space="preserve"> 1 point for each correct answer</w:t>
            </w:r>
            <w:r>
              <w:rPr>
                <w:bCs/>
                <w:color w:val="000000" w:themeColor="text1"/>
              </w:rPr>
              <w:t xml:space="preserve">. </w:t>
            </w:r>
            <w:r w:rsidRPr="0083685F">
              <w:rPr>
                <w:bCs/>
                <w:color w:val="000000" w:themeColor="text1"/>
                <w:sz w:val="22"/>
                <w:szCs w:val="22"/>
              </w:rPr>
              <w:t>If a child incorrectly identified 3 letters in a row, the research assistant discontinued the subtest.</w:t>
            </w:r>
          </w:p>
          <w:p w14:paraId="698B1DAF" w14:textId="77777777" w:rsidR="0098141B" w:rsidRPr="0083685F" w:rsidRDefault="0098141B" w:rsidP="0098141B">
            <w:pPr>
              <w:rPr>
                <w:bCs/>
                <w:color w:val="000000" w:themeColor="text1"/>
                <w:sz w:val="22"/>
                <w:szCs w:val="22"/>
              </w:rPr>
            </w:pPr>
            <w:r w:rsidRPr="00C26054">
              <w:rPr>
                <w:bCs/>
                <w:color w:val="000000" w:themeColor="text1"/>
                <w:sz w:val="22"/>
                <w:szCs w:val="22"/>
                <w:u w:val="single"/>
              </w:rPr>
              <w:t>Psychometric Properties:</w:t>
            </w:r>
            <w:r w:rsidRPr="004B5B52">
              <w:rPr>
                <w:bCs/>
                <w:color w:val="000000" w:themeColor="text1"/>
              </w:rPr>
              <w:t xml:space="preserve"> </w:t>
            </w:r>
            <w:r w:rsidRPr="0083685F">
              <w:rPr>
                <w:bCs/>
                <w:color w:val="000000" w:themeColor="text1"/>
                <w:sz w:val="22"/>
                <w:szCs w:val="22"/>
              </w:rPr>
              <w:t xml:space="preserve">Past research suggests that the Bracken Basic Concept Scale (which includes the BRLI and other subtests such as colors and shapes) is a reliable and valid measure of basic academic skills among </w:t>
            </w:r>
            <w:r>
              <w:rPr>
                <w:bCs/>
                <w:color w:val="000000" w:themeColor="text1"/>
                <w:sz w:val="22"/>
                <w:szCs w:val="22"/>
              </w:rPr>
              <w:t>preschoolers</w:t>
            </w:r>
            <w:r w:rsidRPr="0083685F">
              <w:rPr>
                <w:bCs/>
                <w:color w:val="000000" w:themeColor="text1"/>
                <w:sz w:val="22"/>
                <w:szCs w:val="22"/>
              </w:rPr>
              <w:t xml:space="preserve"> </w:t>
            </w:r>
            <w:r w:rsidRPr="0083685F">
              <w:rPr>
                <w:bCs/>
                <w:color w:val="000000" w:themeColor="text1"/>
                <w:sz w:val="22"/>
                <w:szCs w:val="22"/>
              </w:rPr>
              <w:fldChar w:fldCharType="begin" w:fldLock="1"/>
            </w:r>
            <w:r w:rsidRPr="0083685F">
              <w:rPr>
                <w:bCs/>
                <w:color w:val="000000" w:themeColor="text1"/>
                <w:sz w:val="22"/>
                <w:szCs w:val="22"/>
              </w:rPr>
              <w:instrText>ADDIN CSL_CITATION {"citationItems":[{"id":"ITEM-1","itemData":{"author":[{"dropping-particle":"","family":"Bracken","given":"B.A.","non-dropping-particle":"","parse-names":false,"suffix":""}],"id":"ITEM-1","issued":{"date-parts":[["2006"]]},"publisher":"Psychological Corporation","publisher-place":"San Antonio, TX","title":"Bracken Basic Concept Scale - Third Edition: Receptive examiner's manual","type":"article"},"uris":["http://www.mendeley.com/documents/?uuid=8461822a-bc23-4b32-8a30-5f16b3e60986"]}],"mendeley":{"formattedCitation":"(Bracken, 2006)","plainTextFormattedCitation":"(Bracken, 2006)","previouslyFormattedCitation":"(Bracken, 2006)"},"properties":{"noteIndex":0},"schema":"https://github.com/citation-style-language/schema/raw/master/csl-citation.json"}</w:instrText>
            </w:r>
            <w:r w:rsidRPr="0083685F">
              <w:rPr>
                <w:bCs/>
                <w:color w:val="000000" w:themeColor="text1"/>
                <w:sz w:val="22"/>
                <w:szCs w:val="22"/>
              </w:rPr>
              <w:fldChar w:fldCharType="separate"/>
            </w:r>
            <w:r w:rsidRPr="0083685F">
              <w:rPr>
                <w:bCs/>
                <w:noProof/>
                <w:color w:val="000000" w:themeColor="text1"/>
                <w:sz w:val="22"/>
                <w:szCs w:val="22"/>
              </w:rPr>
              <w:t>(Bracken, 2006)</w:t>
            </w:r>
            <w:r w:rsidRPr="0083685F">
              <w:rPr>
                <w:bCs/>
                <w:color w:val="000000" w:themeColor="text1"/>
                <w:sz w:val="22"/>
                <w:szCs w:val="22"/>
              </w:rPr>
              <w:fldChar w:fldCharType="end"/>
            </w:r>
            <w:r w:rsidRPr="0083685F">
              <w:rPr>
                <w:bCs/>
                <w:color w:val="000000" w:themeColor="text1"/>
                <w:sz w:val="22"/>
                <w:szCs w:val="22"/>
              </w:rPr>
              <w:t>, which is reflected by our sample (</w:t>
            </w:r>
            <w:r w:rsidRPr="0083685F">
              <w:rPr>
                <w:rFonts w:ascii="Symbol" w:hAnsi="Symbol"/>
                <w:bCs/>
                <w:color w:val="000000" w:themeColor="text1"/>
                <w:sz w:val="22"/>
                <w:szCs w:val="22"/>
              </w:rPr>
              <w:t>w</w:t>
            </w:r>
            <w:r w:rsidRPr="0083685F">
              <w:rPr>
                <w:rFonts w:cs="Times New Roman"/>
                <w:bCs/>
                <w:color w:val="000000" w:themeColor="text1"/>
                <w:sz w:val="22"/>
                <w:szCs w:val="22"/>
                <w:vertAlign w:val="subscript"/>
              </w:rPr>
              <w:t>fall</w:t>
            </w:r>
            <w:r w:rsidRPr="0083685F">
              <w:rPr>
                <w:rFonts w:cs="Times New Roman"/>
                <w:bCs/>
                <w:color w:val="000000" w:themeColor="text1"/>
                <w:sz w:val="22"/>
                <w:szCs w:val="22"/>
              </w:rPr>
              <w:t xml:space="preserve"> = .93;</w:t>
            </w:r>
            <w:r w:rsidRPr="0083685F">
              <w:rPr>
                <w:rFonts w:asciiTheme="minorHAnsi" w:hAnsiTheme="minorHAnsi" w:cstheme="minorHAnsi"/>
                <w:bCs/>
                <w:color w:val="000000" w:themeColor="text1"/>
                <w:sz w:val="22"/>
                <w:szCs w:val="22"/>
              </w:rPr>
              <w:t xml:space="preserve"> </w:t>
            </w:r>
            <w:r w:rsidRPr="0083685F">
              <w:rPr>
                <w:rFonts w:ascii="Symbol" w:hAnsi="Symbol"/>
                <w:bCs/>
                <w:color w:val="000000" w:themeColor="text1"/>
                <w:sz w:val="22"/>
                <w:szCs w:val="22"/>
              </w:rPr>
              <w:t>w</w:t>
            </w:r>
            <w:r w:rsidRPr="0083685F">
              <w:rPr>
                <w:rFonts w:cs="Times New Roman"/>
                <w:bCs/>
                <w:color w:val="000000" w:themeColor="text1"/>
                <w:sz w:val="22"/>
                <w:szCs w:val="22"/>
                <w:vertAlign w:val="subscript"/>
              </w:rPr>
              <w:t>spring</w:t>
            </w:r>
            <w:r w:rsidRPr="0083685F">
              <w:rPr>
                <w:rFonts w:cs="Times New Roman"/>
                <w:bCs/>
                <w:color w:val="000000" w:themeColor="text1"/>
                <w:sz w:val="22"/>
                <w:szCs w:val="22"/>
              </w:rPr>
              <w:t xml:space="preserve"> =</w:t>
            </w:r>
            <w:r w:rsidRPr="0083685F">
              <w:rPr>
                <w:rFonts w:asciiTheme="minorHAnsi" w:hAnsiTheme="minorHAnsi" w:cstheme="minorHAnsi"/>
                <w:bCs/>
                <w:color w:val="000000" w:themeColor="text1"/>
                <w:sz w:val="22"/>
                <w:szCs w:val="22"/>
              </w:rPr>
              <w:t xml:space="preserve"> </w:t>
            </w:r>
            <w:r w:rsidRPr="0083685F">
              <w:rPr>
                <w:rFonts w:cs="Times New Roman"/>
                <w:bCs/>
                <w:color w:val="000000" w:themeColor="text1"/>
                <w:sz w:val="22"/>
                <w:szCs w:val="22"/>
              </w:rPr>
              <w:t>.93).</w:t>
            </w:r>
          </w:p>
        </w:tc>
      </w:tr>
      <w:tr w:rsidR="0098141B" w:rsidRPr="00C26054" w14:paraId="23FB7DB4" w14:textId="77777777" w:rsidTr="00E76C56">
        <w:tblPrEx>
          <w:tblBorders>
            <w:top w:val="single" w:sz="4" w:space="0" w:color="auto"/>
            <w:bottom w:val="single" w:sz="4" w:space="0" w:color="auto"/>
          </w:tblBorders>
        </w:tblPrEx>
        <w:tc>
          <w:tcPr>
            <w:tcW w:w="750" w:type="pct"/>
            <w:gridSpan w:val="2"/>
            <w:tcBorders>
              <w:top w:val="single" w:sz="4" w:space="0" w:color="auto"/>
            </w:tcBorders>
            <w:vAlign w:val="center"/>
          </w:tcPr>
          <w:p w14:paraId="49933917" w14:textId="77777777" w:rsidR="0098141B" w:rsidRPr="0098141B" w:rsidRDefault="0098141B" w:rsidP="0098141B">
            <w:pPr>
              <w:pStyle w:val="NormalWeb"/>
              <w:widowControl w:val="0"/>
              <w:spacing w:before="0" w:beforeAutospacing="0" w:after="0" w:afterAutospacing="0"/>
              <w:contextualSpacing/>
              <w:rPr>
                <w:bCs/>
                <w:color w:val="000000" w:themeColor="text1"/>
                <w:sz w:val="22"/>
                <w:szCs w:val="22"/>
              </w:rPr>
            </w:pPr>
            <w:r w:rsidRPr="0098141B">
              <w:rPr>
                <w:bCs/>
                <w:sz w:val="22"/>
                <w:szCs w:val="22"/>
              </w:rPr>
              <w:t>Get Ready to Read Revised (</w:t>
            </w:r>
            <w:r w:rsidRPr="0098141B">
              <w:rPr>
                <w:bCs/>
                <w:color w:val="000000" w:themeColor="text1"/>
                <w:sz w:val="22"/>
                <w:szCs w:val="22"/>
              </w:rPr>
              <w:t xml:space="preserve">GRTR; </w:t>
            </w:r>
            <w:r w:rsidRPr="0098141B">
              <w:rPr>
                <w:bCs/>
                <w:color w:val="000000" w:themeColor="text1"/>
                <w:sz w:val="22"/>
                <w:szCs w:val="22"/>
              </w:rPr>
              <w:fldChar w:fldCharType="begin" w:fldLock="1"/>
            </w:r>
            <w:r w:rsidRPr="0098141B">
              <w:rPr>
                <w:bCs/>
                <w:color w:val="000000" w:themeColor="text1"/>
                <w:sz w:val="22"/>
                <w:szCs w:val="22"/>
              </w:rPr>
              <w:instrText>ADDIN CSL_CITATION {"citationItems":[{"id":"ITEM-1","itemData":{"author":[{"dropping-particle":"","family":"Lonigan","given":"Christopher J.","non-dropping-particle":"","parse-names":false,"suffix":""},{"dropping-particle":"","family":"Wilson","given":"S.B.","non-dropping-particle":"","parse-names":false,"suffix":""}],"id":"ITEM-1","issued":{"date-parts":[["2008"]]},"publisher-place":"Tallahassee, FL","title":"Report on the revised Get Read to Read! screening tool: Psychometrics and normative infomation. Final report prepared for the National Center on Learning Disabilities","type":"report"},"uris":["http://www.mendeley.com/documents/?uuid=6ad0fd0b-1c6c-42ed-86dc-b60699b5923e"]}],"mendeley":{"formattedCitation":"(Lonigan &amp; Wilson, 2008)","manualFormatting":"Lonigan &amp; Wilson, 2008)","plainTextFormattedCitation":"(Lonigan &amp; Wilson, 2008)","previouslyFormattedCitation":"(Lonigan &amp; Wilson, 2008)"},"properties":{"noteIndex":0},"schema":"https://github.com/citation-style-language/schema/raw/master/csl-citation.json"}</w:instrText>
            </w:r>
            <w:r w:rsidRPr="0098141B">
              <w:rPr>
                <w:bCs/>
                <w:color w:val="000000" w:themeColor="text1"/>
                <w:sz w:val="22"/>
                <w:szCs w:val="22"/>
              </w:rPr>
              <w:fldChar w:fldCharType="separate"/>
            </w:r>
            <w:r w:rsidRPr="0098141B">
              <w:rPr>
                <w:bCs/>
                <w:noProof/>
                <w:color w:val="000000" w:themeColor="text1"/>
                <w:sz w:val="22"/>
                <w:szCs w:val="22"/>
              </w:rPr>
              <w:t xml:space="preserve">Lonigan &amp; </w:t>
            </w:r>
            <w:r w:rsidRPr="0098141B">
              <w:rPr>
                <w:bCs/>
                <w:noProof/>
                <w:color w:val="000000" w:themeColor="text1"/>
                <w:sz w:val="22"/>
                <w:szCs w:val="22"/>
              </w:rPr>
              <w:lastRenderedPageBreak/>
              <w:t>Wilson, 2008)</w:t>
            </w:r>
            <w:r w:rsidRPr="0098141B">
              <w:rPr>
                <w:bCs/>
                <w:color w:val="000000" w:themeColor="text1"/>
                <w:sz w:val="22"/>
                <w:szCs w:val="22"/>
              </w:rPr>
              <w:fldChar w:fldCharType="end"/>
            </w:r>
          </w:p>
          <w:p w14:paraId="2C167C50" w14:textId="77777777" w:rsidR="0098141B" w:rsidRPr="0098141B" w:rsidRDefault="0098141B" w:rsidP="0098141B">
            <w:pPr>
              <w:rPr>
                <w:bCs/>
                <w:color w:val="000000" w:themeColor="text1"/>
                <w:sz w:val="22"/>
                <w:szCs w:val="22"/>
              </w:rPr>
            </w:pPr>
          </w:p>
        </w:tc>
        <w:tc>
          <w:tcPr>
            <w:tcW w:w="4250" w:type="pct"/>
            <w:tcBorders>
              <w:top w:val="single" w:sz="4" w:space="0" w:color="auto"/>
            </w:tcBorders>
          </w:tcPr>
          <w:p w14:paraId="75ABCE85" w14:textId="77777777" w:rsidR="0098141B" w:rsidRPr="00C20A61" w:rsidRDefault="0098141B" w:rsidP="0098141B">
            <w:pPr>
              <w:rPr>
                <w:sz w:val="22"/>
                <w:szCs w:val="22"/>
              </w:rPr>
            </w:pPr>
            <w:r w:rsidRPr="00C26054">
              <w:rPr>
                <w:sz w:val="22"/>
                <w:szCs w:val="22"/>
                <w:u w:val="single"/>
              </w:rPr>
              <w:lastRenderedPageBreak/>
              <w:t>Skills Assessed:</w:t>
            </w:r>
            <w:r>
              <w:rPr>
                <w:sz w:val="22"/>
                <w:szCs w:val="22"/>
              </w:rPr>
              <w:t xml:space="preserve"> Emerging reading skills.</w:t>
            </w:r>
          </w:p>
          <w:p w14:paraId="5B1EACC4" w14:textId="77777777" w:rsidR="0098141B" w:rsidRPr="00C26054" w:rsidRDefault="0098141B" w:rsidP="0098141B">
            <w:pPr>
              <w:rPr>
                <w:sz w:val="22"/>
                <w:szCs w:val="22"/>
                <w:u w:val="single"/>
              </w:rPr>
            </w:pPr>
            <w:r>
              <w:rPr>
                <w:sz w:val="22"/>
                <w:szCs w:val="22"/>
                <w:u w:val="single"/>
              </w:rPr>
              <w:t>Task:</w:t>
            </w:r>
            <w:r w:rsidRPr="004B5B52">
              <w:rPr>
                <w:bCs/>
                <w:color w:val="000000" w:themeColor="text1"/>
              </w:rPr>
              <w:t xml:space="preserve"> </w:t>
            </w:r>
            <w:r w:rsidRPr="00C20A61">
              <w:rPr>
                <w:bCs/>
                <w:color w:val="000000" w:themeColor="text1"/>
                <w:sz w:val="22"/>
                <w:szCs w:val="22"/>
              </w:rPr>
              <w:t xml:space="preserve">Children were shown four pictures from a stimulus book and asked to point to the picture that demonstrated the answer the research assistant’s question (e.g., </w:t>
            </w:r>
            <w:r w:rsidRPr="00C20A61">
              <w:rPr>
                <w:bCs/>
                <w:color w:val="000000" w:themeColor="text1"/>
                <w:sz w:val="22"/>
                <w:szCs w:val="22"/>
              </w:rPr>
              <w:lastRenderedPageBreak/>
              <w:t>“These are pictures of a cereal box. Which picture tells you the name of the cereal?”)</w:t>
            </w:r>
            <w:r>
              <w:rPr>
                <w:bCs/>
                <w:color w:val="000000" w:themeColor="text1"/>
                <w:sz w:val="22"/>
                <w:szCs w:val="22"/>
              </w:rPr>
              <w:t>.</w:t>
            </w:r>
          </w:p>
          <w:p w14:paraId="42D6BD22" w14:textId="77777777" w:rsidR="0098141B" w:rsidRPr="00C26054" w:rsidRDefault="0098141B" w:rsidP="0098141B">
            <w:pPr>
              <w:rPr>
                <w:bCs/>
                <w:color w:val="000000" w:themeColor="text1"/>
                <w:sz w:val="22"/>
                <w:szCs w:val="22"/>
              </w:rPr>
            </w:pPr>
            <w:r w:rsidRPr="00C26054">
              <w:rPr>
                <w:sz w:val="22"/>
                <w:szCs w:val="22"/>
                <w:u w:val="single"/>
              </w:rPr>
              <w:t>Scoring</w:t>
            </w:r>
            <w:r w:rsidRPr="00C20A61">
              <w:rPr>
                <w:sz w:val="21"/>
                <w:szCs w:val="20"/>
                <w:u w:val="single"/>
              </w:rPr>
              <w:t>:</w:t>
            </w:r>
            <w:r w:rsidRPr="00C20A61">
              <w:rPr>
                <w:bCs/>
                <w:color w:val="000000" w:themeColor="text1"/>
                <w:sz w:val="21"/>
                <w:szCs w:val="20"/>
              </w:rPr>
              <w:t xml:space="preserve"> </w:t>
            </w:r>
            <w:r w:rsidRPr="00C20A61">
              <w:rPr>
                <w:bCs/>
                <w:color w:val="000000" w:themeColor="text1"/>
                <w:sz w:val="22"/>
                <w:szCs w:val="22"/>
              </w:rPr>
              <w:t>Children were administered all 25 items of the GRTR and were awarded 1 point for each correct response (maximum score = 25).</w:t>
            </w:r>
          </w:p>
          <w:p w14:paraId="4322AAB3" w14:textId="77777777" w:rsidR="0098141B" w:rsidRPr="00C26054" w:rsidRDefault="0098141B" w:rsidP="0098141B">
            <w:pPr>
              <w:rPr>
                <w:sz w:val="22"/>
                <w:szCs w:val="22"/>
                <w:u w:val="single"/>
              </w:rPr>
            </w:pPr>
            <w:r w:rsidRPr="00C26054">
              <w:rPr>
                <w:bCs/>
                <w:color w:val="000000" w:themeColor="text1"/>
                <w:sz w:val="22"/>
                <w:szCs w:val="22"/>
                <w:u w:val="single"/>
              </w:rPr>
              <w:t>Psychometric Properties:</w:t>
            </w:r>
            <w:r w:rsidRPr="00C26054">
              <w:rPr>
                <w:bCs/>
                <w:color w:val="000000" w:themeColor="text1"/>
                <w:sz w:val="22"/>
                <w:szCs w:val="22"/>
              </w:rPr>
              <w:t xml:space="preserve"> </w:t>
            </w:r>
            <w:r w:rsidRPr="00C20A61">
              <w:rPr>
                <w:bCs/>
                <w:color w:val="000000" w:themeColor="text1"/>
                <w:sz w:val="22"/>
                <w:szCs w:val="22"/>
              </w:rPr>
              <w:t>Previous studies demonstrate</w:t>
            </w:r>
            <w:r>
              <w:rPr>
                <w:bCs/>
                <w:color w:val="000000" w:themeColor="text1"/>
                <w:sz w:val="22"/>
                <w:szCs w:val="22"/>
              </w:rPr>
              <w:t xml:space="preserve"> </w:t>
            </w:r>
            <w:r w:rsidRPr="00C20A61">
              <w:rPr>
                <w:bCs/>
                <w:color w:val="000000" w:themeColor="text1"/>
                <w:sz w:val="22"/>
                <w:szCs w:val="22"/>
              </w:rPr>
              <w:t xml:space="preserve">that the GRTR </w:t>
            </w:r>
            <w:r>
              <w:rPr>
                <w:bCs/>
                <w:color w:val="000000" w:themeColor="text1"/>
                <w:sz w:val="22"/>
                <w:szCs w:val="22"/>
              </w:rPr>
              <w:t xml:space="preserve">has </w:t>
            </w:r>
            <w:r w:rsidRPr="00C20A61">
              <w:rPr>
                <w:bCs/>
                <w:color w:val="000000" w:themeColor="text1"/>
                <w:sz w:val="22"/>
                <w:szCs w:val="22"/>
              </w:rPr>
              <w:t xml:space="preserve">adequate reliability and strong predictive validity </w:t>
            </w:r>
            <w:r w:rsidRPr="00C20A61">
              <w:rPr>
                <w:bCs/>
                <w:color w:val="000000" w:themeColor="text1"/>
                <w:sz w:val="22"/>
                <w:szCs w:val="22"/>
              </w:rPr>
              <w:fldChar w:fldCharType="begin" w:fldLock="1"/>
            </w:r>
            <w:r w:rsidRPr="00C20A61">
              <w:rPr>
                <w:bCs/>
                <w:color w:val="000000" w:themeColor="text1"/>
                <w:sz w:val="22"/>
                <w:szCs w:val="22"/>
              </w:rPr>
              <w:instrText>ADDIN CSL_CITATION {"citationItems":[{"id":"ITEM-1","itemData":{"DOI":"10.1177/0022219408326209","ISSN":"0022-2194","abstract":"This study examined concurrent and longitudinal relations for the Get Ready to Read! (GRTR) emergent literacy screener. This measure, within a battery of oral language, letter knowledge, decoding, and phonological awareness tests, was administered to 204 preschool children (mean age = 53.6, SD = 5.78; 55% male) from diverse socioeconomic backgrounds. Subgroups were reassessed at 6 months and 16 and 37 months later. Results indicate strong relations between the GRTR and the literacy and language assessments. Long-term follow-up indicated that the screener was significantly related to some reading-related measures, including decoding skills. These results support the utility of the GRTR as a brief, valid measure of children's emergent literacy skills. The GRTR holds promise as a tool useful for educators, parents, and others in regular contact with preschool children to help determine those who may be at risk for later reading difficulties and could benefit from intervention and focused instruction in emergent literacy.","author":[{"dropping-particle":"","family":"Phillips","given":"Beth M.","non-dropping-particle":"","parse-names":false,"suffix":""},{"dropping-particle":"","family":"Lonigan","given":"Christopher J.","non-dropping-particle":"","parse-names":false,"suffix":""},{"dropping-particle":"","family":"Wyatt","given":"Marcy A.","non-dropping-particle":"","parse-names":false,"suffix":""}],"container-title":"Journal of Learning Disabilities","id":"ITEM-1","issue":"2","issued":{"date-parts":[["2009","3","10"]]},"page":"133-147","title":"Predictive validity of the Get Ready to Read! screener: Concurrent and long-term relations with reading-related skills","type":"article-journal","volume":"42"},"uris":["http://www.mendeley.com/documents/?uuid=2d3862be-ea66-4df2-9ed7-b261d30f7c5a"]},{"id":"ITEM-2","itemData":{"author":[{"dropping-particle":"","family":"Whitehurst","given":"G.J.","non-dropping-particle":"","parse-names":false,"suffix":""}],"id":"ITEM-2","issued":{"date-parts":[["2001"]]},"title":"The NCLD Get Ready to Read! Screening Tool Technical Report","type":"report"},"uris":["http://www.mendeley.com/documents/?uuid=414a1beb-2fce-4742-a4f2-fdcf44484839"]}],"mendeley":{"formattedCitation":"(Phillips et al., 2009; Whitehurst, 2001)","plainTextFormattedCitation":"(Phillips et al., 2009; Whitehurst, 2001)","previouslyFormattedCitation":"(Phillips et al., 2009; Whitehurst, 2001)"},"properties":{"noteIndex":0},"schema":"https://github.com/citation-style-language/schema/raw/master/csl-citation.json"}</w:instrText>
            </w:r>
            <w:r w:rsidRPr="00C20A61">
              <w:rPr>
                <w:bCs/>
                <w:color w:val="000000" w:themeColor="text1"/>
                <w:sz w:val="22"/>
                <w:szCs w:val="22"/>
              </w:rPr>
              <w:fldChar w:fldCharType="separate"/>
            </w:r>
            <w:r w:rsidRPr="00C20A61">
              <w:rPr>
                <w:bCs/>
                <w:noProof/>
                <w:color w:val="000000" w:themeColor="text1"/>
                <w:sz w:val="22"/>
                <w:szCs w:val="22"/>
              </w:rPr>
              <w:t>(Phillips et al., 2009; Whitehurst, 2001)</w:t>
            </w:r>
            <w:r w:rsidRPr="00C20A61">
              <w:rPr>
                <w:bCs/>
                <w:color w:val="000000" w:themeColor="text1"/>
                <w:sz w:val="22"/>
                <w:szCs w:val="22"/>
              </w:rPr>
              <w:fldChar w:fldCharType="end"/>
            </w:r>
            <w:r w:rsidRPr="00C20A61">
              <w:rPr>
                <w:bCs/>
                <w:color w:val="000000" w:themeColor="text1"/>
                <w:sz w:val="22"/>
                <w:szCs w:val="22"/>
              </w:rPr>
              <w:t>; the GRTR also exhibited good reliability in the current sample (</w:t>
            </w:r>
            <w:r w:rsidRPr="00C20A61">
              <w:rPr>
                <w:rFonts w:ascii="Symbol" w:hAnsi="Symbol"/>
                <w:bCs/>
                <w:color w:val="000000" w:themeColor="text1"/>
                <w:sz w:val="22"/>
                <w:szCs w:val="22"/>
              </w:rPr>
              <w:t>w</w:t>
            </w:r>
            <w:r w:rsidRPr="00C20A61">
              <w:rPr>
                <w:rFonts w:cs="Times New Roman"/>
                <w:bCs/>
                <w:color w:val="000000" w:themeColor="text1"/>
                <w:sz w:val="22"/>
                <w:szCs w:val="22"/>
                <w:vertAlign w:val="subscript"/>
              </w:rPr>
              <w:t>fall</w:t>
            </w:r>
            <w:r w:rsidRPr="00C20A61">
              <w:rPr>
                <w:rFonts w:cs="Times New Roman"/>
                <w:bCs/>
                <w:color w:val="000000" w:themeColor="text1"/>
                <w:sz w:val="22"/>
                <w:szCs w:val="22"/>
              </w:rPr>
              <w:t xml:space="preserve"> = .80</w:t>
            </w:r>
            <w:r w:rsidRPr="00C20A61">
              <w:rPr>
                <w:rFonts w:asciiTheme="minorHAnsi" w:hAnsiTheme="minorHAnsi" w:cstheme="minorHAnsi"/>
                <w:bCs/>
                <w:color w:val="000000" w:themeColor="text1"/>
                <w:sz w:val="22"/>
                <w:szCs w:val="22"/>
              </w:rPr>
              <w:t xml:space="preserve">; </w:t>
            </w:r>
            <w:r w:rsidRPr="00C20A61">
              <w:rPr>
                <w:rFonts w:ascii="Symbol" w:hAnsi="Symbol"/>
                <w:bCs/>
                <w:color w:val="000000" w:themeColor="text1"/>
                <w:sz w:val="22"/>
                <w:szCs w:val="22"/>
              </w:rPr>
              <w:t>w</w:t>
            </w:r>
            <w:r w:rsidRPr="00C20A61">
              <w:rPr>
                <w:rFonts w:cs="Times New Roman"/>
                <w:bCs/>
                <w:color w:val="000000" w:themeColor="text1"/>
                <w:sz w:val="22"/>
                <w:szCs w:val="22"/>
                <w:vertAlign w:val="subscript"/>
              </w:rPr>
              <w:t>spring</w:t>
            </w:r>
            <w:r w:rsidRPr="00C20A61">
              <w:rPr>
                <w:rFonts w:cs="Times New Roman"/>
                <w:bCs/>
                <w:color w:val="000000" w:themeColor="text1"/>
                <w:sz w:val="22"/>
                <w:szCs w:val="22"/>
              </w:rPr>
              <w:t xml:space="preserve"> = .83).</w:t>
            </w:r>
          </w:p>
        </w:tc>
      </w:tr>
      <w:tr w:rsidR="0098141B" w:rsidRPr="00C26054" w14:paraId="0F306588" w14:textId="77777777" w:rsidTr="00E76C56">
        <w:tblPrEx>
          <w:tblBorders>
            <w:top w:val="single" w:sz="4" w:space="0" w:color="auto"/>
            <w:bottom w:val="single" w:sz="4" w:space="0" w:color="auto"/>
          </w:tblBorders>
        </w:tblPrEx>
        <w:tc>
          <w:tcPr>
            <w:tcW w:w="5000" w:type="pct"/>
            <w:gridSpan w:val="3"/>
            <w:tcBorders>
              <w:top w:val="single" w:sz="4" w:space="0" w:color="auto"/>
              <w:bottom w:val="single" w:sz="4" w:space="0" w:color="auto"/>
            </w:tcBorders>
            <w:vAlign w:val="center"/>
          </w:tcPr>
          <w:p w14:paraId="021232B8" w14:textId="57289604" w:rsidR="0098141B" w:rsidRPr="0098141B" w:rsidRDefault="0098141B" w:rsidP="0098141B">
            <w:pPr>
              <w:jc w:val="center"/>
              <w:rPr>
                <w:sz w:val="22"/>
                <w:szCs w:val="22"/>
              </w:rPr>
            </w:pPr>
            <w:r w:rsidRPr="0098141B">
              <w:rPr>
                <w:sz w:val="22"/>
                <w:szCs w:val="22"/>
              </w:rPr>
              <w:lastRenderedPageBreak/>
              <w:t>Early Mathematics Skills</w:t>
            </w:r>
          </w:p>
        </w:tc>
      </w:tr>
      <w:tr w:rsidR="0098141B" w:rsidRPr="00C26054" w14:paraId="0DFAD84E" w14:textId="77777777" w:rsidTr="00E76C56">
        <w:tblPrEx>
          <w:tblBorders>
            <w:top w:val="single" w:sz="4" w:space="0" w:color="auto"/>
            <w:bottom w:val="single" w:sz="4" w:space="0" w:color="auto"/>
          </w:tblBorders>
        </w:tblPrEx>
        <w:tc>
          <w:tcPr>
            <w:tcW w:w="717" w:type="pct"/>
            <w:tcBorders>
              <w:top w:val="single" w:sz="4" w:space="0" w:color="auto"/>
              <w:bottom w:val="single" w:sz="4" w:space="0" w:color="auto"/>
            </w:tcBorders>
            <w:vAlign w:val="center"/>
          </w:tcPr>
          <w:p w14:paraId="4EB3DE16" w14:textId="4132132E" w:rsidR="0098141B" w:rsidRPr="0098141B" w:rsidRDefault="0098141B" w:rsidP="0098141B">
            <w:pPr>
              <w:jc w:val="center"/>
              <w:rPr>
                <w:sz w:val="22"/>
                <w:szCs w:val="22"/>
              </w:rPr>
            </w:pPr>
            <w:r w:rsidRPr="0098141B">
              <w:rPr>
                <w:sz w:val="22"/>
                <w:szCs w:val="22"/>
              </w:rPr>
              <w:t>Measure</w:t>
            </w:r>
          </w:p>
        </w:tc>
        <w:tc>
          <w:tcPr>
            <w:tcW w:w="4283" w:type="pct"/>
            <w:gridSpan w:val="2"/>
            <w:tcBorders>
              <w:top w:val="single" w:sz="4" w:space="0" w:color="auto"/>
              <w:bottom w:val="single" w:sz="4" w:space="0" w:color="auto"/>
            </w:tcBorders>
            <w:vAlign w:val="center"/>
          </w:tcPr>
          <w:p w14:paraId="655BCE01" w14:textId="77777777" w:rsidR="0098141B" w:rsidRPr="00C26054" w:rsidRDefault="0098141B" w:rsidP="0098141B">
            <w:pPr>
              <w:jc w:val="center"/>
              <w:rPr>
                <w:sz w:val="22"/>
                <w:szCs w:val="22"/>
              </w:rPr>
            </w:pPr>
            <w:r w:rsidRPr="00C26054">
              <w:rPr>
                <w:sz w:val="22"/>
                <w:szCs w:val="22"/>
              </w:rPr>
              <w:t>Procedures</w:t>
            </w:r>
          </w:p>
        </w:tc>
      </w:tr>
      <w:tr w:rsidR="0098141B" w:rsidRPr="00C26054" w14:paraId="09F187EE" w14:textId="77777777" w:rsidTr="00E76C56">
        <w:tblPrEx>
          <w:tblBorders>
            <w:top w:val="single" w:sz="4" w:space="0" w:color="auto"/>
            <w:bottom w:val="single" w:sz="4" w:space="0" w:color="auto"/>
          </w:tblBorders>
        </w:tblPrEx>
        <w:tc>
          <w:tcPr>
            <w:tcW w:w="717" w:type="pct"/>
            <w:tcBorders>
              <w:top w:val="single" w:sz="4" w:space="0" w:color="auto"/>
              <w:bottom w:val="single" w:sz="4" w:space="0" w:color="auto"/>
            </w:tcBorders>
            <w:vAlign w:val="center"/>
          </w:tcPr>
          <w:p w14:paraId="6B48D6F0" w14:textId="35B739F0" w:rsidR="0098141B" w:rsidRPr="0098141B" w:rsidRDefault="0098141B" w:rsidP="0098141B">
            <w:pPr>
              <w:rPr>
                <w:sz w:val="22"/>
                <w:szCs w:val="22"/>
              </w:rPr>
            </w:pPr>
            <w:r w:rsidRPr="0098141B">
              <w:rPr>
                <w:bCs/>
                <w:sz w:val="22"/>
                <w:szCs w:val="22"/>
              </w:rPr>
              <w:t>Applied Problems subtest of the Woodcock-Johnson (</w:t>
            </w:r>
            <w:r w:rsidRPr="0098141B">
              <w:rPr>
                <w:sz w:val="22"/>
                <w:szCs w:val="22"/>
              </w:rPr>
              <w:t xml:space="preserve">WJAP; </w:t>
            </w:r>
            <w:proofErr w:type="spellStart"/>
            <w:r w:rsidRPr="0098141B">
              <w:rPr>
                <w:sz w:val="22"/>
                <w:szCs w:val="22"/>
              </w:rPr>
              <w:t>Schrank</w:t>
            </w:r>
            <w:proofErr w:type="spellEnd"/>
            <w:r w:rsidRPr="0098141B">
              <w:rPr>
                <w:sz w:val="22"/>
                <w:szCs w:val="22"/>
              </w:rPr>
              <w:t xml:space="preserve"> et al., 2014)</w:t>
            </w:r>
          </w:p>
        </w:tc>
        <w:tc>
          <w:tcPr>
            <w:tcW w:w="4283" w:type="pct"/>
            <w:gridSpan w:val="2"/>
            <w:tcBorders>
              <w:top w:val="single" w:sz="4" w:space="0" w:color="auto"/>
              <w:bottom w:val="single" w:sz="4" w:space="0" w:color="auto"/>
            </w:tcBorders>
          </w:tcPr>
          <w:p w14:paraId="646AB4A3" w14:textId="77777777" w:rsidR="0098141B" w:rsidRDefault="0098141B" w:rsidP="0098141B">
            <w:pPr>
              <w:rPr>
                <w:sz w:val="22"/>
                <w:szCs w:val="22"/>
                <w:u w:val="single"/>
              </w:rPr>
            </w:pPr>
            <w:r w:rsidRPr="00C26054">
              <w:rPr>
                <w:sz w:val="22"/>
                <w:szCs w:val="22"/>
                <w:u w:val="single"/>
              </w:rPr>
              <w:t>Skills Assessed:</w:t>
            </w:r>
            <w:r w:rsidRPr="002718CC">
              <w:rPr>
                <w:sz w:val="22"/>
                <w:szCs w:val="22"/>
              </w:rPr>
              <w:t xml:space="preserve"> Basic early mathematics skills (e.g., counting, addition, subtraction).</w:t>
            </w:r>
          </w:p>
          <w:p w14:paraId="6CA0D05E" w14:textId="77777777" w:rsidR="0098141B" w:rsidRPr="00C26054" w:rsidRDefault="0098141B" w:rsidP="0098141B">
            <w:pPr>
              <w:rPr>
                <w:sz w:val="22"/>
                <w:szCs w:val="22"/>
                <w:u w:val="single"/>
              </w:rPr>
            </w:pPr>
            <w:r>
              <w:rPr>
                <w:sz w:val="22"/>
                <w:szCs w:val="22"/>
                <w:u w:val="single"/>
              </w:rPr>
              <w:t>Task:</w:t>
            </w:r>
            <w:r w:rsidRPr="00563C81">
              <w:rPr>
                <w:bCs/>
                <w:color w:val="000000" w:themeColor="text1"/>
                <w:sz w:val="22"/>
                <w:szCs w:val="22"/>
              </w:rPr>
              <w:t xml:space="preserve"> The WJAP includes 63 problems grouped into 14 sets that assess early mathematics skills through word or story problems </w:t>
            </w:r>
            <w:r w:rsidRPr="00563C81">
              <w:rPr>
                <w:bCs/>
                <w:color w:val="000000" w:themeColor="text1"/>
                <w:sz w:val="22"/>
                <w:szCs w:val="22"/>
              </w:rPr>
              <w:fldChar w:fldCharType="begin" w:fldLock="1"/>
            </w:r>
            <w:r w:rsidRPr="00563C81">
              <w:rPr>
                <w:bCs/>
                <w:color w:val="000000" w:themeColor="text1"/>
                <w:sz w:val="22"/>
                <w:szCs w:val="22"/>
              </w:rPr>
              <w:instrText>ADDIN CSL_CITATION {"citationItems":[{"id":"ITEM-1","itemData":{"ISBN":"9781563958885","abstract":"To cite the WJ IV Tests of Achievement, use: Schrank, F. A., Mather, N., &amp; McGrew, K. S. (2014). Woodcock-Johnson IV Tests of Achievement. Rolling Meadows, IL: Riverside","author":[{"dropping-particle":"","family":"Schrank","given":"F. A.","non-dropping-particle":"","parse-names":false,"suffix":""},{"dropping-particle":"","family":"Mather","given":"N.","non-dropping-particle":"","parse-names":false,"suffix":""},{"dropping-particle":"","family":"McGrew","given":"K. S.","non-dropping-particle":"","parse-names":false,"suffix":""}],"id":"ITEM-1","issued":{"date-parts":[["2014"]]},"publisher":"Riverside","publisher-place":"Rolling Meadows, IL","title":"Woodcock-Johnson IV Test of Achievement","type":"article"},"uris":["http://www.mendeley.com/documents/?uuid=c9f82c07-fbf2-4bfe-ba1c-002789c3c4ed"]}],"mendeley":{"formattedCitation":"(Schrank et al., 2014)","plainTextFormattedCitation":"(Schrank et al., 2014)","previouslyFormattedCitation":"(Schrank et al., 2014)"},"properties":{"noteIndex":0},"schema":"https://github.com/citation-style-language/schema/raw/master/csl-citation.json"}</w:instrText>
            </w:r>
            <w:r w:rsidRPr="00563C81">
              <w:rPr>
                <w:bCs/>
                <w:color w:val="000000" w:themeColor="text1"/>
                <w:sz w:val="22"/>
                <w:szCs w:val="22"/>
              </w:rPr>
              <w:fldChar w:fldCharType="separate"/>
            </w:r>
            <w:r w:rsidRPr="00563C81">
              <w:rPr>
                <w:bCs/>
                <w:noProof/>
                <w:color w:val="000000" w:themeColor="text1"/>
                <w:sz w:val="22"/>
                <w:szCs w:val="22"/>
              </w:rPr>
              <w:t>(Schrank et al., 2014)</w:t>
            </w:r>
            <w:r w:rsidRPr="00563C81">
              <w:rPr>
                <w:bCs/>
                <w:color w:val="000000" w:themeColor="text1"/>
                <w:sz w:val="22"/>
                <w:szCs w:val="22"/>
              </w:rPr>
              <w:fldChar w:fldCharType="end"/>
            </w:r>
            <w:r w:rsidRPr="00563C81">
              <w:rPr>
                <w:bCs/>
                <w:color w:val="000000" w:themeColor="text1"/>
                <w:sz w:val="22"/>
                <w:szCs w:val="22"/>
              </w:rPr>
              <w:t>. Each item was read aloud to the child by the administrator and was accompanied with an illustration in the stimulus book (e.g., “how many dogs are there in this picture?”). Children proceeded through the assessment until they incorrectly responded to five items at the end of a set.</w:t>
            </w:r>
          </w:p>
          <w:p w14:paraId="7066895A" w14:textId="77777777" w:rsidR="0098141B" w:rsidRPr="00C26054" w:rsidRDefault="0098141B" w:rsidP="0098141B">
            <w:pPr>
              <w:rPr>
                <w:bCs/>
                <w:color w:val="000000" w:themeColor="text1"/>
                <w:sz w:val="22"/>
                <w:szCs w:val="22"/>
              </w:rPr>
            </w:pPr>
            <w:r w:rsidRPr="00C26054">
              <w:rPr>
                <w:sz w:val="22"/>
                <w:szCs w:val="22"/>
                <w:u w:val="single"/>
              </w:rPr>
              <w:t>Scoring:</w:t>
            </w:r>
            <w:r w:rsidRPr="00C26054">
              <w:rPr>
                <w:bCs/>
                <w:color w:val="000000" w:themeColor="text1"/>
                <w:sz w:val="22"/>
                <w:szCs w:val="22"/>
              </w:rPr>
              <w:t xml:space="preserve"> </w:t>
            </w:r>
            <w:r w:rsidRPr="00563C81">
              <w:rPr>
                <w:bCs/>
                <w:color w:val="000000" w:themeColor="text1"/>
                <w:sz w:val="22"/>
                <w:szCs w:val="22"/>
              </w:rPr>
              <w:t>Children were awarded 1 point for correct answers and 0 points for incorrect answers or abstentions, for a score range of 0-63.</w:t>
            </w:r>
          </w:p>
          <w:p w14:paraId="28B02E6B" w14:textId="77777777" w:rsidR="0098141B" w:rsidRPr="00C26054" w:rsidRDefault="0098141B" w:rsidP="0098141B">
            <w:pPr>
              <w:rPr>
                <w:sz w:val="22"/>
                <w:szCs w:val="22"/>
              </w:rPr>
            </w:pPr>
            <w:r w:rsidRPr="00C26054">
              <w:rPr>
                <w:bCs/>
                <w:color w:val="000000" w:themeColor="text1"/>
                <w:sz w:val="22"/>
                <w:szCs w:val="22"/>
                <w:u w:val="single"/>
              </w:rPr>
              <w:t>Psychometric Properties:</w:t>
            </w:r>
            <w:r w:rsidRPr="00C26054">
              <w:rPr>
                <w:bCs/>
                <w:color w:val="000000" w:themeColor="text1"/>
                <w:sz w:val="22"/>
                <w:szCs w:val="22"/>
              </w:rPr>
              <w:t xml:space="preserve"> </w:t>
            </w:r>
            <w:r w:rsidRPr="00563C81">
              <w:rPr>
                <w:bCs/>
                <w:color w:val="000000" w:themeColor="text1"/>
                <w:sz w:val="22"/>
                <w:szCs w:val="22"/>
              </w:rPr>
              <w:t xml:space="preserve">Previous reviews have suggested that the subtests of the Woodcock Johnson Tests of Achievement exhibit acceptable to excellent reliability </w:t>
            </w:r>
            <w:r w:rsidRPr="00563C81">
              <w:rPr>
                <w:bCs/>
                <w:color w:val="000000" w:themeColor="text1"/>
                <w:sz w:val="22"/>
                <w:szCs w:val="22"/>
              </w:rPr>
              <w:fldChar w:fldCharType="begin" w:fldLock="1"/>
            </w:r>
            <w:r w:rsidRPr="00563C81">
              <w:rPr>
                <w:bCs/>
                <w:color w:val="000000" w:themeColor="text1"/>
                <w:sz w:val="22"/>
                <w:szCs w:val="22"/>
              </w:rPr>
              <w:instrText>ADDIN CSL_CITATION {"citationItems":[{"id":"ITEM-1","itemData":{"DOI":"10.1177/0734282915569447","ISBN":"0734282915","ISSN":"0734-2829","abstract":"The Woodcock-Johnson IV Tests of Achievement (WJ IV ACH; Schrank, Mather, &amp; McGrew, 2014a) is an individually administered measure containing tests of reading, mathematics, written language, and academic knowledge. Areas of reading, mathematics, and written language each include tests of basic skills, fluency, and application. Academic knowledge includes tests of science, social studies, and humanities. The test authors note that the WJ IV ACH can be used to assist with determining an individual's academic strengths and weaknesses, diagnosing specific abilities and disabilities, and educational planning (Schrank et al., 2014a). When used in conjunction with the WJ IV Tests of Cognitive Abilities (WJ IV COG; Schrank, McGrew, &amp; Mather, 2014) and the WJ IV Tests of Oral Language (WJ IV OL; Schrank, Mather, &amp; McGrew, 2014b), it can also be used to evaluate variations between an individual's achievement and cognitive and linguistic abilities. Interpretation of WJ IV test batteries is based on the Cattell-Horn-Carroll (CHC) theory of cognitive abilities (see Schneider &amp; McGrew, 2012). The WJ IV ACH was published by Riverside in 2014; the previous version, the WJ III Tests of Achievement (Woodcock, McGrew, &amp; Mather, 2001), was published in 2001. There are seven new tests in the WJ IV ACH; however, it no longer includes tests of oral language abilities as these are now published separately. Examiners should have knowledge of exact WJ IV ACH administration and scoring procedures; graduate-level training in educational and psychological assessment is recommended (Schrank et al., 2014a). The test may be administered to individuals from age 2 to over 90 years. Most of the tests in the WJ IV ACH require 5 to 10 min to administer; however, some require 15 to 20 min. This review concluded that despite some relatively minor limitations, the WJ IV ACH is a strong test and meets its stated purpose. If used appropriately, and as a complement to other forms of psychological and educational data, it can certainly assist with diagnosis of specific disabilities and can serve as a general evaluation tool to guide more narrow evaluations that can better inform intervention and educational planning.","author":[{"dropping-particle":"","family":"Villarreal","given":"Victor","non-dropping-particle":"","parse-names":false,"suffix":""}],"container-title":"Journal of Psychoeducational Assessment","id":"ITEM-1","issue":"4","issued":{"date-parts":[["2015","7","2"]]},"page":"391-398","title":"Test Review: Schrank, F. A., Mather, N., &amp; McGrew, K. S. (2014). Woodcock-Johnson IV Tests of Achievement","type":"article-journal","volume":"33"},"uris":["http://www.mendeley.com/documents/?uuid=9ea56002-bfe6-4b73-b44d-4b5b318999ff"]}],"mendeley":{"formattedCitation":"(Villarreal, 2015)","plainTextFormattedCitation":"(Villarreal, 2015)","previouslyFormattedCitation":"(Villarreal, 2015)"},"properties":{"noteIndex":0},"schema":"https://github.com/citation-style-language/schema/raw/master/csl-citation.json"}</w:instrText>
            </w:r>
            <w:r w:rsidRPr="00563C81">
              <w:rPr>
                <w:bCs/>
                <w:color w:val="000000" w:themeColor="text1"/>
                <w:sz w:val="22"/>
                <w:szCs w:val="22"/>
              </w:rPr>
              <w:fldChar w:fldCharType="separate"/>
            </w:r>
            <w:r w:rsidRPr="00563C81">
              <w:rPr>
                <w:bCs/>
                <w:noProof/>
                <w:color w:val="000000" w:themeColor="text1"/>
                <w:sz w:val="22"/>
                <w:szCs w:val="22"/>
              </w:rPr>
              <w:t>(Villarreal, 2015)</w:t>
            </w:r>
            <w:r w:rsidRPr="00563C81">
              <w:rPr>
                <w:bCs/>
                <w:color w:val="000000" w:themeColor="text1"/>
                <w:sz w:val="22"/>
                <w:szCs w:val="22"/>
              </w:rPr>
              <w:fldChar w:fldCharType="end"/>
            </w:r>
            <w:r w:rsidRPr="00563C81">
              <w:rPr>
                <w:bCs/>
                <w:color w:val="000000" w:themeColor="text1"/>
                <w:sz w:val="22"/>
                <w:szCs w:val="22"/>
              </w:rPr>
              <w:t>.</w:t>
            </w:r>
          </w:p>
        </w:tc>
      </w:tr>
      <w:tr w:rsidR="0098141B" w:rsidRPr="00C26054" w14:paraId="205727B8" w14:textId="77777777" w:rsidTr="00E76C56">
        <w:tblPrEx>
          <w:tblBorders>
            <w:top w:val="single" w:sz="4" w:space="0" w:color="auto"/>
            <w:bottom w:val="single" w:sz="4" w:space="0" w:color="auto"/>
          </w:tblBorders>
        </w:tblPrEx>
        <w:trPr>
          <w:trHeight w:val="2016"/>
        </w:trPr>
        <w:tc>
          <w:tcPr>
            <w:tcW w:w="717" w:type="pct"/>
            <w:tcBorders>
              <w:top w:val="single" w:sz="4" w:space="0" w:color="auto"/>
              <w:bottom w:val="single" w:sz="4" w:space="0" w:color="auto"/>
            </w:tcBorders>
            <w:vAlign w:val="center"/>
          </w:tcPr>
          <w:p w14:paraId="11F86CC3" w14:textId="321FBEF8" w:rsidR="0098141B" w:rsidRPr="0098141B" w:rsidRDefault="0098141B" w:rsidP="0098141B">
            <w:pPr>
              <w:rPr>
                <w:sz w:val="22"/>
                <w:szCs w:val="22"/>
              </w:rPr>
            </w:pPr>
            <w:r w:rsidRPr="0098141B">
              <w:rPr>
                <w:bCs/>
                <w:sz w:val="22"/>
                <w:szCs w:val="22"/>
              </w:rPr>
              <w:t>Preschool Early Numeracy Skills (</w:t>
            </w:r>
            <w:r w:rsidRPr="0098141B">
              <w:rPr>
                <w:sz w:val="22"/>
                <w:szCs w:val="22"/>
              </w:rPr>
              <w:t>PENS; Purpura et al., 2015; Purpura &amp; Lonigan, 2015)</w:t>
            </w:r>
          </w:p>
        </w:tc>
        <w:tc>
          <w:tcPr>
            <w:tcW w:w="4283" w:type="pct"/>
            <w:gridSpan w:val="2"/>
            <w:tcBorders>
              <w:top w:val="single" w:sz="4" w:space="0" w:color="auto"/>
              <w:bottom w:val="single" w:sz="4" w:space="0" w:color="auto"/>
            </w:tcBorders>
          </w:tcPr>
          <w:p w14:paraId="02712A45" w14:textId="77777777" w:rsidR="0098141B" w:rsidRDefault="0098141B" w:rsidP="0098141B">
            <w:pPr>
              <w:rPr>
                <w:sz w:val="22"/>
                <w:szCs w:val="22"/>
                <w:u w:val="single"/>
              </w:rPr>
            </w:pPr>
            <w:r>
              <w:rPr>
                <w:sz w:val="22"/>
                <w:szCs w:val="22"/>
                <w:u w:val="single"/>
              </w:rPr>
              <w:t>S</w:t>
            </w:r>
            <w:r w:rsidRPr="00C26054">
              <w:rPr>
                <w:sz w:val="22"/>
                <w:szCs w:val="22"/>
                <w:u w:val="single"/>
              </w:rPr>
              <w:t>kills Assessed:</w:t>
            </w:r>
            <w:r w:rsidRPr="002718CC">
              <w:rPr>
                <w:sz w:val="22"/>
                <w:szCs w:val="22"/>
              </w:rPr>
              <w:t xml:space="preserve"> Basic early mathematics skills (e.g., counting, addition, subtraction).</w:t>
            </w:r>
          </w:p>
          <w:p w14:paraId="4A6F39BC" w14:textId="77777777" w:rsidR="0098141B" w:rsidRPr="00C26054" w:rsidRDefault="0098141B" w:rsidP="0098141B">
            <w:pPr>
              <w:rPr>
                <w:sz w:val="22"/>
                <w:szCs w:val="22"/>
                <w:u w:val="single"/>
              </w:rPr>
            </w:pPr>
            <w:r>
              <w:rPr>
                <w:sz w:val="22"/>
                <w:szCs w:val="22"/>
                <w:u w:val="single"/>
              </w:rPr>
              <w:t xml:space="preserve">Task: </w:t>
            </w:r>
            <w:r w:rsidRPr="00584B2D">
              <w:rPr>
                <w:bCs/>
                <w:color w:val="000000" w:themeColor="text1"/>
                <w:sz w:val="22"/>
                <w:szCs w:val="22"/>
              </w:rPr>
              <w:t xml:space="preserve">The PENS measures children’s early numeracy skills is administered using a stimulus book that includes illustrations that children interact with to answer items (e.g., counting a set of 11 dots). </w:t>
            </w:r>
          </w:p>
          <w:p w14:paraId="2806C2A2" w14:textId="77777777" w:rsidR="0098141B" w:rsidRPr="00C26054" w:rsidRDefault="0098141B" w:rsidP="0098141B">
            <w:pPr>
              <w:rPr>
                <w:bCs/>
                <w:color w:val="000000" w:themeColor="text1"/>
                <w:sz w:val="22"/>
                <w:szCs w:val="22"/>
              </w:rPr>
            </w:pPr>
            <w:r w:rsidRPr="00C26054">
              <w:rPr>
                <w:sz w:val="22"/>
                <w:szCs w:val="22"/>
                <w:u w:val="single"/>
              </w:rPr>
              <w:t>Scoring:</w:t>
            </w:r>
            <w:r w:rsidRPr="00C26054">
              <w:rPr>
                <w:bCs/>
                <w:color w:val="000000" w:themeColor="text1"/>
                <w:sz w:val="22"/>
                <w:szCs w:val="22"/>
              </w:rPr>
              <w:t xml:space="preserve"> </w:t>
            </w:r>
            <w:r w:rsidRPr="00584B2D">
              <w:rPr>
                <w:bCs/>
                <w:color w:val="000000" w:themeColor="text1"/>
                <w:sz w:val="22"/>
                <w:szCs w:val="22"/>
              </w:rPr>
              <w:t>Children received 1 point for each correct response (score range 0-24) and the assessment continued until the child incorrectly responded to three consecutive items</w:t>
            </w:r>
          </w:p>
          <w:p w14:paraId="26658975" w14:textId="77777777" w:rsidR="0098141B" w:rsidRPr="004B4C82" w:rsidRDefault="0098141B" w:rsidP="0098141B">
            <w:pPr>
              <w:rPr>
                <w:bCs/>
                <w:iCs/>
                <w:color w:val="000000" w:themeColor="text1"/>
                <w:sz w:val="22"/>
                <w:szCs w:val="22"/>
              </w:rPr>
            </w:pPr>
            <w:r w:rsidRPr="00C26054">
              <w:rPr>
                <w:bCs/>
                <w:color w:val="000000" w:themeColor="text1"/>
                <w:sz w:val="22"/>
                <w:szCs w:val="22"/>
                <w:u w:val="single"/>
              </w:rPr>
              <w:t>Psychometric Properties:</w:t>
            </w:r>
            <w:r w:rsidRPr="004B5B52">
              <w:rPr>
                <w:bCs/>
                <w:color w:val="000000" w:themeColor="text1"/>
              </w:rPr>
              <w:t xml:space="preserve"> </w:t>
            </w:r>
            <w:r w:rsidRPr="00584B2D">
              <w:rPr>
                <w:bCs/>
                <w:color w:val="000000" w:themeColor="text1"/>
                <w:sz w:val="22"/>
                <w:szCs w:val="22"/>
              </w:rPr>
              <w:t xml:space="preserve">The PENS has demonstrated high internal consistency </w:t>
            </w:r>
            <w:r w:rsidRPr="00584B2D">
              <w:rPr>
                <w:color w:val="000000" w:themeColor="text1"/>
                <w:sz w:val="22"/>
                <w:szCs w:val="22"/>
              </w:rPr>
              <w:t xml:space="preserve">(α = .93) in previous studies </w:t>
            </w:r>
            <w:r w:rsidRPr="00584B2D">
              <w:rPr>
                <w:color w:val="000000" w:themeColor="text1"/>
                <w:sz w:val="22"/>
                <w:szCs w:val="22"/>
              </w:rPr>
              <w:fldChar w:fldCharType="begin" w:fldLock="1"/>
            </w:r>
            <w:r w:rsidRPr="00584B2D">
              <w:rPr>
                <w:color w:val="000000" w:themeColor="text1"/>
                <w:sz w:val="22"/>
                <w:szCs w:val="22"/>
              </w:rPr>
              <w:instrText>ADDIN CSL_CITATION {"citationItems":[{"id":"ITEM-1","itemData":{"DOI":"10.1016/j.ecresq.2015.12.020","ISSN":"08852006","abstract":"The development of early numeracy knowledge is influenced by a number of non-mathematical factors-particularly language skills. However, much of the focus on the relation between language and early numeracy has utilized general language measures and not domain-specific measures of mathematical language. The primary purpose of this study was to determine if the variance accounted for by general language skills in predicting numeracy performance was better accounted for by mathematical language. Further, age- and parental education-related differences in mathematical language performance were explored. Using a sample of 136 3- to 5-year-old preschool and kindergarten children (M= 4.28 years, SD = 0.67 years), a series of mixed-effect regressions were conducted. Results indicated that although general language performance was initially a significant predictor of numeracy performance, when both mathematical language and general language were included in the model, only mathematical language was a significant predictor of numeracy performance. Further, group-difference analyses revealed that children from families where both parents had less than a college education performed significantly lower on mathematical language than their peers; and even by 3-years-old, children have acquired a substantial body of mathematical language skills. Implications and future directions are discussed.","author":[{"dropping-particle":"","family":"Purpura","given":"David J.","non-dropping-particle":"","parse-names":false,"suffix":""},{"dropping-particle":"","family":"Reid","given":"Erin E.","non-dropping-particle":"","parse-names":false,"suffix":""}],"container-title":"Early Childhood Research Quarterly","id":"ITEM-1","issue":"3","issued":{"date-parts":[["2016"]]},"page":"259-268","title":"Mathematics and language: Individual and group differences in mathematical language skills in young children","type":"article-journal","volume":"36"},"uris":["http://www.mendeley.com/documents/?uuid=458f4b17-4238-4235-a433-c3ed51f11318"]}],"mendeley":{"formattedCitation":"(Purpura &amp; Reid, 2016)","plainTextFormattedCitation":"(Purpura &amp; Reid, 2016)","previouslyFormattedCitation":"(Purpura &amp; Reid, 2016)"},"properties":{"noteIndex":0},"schema":"https://github.com/citation-style-language/schema/raw/master/csl-citation.json"}</w:instrText>
            </w:r>
            <w:r w:rsidRPr="00584B2D">
              <w:rPr>
                <w:color w:val="000000" w:themeColor="text1"/>
                <w:sz w:val="22"/>
                <w:szCs w:val="22"/>
              </w:rPr>
              <w:fldChar w:fldCharType="separate"/>
            </w:r>
            <w:r w:rsidRPr="00584B2D">
              <w:rPr>
                <w:noProof/>
                <w:color w:val="000000" w:themeColor="text1"/>
                <w:sz w:val="22"/>
                <w:szCs w:val="22"/>
              </w:rPr>
              <w:t>(Purpura &amp; Reid, 2016)</w:t>
            </w:r>
            <w:r w:rsidRPr="00584B2D">
              <w:rPr>
                <w:color w:val="000000" w:themeColor="text1"/>
                <w:sz w:val="22"/>
                <w:szCs w:val="22"/>
              </w:rPr>
              <w:fldChar w:fldCharType="end"/>
            </w:r>
            <w:r w:rsidRPr="00584B2D">
              <w:rPr>
                <w:color w:val="000000" w:themeColor="text1"/>
                <w:sz w:val="22"/>
                <w:szCs w:val="22"/>
              </w:rPr>
              <w:t xml:space="preserve"> and in the current sample </w:t>
            </w:r>
            <w:r w:rsidRPr="00584B2D">
              <w:rPr>
                <w:bCs/>
                <w:color w:val="000000" w:themeColor="text1"/>
                <w:sz w:val="22"/>
                <w:szCs w:val="22"/>
              </w:rPr>
              <w:t>(</w:t>
            </w:r>
            <w:r w:rsidRPr="00584B2D">
              <w:rPr>
                <w:rFonts w:ascii="Symbol" w:hAnsi="Symbol"/>
                <w:bCs/>
                <w:color w:val="000000" w:themeColor="text1"/>
                <w:sz w:val="22"/>
                <w:szCs w:val="22"/>
              </w:rPr>
              <w:t>w</w:t>
            </w:r>
            <w:r w:rsidRPr="00584B2D">
              <w:rPr>
                <w:rFonts w:cs="Times New Roman"/>
                <w:bCs/>
                <w:color w:val="000000" w:themeColor="text1"/>
                <w:sz w:val="22"/>
                <w:szCs w:val="22"/>
                <w:vertAlign w:val="subscript"/>
              </w:rPr>
              <w:t>fall</w:t>
            </w:r>
            <w:r w:rsidRPr="00584B2D">
              <w:rPr>
                <w:rFonts w:cs="Times New Roman"/>
                <w:bCs/>
                <w:color w:val="000000" w:themeColor="text1"/>
                <w:sz w:val="22"/>
                <w:szCs w:val="22"/>
              </w:rPr>
              <w:t xml:space="preserve"> = .90;</w:t>
            </w:r>
            <w:r w:rsidRPr="00584B2D">
              <w:rPr>
                <w:rFonts w:asciiTheme="minorHAnsi" w:hAnsiTheme="minorHAnsi" w:cstheme="minorHAnsi"/>
                <w:bCs/>
                <w:color w:val="000000" w:themeColor="text1"/>
                <w:sz w:val="22"/>
                <w:szCs w:val="22"/>
              </w:rPr>
              <w:t xml:space="preserve"> </w:t>
            </w:r>
            <w:r w:rsidRPr="00584B2D">
              <w:rPr>
                <w:rFonts w:ascii="Symbol" w:hAnsi="Symbol"/>
                <w:bCs/>
                <w:color w:val="000000" w:themeColor="text1"/>
                <w:sz w:val="22"/>
                <w:szCs w:val="22"/>
              </w:rPr>
              <w:t>w</w:t>
            </w:r>
            <w:r w:rsidRPr="00584B2D">
              <w:rPr>
                <w:rFonts w:cs="Times New Roman"/>
                <w:bCs/>
                <w:color w:val="000000" w:themeColor="text1"/>
                <w:sz w:val="22"/>
                <w:szCs w:val="22"/>
                <w:vertAlign w:val="subscript"/>
              </w:rPr>
              <w:t>spring</w:t>
            </w:r>
            <w:r w:rsidRPr="00584B2D">
              <w:rPr>
                <w:rFonts w:cs="Times New Roman"/>
                <w:bCs/>
                <w:color w:val="000000" w:themeColor="text1"/>
                <w:sz w:val="22"/>
                <w:szCs w:val="22"/>
              </w:rPr>
              <w:t xml:space="preserve"> = .90)</w:t>
            </w:r>
            <w:r w:rsidRPr="00584B2D">
              <w:rPr>
                <w:rFonts w:cs="Times New Roman"/>
                <w:color w:val="000000" w:themeColor="text1"/>
                <w:sz w:val="22"/>
                <w:szCs w:val="22"/>
              </w:rPr>
              <w:t>.</w:t>
            </w:r>
          </w:p>
        </w:tc>
      </w:tr>
      <w:tr w:rsidR="0098141B" w:rsidRPr="00C26054" w14:paraId="1C6D209D" w14:textId="77777777" w:rsidTr="00E76C56">
        <w:tblPrEx>
          <w:tblBorders>
            <w:top w:val="single" w:sz="4" w:space="0" w:color="auto"/>
            <w:bottom w:val="single" w:sz="4" w:space="0" w:color="auto"/>
          </w:tblBorders>
        </w:tblPrEx>
        <w:tc>
          <w:tcPr>
            <w:tcW w:w="717" w:type="pct"/>
            <w:tcBorders>
              <w:top w:val="single" w:sz="4" w:space="0" w:color="auto"/>
              <w:bottom w:val="single" w:sz="4" w:space="0" w:color="auto"/>
            </w:tcBorders>
            <w:vAlign w:val="center"/>
          </w:tcPr>
          <w:p w14:paraId="4A9B8BFE" w14:textId="727EE455" w:rsidR="0098141B" w:rsidRPr="0098141B" w:rsidRDefault="0098141B" w:rsidP="0098141B">
            <w:pPr>
              <w:rPr>
                <w:sz w:val="22"/>
                <w:szCs w:val="22"/>
              </w:rPr>
            </w:pPr>
            <w:r w:rsidRPr="0098141B">
              <w:rPr>
                <w:bCs/>
                <w:sz w:val="22"/>
                <w:szCs w:val="22"/>
              </w:rPr>
              <w:t>Numbers/Counting subtest of the Bracken Basic Concept Scale</w:t>
            </w:r>
            <w:r w:rsidRPr="0098141B">
              <w:rPr>
                <w:sz w:val="22"/>
                <w:szCs w:val="22"/>
              </w:rPr>
              <w:t xml:space="preserve"> (BRNC; Bracken, 2006)</w:t>
            </w:r>
          </w:p>
        </w:tc>
        <w:tc>
          <w:tcPr>
            <w:tcW w:w="4283" w:type="pct"/>
            <w:gridSpan w:val="2"/>
            <w:tcBorders>
              <w:top w:val="single" w:sz="4" w:space="0" w:color="auto"/>
              <w:bottom w:val="single" w:sz="4" w:space="0" w:color="auto"/>
            </w:tcBorders>
          </w:tcPr>
          <w:p w14:paraId="4C567A6C" w14:textId="77777777" w:rsidR="0098141B" w:rsidRDefault="0098141B" w:rsidP="0098141B">
            <w:pPr>
              <w:rPr>
                <w:sz w:val="22"/>
                <w:szCs w:val="22"/>
                <w:u w:val="single"/>
              </w:rPr>
            </w:pPr>
            <w:r w:rsidRPr="00C26054">
              <w:rPr>
                <w:sz w:val="22"/>
                <w:szCs w:val="22"/>
                <w:u w:val="single"/>
              </w:rPr>
              <w:t>Skills Assessed:</w:t>
            </w:r>
            <w:r w:rsidRPr="002718CC">
              <w:rPr>
                <w:sz w:val="22"/>
                <w:szCs w:val="22"/>
              </w:rPr>
              <w:t xml:space="preserve"> Basic early mathematics skills (e.g., counting, addition, subtraction).</w:t>
            </w:r>
          </w:p>
          <w:p w14:paraId="2CA35156" w14:textId="77777777" w:rsidR="0098141B" w:rsidRPr="00584B2D" w:rsidRDefault="0098141B" w:rsidP="0098141B">
            <w:pPr>
              <w:pStyle w:val="NormalWeb"/>
              <w:widowControl w:val="0"/>
              <w:spacing w:before="0" w:beforeAutospacing="0" w:after="0" w:afterAutospacing="0"/>
              <w:contextualSpacing/>
              <w:rPr>
                <w:bCs/>
                <w:color w:val="000000" w:themeColor="text1"/>
              </w:rPr>
            </w:pPr>
            <w:r>
              <w:rPr>
                <w:sz w:val="22"/>
                <w:szCs w:val="22"/>
                <w:u w:val="single"/>
              </w:rPr>
              <w:t>Task:</w:t>
            </w:r>
            <w:r w:rsidRPr="004B5B52">
              <w:rPr>
                <w:bCs/>
                <w:color w:val="000000" w:themeColor="text1"/>
              </w:rPr>
              <w:t xml:space="preserve"> </w:t>
            </w:r>
            <w:r w:rsidRPr="00584B2D">
              <w:rPr>
                <w:bCs/>
                <w:color w:val="000000" w:themeColor="text1"/>
                <w:sz w:val="22"/>
                <w:szCs w:val="22"/>
              </w:rPr>
              <w:t xml:space="preserve">For the first set of items of the subtest, children were shown pages of the stimulus book that had several numerals printed across the pages. For each of the items, the child was asked to identify a specific numeral (e.g., Show me the “two”). For the remaining items, children were shown a page in the stimulus book with four pictures that represented a different number of items. Children were asked to point to the picture that had </w:t>
            </w:r>
            <w:r w:rsidRPr="00584B2D">
              <w:rPr>
                <w:bCs/>
                <w:i/>
                <w:iCs/>
                <w:color w:val="000000" w:themeColor="text1"/>
                <w:sz w:val="22"/>
                <w:szCs w:val="22"/>
              </w:rPr>
              <w:t>n</w:t>
            </w:r>
            <w:r w:rsidRPr="00584B2D">
              <w:rPr>
                <w:bCs/>
                <w:color w:val="000000" w:themeColor="text1"/>
                <w:sz w:val="22"/>
                <w:szCs w:val="22"/>
              </w:rPr>
              <w:t xml:space="preserve"> items (e.g., “point to nine ducks”). </w:t>
            </w:r>
          </w:p>
          <w:p w14:paraId="10740A64" w14:textId="77777777" w:rsidR="0098141B" w:rsidRPr="00C26054" w:rsidRDefault="0098141B" w:rsidP="0098141B">
            <w:pPr>
              <w:pStyle w:val="NormalWeb"/>
              <w:widowControl w:val="0"/>
              <w:spacing w:before="0" w:beforeAutospacing="0" w:after="0" w:afterAutospacing="0"/>
              <w:contextualSpacing/>
              <w:rPr>
                <w:bCs/>
                <w:color w:val="000000" w:themeColor="text1"/>
                <w:sz w:val="22"/>
                <w:szCs w:val="22"/>
              </w:rPr>
            </w:pPr>
            <w:r w:rsidRPr="00C26054">
              <w:rPr>
                <w:sz w:val="22"/>
                <w:szCs w:val="22"/>
                <w:u w:val="single"/>
              </w:rPr>
              <w:t>Scoring:</w:t>
            </w:r>
            <w:r w:rsidRPr="00C26054">
              <w:rPr>
                <w:bCs/>
                <w:color w:val="000000" w:themeColor="text1"/>
                <w:sz w:val="22"/>
                <w:szCs w:val="22"/>
              </w:rPr>
              <w:t xml:space="preserve"> </w:t>
            </w:r>
            <w:r>
              <w:rPr>
                <w:bCs/>
                <w:color w:val="000000" w:themeColor="text1"/>
                <w:sz w:val="22"/>
                <w:szCs w:val="22"/>
              </w:rPr>
              <w:t>C</w:t>
            </w:r>
            <w:r w:rsidRPr="00584B2D">
              <w:rPr>
                <w:bCs/>
                <w:color w:val="000000" w:themeColor="text1"/>
                <w:sz w:val="22"/>
                <w:szCs w:val="22"/>
              </w:rPr>
              <w:t>hildren were awarded 1 point for each correct answer for a maximum possible score of 18.</w:t>
            </w:r>
            <w:r>
              <w:rPr>
                <w:bCs/>
                <w:color w:val="000000" w:themeColor="text1"/>
                <w:sz w:val="22"/>
                <w:szCs w:val="22"/>
              </w:rPr>
              <w:t xml:space="preserve"> If children incorrectly answered 3 items in a row, the assessment was discontinued. </w:t>
            </w:r>
          </w:p>
          <w:p w14:paraId="4EBF5001" w14:textId="77777777" w:rsidR="0098141B" w:rsidRPr="002225CD" w:rsidRDefault="0098141B" w:rsidP="0098141B">
            <w:pPr>
              <w:pStyle w:val="NormalWeb"/>
              <w:widowControl w:val="0"/>
              <w:spacing w:before="0" w:beforeAutospacing="0" w:after="0" w:afterAutospacing="0"/>
              <w:contextualSpacing/>
              <w:rPr>
                <w:bCs/>
                <w:color w:val="000000" w:themeColor="text1"/>
              </w:rPr>
            </w:pPr>
            <w:r w:rsidRPr="00C26054">
              <w:rPr>
                <w:bCs/>
                <w:color w:val="000000" w:themeColor="text1"/>
                <w:sz w:val="22"/>
                <w:szCs w:val="22"/>
                <w:u w:val="single"/>
              </w:rPr>
              <w:t>Psychometric Properties:</w:t>
            </w:r>
            <w:r w:rsidRPr="00584B2D">
              <w:rPr>
                <w:bCs/>
                <w:color w:val="000000" w:themeColor="text1"/>
                <w:sz w:val="22"/>
                <w:szCs w:val="22"/>
              </w:rPr>
              <w:t xml:space="preserve"> Previous research studying the use of the Bracken Basic Concept Scale for prekindergarten-age children has suggested that it is a valid and reliable measure of basic academic skills </w:t>
            </w:r>
            <w:r w:rsidRPr="00584B2D">
              <w:rPr>
                <w:bCs/>
                <w:color w:val="000000" w:themeColor="text1"/>
                <w:sz w:val="22"/>
                <w:szCs w:val="22"/>
              </w:rPr>
              <w:fldChar w:fldCharType="begin" w:fldLock="1"/>
            </w:r>
            <w:r w:rsidRPr="00584B2D">
              <w:rPr>
                <w:bCs/>
                <w:color w:val="000000" w:themeColor="text1"/>
                <w:sz w:val="22"/>
                <w:szCs w:val="22"/>
              </w:rPr>
              <w:instrText>ADDIN CSL_CITATION {"citationItems":[{"id":"ITEM-1","itemData":{"author":[{"dropping-particle":"","family":"Bracken","given":"B.A.","non-dropping-particle":"","parse-names":false,"suffix":""}],"id":"ITEM-1","issued":{"date-parts":[["2006"]]},"publisher":"Psychological Corporation","publisher-place":"San Antonio, TX","title":"Bracken Basic Concept Scale - Third Edition: Receptive examiner's manual","type":"article"},"uris":["http://www.mendeley.com/documents/?uuid=8461822a-bc23-4b32-8a30-5f16b3e60986"]}],"mendeley":{"formattedCitation":"(Bracken, 2006)","plainTextFormattedCitation":"(Bracken, 2006)","previouslyFormattedCitation":"(Bracken, 2006)"},"properties":{"noteIndex":0},"schema":"https://github.com/citation-style-language/schema/raw/master/csl-citation.json"}</w:instrText>
            </w:r>
            <w:r w:rsidRPr="00584B2D">
              <w:rPr>
                <w:bCs/>
                <w:color w:val="000000" w:themeColor="text1"/>
                <w:sz w:val="22"/>
                <w:szCs w:val="22"/>
              </w:rPr>
              <w:fldChar w:fldCharType="separate"/>
            </w:r>
            <w:r w:rsidRPr="00584B2D">
              <w:rPr>
                <w:bCs/>
                <w:noProof/>
                <w:color w:val="000000" w:themeColor="text1"/>
                <w:sz w:val="22"/>
                <w:szCs w:val="22"/>
              </w:rPr>
              <w:t>(Bracken, 2006)</w:t>
            </w:r>
            <w:r w:rsidRPr="00584B2D">
              <w:rPr>
                <w:bCs/>
                <w:color w:val="000000" w:themeColor="text1"/>
                <w:sz w:val="22"/>
                <w:szCs w:val="22"/>
              </w:rPr>
              <w:fldChar w:fldCharType="end"/>
            </w:r>
            <w:r w:rsidRPr="00584B2D">
              <w:rPr>
                <w:bCs/>
                <w:color w:val="000000" w:themeColor="text1"/>
                <w:sz w:val="22"/>
                <w:szCs w:val="22"/>
              </w:rPr>
              <w:t>. The BRNC also demonstrated strong internal consistency in the current study (</w:t>
            </w:r>
            <w:r w:rsidRPr="00584B2D">
              <w:rPr>
                <w:rFonts w:ascii="Symbol" w:hAnsi="Symbol"/>
                <w:bCs/>
                <w:color w:val="000000" w:themeColor="text1"/>
                <w:sz w:val="22"/>
                <w:szCs w:val="22"/>
              </w:rPr>
              <w:t>w</w:t>
            </w:r>
            <w:r w:rsidRPr="002225CD">
              <w:rPr>
                <w:bCs/>
                <w:color w:val="000000" w:themeColor="text1"/>
                <w:sz w:val="22"/>
                <w:szCs w:val="22"/>
                <w:vertAlign w:val="subscript"/>
              </w:rPr>
              <w:t>fall</w:t>
            </w:r>
            <w:r w:rsidRPr="002225CD">
              <w:rPr>
                <w:bCs/>
                <w:color w:val="000000" w:themeColor="text1"/>
                <w:sz w:val="22"/>
                <w:szCs w:val="22"/>
              </w:rPr>
              <w:t xml:space="preserve"> = .95</w:t>
            </w:r>
            <w:r w:rsidRPr="00584B2D">
              <w:rPr>
                <w:rFonts w:asciiTheme="minorHAnsi" w:hAnsiTheme="minorHAnsi" w:cstheme="minorHAnsi"/>
                <w:bCs/>
                <w:color w:val="000000" w:themeColor="text1"/>
                <w:sz w:val="22"/>
                <w:szCs w:val="22"/>
              </w:rPr>
              <w:t xml:space="preserve">; </w:t>
            </w:r>
            <w:r w:rsidRPr="00584B2D">
              <w:rPr>
                <w:rFonts w:ascii="Symbol" w:hAnsi="Symbol"/>
                <w:bCs/>
                <w:color w:val="000000" w:themeColor="text1"/>
                <w:sz w:val="22"/>
                <w:szCs w:val="22"/>
              </w:rPr>
              <w:t>w</w:t>
            </w:r>
            <w:r w:rsidRPr="002225CD">
              <w:rPr>
                <w:bCs/>
                <w:color w:val="000000" w:themeColor="text1"/>
                <w:sz w:val="22"/>
                <w:szCs w:val="22"/>
                <w:vertAlign w:val="subscript"/>
              </w:rPr>
              <w:t>spring</w:t>
            </w:r>
            <w:r w:rsidRPr="002225CD">
              <w:rPr>
                <w:bCs/>
                <w:color w:val="000000" w:themeColor="text1"/>
                <w:sz w:val="22"/>
                <w:szCs w:val="22"/>
              </w:rPr>
              <w:t xml:space="preserve"> = .94).</w:t>
            </w:r>
          </w:p>
        </w:tc>
      </w:tr>
      <w:tr w:rsidR="0098141B" w:rsidRPr="00C26054" w14:paraId="35683F27" w14:textId="77777777" w:rsidTr="00E76C56">
        <w:tblPrEx>
          <w:tblBorders>
            <w:top w:val="single" w:sz="4" w:space="0" w:color="auto"/>
            <w:bottom w:val="single" w:sz="4" w:space="0" w:color="auto"/>
          </w:tblBorders>
        </w:tblPrEx>
        <w:tc>
          <w:tcPr>
            <w:tcW w:w="717" w:type="pct"/>
            <w:tcBorders>
              <w:top w:val="single" w:sz="4" w:space="0" w:color="auto"/>
              <w:bottom w:val="single" w:sz="4" w:space="0" w:color="auto"/>
            </w:tcBorders>
            <w:vAlign w:val="center"/>
          </w:tcPr>
          <w:p w14:paraId="2188F03E" w14:textId="75194833" w:rsidR="0098141B" w:rsidRPr="0098141B" w:rsidRDefault="0098141B" w:rsidP="0098141B">
            <w:pPr>
              <w:rPr>
                <w:sz w:val="22"/>
                <w:szCs w:val="22"/>
              </w:rPr>
            </w:pPr>
            <w:r w:rsidRPr="0098141B">
              <w:rPr>
                <w:bCs/>
                <w:sz w:val="22"/>
                <w:szCs w:val="22"/>
              </w:rPr>
              <w:lastRenderedPageBreak/>
              <w:t>Preschool Assessment of the Language of Mathematics</w:t>
            </w:r>
            <w:r w:rsidRPr="0098141B">
              <w:rPr>
                <w:sz w:val="22"/>
                <w:szCs w:val="22"/>
              </w:rPr>
              <w:t xml:space="preserve"> (PALM; Purpura &amp; Logan, 2015; Purpura &amp; Reid, 2016)</w:t>
            </w:r>
          </w:p>
        </w:tc>
        <w:tc>
          <w:tcPr>
            <w:tcW w:w="4283" w:type="pct"/>
            <w:gridSpan w:val="2"/>
            <w:tcBorders>
              <w:top w:val="single" w:sz="4" w:space="0" w:color="auto"/>
              <w:bottom w:val="single" w:sz="4" w:space="0" w:color="auto"/>
            </w:tcBorders>
          </w:tcPr>
          <w:p w14:paraId="1D753FC2" w14:textId="77777777" w:rsidR="0098141B" w:rsidRPr="002225CD" w:rsidRDefault="0098141B" w:rsidP="0098141B">
            <w:pPr>
              <w:rPr>
                <w:sz w:val="22"/>
                <w:szCs w:val="22"/>
                <w:u w:val="single"/>
              </w:rPr>
            </w:pPr>
            <w:r w:rsidRPr="002225CD">
              <w:rPr>
                <w:sz w:val="22"/>
                <w:szCs w:val="22"/>
                <w:u w:val="single"/>
              </w:rPr>
              <w:t>Skills Assessed:</w:t>
            </w:r>
            <w:r w:rsidRPr="002225CD">
              <w:rPr>
                <w:sz w:val="22"/>
                <w:szCs w:val="22"/>
              </w:rPr>
              <w:t xml:space="preserve"> Quantitative and spatial language skills.</w:t>
            </w:r>
          </w:p>
          <w:p w14:paraId="361BC906" w14:textId="77777777" w:rsidR="0098141B" w:rsidRPr="002225CD" w:rsidRDefault="0098141B" w:rsidP="0098141B">
            <w:pPr>
              <w:pStyle w:val="NormalWeb"/>
              <w:widowControl w:val="0"/>
              <w:spacing w:before="0" w:beforeAutospacing="0" w:after="0" w:afterAutospacing="0"/>
              <w:contextualSpacing/>
              <w:rPr>
                <w:bCs/>
                <w:color w:val="000000" w:themeColor="text1"/>
                <w:sz w:val="22"/>
                <w:szCs w:val="22"/>
              </w:rPr>
            </w:pPr>
            <w:r w:rsidRPr="002225CD">
              <w:rPr>
                <w:sz w:val="22"/>
                <w:szCs w:val="22"/>
                <w:u w:val="single"/>
              </w:rPr>
              <w:t>Task:</w:t>
            </w:r>
            <w:r w:rsidRPr="002225CD">
              <w:rPr>
                <w:bCs/>
                <w:color w:val="000000" w:themeColor="text1"/>
                <w:sz w:val="22"/>
                <w:szCs w:val="22"/>
              </w:rPr>
              <w:t xml:space="preserve"> The PALM is administered using a stimulus book that includes illustrations that children interacted with to answer items (e.g., “point to the dot that is </w:t>
            </w:r>
            <w:r w:rsidRPr="002225CD">
              <w:rPr>
                <w:bCs/>
                <w:i/>
                <w:iCs/>
                <w:color w:val="000000" w:themeColor="text1"/>
                <w:sz w:val="22"/>
                <w:szCs w:val="22"/>
              </w:rPr>
              <w:t xml:space="preserve">under </w:t>
            </w:r>
            <w:r w:rsidRPr="002225CD">
              <w:rPr>
                <w:bCs/>
                <w:color w:val="000000" w:themeColor="text1"/>
                <w:sz w:val="22"/>
                <w:szCs w:val="22"/>
              </w:rPr>
              <w:t xml:space="preserve">the boy” or “which sets have the </w:t>
            </w:r>
            <w:r w:rsidRPr="002225CD">
              <w:rPr>
                <w:bCs/>
                <w:i/>
                <w:iCs/>
                <w:color w:val="000000" w:themeColor="text1"/>
                <w:sz w:val="22"/>
                <w:szCs w:val="22"/>
              </w:rPr>
              <w:t>same</w:t>
            </w:r>
            <w:r w:rsidRPr="002225CD">
              <w:rPr>
                <w:bCs/>
                <w:color w:val="000000" w:themeColor="text1"/>
                <w:sz w:val="22"/>
                <w:szCs w:val="22"/>
              </w:rPr>
              <w:t xml:space="preserve"> number of dots?”). </w:t>
            </w:r>
          </w:p>
          <w:p w14:paraId="62FBB2F6" w14:textId="77777777" w:rsidR="0098141B" w:rsidRPr="002225CD" w:rsidRDefault="0098141B" w:rsidP="0098141B">
            <w:pPr>
              <w:pStyle w:val="NormalWeb"/>
              <w:widowControl w:val="0"/>
              <w:spacing w:before="0" w:beforeAutospacing="0" w:after="0" w:afterAutospacing="0"/>
              <w:contextualSpacing/>
              <w:rPr>
                <w:bCs/>
                <w:color w:val="000000" w:themeColor="text1"/>
                <w:sz w:val="22"/>
                <w:szCs w:val="22"/>
              </w:rPr>
            </w:pPr>
            <w:r w:rsidRPr="002225CD">
              <w:rPr>
                <w:sz w:val="22"/>
                <w:szCs w:val="22"/>
                <w:u w:val="single"/>
              </w:rPr>
              <w:t>Scoring:</w:t>
            </w:r>
            <w:r w:rsidRPr="002225CD">
              <w:rPr>
                <w:bCs/>
                <w:color w:val="000000" w:themeColor="text1"/>
                <w:sz w:val="22"/>
                <w:szCs w:val="22"/>
              </w:rPr>
              <w:t xml:space="preserve"> Children were administered all the items of the assessment and were awarded 1 point for each correct response (score range of 0-16). </w:t>
            </w:r>
          </w:p>
          <w:p w14:paraId="6D0D61A7" w14:textId="77777777" w:rsidR="0098141B" w:rsidRPr="00677F6B" w:rsidRDefault="0098141B" w:rsidP="0098141B">
            <w:pPr>
              <w:rPr>
                <w:rFonts w:cs="Times New Roman"/>
                <w:bCs/>
                <w:color w:val="000000" w:themeColor="text1"/>
                <w:sz w:val="22"/>
                <w:szCs w:val="22"/>
              </w:rPr>
            </w:pPr>
            <w:r w:rsidRPr="002225CD">
              <w:rPr>
                <w:bCs/>
                <w:color w:val="000000" w:themeColor="text1"/>
                <w:sz w:val="22"/>
                <w:szCs w:val="22"/>
                <w:u w:val="single"/>
              </w:rPr>
              <w:t>Psychometric Properties:</w:t>
            </w:r>
            <w:r w:rsidRPr="002225CD">
              <w:rPr>
                <w:bCs/>
                <w:color w:val="000000" w:themeColor="text1"/>
                <w:sz w:val="22"/>
                <w:szCs w:val="22"/>
              </w:rPr>
              <w:t xml:space="preserve"> Previous studies have demonstrated the PALM to have good internal consistency </w:t>
            </w:r>
            <w:r w:rsidRPr="002225CD">
              <w:rPr>
                <w:bCs/>
                <w:color w:val="000000" w:themeColor="text1"/>
                <w:sz w:val="22"/>
                <w:szCs w:val="22"/>
              </w:rPr>
              <w:fldChar w:fldCharType="begin" w:fldLock="1"/>
            </w:r>
            <w:r w:rsidRPr="002225CD">
              <w:rPr>
                <w:bCs/>
                <w:color w:val="000000" w:themeColor="text1"/>
                <w:sz w:val="22"/>
                <w:szCs w:val="22"/>
              </w:rPr>
              <w:instrText>ADDIN CSL_CITATION {"citationItems":[{"id":"ITEM-1","itemData":{"DOI":"10.1037/dev0000055","ISSN":"1939-0599","abstract":"Both mathematical language and the approximate number system (ANS) have been identified as strong predictors of early mathematics performance. Yet, these relations may be different depending on a child's developmental level. The purpose of this study was to evaluate the relations between these domains across different levels of ability. Participants included 114 children who were assessed in the fall and spring of preschool on a battery of academic and cognitive tasks. Children were 3.12 to 5.26 years old (M = 4.18, SD = 58) and 53.6% were girls. Both mixed-effect and quantile regressions were conducted. The mixed-effect regressions indicated that mathematical language, but not the ANS, nor other cognitive domains, predicted mathematics performance. However, the quantile regression analyses revealed a more nuanced relation among domains. Specifically, it was found that mathematical language and the ANS predicted mathematical performance at different points on the ability continuum. These dual nonlinear relations indicate that different mechanisms may enhance mathematical acquisition dependent on children's developmental abilities.","author":[{"dropping-particle":"","family":"Purpura","given":"David J.","non-dropping-particle":"","parse-names":false,"suffix":""},{"dropping-particle":"","family":"Logan","given":"Jessica A. R.","non-dropping-particle":"","parse-names":false,"suffix":""}],"container-title":"Developmental Psychology","id":"ITEM-1","issue":"12","issued":{"date-parts":[["2015"]]},"page":"1717-1724","title":"The nonlinear relations of the approximate number system and mathematical language to early mathematics development","type":"article-journal","volume":"51"},"uris":["http://www.mendeley.com/documents/?uuid=8d7ccee6-908b-44d1-a32f-062fd99704a3"]}],"mendeley":{"formattedCitation":"(Purpura &amp; Logan, 2015)","manualFormatting":"(α = .85; Purpura &amp; Logan, 2015)","plainTextFormattedCitation":"(Purpura &amp; Logan, 2015)","previouslyFormattedCitation":"(Purpura &amp; Logan, 2015)"},"properties":{"noteIndex":0},"schema":"https://github.com/citation-style-language/schema/raw/master/csl-citation.json"}</w:instrText>
            </w:r>
            <w:r w:rsidRPr="002225CD">
              <w:rPr>
                <w:bCs/>
                <w:color w:val="000000" w:themeColor="text1"/>
                <w:sz w:val="22"/>
                <w:szCs w:val="22"/>
              </w:rPr>
              <w:fldChar w:fldCharType="separate"/>
            </w:r>
            <w:r w:rsidRPr="002225CD">
              <w:rPr>
                <w:bCs/>
                <w:noProof/>
                <w:color w:val="000000" w:themeColor="text1"/>
                <w:sz w:val="22"/>
                <w:szCs w:val="22"/>
              </w:rPr>
              <w:t>(</w:t>
            </w:r>
            <w:r w:rsidRPr="002225CD">
              <w:rPr>
                <w:noProof/>
                <w:color w:val="000000" w:themeColor="text1"/>
                <w:sz w:val="22"/>
                <w:szCs w:val="22"/>
              </w:rPr>
              <w:t xml:space="preserve">α = .85; </w:t>
            </w:r>
            <w:r w:rsidRPr="002225CD">
              <w:rPr>
                <w:bCs/>
                <w:noProof/>
                <w:color w:val="000000" w:themeColor="text1"/>
                <w:sz w:val="22"/>
                <w:szCs w:val="22"/>
              </w:rPr>
              <w:t>Purpura &amp; Logan, 2015)</w:t>
            </w:r>
            <w:r w:rsidRPr="002225CD">
              <w:rPr>
                <w:bCs/>
                <w:color w:val="000000" w:themeColor="text1"/>
                <w:sz w:val="22"/>
                <w:szCs w:val="22"/>
              </w:rPr>
              <w:fldChar w:fldCharType="end"/>
            </w:r>
            <w:r w:rsidRPr="002225CD">
              <w:rPr>
                <w:bCs/>
                <w:color w:val="000000" w:themeColor="text1"/>
                <w:sz w:val="22"/>
                <w:szCs w:val="22"/>
              </w:rPr>
              <w:t>, though the internal consistency of the PALM was slightly weaker in the current sample (</w:t>
            </w:r>
            <w:r w:rsidRPr="002225CD">
              <w:rPr>
                <w:rFonts w:ascii="Symbol" w:hAnsi="Symbol"/>
                <w:bCs/>
                <w:color w:val="000000" w:themeColor="text1"/>
                <w:sz w:val="22"/>
                <w:szCs w:val="22"/>
              </w:rPr>
              <w:t>w</w:t>
            </w:r>
            <w:r w:rsidRPr="002225CD">
              <w:rPr>
                <w:rFonts w:cs="Times New Roman"/>
                <w:bCs/>
                <w:color w:val="000000" w:themeColor="text1"/>
                <w:sz w:val="22"/>
                <w:szCs w:val="22"/>
                <w:vertAlign w:val="subscript"/>
              </w:rPr>
              <w:t>fall</w:t>
            </w:r>
            <w:r w:rsidRPr="002225CD">
              <w:rPr>
                <w:rFonts w:cs="Times New Roman"/>
                <w:bCs/>
                <w:color w:val="000000" w:themeColor="text1"/>
                <w:sz w:val="22"/>
                <w:szCs w:val="22"/>
              </w:rPr>
              <w:t xml:space="preserve"> = .78;</w:t>
            </w:r>
            <w:r w:rsidRPr="002225CD">
              <w:rPr>
                <w:rFonts w:asciiTheme="minorHAnsi" w:hAnsiTheme="minorHAnsi" w:cstheme="minorHAnsi"/>
                <w:bCs/>
                <w:color w:val="000000" w:themeColor="text1"/>
                <w:sz w:val="22"/>
                <w:szCs w:val="22"/>
              </w:rPr>
              <w:t xml:space="preserve"> </w:t>
            </w:r>
            <w:r w:rsidRPr="002225CD">
              <w:rPr>
                <w:rFonts w:ascii="Symbol" w:hAnsi="Symbol"/>
                <w:bCs/>
                <w:color w:val="000000" w:themeColor="text1"/>
                <w:sz w:val="22"/>
                <w:szCs w:val="22"/>
              </w:rPr>
              <w:t>w</w:t>
            </w:r>
            <w:r w:rsidRPr="002225CD">
              <w:rPr>
                <w:rFonts w:cs="Times New Roman"/>
                <w:bCs/>
                <w:color w:val="000000" w:themeColor="text1"/>
                <w:sz w:val="22"/>
                <w:szCs w:val="22"/>
                <w:vertAlign w:val="subscript"/>
              </w:rPr>
              <w:t>spring</w:t>
            </w:r>
            <w:r w:rsidRPr="002225CD">
              <w:rPr>
                <w:rFonts w:cs="Times New Roman"/>
                <w:bCs/>
                <w:color w:val="000000" w:themeColor="text1"/>
                <w:sz w:val="22"/>
                <w:szCs w:val="22"/>
              </w:rPr>
              <w:t xml:space="preserve"> = .76).</w:t>
            </w:r>
          </w:p>
        </w:tc>
      </w:tr>
      <w:tr w:rsidR="0098141B" w:rsidRPr="00C26054" w14:paraId="4D84EF70" w14:textId="77777777" w:rsidTr="00E76C56">
        <w:tblPrEx>
          <w:tblBorders>
            <w:top w:val="single" w:sz="4" w:space="0" w:color="auto"/>
            <w:bottom w:val="single" w:sz="4" w:space="0" w:color="auto"/>
          </w:tblBorders>
        </w:tblPrEx>
        <w:tc>
          <w:tcPr>
            <w:tcW w:w="717" w:type="pct"/>
            <w:tcBorders>
              <w:top w:val="single" w:sz="4" w:space="0" w:color="auto"/>
              <w:bottom w:val="single" w:sz="4" w:space="0" w:color="auto"/>
            </w:tcBorders>
            <w:vAlign w:val="center"/>
          </w:tcPr>
          <w:p w14:paraId="7B4B7BD4" w14:textId="51F1370F" w:rsidR="0098141B" w:rsidRPr="0098141B" w:rsidRDefault="0098141B" w:rsidP="0098141B">
            <w:pPr>
              <w:rPr>
                <w:sz w:val="22"/>
                <w:szCs w:val="22"/>
              </w:rPr>
            </w:pPr>
            <w:r w:rsidRPr="0098141B">
              <w:rPr>
                <w:bCs/>
                <w:sz w:val="22"/>
                <w:szCs w:val="22"/>
              </w:rPr>
              <w:t>Cardinality* (</w:t>
            </w:r>
            <w:r w:rsidRPr="0098141B">
              <w:rPr>
                <w:sz w:val="22"/>
                <w:szCs w:val="22"/>
              </w:rPr>
              <w:t>CARD; Purpura &amp; Lonigan, 2015)</w:t>
            </w:r>
          </w:p>
        </w:tc>
        <w:tc>
          <w:tcPr>
            <w:tcW w:w="4283" w:type="pct"/>
            <w:gridSpan w:val="2"/>
            <w:tcBorders>
              <w:top w:val="single" w:sz="4" w:space="0" w:color="auto"/>
              <w:bottom w:val="single" w:sz="4" w:space="0" w:color="auto"/>
            </w:tcBorders>
          </w:tcPr>
          <w:p w14:paraId="19DA6ADB" w14:textId="77777777" w:rsidR="0098141B" w:rsidRPr="00677F6B" w:rsidRDefault="0098141B" w:rsidP="0098141B">
            <w:pPr>
              <w:rPr>
                <w:sz w:val="22"/>
                <w:szCs w:val="22"/>
                <w:u w:val="single"/>
              </w:rPr>
            </w:pPr>
            <w:r w:rsidRPr="00677F6B">
              <w:rPr>
                <w:sz w:val="22"/>
                <w:szCs w:val="22"/>
                <w:u w:val="single"/>
              </w:rPr>
              <w:t>Skills Assessed:</w:t>
            </w:r>
            <w:r w:rsidRPr="00677F6B">
              <w:rPr>
                <w:sz w:val="22"/>
                <w:szCs w:val="22"/>
              </w:rPr>
              <w:t xml:space="preserve"> Cardinality (i.e., the understanding that each number represents a discrete quantity). </w:t>
            </w:r>
          </w:p>
          <w:p w14:paraId="6B420A54" w14:textId="77777777" w:rsidR="0098141B" w:rsidRPr="00677F6B" w:rsidRDefault="0098141B" w:rsidP="0098141B">
            <w:pPr>
              <w:pStyle w:val="NormalWeb"/>
              <w:widowControl w:val="0"/>
              <w:spacing w:before="0" w:beforeAutospacing="0" w:after="0" w:afterAutospacing="0"/>
              <w:contextualSpacing/>
              <w:rPr>
                <w:bCs/>
                <w:color w:val="000000" w:themeColor="text1"/>
                <w:sz w:val="22"/>
                <w:szCs w:val="22"/>
              </w:rPr>
            </w:pPr>
            <w:r w:rsidRPr="00677F6B">
              <w:rPr>
                <w:sz w:val="22"/>
                <w:szCs w:val="22"/>
                <w:u w:val="single"/>
              </w:rPr>
              <w:t>Task:</w:t>
            </w:r>
            <w:r w:rsidRPr="00677F6B">
              <w:rPr>
                <w:bCs/>
                <w:color w:val="000000" w:themeColor="text1"/>
                <w:sz w:val="22"/>
                <w:szCs w:val="22"/>
              </w:rPr>
              <w:t xml:space="preserve"> Children were provided with a set of 10 blocks and were asked to give the research assistant a smaller set of blocks (e.g., “give me 4 blocks”) for three specific quantities. Then, they were provided with an additional 10 blocks (for a total of 20 blocks) and were asked to give the research assistant a smaller set of blocks (e.g., “give me 16 blocks”) for three specific quantities. </w:t>
            </w:r>
          </w:p>
          <w:p w14:paraId="5F933040" w14:textId="77777777" w:rsidR="0098141B" w:rsidRPr="00677F6B" w:rsidRDefault="0098141B" w:rsidP="0098141B">
            <w:pPr>
              <w:pStyle w:val="NormalWeb"/>
              <w:widowControl w:val="0"/>
              <w:spacing w:before="0" w:beforeAutospacing="0" w:after="0" w:afterAutospacing="0"/>
              <w:contextualSpacing/>
              <w:rPr>
                <w:bCs/>
                <w:color w:val="000000" w:themeColor="text1"/>
                <w:sz w:val="22"/>
                <w:szCs w:val="22"/>
              </w:rPr>
            </w:pPr>
            <w:r w:rsidRPr="00677F6B">
              <w:rPr>
                <w:sz w:val="22"/>
                <w:szCs w:val="22"/>
                <w:u w:val="single"/>
              </w:rPr>
              <w:t>Scoring:</w:t>
            </w:r>
            <w:r w:rsidRPr="00677F6B">
              <w:rPr>
                <w:bCs/>
                <w:color w:val="000000" w:themeColor="text1"/>
                <w:sz w:val="22"/>
                <w:szCs w:val="22"/>
              </w:rPr>
              <w:t xml:space="preserve"> If the child gave the research assistant the correct number of blocks, they earned one point, with possible scores ranging from 0-6. </w:t>
            </w:r>
          </w:p>
          <w:p w14:paraId="2CAEEB48" w14:textId="77777777" w:rsidR="0098141B" w:rsidRPr="00677F6B" w:rsidRDefault="0098141B" w:rsidP="0098141B">
            <w:pPr>
              <w:pStyle w:val="NormalWeb"/>
              <w:widowControl w:val="0"/>
              <w:spacing w:before="0" w:beforeAutospacing="0" w:after="0" w:afterAutospacing="0"/>
              <w:contextualSpacing/>
              <w:rPr>
                <w:bCs/>
                <w:color w:val="000000" w:themeColor="text1"/>
              </w:rPr>
            </w:pPr>
            <w:r w:rsidRPr="00677F6B">
              <w:rPr>
                <w:bCs/>
                <w:color w:val="000000" w:themeColor="text1"/>
                <w:sz w:val="22"/>
                <w:szCs w:val="22"/>
                <w:u w:val="single"/>
              </w:rPr>
              <w:t>Psychometric Properties:</w:t>
            </w:r>
            <w:r w:rsidRPr="00677F6B">
              <w:rPr>
                <w:bCs/>
                <w:color w:val="000000" w:themeColor="text1"/>
                <w:sz w:val="22"/>
                <w:szCs w:val="22"/>
              </w:rPr>
              <w:t xml:space="preserve"> Though the internal consistency of the CARD was acceptable at the fall timepoint (</w:t>
            </w:r>
            <w:r w:rsidRPr="00677F6B">
              <w:rPr>
                <w:rFonts w:ascii="Symbol" w:hAnsi="Symbol"/>
                <w:bCs/>
                <w:color w:val="000000" w:themeColor="text1"/>
                <w:sz w:val="22"/>
                <w:szCs w:val="22"/>
              </w:rPr>
              <w:t>w</w:t>
            </w:r>
            <w:r w:rsidRPr="00677F6B">
              <w:rPr>
                <w:bCs/>
                <w:color w:val="000000" w:themeColor="text1"/>
                <w:sz w:val="22"/>
                <w:szCs w:val="22"/>
                <w:vertAlign w:val="subscript"/>
              </w:rPr>
              <w:t>fall</w:t>
            </w:r>
            <w:r w:rsidRPr="00677F6B">
              <w:rPr>
                <w:bCs/>
                <w:color w:val="000000" w:themeColor="text1"/>
                <w:sz w:val="22"/>
                <w:szCs w:val="22"/>
              </w:rPr>
              <w:t xml:space="preserve"> = .78</w:t>
            </w:r>
            <w:r w:rsidRPr="00677F6B">
              <w:rPr>
                <w:rFonts w:asciiTheme="minorHAnsi" w:hAnsiTheme="minorHAnsi" w:cstheme="minorHAnsi"/>
                <w:bCs/>
                <w:color w:val="000000" w:themeColor="text1"/>
                <w:sz w:val="22"/>
                <w:szCs w:val="22"/>
              </w:rPr>
              <w:t xml:space="preserve">), </w:t>
            </w:r>
            <w:r w:rsidRPr="00677F6B">
              <w:rPr>
                <w:bCs/>
                <w:color w:val="000000" w:themeColor="text1"/>
                <w:sz w:val="22"/>
                <w:szCs w:val="22"/>
              </w:rPr>
              <w:t>it was slightly weaker in the spring</w:t>
            </w:r>
            <w:r w:rsidRPr="00677F6B">
              <w:rPr>
                <w:rFonts w:asciiTheme="minorHAnsi" w:hAnsiTheme="minorHAnsi" w:cstheme="minorHAnsi"/>
                <w:bCs/>
                <w:color w:val="000000" w:themeColor="text1"/>
                <w:sz w:val="22"/>
                <w:szCs w:val="22"/>
              </w:rPr>
              <w:t xml:space="preserve"> </w:t>
            </w:r>
            <w:r w:rsidRPr="00677F6B">
              <w:rPr>
                <w:bCs/>
                <w:color w:val="000000" w:themeColor="text1"/>
                <w:sz w:val="22"/>
                <w:szCs w:val="22"/>
              </w:rPr>
              <w:t>(</w:t>
            </w:r>
            <w:r w:rsidRPr="00677F6B">
              <w:rPr>
                <w:rFonts w:ascii="Symbol" w:hAnsi="Symbol"/>
                <w:bCs/>
                <w:color w:val="000000" w:themeColor="text1"/>
                <w:sz w:val="22"/>
                <w:szCs w:val="22"/>
              </w:rPr>
              <w:t>w</w:t>
            </w:r>
            <w:r w:rsidRPr="00677F6B">
              <w:rPr>
                <w:bCs/>
                <w:color w:val="000000" w:themeColor="text1"/>
                <w:sz w:val="22"/>
                <w:szCs w:val="22"/>
                <w:vertAlign w:val="subscript"/>
              </w:rPr>
              <w:t>spring</w:t>
            </w:r>
            <w:r w:rsidRPr="00677F6B">
              <w:rPr>
                <w:bCs/>
                <w:color w:val="000000" w:themeColor="text1"/>
                <w:sz w:val="22"/>
                <w:szCs w:val="22"/>
              </w:rPr>
              <w:t xml:space="preserve"> = .69).</w:t>
            </w:r>
          </w:p>
        </w:tc>
      </w:tr>
      <w:tr w:rsidR="0098141B" w:rsidRPr="00C26054" w14:paraId="16929AEA" w14:textId="77777777" w:rsidTr="00E76C56">
        <w:tblPrEx>
          <w:tblBorders>
            <w:top w:val="single" w:sz="4" w:space="0" w:color="auto"/>
            <w:bottom w:val="single" w:sz="4" w:space="0" w:color="auto"/>
          </w:tblBorders>
        </w:tblPrEx>
        <w:tc>
          <w:tcPr>
            <w:tcW w:w="717" w:type="pct"/>
            <w:tcBorders>
              <w:top w:val="single" w:sz="4" w:space="0" w:color="auto"/>
            </w:tcBorders>
            <w:vAlign w:val="center"/>
          </w:tcPr>
          <w:p w14:paraId="7FE2840F" w14:textId="262E9FAE" w:rsidR="0098141B" w:rsidRPr="0098141B" w:rsidRDefault="0098141B" w:rsidP="0098141B">
            <w:pPr>
              <w:rPr>
                <w:sz w:val="22"/>
                <w:szCs w:val="22"/>
              </w:rPr>
            </w:pPr>
            <w:r w:rsidRPr="0098141B">
              <w:rPr>
                <w:bCs/>
                <w:sz w:val="22"/>
                <w:szCs w:val="22"/>
              </w:rPr>
              <w:t>Numeral Identification*</w:t>
            </w:r>
            <w:r w:rsidRPr="0098141B">
              <w:rPr>
                <w:sz w:val="22"/>
                <w:szCs w:val="22"/>
              </w:rPr>
              <w:t xml:space="preserve"> (NI; Purpura &amp; Lonigan, 2015)</w:t>
            </w:r>
          </w:p>
        </w:tc>
        <w:tc>
          <w:tcPr>
            <w:tcW w:w="4283" w:type="pct"/>
            <w:gridSpan w:val="2"/>
            <w:tcBorders>
              <w:top w:val="single" w:sz="4" w:space="0" w:color="auto"/>
            </w:tcBorders>
          </w:tcPr>
          <w:p w14:paraId="2FF134A0" w14:textId="77777777" w:rsidR="0098141B" w:rsidRPr="00677F6B" w:rsidRDefault="0098141B" w:rsidP="0098141B">
            <w:pPr>
              <w:rPr>
                <w:sz w:val="22"/>
                <w:szCs w:val="22"/>
                <w:u w:val="single"/>
              </w:rPr>
            </w:pPr>
            <w:r w:rsidRPr="00677F6B">
              <w:rPr>
                <w:sz w:val="22"/>
                <w:szCs w:val="22"/>
                <w:u w:val="single"/>
              </w:rPr>
              <w:t>Skills Assessed:</w:t>
            </w:r>
            <w:r w:rsidRPr="00677F6B">
              <w:rPr>
                <w:sz w:val="22"/>
                <w:szCs w:val="22"/>
              </w:rPr>
              <w:t xml:space="preserve"> Number identification</w:t>
            </w:r>
          </w:p>
          <w:p w14:paraId="537CBDA8" w14:textId="77777777" w:rsidR="0098141B" w:rsidRPr="00677F6B" w:rsidRDefault="0098141B" w:rsidP="0098141B">
            <w:pPr>
              <w:rPr>
                <w:sz w:val="22"/>
                <w:szCs w:val="22"/>
                <w:u w:val="single"/>
              </w:rPr>
            </w:pPr>
            <w:r w:rsidRPr="00677F6B">
              <w:rPr>
                <w:sz w:val="22"/>
                <w:szCs w:val="22"/>
                <w:u w:val="single"/>
              </w:rPr>
              <w:t>Task:</w:t>
            </w:r>
            <w:r w:rsidRPr="004B5B52">
              <w:rPr>
                <w:bCs/>
                <w:color w:val="000000" w:themeColor="text1"/>
              </w:rPr>
              <w:t xml:space="preserve"> </w:t>
            </w:r>
            <w:r w:rsidRPr="00677F6B">
              <w:rPr>
                <w:bCs/>
                <w:color w:val="000000" w:themeColor="text1"/>
                <w:sz w:val="22"/>
                <w:szCs w:val="22"/>
              </w:rPr>
              <w:t>Each child was shown a set of nine flashcards that had one single- or double- digit number (i.e., 1, 2, 3, 7, 8, 10, 12, 14, 15) printed on them. Children were shown the flashcards one at a time in a random shuffled order and were asked to say the name of the number presented on the card</w:t>
            </w:r>
          </w:p>
          <w:p w14:paraId="7384C692" w14:textId="77777777" w:rsidR="0098141B" w:rsidRPr="00677F6B" w:rsidRDefault="0098141B" w:rsidP="0098141B">
            <w:pPr>
              <w:rPr>
                <w:bCs/>
                <w:color w:val="000000" w:themeColor="text1"/>
                <w:sz w:val="22"/>
                <w:szCs w:val="22"/>
              </w:rPr>
            </w:pPr>
            <w:r w:rsidRPr="00677F6B">
              <w:rPr>
                <w:sz w:val="22"/>
                <w:szCs w:val="22"/>
                <w:u w:val="single"/>
              </w:rPr>
              <w:t>Scoring:</w:t>
            </w:r>
            <w:r w:rsidRPr="00677F6B">
              <w:rPr>
                <w:bCs/>
                <w:color w:val="000000" w:themeColor="text1"/>
                <w:sz w:val="22"/>
                <w:szCs w:val="22"/>
              </w:rPr>
              <w:t xml:space="preserve"> Children received 1 point for each correct answer for a maximum possible score of 9.</w:t>
            </w:r>
          </w:p>
          <w:p w14:paraId="47C2C87F" w14:textId="77777777" w:rsidR="0098141B" w:rsidRPr="00677F6B" w:rsidRDefault="0098141B" w:rsidP="0098141B">
            <w:pPr>
              <w:rPr>
                <w:sz w:val="22"/>
                <w:szCs w:val="22"/>
                <w:u w:val="single"/>
              </w:rPr>
            </w:pPr>
            <w:r w:rsidRPr="00677F6B">
              <w:rPr>
                <w:bCs/>
                <w:color w:val="000000" w:themeColor="text1"/>
                <w:sz w:val="22"/>
                <w:szCs w:val="22"/>
                <w:u w:val="single"/>
              </w:rPr>
              <w:t>Psychometric Properties:</w:t>
            </w:r>
            <w:r w:rsidRPr="00677F6B">
              <w:rPr>
                <w:bCs/>
                <w:color w:val="000000" w:themeColor="text1"/>
                <w:sz w:val="22"/>
                <w:szCs w:val="22"/>
              </w:rPr>
              <w:t xml:space="preserve"> Previous studies have demonstrated that the NI task has strong internal consistency </w:t>
            </w:r>
            <w:r w:rsidRPr="00677F6B">
              <w:rPr>
                <w:bCs/>
                <w:color w:val="000000" w:themeColor="text1"/>
                <w:sz w:val="22"/>
                <w:szCs w:val="22"/>
              </w:rPr>
              <w:fldChar w:fldCharType="begin" w:fldLock="1"/>
            </w:r>
            <w:r w:rsidRPr="00677F6B">
              <w:rPr>
                <w:bCs/>
                <w:color w:val="000000" w:themeColor="text1"/>
                <w:sz w:val="22"/>
                <w:szCs w:val="22"/>
              </w:rPr>
              <w:instrText>ADDIN CSL_CITATION {"citationItems":[{"id":"ITEM-1","itemData":{"DOI":"10.1037/dev0000055","ISSN":"1939-0599","abstract":"Both mathematical language and the approximate number system (ANS) have been identified as strong predictors of early mathematics performance. Yet, these relations may be different depending on a child's developmental level. The purpose of this study was to evaluate the relations between these domains across different levels of ability. Participants included 114 children who were assessed in the fall and spring of preschool on a battery of academic and cognitive tasks. Children were 3.12 to 5.26 years old (M = 4.18, SD = 58) and 53.6% were girls. Both mixed-effect and quantile regressions were conducted. The mixed-effect regressions indicated that mathematical language, but not the ANS, nor other cognitive domains, predicted mathematics performance. However, the quantile regression analyses revealed a more nuanced relation among domains. Specifically, it was found that mathematical language and the ANS predicted mathematical performance at different points on the ability continuum. These dual nonlinear relations indicate that different mechanisms may enhance mathematical acquisition dependent on children's developmental abilities.","author":[{"dropping-particle":"","family":"Purpura","given":"David J.","non-dropping-particle":"","parse-names":false,"suffix":""},{"dropping-particle":"","family":"Logan","given":"Jessica A. R.","non-dropping-particle":"","parse-names":false,"suffix":""}],"container-title":"Developmental Psychology","id":"ITEM-1","issue":"12","issued":{"date-parts":[["2015"]]},"page":"1717-1724","title":"The nonlinear relations of the approximate number system and mathematical language to early mathematics development","type":"article-journal","volume":"51"},"uris":["http://www.mendeley.com/documents/?uuid=8d7ccee6-908b-44d1-a32f-062fd99704a3"]}],"mendeley":{"formattedCitation":"(Purpura &amp; Logan, 2015)","manualFormatting":"(α = .90; ","plainTextFormattedCitation":"(Purpura &amp; Logan, 2015)","previouslyFormattedCitation":"(Purpura &amp; Logan, 2015)"},"properties":{"noteIndex":0},"schema":"https://github.com/citation-style-language/schema/raw/master/csl-citation.json"}</w:instrText>
            </w:r>
            <w:r w:rsidRPr="00677F6B">
              <w:rPr>
                <w:bCs/>
                <w:color w:val="000000" w:themeColor="text1"/>
                <w:sz w:val="22"/>
                <w:szCs w:val="22"/>
              </w:rPr>
              <w:fldChar w:fldCharType="separate"/>
            </w:r>
            <w:r w:rsidRPr="00677F6B">
              <w:rPr>
                <w:bCs/>
                <w:noProof/>
                <w:color w:val="000000" w:themeColor="text1"/>
                <w:sz w:val="22"/>
                <w:szCs w:val="22"/>
              </w:rPr>
              <w:t>(</w:t>
            </w:r>
            <w:r w:rsidRPr="00677F6B">
              <w:rPr>
                <w:noProof/>
                <w:color w:val="000000" w:themeColor="text1"/>
                <w:sz w:val="22"/>
                <w:szCs w:val="22"/>
              </w:rPr>
              <w:t>α = .90;</w:t>
            </w:r>
            <w:r w:rsidRPr="00677F6B" w:rsidDel="00B87E9A">
              <w:rPr>
                <w:noProof/>
                <w:color w:val="000000" w:themeColor="text1"/>
                <w:sz w:val="22"/>
                <w:szCs w:val="22"/>
              </w:rPr>
              <w:t xml:space="preserve"> </w:t>
            </w:r>
            <w:r w:rsidRPr="00677F6B">
              <w:rPr>
                <w:bCs/>
                <w:color w:val="000000" w:themeColor="text1"/>
                <w:sz w:val="22"/>
                <w:szCs w:val="22"/>
              </w:rPr>
              <w:fldChar w:fldCharType="end"/>
            </w:r>
            <w:r w:rsidRPr="00677F6B">
              <w:rPr>
                <w:bCs/>
                <w:color w:val="000000" w:themeColor="text1"/>
                <w:sz w:val="22"/>
                <w:szCs w:val="22"/>
              </w:rPr>
              <w:fldChar w:fldCharType="begin" w:fldLock="1"/>
            </w:r>
            <w:r w:rsidRPr="00677F6B">
              <w:rPr>
                <w:bCs/>
                <w:color w:val="000000" w:themeColor="text1"/>
                <w:sz w:val="22"/>
                <w:szCs w:val="22"/>
              </w:rPr>
              <w:instrText>ADDIN CSL_CITATION {"citationItems":[{"id":"ITEM-1","itemData":{"DOI":"10.1037/dev0000055","ISSN":"1939-0599","abstract":"Both mathematical language and the approximate number system (ANS) have been identified as strong predictors of early mathematics performance. Yet, these relations may be different depending on a child's developmental level. The purpose of this study was to evaluate the relations between these domains across different levels of ability. Participants included 114 children who were assessed in the fall and spring of preschool on a battery of academic and cognitive tasks. Children were 3.12 to 5.26 years old (M = 4.18, SD = 58) and 53.6% were girls. Both mixed-effect and quantile regressions were conducted. The mixed-effect regressions indicated that mathematical language, but not the ANS, nor other cognitive domains, predicted mathematics performance. However, the quantile regression analyses revealed a more nuanced relation among domains. Specifically, it was found that mathematical language and the ANS predicted mathematical performance at different points on the ability continuum. These dual nonlinear relations indicate that different mechanisms may enhance mathematical acquisition dependent on children's developmental abilities.","author":[{"dropping-particle":"","family":"Purpura","given":"David J.","non-dropping-particle":"","parse-names":false,"suffix":""},{"dropping-particle":"","family":"Logan","given":"Jessica A. R.","non-dropping-particle":"","parse-names":false,"suffix":""}],"container-title":"Developmental Psychology","id":"ITEM-1","issue":"12","issued":{"date-parts":[["2015"]]},"page":"1717-1724","title":"The nonlinear relations of the approximate number system and mathematical language to early mathematics development","type":"article-journal","volume":"51"},"uris":["http://www.mendeley.com/documents/?uuid=8d7ccee6-908b-44d1-a32f-062fd99704a3"]}],"mendeley":{"formattedCitation":"(Purpura &amp; Logan, 2015)","manualFormatting":"Purpura &amp; Lonigan, 2015)","plainTextFormattedCitation":"(Purpura &amp; Logan, 2015)","previouslyFormattedCitation":"(Purpura &amp; Logan, 2015)"},"properties":{"noteIndex":0},"schema":"https://github.com/citation-style-language/schema/raw/master/csl-citation.json"}</w:instrText>
            </w:r>
            <w:r w:rsidRPr="00677F6B">
              <w:rPr>
                <w:bCs/>
                <w:color w:val="000000" w:themeColor="text1"/>
                <w:sz w:val="22"/>
                <w:szCs w:val="22"/>
              </w:rPr>
              <w:fldChar w:fldCharType="separate"/>
            </w:r>
            <w:r w:rsidRPr="00677F6B">
              <w:rPr>
                <w:bCs/>
                <w:noProof/>
                <w:color w:val="000000" w:themeColor="text1"/>
                <w:sz w:val="22"/>
                <w:szCs w:val="22"/>
              </w:rPr>
              <w:t>Purpura &amp; Lonigan, 2015)</w:t>
            </w:r>
            <w:r w:rsidRPr="00677F6B">
              <w:rPr>
                <w:bCs/>
                <w:color w:val="000000" w:themeColor="text1"/>
                <w:sz w:val="22"/>
                <w:szCs w:val="22"/>
              </w:rPr>
              <w:fldChar w:fldCharType="end"/>
            </w:r>
            <w:r w:rsidRPr="00677F6B">
              <w:rPr>
                <w:bCs/>
                <w:color w:val="000000" w:themeColor="text1"/>
                <w:sz w:val="22"/>
                <w:szCs w:val="22"/>
              </w:rPr>
              <w:t>, though this was slightly weaker in the current sample (</w:t>
            </w:r>
            <w:r w:rsidRPr="00677F6B">
              <w:rPr>
                <w:rFonts w:ascii="Symbol" w:hAnsi="Symbol"/>
                <w:bCs/>
                <w:color w:val="000000" w:themeColor="text1"/>
                <w:sz w:val="22"/>
                <w:szCs w:val="22"/>
              </w:rPr>
              <w:t>w</w:t>
            </w:r>
            <w:r w:rsidRPr="00677F6B">
              <w:rPr>
                <w:rFonts w:cs="Times New Roman"/>
                <w:bCs/>
                <w:color w:val="000000" w:themeColor="text1"/>
                <w:sz w:val="22"/>
                <w:szCs w:val="22"/>
                <w:vertAlign w:val="subscript"/>
              </w:rPr>
              <w:t>fall</w:t>
            </w:r>
            <w:r w:rsidRPr="00677F6B">
              <w:rPr>
                <w:rFonts w:cs="Times New Roman"/>
                <w:bCs/>
                <w:color w:val="000000" w:themeColor="text1"/>
                <w:sz w:val="22"/>
                <w:szCs w:val="22"/>
              </w:rPr>
              <w:t xml:space="preserve"> = .86;</w:t>
            </w:r>
            <w:r w:rsidRPr="00677F6B">
              <w:rPr>
                <w:rFonts w:asciiTheme="minorHAnsi" w:hAnsiTheme="minorHAnsi" w:cstheme="minorHAnsi"/>
                <w:bCs/>
                <w:color w:val="000000" w:themeColor="text1"/>
                <w:sz w:val="22"/>
                <w:szCs w:val="22"/>
              </w:rPr>
              <w:t xml:space="preserve"> </w:t>
            </w:r>
            <w:r w:rsidRPr="00677F6B">
              <w:rPr>
                <w:rFonts w:ascii="Symbol" w:hAnsi="Symbol"/>
                <w:bCs/>
                <w:color w:val="000000" w:themeColor="text1"/>
                <w:sz w:val="22"/>
                <w:szCs w:val="22"/>
              </w:rPr>
              <w:t>w</w:t>
            </w:r>
            <w:r w:rsidRPr="00677F6B">
              <w:rPr>
                <w:rFonts w:cs="Times New Roman"/>
                <w:bCs/>
                <w:color w:val="000000" w:themeColor="text1"/>
                <w:sz w:val="22"/>
                <w:szCs w:val="22"/>
                <w:vertAlign w:val="subscript"/>
              </w:rPr>
              <w:t>spring</w:t>
            </w:r>
            <w:r w:rsidRPr="00677F6B">
              <w:rPr>
                <w:rFonts w:cs="Times New Roman"/>
                <w:bCs/>
                <w:color w:val="000000" w:themeColor="text1"/>
                <w:sz w:val="22"/>
                <w:szCs w:val="22"/>
              </w:rPr>
              <w:t xml:space="preserve"> = .87).</w:t>
            </w:r>
          </w:p>
        </w:tc>
      </w:tr>
    </w:tbl>
    <w:p w14:paraId="114DB045" w14:textId="77777777" w:rsidR="002C5D22" w:rsidRDefault="002C5D22" w:rsidP="002C5D22"/>
    <w:p w14:paraId="6C6FEF73" w14:textId="77777777" w:rsidR="002C5D22" w:rsidRDefault="002C5D22" w:rsidP="002C5D22">
      <w:r>
        <w:t>*Administered for Cohort 3 only.</w:t>
      </w:r>
    </w:p>
    <w:p w14:paraId="1D420B50" w14:textId="77777777" w:rsidR="002C5D22" w:rsidRDefault="002C5D22" w:rsidP="002C5D22"/>
    <w:p w14:paraId="679143F7" w14:textId="77777777" w:rsidR="002C5D22" w:rsidRDefault="002C5D22" w:rsidP="00A12CE3"/>
    <w:p w14:paraId="13547F61" w14:textId="77777777" w:rsidR="00A12CE3" w:rsidRDefault="00A12CE3"/>
    <w:sectPr w:rsidR="00A12CE3" w:rsidSect="002C5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BB45" w14:textId="77777777" w:rsidR="002D2655" w:rsidRDefault="002D2655" w:rsidP="00437B12">
      <w:r>
        <w:separator/>
      </w:r>
    </w:p>
  </w:endnote>
  <w:endnote w:type="continuationSeparator" w:id="0">
    <w:p w14:paraId="5011595B" w14:textId="77777777" w:rsidR="002D2655" w:rsidRDefault="002D2655" w:rsidP="0043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206030504050203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72CF" w14:textId="77777777" w:rsidR="002D2655" w:rsidRDefault="002D2655" w:rsidP="00437B12">
      <w:r>
        <w:separator/>
      </w:r>
    </w:p>
  </w:footnote>
  <w:footnote w:type="continuationSeparator" w:id="0">
    <w:p w14:paraId="40E18052" w14:textId="77777777" w:rsidR="002D2655" w:rsidRDefault="002D2655" w:rsidP="00437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4D"/>
    <w:rsid w:val="00003E40"/>
    <w:rsid w:val="0009092D"/>
    <w:rsid w:val="000D2CFE"/>
    <w:rsid w:val="000E6C2F"/>
    <w:rsid w:val="00123C67"/>
    <w:rsid w:val="002C5D22"/>
    <w:rsid w:val="002D2655"/>
    <w:rsid w:val="00385BDD"/>
    <w:rsid w:val="003A3417"/>
    <w:rsid w:val="003E5356"/>
    <w:rsid w:val="00437B12"/>
    <w:rsid w:val="00457FA4"/>
    <w:rsid w:val="004667EA"/>
    <w:rsid w:val="005333A1"/>
    <w:rsid w:val="005A2E0B"/>
    <w:rsid w:val="00652958"/>
    <w:rsid w:val="0069323A"/>
    <w:rsid w:val="006934B2"/>
    <w:rsid w:val="00693F67"/>
    <w:rsid w:val="0071144D"/>
    <w:rsid w:val="00764924"/>
    <w:rsid w:val="007840A0"/>
    <w:rsid w:val="00806DC0"/>
    <w:rsid w:val="00973A26"/>
    <w:rsid w:val="0098141B"/>
    <w:rsid w:val="00981498"/>
    <w:rsid w:val="009B236E"/>
    <w:rsid w:val="009D2CCB"/>
    <w:rsid w:val="00A12CE3"/>
    <w:rsid w:val="00A236B7"/>
    <w:rsid w:val="00A81095"/>
    <w:rsid w:val="00B66091"/>
    <w:rsid w:val="00B662F2"/>
    <w:rsid w:val="00CA69D7"/>
    <w:rsid w:val="00CD59B3"/>
    <w:rsid w:val="00D21730"/>
    <w:rsid w:val="00DD0436"/>
    <w:rsid w:val="00DE723B"/>
    <w:rsid w:val="00E976D9"/>
    <w:rsid w:val="00F30EF7"/>
    <w:rsid w:val="00F8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EC67DE"/>
  <w14:defaultImageDpi w14:val="32767"/>
  <w15:chartTrackingRefBased/>
  <w15:docId w15:val="{3200F830-5BDD-FB49-8DFA-57DF06A4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B12"/>
    <w:pPr>
      <w:tabs>
        <w:tab w:val="center" w:pos="4680"/>
        <w:tab w:val="right" w:pos="9360"/>
      </w:tabs>
    </w:pPr>
  </w:style>
  <w:style w:type="character" w:customStyle="1" w:styleId="HeaderChar">
    <w:name w:val="Header Char"/>
    <w:basedOn w:val="DefaultParagraphFont"/>
    <w:link w:val="Header"/>
    <w:uiPriority w:val="99"/>
    <w:rsid w:val="00437B12"/>
  </w:style>
  <w:style w:type="paragraph" w:styleId="Footer">
    <w:name w:val="footer"/>
    <w:basedOn w:val="Normal"/>
    <w:link w:val="FooterChar"/>
    <w:uiPriority w:val="99"/>
    <w:unhideWhenUsed/>
    <w:rsid w:val="00437B12"/>
    <w:pPr>
      <w:tabs>
        <w:tab w:val="center" w:pos="4680"/>
        <w:tab w:val="right" w:pos="9360"/>
      </w:tabs>
    </w:pPr>
  </w:style>
  <w:style w:type="character" w:customStyle="1" w:styleId="FooterChar">
    <w:name w:val="Footer Char"/>
    <w:basedOn w:val="DefaultParagraphFont"/>
    <w:link w:val="Footer"/>
    <w:uiPriority w:val="99"/>
    <w:rsid w:val="00437B12"/>
  </w:style>
  <w:style w:type="table" w:styleId="TableGrid">
    <w:name w:val="Table Grid"/>
    <w:basedOn w:val="TableNormal"/>
    <w:uiPriority w:val="39"/>
    <w:rsid w:val="002C5D22"/>
    <w:rPr>
      <w:rFonts w:ascii="Times New Roman"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D2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9514</Words>
  <Characters>54232</Characters>
  <Application>Microsoft Office Word</Application>
  <DocSecurity>0</DocSecurity>
  <Lines>451</Lines>
  <Paragraphs>127</Paragraphs>
  <ScaleCrop>false</ScaleCrop>
  <Company/>
  <LinksUpToDate>false</LinksUpToDate>
  <CharactersWithSpaces>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Duncan</dc:creator>
  <cp:keywords/>
  <dc:description/>
  <cp:lastModifiedBy>Duncan, Robert J</cp:lastModifiedBy>
  <cp:revision>15</cp:revision>
  <dcterms:created xsi:type="dcterms:W3CDTF">2021-02-04T18:37:00Z</dcterms:created>
  <dcterms:modified xsi:type="dcterms:W3CDTF">2022-09-08T16:22:00Z</dcterms:modified>
</cp:coreProperties>
</file>