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2A6F80" w:rsidRDefault="00654E8F" w:rsidP="0001436A">
      <w:pPr>
        <w:pStyle w:val="SupplementaryMaterial"/>
        <w:rPr>
          <w:b w:val="0"/>
        </w:rPr>
      </w:pPr>
      <w:r w:rsidRPr="002A6F80">
        <w:t>Supplementary Material</w:t>
      </w:r>
    </w:p>
    <w:p w14:paraId="2216A125" w14:textId="77777777" w:rsidR="0027153E" w:rsidRPr="002A6F80" w:rsidRDefault="0027153E" w:rsidP="00DC30EE">
      <w:pPr>
        <w:keepNext/>
        <w:keepLines/>
        <w:spacing w:before="40" w:after="0" w:line="259" w:lineRule="auto"/>
        <w:outlineLvl w:val="2"/>
        <w:rPr>
          <w:rFonts w:eastAsia="DengXian Light" w:cs="Times New Roman"/>
          <w:color w:val="1F4D78"/>
          <w:szCs w:val="24"/>
          <w:lang w:val="en-GB"/>
        </w:rPr>
      </w:pPr>
    </w:p>
    <w:p w14:paraId="1E069280" w14:textId="550D985E" w:rsidR="00DC30EE" w:rsidRPr="002A6F80" w:rsidRDefault="00DC30EE" w:rsidP="0027153E">
      <w:pPr>
        <w:pStyle w:val="Heading1"/>
        <w:numPr>
          <w:ilvl w:val="0"/>
          <w:numId w:val="0"/>
        </w:numPr>
        <w:ind w:left="567" w:hanging="567"/>
        <w:rPr>
          <w:lang w:val="en-GB"/>
        </w:rPr>
      </w:pPr>
      <w:r w:rsidRPr="002A6F80">
        <w:rPr>
          <w:lang w:val="en-GB"/>
        </w:rPr>
        <w:t xml:space="preserve">Supplementary </w:t>
      </w:r>
      <w:r w:rsidR="002A6F80" w:rsidRPr="002A6F80">
        <w:rPr>
          <w:lang w:val="en-GB"/>
        </w:rPr>
        <w:t>table</w:t>
      </w:r>
      <w:r w:rsidRPr="002A6F80">
        <w:rPr>
          <w:lang w:val="en-GB"/>
        </w:rPr>
        <w:t xml:space="preserve"> 1 – supporter feedback and solutions implemented</w:t>
      </w:r>
    </w:p>
    <w:p w14:paraId="7D2EF184" w14:textId="4B95A3D6" w:rsidR="00DC30EE" w:rsidRPr="002A6F80" w:rsidRDefault="00DC30EE" w:rsidP="00DC30EE">
      <w:pPr>
        <w:spacing w:before="0" w:after="160" w:line="259" w:lineRule="auto"/>
        <w:rPr>
          <w:rFonts w:eastAsia="Calibri" w:cs="Times New Roman"/>
          <w:sz w:val="22"/>
          <w:lang w:val="en-GB"/>
        </w:rPr>
      </w:pPr>
      <w:r w:rsidRPr="00DC30EE">
        <w:rPr>
          <w:rFonts w:eastAsia="Calibri" w:cs="Times New Roman"/>
          <w:sz w:val="22"/>
          <w:lang w:val="en-GB"/>
        </w:rPr>
        <w:t>Whilst most supporters reported the support protocol to be feasible to deliver, several issues and uncertainties were identified that informed amendments to the supporter training materials and the processes though which supporters recorded support provision</w:t>
      </w:r>
    </w:p>
    <w:tbl>
      <w:tblPr>
        <w:tblStyle w:val="TableGrid"/>
        <w:tblW w:w="0" w:type="auto"/>
        <w:tblLook w:val="04A0" w:firstRow="1" w:lastRow="0" w:firstColumn="1" w:lastColumn="0" w:noHBand="0" w:noVBand="1"/>
      </w:tblPr>
      <w:tblGrid>
        <w:gridCol w:w="4883"/>
        <w:gridCol w:w="4884"/>
      </w:tblGrid>
      <w:tr w:rsidR="0027153E" w:rsidRPr="002A6F80" w14:paraId="4704E373" w14:textId="77777777" w:rsidTr="0027153E">
        <w:tc>
          <w:tcPr>
            <w:tcW w:w="4883" w:type="dxa"/>
          </w:tcPr>
          <w:p w14:paraId="32165AF3" w14:textId="18D4C593" w:rsidR="0027153E" w:rsidRPr="002A6F80" w:rsidRDefault="0027153E" w:rsidP="00DC30EE">
            <w:pPr>
              <w:spacing w:before="0" w:after="160" w:line="259" w:lineRule="auto"/>
              <w:rPr>
                <w:rFonts w:eastAsia="Calibri" w:cs="Times New Roman"/>
                <w:b/>
                <w:bCs/>
                <w:sz w:val="22"/>
                <w:lang w:val="en-GB"/>
              </w:rPr>
            </w:pPr>
            <w:r w:rsidRPr="002A6F80">
              <w:rPr>
                <w:rFonts w:eastAsia="Calibri" w:cs="Times New Roman"/>
                <w:b/>
                <w:bCs/>
                <w:sz w:val="22"/>
                <w:lang w:val="en-GB"/>
              </w:rPr>
              <w:t>Problem identified</w:t>
            </w:r>
          </w:p>
        </w:tc>
        <w:tc>
          <w:tcPr>
            <w:tcW w:w="4884" w:type="dxa"/>
          </w:tcPr>
          <w:p w14:paraId="1EABFC90" w14:textId="2258E531" w:rsidR="0027153E" w:rsidRPr="002A6F80" w:rsidRDefault="0027153E" w:rsidP="00DC30EE">
            <w:pPr>
              <w:spacing w:before="0" w:after="160" w:line="259" w:lineRule="auto"/>
              <w:rPr>
                <w:rFonts w:eastAsia="Calibri" w:cs="Times New Roman"/>
                <w:b/>
                <w:bCs/>
                <w:sz w:val="22"/>
                <w:lang w:val="en-GB"/>
              </w:rPr>
            </w:pPr>
            <w:r w:rsidRPr="002A6F80">
              <w:rPr>
                <w:rFonts w:eastAsia="Calibri" w:cs="Times New Roman"/>
                <w:b/>
                <w:bCs/>
                <w:sz w:val="22"/>
                <w:lang w:val="en-GB"/>
              </w:rPr>
              <w:t>Solution Implemented</w:t>
            </w:r>
          </w:p>
        </w:tc>
      </w:tr>
      <w:tr w:rsidR="0027153E" w:rsidRPr="002A6F80" w14:paraId="3786A8ED" w14:textId="77777777" w:rsidTr="0027153E">
        <w:tc>
          <w:tcPr>
            <w:tcW w:w="4883" w:type="dxa"/>
          </w:tcPr>
          <w:p w14:paraId="21968307" w14:textId="2AD12D7D" w:rsidR="0027153E" w:rsidRPr="002A6F80" w:rsidRDefault="0027153E" w:rsidP="00DC30EE">
            <w:pPr>
              <w:spacing w:before="0" w:after="160" w:line="259" w:lineRule="auto"/>
              <w:rPr>
                <w:rFonts w:eastAsia="Calibri" w:cs="Times New Roman"/>
                <w:sz w:val="22"/>
                <w:lang w:val="en-GB"/>
              </w:rPr>
            </w:pPr>
            <w:r w:rsidRPr="002A6F80">
              <w:rPr>
                <w:rFonts w:eastAsia="Calibri" w:cs="Times New Roman"/>
                <w:sz w:val="22"/>
                <w:lang w:val="en-GB"/>
              </w:rPr>
              <w:t>Support log confusing and complicated to use; did not record all information required</w:t>
            </w:r>
          </w:p>
        </w:tc>
        <w:tc>
          <w:tcPr>
            <w:tcW w:w="4884" w:type="dxa"/>
          </w:tcPr>
          <w:p w14:paraId="262D6BA0" w14:textId="0411625E" w:rsidR="0027153E" w:rsidRPr="002A6F80" w:rsidRDefault="0027153E" w:rsidP="00DC30EE">
            <w:pPr>
              <w:spacing w:before="0" w:after="160" w:line="259" w:lineRule="auto"/>
              <w:rPr>
                <w:rFonts w:eastAsia="Calibri" w:cs="Times New Roman"/>
                <w:sz w:val="22"/>
                <w:lang w:val="en-GB"/>
              </w:rPr>
            </w:pPr>
            <w:r w:rsidRPr="002A6F80">
              <w:rPr>
                <w:rFonts w:eastAsia="Calibri" w:cs="Times New Roman"/>
                <w:sz w:val="22"/>
                <w:lang w:val="en-GB"/>
              </w:rPr>
              <w:t>Developed ‘offline’ spreadsheet with input from supporters for recording supporter activity in the main trial</w:t>
            </w:r>
          </w:p>
        </w:tc>
      </w:tr>
      <w:tr w:rsidR="0027153E" w:rsidRPr="002A6F80" w14:paraId="0342B742" w14:textId="77777777" w:rsidTr="0027153E">
        <w:tc>
          <w:tcPr>
            <w:tcW w:w="4883" w:type="dxa"/>
          </w:tcPr>
          <w:p w14:paraId="41BE79AB" w14:textId="485E3198" w:rsidR="0027153E" w:rsidRPr="002A6F80" w:rsidRDefault="0027153E" w:rsidP="00DC30EE">
            <w:pPr>
              <w:spacing w:before="0" w:after="160" w:line="259" w:lineRule="auto"/>
              <w:rPr>
                <w:rFonts w:eastAsia="Calibri" w:cs="Times New Roman"/>
                <w:sz w:val="22"/>
                <w:lang w:val="en-GB"/>
              </w:rPr>
            </w:pPr>
            <w:r w:rsidRPr="002A6F80">
              <w:rPr>
                <w:rFonts w:eastAsia="Calibri" w:cs="Times New Roman"/>
                <w:sz w:val="22"/>
                <w:lang w:val="en-GB"/>
              </w:rPr>
              <w:t>Uncertainty about dealing with/</w:t>
            </w:r>
            <w:r w:rsidR="002A6F80" w:rsidRPr="002A6F80">
              <w:rPr>
                <w:rFonts w:eastAsia="Calibri" w:cs="Times New Roman"/>
                <w:sz w:val="22"/>
                <w:lang w:val="en-GB"/>
              </w:rPr>
              <w:t>responding</w:t>
            </w:r>
            <w:r w:rsidRPr="002A6F80">
              <w:rPr>
                <w:rFonts w:eastAsia="Calibri" w:cs="Times New Roman"/>
                <w:sz w:val="22"/>
                <w:lang w:val="en-GB"/>
              </w:rPr>
              <w:t xml:space="preserve"> to specific scenarios/questions:</w:t>
            </w:r>
          </w:p>
          <w:p w14:paraId="36814014" w14:textId="77777777" w:rsidR="0027153E" w:rsidRPr="002A6F80" w:rsidRDefault="0027153E" w:rsidP="002A6F80">
            <w:pPr>
              <w:spacing w:before="0" w:after="160" w:line="259" w:lineRule="auto"/>
              <w:ind w:left="720"/>
              <w:rPr>
                <w:rFonts w:eastAsia="Calibri" w:cs="Times New Roman"/>
                <w:sz w:val="20"/>
                <w:szCs w:val="20"/>
                <w:lang w:val="en-GB"/>
              </w:rPr>
            </w:pPr>
            <w:r w:rsidRPr="002A6F80">
              <w:rPr>
                <w:rFonts w:eastAsia="Calibri" w:cs="Times New Roman"/>
                <w:sz w:val="22"/>
                <w:lang w:val="en-GB"/>
              </w:rPr>
              <w:t xml:space="preserve">- </w:t>
            </w:r>
            <w:r w:rsidRPr="002A6F80">
              <w:rPr>
                <w:rFonts w:eastAsia="Calibri" w:cs="Times New Roman"/>
                <w:sz w:val="20"/>
                <w:szCs w:val="20"/>
                <w:lang w:val="en-GB"/>
              </w:rPr>
              <w:t>how to manage participant expectations about purpose of supporter role</w:t>
            </w:r>
          </w:p>
          <w:p w14:paraId="276D57FA" w14:textId="77777777" w:rsidR="0027153E" w:rsidRPr="002A6F80" w:rsidRDefault="0027153E" w:rsidP="002A6F80">
            <w:pPr>
              <w:spacing w:before="0" w:after="160" w:line="259" w:lineRule="auto"/>
              <w:ind w:left="720"/>
              <w:rPr>
                <w:rFonts w:eastAsia="Calibri" w:cs="Times New Roman"/>
                <w:sz w:val="20"/>
                <w:szCs w:val="20"/>
                <w:lang w:val="en-GB"/>
              </w:rPr>
            </w:pPr>
            <w:r w:rsidRPr="002A6F80">
              <w:rPr>
                <w:rFonts w:eastAsia="Calibri" w:cs="Times New Roman"/>
                <w:sz w:val="20"/>
                <w:szCs w:val="20"/>
                <w:lang w:val="en-GB"/>
              </w:rPr>
              <w:t>-how to support participants w</w:t>
            </w:r>
            <w:r w:rsidR="002A6F80" w:rsidRPr="002A6F80">
              <w:rPr>
                <w:rFonts w:eastAsia="Calibri" w:cs="Times New Roman"/>
                <w:sz w:val="20"/>
                <w:szCs w:val="20"/>
                <w:lang w:val="en-GB"/>
              </w:rPr>
              <w:t>ith specific concerns about cognitive training scores</w:t>
            </w:r>
          </w:p>
          <w:p w14:paraId="440B50BB" w14:textId="72E3638F" w:rsidR="002A6F80" w:rsidRPr="002A6F80" w:rsidRDefault="002A6F80" w:rsidP="002A6F80">
            <w:pPr>
              <w:spacing w:before="0" w:after="160" w:line="259" w:lineRule="auto"/>
              <w:ind w:left="720"/>
              <w:rPr>
                <w:rFonts w:eastAsia="Calibri" w:cs="Times New Roman"/>
                <w:sz w:val="22"/>
                <w:lang w:val="en-GB"/>
              </w:rPr>
            </w:pPr>
            <w:r w:rsidRPr="002A6F80">
              <w:rPr>
                <w:rFonts w:eastAsia="Calibri" w:cs="Times New Roman"/>
                <w:sz w:val="20"/>
                <w:szCs w:val="20"/>
                <w:lang w:val="en-GB"/>
              </w:rPr>
              <w:t xml:space="preserve">- ensuring </w:t>
            </w:r>
            <w:proofErr w:type="gramStart"/>
            <w:r w:rsidRPr="002A6F80">
              <w:rPr>
                <w:rFonts w:eastAsia="Calibri" w:cs="Times New Roman"/>
                <w:sz w:val="20"/>
                <w:szCs w:val="20"/>
                <w:lang w:val="en-GB"/>
              </w:rPr>
              <w:t>information</w:t>
            </w:r>
            <w:proofErr w:type="gramEnd"/>
            <w:r w:rsidRPr="002A6F80">
              <w:rPr>
                <w:rFonts w:eastAsia="Calibri" w:cs="Times New Roman"/>
                <w:sz w:val="20"/>
                <w:szCs w:val="20"/>
                <w:lang w:val="en-GB"/>
              </w:rPr>
              <w:t xml:space="preserve"> they provided aligned with study materials/documentation</w:t>
            </w:r>
          </w:p>
        </w:tc>
        <w:tc>
          <w:tcPr>
            <w:tcW w:w="4884" w:type="dxa"/>
          </w:tcPr>
          <w:p w14:paraId="1C975434" w14:textId="77777777" w:rsidR="0027153E" w:rsidRPr="002A6F80" w:rsidRDefault="002A6F80" w:rsidP="00DC30EE">
            <w:pPr>
              <w:spacing w:before="0" w:after="160" w:line="259" w:lineRule="auto"/>
              <w:rPr>
                <w:rFonts w:eastAsia="Calibri" w:cs="Times New Roman"/>
                <w:sz w:val="22"/>
                <w:lang w:val="en-GB"/>
              </w:rPr>
            </w:pPr>
            <w:r w:rsidRPr="002A6F80">
              <w:rPr>
                <w:rFonts w:eastAsia="Calibri" w:cs="Times New Roman"/>
                <w:sz w:val="22"/>
                <w:lang w:val="en-GB"/>
              </w:rPr>
              <w:t>Added corresponding sections to the supporter training materials to provide advice on managing these specific issues</w:t>
            </w:r>
          </w:p>
          <w:p w14:paraId="0124FE76" w14:textId="638E7BFE" w:rsidR="002A6F80" w:rsidRPr="002A6F80" w:rsidRDefault="002A6F80" w:rsidP="00DC30EE">
            <w:pPr>
              <w:spacing w:before="0" w:after="160" w:line="259" w:lineRule="auto"/>
              <w:rPr>
                <w:rFonts w:eastAsia="Calibri" w:cs="Times New Roman"/>
                <w:sz w:val="22"/>
                <w:lang w:val="en-GB"/>
              </w:rPr>
            </w:pPr>
            <w:r w:rsidRPr="002A6F80">
              <w:rPr>
                <w:rFonts w:eastAsia="Calibri" w:cs="Times New Roman"/>
                <w:sz w:val="22"/>
                <w:lang w:val="en-GB"/>
              </w:rPr>
              <w:t>Added participant facing recruitment materials and copies of automated support materials ad appendices to supporter training materials</w:t>
            </w:r>
          </w:p>
        </w:tc>
      </w:tr>
    </w:tbl>
    <w:p w14:paraId="15C40213" w14:textId="77777777" w:rsidR="00DC30EE" w:rsidRPr="00DC30EE" w:rsidRDefault="00DC30EE" w:rsidP="00DC30EE">
      <w:pPr>
        <w:spacing w:before="0" w:after="160" w:line="259" w:lineRule="auto"/>
        <w:rPr>
          <w:rFonts w:eastAsia="Calibri" w:cs="Times New Roman"/>
          <w:sz w:val="22"/>
          <w:lang w:val="en-GB"/>
        </w:rPr>
      </w:pPr>
    </w:p>
    <w:p w14:paraId="0B52CD1C" w14:textId="3201067F" w:rsidR="00DC30EE" w:rsidRPr="002A6F80" w:rsidRDefault="00DC30EE" w:rsidP="0027153E">
      <w:pPr>
        <w:pStyle w:val="Heading1"/>
        <w:numPr>
          <w:ilvl w:val="0"/>
          <w:numId w:val="0"/>
        </w:numPr>
        <w:ind w:left="567" w:hanging="567"/>
        <w:rPr>
          <w:lang w:val="en-GB"/>
        </w:rPr>
      </w:pPr>
      <w:r w:rsidRPr="002A6F80">
        <w:rPr>
          <w:lang w:val="en-GB"/>
        </w:rPr>
        <w:t xml:space="preserve">Supplementary </w:t>
      </w:r>
      <w:r w:rsidR="002A6F80" w:rsidRPr="002A6F80">
        <w:rPr>
          <w:lang w:val="en-GB"/>
        </w:rPr>
        <w:t>table</w:t>
      </w:r>
      <w:r w:rsidRPr="002A6F80">
        <w:rPr>
          <w:lang w:val="en-GB"/>
        </w:rPr>
        <w:t xml:space="preserve"> 2 - frequency of brain training-related activity at follow-up in both trials</w:t>
      </w:r>
    </w:p>
    <w:p w14:paraId="02935A88" w14:textId="77777777" w:rsidR="00DC30EE" w:rsidRPr="00DC30EE" w:rsidRDefault="00DC30EE" w:rsidP="00DC30EE">
      <w:pPr>
        <w:spacing w:before="0" w:after="160" w:line="259" w:lineRule="auto"/>
        <w:rPr>
          <w:rFonts w:eastAsia="Calibri" w:cs="Times New Roman"/>
          <w:b/>
          <w:sz w:val="22"/>
          <w:lang w:val="en-GB"/>
        </w:rPr>
      </w:pPr>
      <w:r w:rsidRPr="00DC30EE">
        <w:rPr>
          <w:rFonts w:eastAsia="Calibri" w:cs="Times New Roman"/>
          <w:sz w:val="22"/>
          <w:lang w:val="en-GB"/>
        </w:rPr>
        <w:t>As well as data about how users engaged with the Brain Training module (Table 2), we also collected data on other brain-training related behaviours. This data was collected only at follow-up to avoid contamination of the usual care group with suggestions about potentially beneficial activities for brain health.</w:t>
      </w:r>
    </w:p>
    <w:tbl>
      <w:tblPr>
        <w:tblStyle w:val="TableGrid1"/>
        <w:tblW w:w="5000" w:type="pct"/>
        <w:tblInd w:w="0" w:type="dxa"/>
        <w:tblLayout w:type="fixed"/>
        <w:tblLook w:val="04A0" w:firstRow="1" w:lastRow="0" w:firstColumn="1" w:lastColumn="0" w:noHBand="0" w:noVBand="1"/>
      </w:tblPr>
      <w:tblGrid>
        <w:gridCol w:w="2478"/>
        <w:gridCol w:w="1203"/>
        <w:gridCol w:w="1268"/>
        <w:gridCol w:w="1119"/>
        <w:gridCol w:w="1119"/>
        <w:gridCol w:w="1455"/>
        <w:gridCol w:w="1125"/>
      </w:tblGrid>
      <w:tr w:rsidR="00DC30EE" w:rsidRPr="00DC30EE" w14:paraId="545D9139" w14:textId="77777777" w:rsidTr="003C3FFF">
        <w:tc>
          <w:tcPr>
            <w:tcW w:w="1268" w:type="pct"/>
            <w:tcBorders>
              <w:top w:val="single" w:sz="4" w:space="0" w:color="auto"/>
              <w:left w:val="single" w:sz="4" w:space="0" w:color="auto"/>
              <w:bottom w:val="single" w:sz="4" w:space="0" w:color="auto"/>
              <w:right w:val="single" w:sz="4" w:space="0" w:color="auto"/>
            </w:tcBorders>
          </w:tcPr>
          <w:p w14:paraId="6A04BF16" w14:textId="77777777" w:rsidR="00DC30EE" w:rsidRPr="00DC30EE" w:rsidRDefault="00DC30EE" w:rsidP="00DC30EE">
            <w:pPr>
              <w:spacing w:before="0" w:after="0"/>
              <w:rPr>
                <w:rFonts w:cs="Times New Roman"/>
                <w:sz w:val="18"/>
                <w:szCs w:val="18"/>
              </w:rPr>
            </w:pPr>
          </w:p>
        </w:tc>
        <w:tc>
          <w:tcPr>
            <w:tcW w:w="1837" w:type="pct"/>
            <w:gridSpan w:val="3"/>
            <w:tcBorders>
              <w:top w:val="single" w:sz="4" w:space="0" w:color="auto"/>
              <w:left w:val="single" w:sz="4" w:space="0" w:color="auto"/>
              <w:bottom w:val="single" w:sz="4" w:space="0" w:color="auto"/>
              <w:right w:val="single" w:sz="4" w:space="0" w:color="auto"/>
            </w:tcBorders>
            <w:hideMark/>
          </w:tcPr>
          <w:p w14:paraId="5323AB3A" w14:textId="77777777" w:rsidR="00DC30EE" w:rsidRPr="00DC30EE" w:rsidRDefault="00DC30EE" w:rsidP="00DC30EE">
            <w:pPr>
              <w:spacing w:before="0" w:after="0"/>
              <w:rPr>
                <w:rFonts w:cs="Times New Roman"/>
                <w:b/>
                <w:bCs/>
                <w:sz w:val="18"/>
                <w:szCs w:val="18"/>
              </w:rPr>
            </w:pPr>
            <w:r w:rsidRPr="00DC30EE">
              <w:rPr>
                <w:rFonts w:eastAsia="Calibri" w:cs="Times New Roman"/>
                <w:b/>
                <w:bCs/>
                <w:sz w:val="18"/>
                <w:szCs w:val="18"/>
              </w:rPr>
              <w:t>Lower cognitive score Trial</w:t>
            </w:r>
          </w:p>
        </w:tc>
        <w:tc>
          <w:tcPr>
            <w:tcW w:w="1894" w:type="pct"/>
            <w:gridSpan w:val="3"/>
            <w:tcBorders>
              <w:top w:val="single" w:sz="4" w:space="0" w:color="auto"/>
              <w:left w:val="single" w:sz="4" w:space="0" w:color="auto"/>
              <w:bottom w:val="single" w:sz="4" w:space="0" w:color="auto"/>
              <w:right w:val="single" w:sz="4" w:space="0" w:color="auto"/>
            </w:tcBorders>
          </w:tcPr>
          <w:p w14:paraId="1A6CA0B2" w14:textId="77777777" w:rsidR="00DC30EE" w:rsidRPr="00DC30EE" w:rsidRDefault="00DC30EE" w:rsidP="00DC30EE">
            <w:pPr>
              <w:spacing w:before="0" w:after="0"/>
              <w:rPr>
                <w:rFonts w:cs="Times New Roman"/>
                <w:b/>
                <w:bCs/>
                <w:sz w:val="18"/>
                <w:szCs w:val="18"/>
              </w:rPr>
            </w:pPr>
            <w:r w:rsidRPr="00DC30EE">
              <w:rPr>
                <w:rFonts w:eastAsia="Calibri" w:cs="Times New Roman"/>
                <w:b/>
                <w:bCs/>
                <w:sz w:val="18"/>
                <w:szCs w:val="18"/>
              </w:rPr>
              <w:t>Higher cognitive score Trial</w:t>
            </w:r>
          </w:p>
        </w:tc>
      </w:tr>
      <w:tr w:rsidR="00DC30EE" w:rsidRPr="00DC30EE" w14:paraId="7FFBF9BD" w14:textId="77777777" w:rsidTr="003C3FFF">
        <w:trPr>
          <w:trHeight w:val="159"/>
        </w:trPr>
        <w:tc>
          <w:tcPr>
            <w:tcW w:w="1268" w:type="pct"/>
            <w:tcBorders>
              <w:top w:val="single" w:sz="4" w:space="0" w:color="auto"/>
              <w:left w:val="single" w:sz="4" w:space="0" w:color="auto"/>
              <w:bottom w:val="single" w:sz="4" w:space="0" w:color="auto"/>
              <w:right w:val="single" w:sz="4" w:space="0" w:color="auto"/>
            </w:tcBorders>
            <w:hideMark/>
          </w:tcPr>
          <w:p w14:paraId="24991944" w14:textId="77777777" w:rsidR="00DC30EE" w:rsidRPr="00DC30EE" w:rsidRDefault="00DC30EE" w:rsidP="00DC30EE">
            <w:pPr>
              <w:spacing w:before="0" w:after="0"/>
              <w:rPr>
                <w:rFonts w:cs="Times New Roman"/>
                <w:sz w:val="18"/>
                <w:szCs w:val="18"/>
              </w:rPr>
            </w:pPr>
            <w:r w:rsidRPr="00DC30EE">
              <w:rPr>
                <w:rFonts w:cs="Times New Roman"/>
                <w:sz w:val="18"/>
                <w:szCs w:val="18"/>
              </w:rPr>
              <w:t>Median (IQR)*</w:t>
            </w:r>
          </w:p>
        </w:tc>
        <w:tc>
          <w:tcPr>
            <w:tcW w:w="616" w:type="pct"/>
            <w:tcBorders>
              <w:top w:val="single" w:sz="4" w:space="0" w:color="auto"/>
              <w:left w:val="single" w:sz="4" w:space="0" w:color="auto"/>
              <w:bottom w:val="single" w:sz="4" w:space="0" w:color="auto"/>
              <w:right w:val="single" w:sz="4" w:space="0" w:color="auto"/>
            </w:tcBorders>
            <w:hideMark/>
          </w:tcPr>
          <w:p w14:paraId="206B0C37" w14:textId="77777777" w:rsidR="00DC30EE" w:rsidRPr="00DC30EE" w:rsidRDefault="00DC30EE" w:rsidP="00DC30EE">
            <w:pPr>
              <w:spacing w:before="0" w:after="0"/>
              <w:rPr>
                <w:rFonts w:cs="Times New Roman"/>
                <w:sz w:val="18"/>
                <w:szCs w:val="18"/>
              </w:rPr>
            </w:pPr>
            <w:r w:rsidRPr="00DC30EE">
              <w:rPr>
                <w:rFonts w:cs="Times New Roman"/>
                <w:sz w:val="18"/>
                <w:szCs w:val="18"/>
              </w:rPr>
              <w:t xml:space="preserve">Active Brains </w:t>
            </w:r>
          </w:p>
          <w:p w14:paraId="45C04A89" w14:textId="77777777" w:rsidR="00DC30EE" w:rsidRPr="00DC30EE" w:rsidRDefault="00DC30EE" w:rsidP="00DC30EE">
            <w:pPr>
              <w:spacing w:before="0" w:after="0"/>
              <w:rPr>
                <w:rFonts w:cs="Times New Roman"/>
                <w:sz w:val="18"/>
                <w:szCs w:val="18"/>
              </w:rPr>
            </w:pPr>
            <w:r w:rsidRPr="00DC30EE">
              <w:rPr>
                <w:rFonts w:cs="Times New Roman"/>
                <w:sz w:val="18"/>
                <w:szCs w:val="18"/>
              </w:rPr>
              <w:t>(n=53)</w:t>
            </w:r>
          </w:p>
        </w:tc>
        <w:tc>
          <w:tcPr>
            <w:tcW w:w="649" w:type="pct"/>
            <w:tcBorders>
              <w:top w:val="single" w:sz="4" w:space="0" w:color="auto"/>
              <w:left w:val="single" w:sz="4" w:space="0" w:color="auto"/>
              <w:bottom w:val="single" w:sz="4" w:space="0" w:color="auto"/>
              <w:right w:val="single" w:sz="4" w:space="0" w:color="auto"/>
            </w:tcBorders>
            <w:hideMark/>
          </w:tcPr>
          <w:p w14:paraId="7CF83837" w14:textId="77777777" w:rsidR="00DC30EE" w:rsidRPr="00DC30EE" w:rsidRDefault="00DC30EE" w:rsidP="00DC30EE">
            <w:pPr>
              <w:spacing w:before="0" w:after="0"/>
              <w:rPr>
                <w:rFonts w:cs="Times New Roman"/>
                <w:sz w:val="18"/>
                <w:szCs w:val="18"/>
              </w:rPr>
            </w:pPr>
            <w:r w:rsidRPr="00DC30EE">
              <w:rPr>
                <w:rFonts w:cs="Times New Roman"/>
                <w:sz w:val="18"/>
                <w:szCs w:val="18"/>
              </w:rPr>
              <w:t>Active Brains + Support</w:t>
            </w:r>
          </w:p>
          <w:p w14:paraId="59919D00" w14:textId="77777777" w:rsidR="00DC30EE" w:rsidRPr="00DC30EE" w:rsidRDefault="00DC30EE" w:rsidP="00DC30EE">
            <w:pPr>
              <w:spacing w:before="0" w:after="0"/>
              <w:rPr>
                <w:rFonts w:cs="Times New Roman"/>
                <w:sz w:val="18"/>
                <w:szCs w:val="18"/>
              </w:rPr>
            </w:pPr>
            <w:r w:rsidRPr="00DC30EE">
              <w:rPr>
                <w:rFonts w:cs="Times New Roman"/>
                <w:sz w:val="18"/>
                <w:szCs w:val="18"/>
              </w:rPr>
              <w:t>(n=59)</w:t>
            </w:r>
          </w:p>
        </w:tc>
        <w:tc>
          <w:tcPr>
            <w:tcW w:w="573" w:type="pct"/>
            <w:tcBorders>
              <w:top w:val="single" w:sz="4" w:space="0" w:color="auto"/>
              <w:left w:val="single" w:sz="4" w:space="0" w:color="auto"/>
              <w:bottom w:val="single" w:sz="4" w:space="0" w:color="auto"/>
              <w:right w:val="single" w:sz="4" w:space="0" w:color="auto"/>
            </w:tcBorders>
            <w:hideMark/>
          </w:tcPr>
          <w:p w14:paraId="4240EF21" w14:textId="77777777" w:rsidR="00DC30EE" w:rsidRPr="00DC30EE" w:rsidRDefault="00DC30EE" w:rsidP="00DC30EE">
            <w:pPr>
              <w:spacing w:before="0" w:after="0"/>
              <w:rPr>
                <w:rFonts w:cs="Times New Roman"/>
                <w:sz w:val="18"/>
                <w:szCs w:val="18"/>
              </w:rPr>
            </w:pPr>
            <w:r w:rsidRPr="00DC30EE">
              <w:rPr>
                <w:rFonts w:cs="Times New Roman"/>
                <w:sz w:val="18"/>
                <w:szCs w:val="18"/>
              </w:rPr>
              <w:t>Usual Care (n=68)</w:t>
            </w:r>
          </w:p>
        </w:tc>
        <w:tc>
          <w:tcPr>
            <w:tcW w:w="573" w:type="pct"/>
            <w:tcBorders>
              <w:top w:val="single" w:sz="4" w:space="0" w:color="auto"/>
              <w:left w:val="single" w:sz="4" w:space="0" w:color="auto"/>
              <w:bottom w:val="single" w:sz="4" w:space="0" w:color="auto"/>
              <w:right w:val="single" w:sz="4" w:space="0" w:color="auto"/>
            </w:tcBorders>
            <w:hideMark/>
          </w:tcPr>
          <w:p w14:paraId="50228E91" w14:textId="77777777" w:rsidR="00DC30EE" w:rsidRPr="00DC30EE" w:rsidRDefault="00DC30EE" w:rsidP="00DC30EE">
            <w:pPr>
              <w:spacing w:before="0" w:after="0"/>
              <w:rPr>
                <w:rFonts w:cs="Times New Roman"/>
                <w:sz w:val="18"/>
                <w:szCs w:val="18"/>
              </w:rPr>
            </w:pPr>
            <w:r w:rsidRPr="00DC30EE">
              <w:rPr>
                <w:rFonts w:cs="Times New Roman"/>
                <w:sz w:val="18"/>
                <w:szCs w:val="18"/>
              </w:rPr>
              <w:t>Active Brains (n=65)</w:t>
            </w:r>
          </w:p>
        </w:tc>
        <w:tc>
          <w:tcPr>
            <w:tcW w:w="745" w:type="pct"/>
            <w:tcBorders>
              <w:top w:val="single" w:sz="4" w:space="0" w:color="auto"/>
              <w:left w:val="single" w:sz="4" w:space="0" w:color="auto"/>
              <w:bottom w:val="single" w:sz="4" w:space="0" w:color="auto"/>
              <w:right w:val="single" w:sz="4" w:space="0" w:color="auto"/>
            </w:tcBorders>
            <w:hideMark/>
          </w:tcPr>
          <w:p w14:paraId="58C438C0" w14:textId="77777777" w:rsidR="00DC30EE" w:rsidRPr="00DC30EE" w:rsidRDefault="00DC30EE" w:rsidP="00DC30EE">
            <w:pPr>
              <w:spacing w:before="0" w:after="0"/>
              <w:rPr>
                <w:rFonts w:cs="Times New Roman"/>
                <w:sz w:val="18"/>
                <w:szCs w:val="18"/>
              </w:rPr>
            </w:pPr>
            <w:r w:rsidRPr="00DC30EE">
              <w:rPr>
                <w:rFonts w:cs="Times New Roman"/>
                <w:sz w:val="18"/>
                <w:szCs w:val="18"/>
              </w:rPr>
              <w:t xml:space="preserve">Active Brains + Support (n=60) </w:t>
            </w:r>
          </w:p>
        </w:tc>
        <w:tc>
          <w:tcPr>
            <w:tcW w:w="576" w:type="pct"/>
            <w:tcBorders>
              <w:top w:val="single" w:sz="4" w:space="0" w:color="auto"/>
              <w:left w:val="single" w:sz="4" w:space="0" w:color="auto"/>
              <w:bottom w:val="single" w:sz="4" w:space="0" w:color="auto"/>
              <w:right w:val="single" w:sz="4" w:space="0" w:color="auto"/>
            </w:tcBorders>
            <w:hideMark/>
          </w:tcPr>
          <w:p w14:paraId="7AC2030D" w14:textId="77777777" w:rsidR="00DC30EE" w:rsidRPr="00DC30EE" w:rsidRDefault="00DC30EE" w:rsidP="00DC30EE">
            <w:pPr>
              <w:spacing w:before="0" w:after="0"/>
              <w:rPr>
                <w:rFonts w:cs="Times New Roman"/>
                <w:sz w:val="18"/>
                <w:szCs w:val="18"/>
              </w:rPr>
            </w:pPr>
            <w:r w:rsidRPr="00DC30EE">
              <w:rPr>
                <w:rFonts w:cs="Times New Roman"/>
                <w:sz w:val="18"/>
                <w:szCs w:val="18"/>
              </w:rPr>
              <w:t>Usual Care (n=55)</w:t>
            </w:r>
          </w:p>
        </w:tc>
      </w:tr>
      <w:tr w:rsidR="00DC30EE" w:rsidRPr="00DC30EE" w14:paraId="68353AAD"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00A8B6C8" w14:textId="77777777" w:rsidR="00DC30EE" w:rsidRPr="00DC30EE" w:rsidRDefault="00DC30EE" w:rsidP="00DC30EE">
            <w:pPr>
              <w:spacing w:before="0" w:after="0"/>
              <w:rPr>
                <w:rFonts w:cs="Times New Roman"/>
                <w:sz w:val="18"/>
                <w:szCs w:val="18"/>
              </w:rPr>
            </w:pPr>
            <w:r w:rsidRPr="00DC30EE">
              <w:rPr>
                <w:rFonts w:cs="Times New Roman"/>
                <w:sz w:val="18"/>
                <w:szCs w:val="18"/>
              </w:rPr>
              <w:t>Crosswords/sudoku/puzzles</w:t>
            </w:r>
          </w:p>
        </w:tc>
        <w:tc>
          <w:tcPr>
            <w:tcW w:w="616" w:type="pct"/>
            <w:tcBorders>
              <w:top w:val="single" w:sz="4" w:space="0" w:color="auto"/>
              <w:left w:val="single" w:sz="4" w:space="0" w:color="auto"/>
              <w:bottom w:val="single" w:sz="4" w:space="0" w:color="auto"/>
              <w:right w:val="single" w:sz="4" w:space="0" w:color="auto"/>
            </w:tcBorders>
            <w:hideMark/>
          </w:tcPr>
          <w:p w14:paraId="6378D884" w14:textId="77777777" w:rsidR="00DC30EE" w:rsidRPr="00DC30EE" w:rsidRDefault="00DC30EE" w:rsidP="00DC30EE">
            <w:pPr>
              <w:spacing w:before="0" w:after="0"/>
              <w:rPr>
                <w:rFonts w:cs="Times New Roman"/>
                <w:sz w:val="18"/>
                <w:szCs w:val="18"/>
              </w:rPr>
            </w:pPr>
            <w:r w:rsidRPr="00DC30EE">
              <w:rPr>
                <w:rFonts w:cs="Times New Roman"/>
                <w:sz w:val="18"/>
                <w:szCs w:val="18"/>
              </w:rPr>
              <w:t>4 (1,5)</w:t>
            </w:r>
          </w:p>
        </w:tc>
        <w:tc>
          <w:tcPr>
            <w:tcW w:w="649" w:type="pct"/>
            <w:tcBorders>
              <w:top w:val="single" w:sz="4" w:space="0" w:color="auto"/>
              <w:left w:val="single" w:sz="4" w:space="0" w:color="auto"/>
              <w:bottom w:val="single" w:sz="4" w:space="0" w:color="auto"/>
              <w:right w:val="single" w:sz="4" w:space="0" w:color="auto"/>
            </w:tcBorders>
            <w:hideMark/>
          </w:tcPr>
          <w:p w14:paraId="2E173332" w14:textId="77777777" w:rsidR="00DC30EE" w:rsidRPr="00DC30EE" w:rsidRDefault="00DC30EE" w:rsidP="00DC30EE">
            <w:pPr>
              <w:spacing w:before="0" w:after="0"/>
              <w:rPr>
                <w:rFonts w:cs="Times New Roman"/>
                <w:sz w:val="18"/>
                <w:szCs w:val="18"/>
              </w:rPr>
            </w:pPr>
            <w:r w:rsidRPr="00DC30EE">
              <w:rPr>
                <w:rFonts w:cs="Times New Roman"/>
                <w:sz w:val="18"/>
                <w:szCs w:val="18"/>
              </w:rPr>
              <w:t>4 (2,5)</w:t>
            </w:r>
          </w:p>
        </w:tc>
        <w:tc>
          <w:tcPr>
            <w:tcW w:w="573" w:type="pct"/>
            <w:tcBorders>
              <w:top w:val="single" w:sz="4" w:space="0" w:color="auto"/>
              <w:left w:val="single" w:sz="4" w:space="0" w:color="auto"/>
              <w:bottom w:val="single" w:sz="4" w:space="0" w:color="auto"/>
              <w:right w:val="single" w:sz="4" w:space="0" w:color="auto"/>
            </w:tcBorders>
            <w:hideMark/>
          </w:tcPr>
          <w:p w14:paraId="4B13D20A"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c>
          <w:tcPr>
            <w:tcW w:w="573" w:type="pct"/>
            <w:tcBorders>
              <w:top w:val="single" w:sz="4" w:space="0" w:color="auto"/>
              <w:left w:val="single" w:sz="4" w:space="0" w:color="auto"/>
              <w:bottom w:val="single" w:sz="4" w:space="0" w:color="auto"/>
              <w:right w:val="single" w:sz="4" w:space="0" w:color="auto"/>
            </w:tcBorders>
            <w:hideMark/>
          </w:tcPr>
          <w:p w14:paraId="526DB168"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c>
          <w:tcPr>
            <w:tcW w:w="745" w:type="pct"/>
            <w:tcBorders>
              <w:top w:val="single" w:sz="4" w:space="0" w:color="auto"/>
              <w:left w:val="single" w:sz="4" w:space="0" w:color="auto"/>
              <w:bottom w:val="single" w:sz="4" w:space="0" w:color="auto"/>
              <w:right w:val="single" w:sz="4" w:space="0" w:color="auto"/>
            </w:tcBorders>
            <w:hideMark/>
          </w:tcPr>
          <w:p w14:paraId="553BD293" w14:textId="77777777" w:rsidR="00DC30EE" w:rsidRPr="00DC30EE" w:rsidRDefault="00DC30EE" w:rsidP="00DC30EE">
            <w:pPr>
              <w:spacing w:before="0" w:after="0"/>
              <w:rPr>
                <w:rFonts w:cs="Times New Roman"/>
                <w:sz w:val="18"/>
                <w:szCs w:val="18"/>
              </w:rPr>
            </w:pPr>
            <w:r w:rsidRPr="00DC30EE">
              <w:rPr>
                <w:rFonts w:cs="Times New Roman"/>
                <w:sz w:val="18"/>
                <w:szCs w:val="18"/>
              </w:rPr>
              <w:t>5 (3,5)</w:t>
            </w:r>
          </w:p>
        </w:tc>
        <w:tc>
          <w:tcPr>
            <w:tcW w:w="576" w:type="pct"/>
            <w:tcBorders>
              <w:top w:val="single" w:sz="4" w:space="0" w:color="auto"/>
              <w:left w:val="single" w:sz="4" w:space="0" w:color="auto"/>
              <w:bottom w:val="single" w:sz="4" w:space="0" w:color="auto"/>
              <w:right w:val="single" w:sz="4" w:space="0" w:color="auto"/>
            </w:tcBorders>
            <w:hideMark/>
          </w:tcPr>
          <w:p w14:paraId="730A2B8A"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r>
      <w:tr w:rsidR="00DC30EE" w:rsidRPr="00DC30EE" w14:paraId="217ACDB3"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5D18EE44" w14:textId="77777777" w:rsidR="00DC30EE" w:rsidRPr="00DC30EE" w:rsidRDefault="00DC30EE" w:rsidP="00DC30EE">
            <w:pPr>
              <w:spacing w:before="0" w:after="0"/>
              <w:rPr>
                <w:rFonts w:cs="Times New Roman"/>
                <w:sz w:val="18"/>
                <w:szCs w:val="18"/>
              </w:rPr>
            </w:pPr>
            <w:r w:rsidRPr="00DC30EE">
              <w:rPr>
                <w:rFonts w:cs="Times New Roman"/>
                <w:sz w:val="18"/>
                <w:szCs w:val="18"/>
              </w:rPr>
              <w:t>Read newspapers</w:t>
            </w:r>
          </w:p>
        </w:tc>
        <w:tc>
          <w:tcPr>
            <w:tcW w:w="616" w:type="pct"/>
            <w:tcBorders>
              <w:top w:val="single" w:sz="4" w:space="0" w:color="auto"/>
              <w:left w:val="single" w:sz="4" w:space="0" w:color="auto"/>
              <w:bottom w:val="single" w:sz="4" w:space="0" w:color="auto"/>
              <w:right w:val="single" w:sz="4" w:space="0" w:color="auto"/>
            </w:tcBorders>
            <w:hideMark/>
          </w:tcPr>
          <w:p w14:paraId="2079845E"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c>
          <w:tcPr>
            <w:tcW w:w="649" w:type="pct"/>
            <w:tcBorders>
              <w:top w:val="single" w:sz="4" w:space="0" w:color="auto"/>
              <w:left w:val="single" w:sz="4" w:space="0" w:color="auto"/>
              <w:bottom w:val="single" w:sz="4" w:space="0" w:color="auto"/>
              <w:right w:val="single" w:sz="4" w:space="0" w:color="auto"/>
            </w:tcBorders>
            <w:hideMark/>
          </w:tcPr>
          <w:p w14:paraId="70D7BF92" w14:textId="77777777" w:rsidR="00DC30EE" w:rsidRPr="00DC30EE" w:rsidRDefault="00DC30EE" w:rsidP="00DC30EE">
            <w:pPr>
              <w:spacing w:before="0" w:after="0"/>
              <w:rPr>
                <w:rFonts w:cs="Times New Roman"/>
                <w:sz w:val="18"/>
                <w:szCs w:val="18"/>
              </w:rPr>
            </w:pPr>
            <w:r w:rsidRPr="00DC30EE">
              <w:rPr>
                <w:rFonts w:cs="Times New Roman"/>
                <w:sz w:val="18"/>
                <w:szCs w:val="18"/>
              </w:rPr>
              <w:t>4 (4,5)</w:t>
            </w:r>
          </w:p>
        </w:tc>
        <w:tc>
          <w:tcPr>
            <w:tcW w:w="573" w:type="pct"/>
            <w:tcBorders>
              <w:top w:val="single" w:sz="4" w:space="0" w:color="auto"/>
              <w:left w:val="single" w:sz="4" w:space="0" w:color="auto"/>
              <w:bottom w:val="single" w:sz="4" w:space="0" w:color="auto"/>
              <w:right w:val="single" w:sz="4" w:space="0" w:color="auto"/>
            </w:tcBorders>
            <w:hideMark/>
          </w:tcPr>
          <w:p w14:paraId="1FDD3170" w14:textId="77777777" w:rsidR="00DC30EE" w:rsidRPr="00DC30EE" w:rsidRDefault="00DC30EE" w:rsidP="00DC30EE">
            <w:pPr>
              <w:spacing w:before="0" w:after="0"/>
              <w:rPr>
                <w:rFonts w:cs="Times New Roman"/>
                <w:sz w:val="18"/>
                <w:szCs w:val="18"/>
              </w:rPr>
            </w:pPr>
            <w:r w:rsidRPr="00DC30EE">
              <w:rPr>
                <w:rFonts w:cs="Times New Roman"/>
                <w:sz w:val="18"/>
                <w:szCs w:val="18"/>
              </w:rPr>
              <w:t>4 (4,5)</w:t>
            </w:r>
          </w:p>
        </w:tc>
        <w:tc>
          <w:tcPr>
            <w:tcW w:w="573" w:type="pct"/>
            <w:tcBorders>
              <w:top w:val="single" w:sz="4" w:space="0" w:color="auto"/>
              <w:left w:val="single" w:sz="4" w:space="0" w:color="auto"/>
              <w:bottom w:val="single" w:sz="4" w:space="0" w:color="auto"/>
              <w:right w:val="single" w:sz="4" w:space="0" w:color="auto"/>
            </w:tcBorders>
            <w:hideMark/>
          </w:tcPr>
          <w:p w14:paraId="03BE50A9"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c>
          <w:tcPr>
            <w:tcW w:w="745" w:type="pct"/>
            <w:tcBorders>
              <w:top w:val="single" w:sz="4" w:space="0" w:color="auto"/>
              <w:left w:val="single" w:sz="4" w:space="0" w:color="auto"/>
              <w:bottom w:val="single" w:sz="4" w:space="0" w:color="auto"/>
              <w:right w:val="single" w:sz="4" w:space="0" w:color="auto"/>
            </w:tcBorders>
            <w:hideMark/>
          </w:tcPr>
          <w:p w14:paraId="372914FF" w14:textId="77777777" w:rsidR="00DC30EE" w:rsidRPr="00DC30EE" w:rsidRDefault="00DC30EE" w:rsidP="00DC30EE">
            <w:pPr>
              <w:spacing w:before="0" w:after="0"/>
              <w:rPr>
                <w:rFonts w:cs="Times New Roman"/>
                <w:sz w:val="18"/>
                <w:szCs w:val="18"/>
              </w:rPr>
            </w:pPr>
            <w:r w:rsidRPr="00DC30EE">
              <w:rPr>
                <w:rFonts w:cs="Times New Roman"/>
                <w:sz w:val="18"/>
                <w:szCs w:val="18"/>
              </w:rPr>
              <w:t>4 (4,5)</w:t>
            </w:r>
          </w:p>
        </w:tc>
        <w:tc>
          <w:tcPr>
            <w:tcW w:w="576" w:type="pct"/>
            <w:tcBorders>
              <w:top w:val="single" w:sz="4" w:space="0" w:color="auto"/>
              <w:left w:val="single" w:sz="4" w:space="0" w:color="auto"/>
              <w:bottom w:val="single" w:sz="4" w:space="0" w:color="auto"/>
              <w:right w:val="single" w:sz="4" w:space="0" w:color="auto"/>
            </w:tcBorders>
            <w:hideMark/>
          </w:tcPr>
          <w:p w14:paraId="3E175DEB"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r>
      <w:tr w:rsidR="00DC30EE" w:rsidRPr="00DC30EE" w14:paraId="3AD6A642"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7F3210E2" w14:textId="77777777" w:rsidR="00DC30EE" w:rsidRPr="00DC30EE" w:rsidRDefault="00DC30EE" w:rsidP="00DC30EE">
            <w:pPr>
              <w:spacing w:before="0" w:after="0"/>
              <w:rPr>
                <w:rFonts w:cs="Times New Roman"/>
                <w:sz w:val="18"/>
                <w:szCs w:val="18"/>
              </w:rPr>
            </w:pPr>
            <w:r w:rsidRPr="00DC30EE">
              <w:rPr>
                <w:rFonts w:cs="Times New Roman"/>
                <w:sz w:val="18"/>
                <w:szCs w:val="18"/>
              </w:rPr>
              <w:t>Read books</w:t>
            </w:r>
          </w:p>
        </w:tc>
        <w:tc>
          <w:tcPr>
            <w:tcW w:w="616" w:type="pct"/>
            <w:tcBorders>
              <w:top w:val="single" w:sz="4" w:space="0" w:color="auto"/>
              <w:left w:val="single" w:sz="4" w:space="0" w:color="auto"/>
              <w:bottom w:val="single" w:sz="4" w:space="0" w:color="auto"/>
              <w:right w:val="single" w:sz="4" w:space="0" w:color="auto"/>
            </w:tcBorders>
            <w:hideMark/>
          </w:tcPr>
          <w:p w14:paraId="3EBEAB88" w14:textId="77777777" w:rsidR="00DC30EE" w:rsidRPr="00DC30EE" w:rsidRDefault="00DC30EE" w:rsidP="00DC30EE">
            <w:pPr>
              <w:spacing w:before="0" w:after="0"/>
              <w:rPr>
                <w:rFonts w:cs="Times New Roman"/>
                <w:sz w:val="18"/>
                <w:szCs w:val="18"/>
              </w:rPr>
            </w:pPr>
            <w:r w:rsidRPr="00DC30EE">
              <w:rPr>
                <w:rFonts w:cs="Times New Roman"/>
                <w:sz w:val="18"/>
                <w:szCs w:val="18"/>
              </w:rPr>
              <w:t>4 (4,5)</w:t>
            </w:r>
          </w:p>
        </w:tc>
        <w:tc>
          <w:tcPr>
            <w:tcW w:w="649" w:type="pct"/>
            <w:tcBorders>
              <w:top w:val="single" w:sz="4" w:space="0" w:color="auto"/>
              <w:left w:val="single" w:sz="4" w:space="0" w:color="auto"/>
              <w:bottom w:val="single" w:sz="4" w:space="0" w:color="auto"/>
              <w:right w:val="single" w:sz="4" w:space="0" w:color="auto"/>
            </w:tcBorders>
            <w:hideMark/>
          </w:tcPr>
          <w:p w14:paraId="33C75CF2"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c>
          <w:tcPr>
            <w:tcW w:w="573" w:type="pct"/>
            <w:tcBorders>
              <w:top w:val="single" w:sz="4" w:space="0" w:color="auto"/>
              <w:left w:val="single" w:sz="4" w:space="0" w:color="auto"/>
              <w:bottom w:val="single" w:sz="4" w:space="0" w:color="auto"/>
              <w:right w:val="single" w:sz="4" w:space="0" w:color="auto"/>
            </w:tcBorders>
            <w:hideMark/>
          </w:tcPr>
          <w:p w14:paraId="02456FE8" w14:textId="77777777" w:rsidR="00DC30EE" w:rsidRPr="00DC30EE" w:rsidRDefault="00DC30EE" w:rsidP="00DC30EE">
            <w:pPr>
              <w:spacing w:before="0" w:after="0"/>
              <w:rPr>
                <w:rFonts w:cs="Times New Roman"/>
                <w:sz w:val="18"/>
                <w:szCs w:val="18"/>
              </w:rPr>
            </w:pPr>
            <w:r w:rsidRPr="00DC30EE">
              <w:rPr>
                <w:rFonts w:cs="Times New Roman"/>
                <w:sz w:val="18"/>
                <w:szCs w:val="18"/>
              </w:rPr>
              <w:t>4 (3,5)</w:t>
            </w:r>
          </w:p>
        </w:tc>
        <w:tc>
          <w:tcPr>
            <w:tcW w:w="573" w:type="pct"/>
            <w:tcBorders>
              <w:top w:val="single" w:sz="4" w:space="0" w:color="auto"/>
              <w:left w:val="single" w:sz="4" w:space="0" w:color="auto"/>
              <w:bottom w:val="single" w:sz="4" w:space="0" w:color="auto"/>
              <w:right w:val="single" w:sz="4" w:space="0" w:color="auto"/>
            </w:tcBorders>
            <w:hideMark/>
          </w:tcPr>
          <w:p w14:paraId="3CE2CF67" w14:textId="77777777" w:rsidR="00DC30EE" w:rsidRPr="00DC30EE" w:rsidRDefault="00DC30EE" w:rsidP="00DC30EE">
            <w:pPr>
              <w:spacing w:before="0" w:after="0"/>
              <w:rPr>
                <w:rFonts w:cs="Times New Roman"/>
                <w:sz w:val="18"/>
                <w:szCs w:val="18"/>
              </w:rPr>
            </w:pPr>
            <w:r w:rsidRPr="00DC30EE">
              <w:rPr>
                <w:rFonts w:cs="Times New Roman"/>
                <w:sz w:val="18"/>
                <w:szCs w:val="18"/>
              </w:rPr>
              <w:t>5 (3,5)</w:t>
            </w:r>
          </w:p>
        </w:tc>
        <w:tc>
          <w:tcPr>
            <w:tcW w:w="745" w:type="pct"/>
            <w:tcBorders>
              <w:top w:val="single" w:sz="4" w:space="0" w:color="auto"/>
              <w:left w:val="single" w:sz="4" w:space="0" w:color="auto"/>
              <w:bottom w:val="single" w:sz="4" w:space="0" w:color="auto"/>
              <w:right w:val="single" w:sz="4" w:space="0" w:color="auto"/>
            </w:tcBorders>
            <w:hideMark/>
          </w:tcPr>
          <w:p w14:paraId="643B7E21"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576" w:type="pct"/>
            <w:tcBorders>
              <w:top w:val="single" w:sz="4" w:space="0" w:color="auto"/>
              <w:left w:val="single" w:sz="4" w:space="0" w:color="auto"/>
              <w:bottom w:val="single" w:sz="4" w:space="0" w:color="auto"/>
              <w:right w:val="single" w:sz="4" w:space="0" w:color="auto"/>
            </w:tcBorders>
            <w:hideMark/>
          </w:tcPr>
          <w:p w14:paraId="5962B56B" w14:textId="77777777" w:rsidR="00DC30EE" w:rsidRPr="00DC30EE" w:rsidRDefault="00DC30EE" w:rsidP="00DC30EE">
            <w:pPr>
              <w:spacing w:before="0" w:after="0"/>
              <w:rPr>
                <w:rFonts w:cs="Times New Roman"/>
                <w:sz w:val="18"/>
                <w:szCs w:val="18"/>
              </w:rPr>
            </w:pPr>
            <w:r w:rsidRPr="00DC30EE">
              <w:rPr>
                <w:rFonts w:cs="Times New Roman"/>
                <w:sz w:val="18"/>
                <w:szCs w:val="18"/>
              </w:rPr>
              <w:t>5 (3,5)</w:t>
            </w:r>
          </w:p>
        </w:tc>
      </w:tr>
      <w:tr w:rsidR="00DC30EE" w:rsidRPr="00DC30EE" w14:paraId="39C5CF03"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57B50A64" w14:textId="77777777" w:rsidR="00DC30EE" w:rsidRPr="00DC30EE" w:rsidRDefault="00DC30EE" w:rsidP="00DC30EE">
            <w:pPr>
              <w:spacing w:before="0" w:after="0"/>
              <w:rPr>
                <w:rFonts w:cs="Times New Roman"/>
                <w:sz w:val="18"/>
                <w:szCs w:val="18"/>
              </w:rPr>
            </w:pPr>
            <w:r w:rsidRPr="00DC30EE">
              <w:rPr>
                <w:rFonts w:cs="Times New Roman"/>
                <w:sz w:val="18"/>
                <w:szCs w:val="18"/>
              </w:rPr>
              <w:t>Board games</w:t>
            </w:r>
          </w:p>
        </w:tc>
        <w:tc>
          <w:tcPr>
            <w:tcW w:w="616" w:type="pct"/>
            <w:tcBorders>
              <w:top w:val="single" w:sz="4" w:space="0" w:color="auto"/>
              <w:left w:val="single" w:sz="4" w:space="0" w:color="auto"/>
              <w:bottom w:val="single" w:sz="4" w:space="0" w:color="auto"/>
              <w:right w:val="single" w:sz="4" w:space="0" w:color="auto"/>
            </w:tcBorders>
            <w:hideMark/>
          </w:tcPr>
          <w:p w14:paraId="575C850E"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649" w:type="pct"/>
            <w:tcBorders>
              <w:top w:val="single" w:sz="4" w:space="0" w:color="auto"/>
              <w:left w:val="single" w:sz="4" w:space="0" w:color="auto"/>
              <w:bottom w:val="single" w:sz="4" w:space="0" w:color="auto"/>
              <w:right w:val="single" w:sz="4" w:space="0" w:color="auto"/>
            </w:tcBorders>
            <w:hideMark/>
          </w:tcPr>
          <w:p w14:paraId="1369450D" w14:textId="77777777" w:rsidR="00DC30EE" w:rsidRPr="00DC30EE" w:rsidRDefault="00DC30EE" w:rsidP="00DC30EE">
            <w:pPr>
              <w:spacing w:before="0" w:after="0"/>
              <w:rPr>
                <w:rFonts w:cs="Times New Roman"/>
                <w:sz w:val="18"/>
                <w:szCs w:val="18"/>
              </w:rPr>
            </w:pPr>
            <w:r w:rsidRPr="00DC30EE">
              <w:rPr>
                <w:rFonts w:cs="Times New Roman"/>
                <w:sz w:val="18"/>
                <w:szCs w:val="18"/>
              </w:rPr>
              <w:t>2.5 (1.5,3.5)</w:t>
            </w:r>
          </w:p>
        </w:tc>
        <w:tc>
          <w:tcPr>
            <w:tcW w:w="573" w:type="pct"/>
            <w:tcBorders>
              <w:top w:val="single" w:sz="4" w:space="0" w:color="auto"/>
              <w:left w:val="single" w:sz="4" w:space="0" w:color="auto"/>
              <w:bottom w:val="single" w:sz="4" w:space="0" w:color="auto"/>
              <w:right w:val="single" w:sz="4" w:space="0" w:color="auto"/>
            </w:tcBorders>
            <w:hideMark/>
          </w:tcPr>
          <w:p w14:paraId="488ACAD4"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573" w:type="pct"/>
            <w:tcBorders>
              <w:top w:val="single" w:sz="4" w:space="0" w:color="auto"/>
              <w:left w:val="single" w:sz="4" w:space="0" w:color="auto"/>
              <w:bottom w:val="single" w:sz="4" w:space="0" w:color="auto"/>
              <w:right w:val="single" w:sz="4" w:space="0" w:color="auto"/>
            </w:tcBorders>
            <w:hideMark/>
          </w:tcPr>
          <w:p w14:paraId="0F940F52"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745" w:type="pct"/>
            <w:tcBorders>
              <w:top w:val="single" w:sz="4" w:space="0" w:color="auto"/>
              <w:left w:val="single" w:sz="4" w:space="0" w:color="auto"/>
              <w:bottom w:val="single" w:sz="4" w:space="0" w:color="auto"/>
              <w:right w:val="single" w:sz="4" w:space="0" w:color="auto"/>
            </w:tcBorders>
            <w:hideMark/>
          </w:tcPr>
          <w:p w14:paraId="3E1C6A45"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576" w:type="pct"/>
            <w:tcBorders>
              <w:top w:val="single" w:sz="4" w:space="0" w:color="auto"/>
              <w:left w:val="single" w:sz="4" w:space="0" w:color="auto"/>
              <w:bottom w:val="single" w:sz="4" w:space="0" w:color="auto"/>
              <w:right w:val="single" w:sz="4" w:space="0" w:color="auto"/>
            </w:tcBorders>
            <w:hideMark/>
          </w:tcPr>
          <w:p w14:paraId="6325BCB8"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r>
      <w:tr w:rsidR="00DC30EE" w:rsidRPr="00DC30EE" w14:paraId="21985525"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74A37CB4" w14:textId="77777777" w:rsidR="00DC30EE" w:rsidRPr="00DC30EE" w:rsidRDefault="00DC30EE" w:rsidP="00DC30EE">
            <w:pPr>
              <w:spacing w:before="0" w:after="0"/>
              <w:rPr>
                <w:rFonts w:cs="Times New Roman"/>
                <w:sz w:val="18"/>
                <w:szCs w:val="18"/>
              </w:rPr>
            </w:pPr>
            <w:r w:rsidRPr="00DC30EE">
              <w:rPr>
                <w:rFonts w:cs="Times New Roman"/>
                <w:sz w:val="18"/>
                <w:szCs w:val="18"/>
              </w:rPr>
              <w:t>Visit museum</w:t>
            </w:r>
          </w:p>
        </w:tc>
        <w:tc>
          <w:tcPr>
            <w:tcW w:w="616" w:type="pct"/>
            <w:tcBorders>
              <w:top w:val="single" w:sz="4" w:space="0" w:color="auto"/>
              <w:left w:val="single" w:sz="4" w:space="0" w:color="auto"/>
              <w:bottom w:val="single" w:sz="4" w:space="0" w:color="auto"/>
              <w:right w:val="single" w:sz="4" w:space="0" w:color="auto"/>
            </w:tcBorders>
            <w:hideMark/>
          </w:tcPr>
          <w:p w14:paraId="3EF404B2" w14:textId="77777777" w:rsidR="00DC30EE" w:rsidRPr="00DC30EE" w:rsidRDefault="00DC30EE" w:rsidP="00DC30EE">
            <w:pPr>
              <w:spacing w:before="0" w:after="0"/>
              <w:rPr>
                <w:rFonts w:cs="Times New Roman"/>
                <w:sz w:val="18"/>
                <w:szCs w:val="18"/>
              </w:rPr>
            </w:pPr>
            <w:r w:rsidRPr="00DC30EE">
              <w:rPr>
                <w:rFonts w:cs="Times New Roman"/>
                <w:sz w:val="18"/>
                <w:szCs w:val="18"/>
              </w:rPr>
              <w:t>2 (1,2)</w:t>
            </w:r>
          </w:p>
        </w:tc>
        <w:tc>
          <w:tcPr>
            <w:tcW w:w="649" w:type="pct"/>
            <w:tcBorders>
              <w:top w:val="single" w:sz="4" w:space="0" w:color="auto"/>
              <w:left w:val="single" w:sz="4" w:space="0" w:color="auto"/>
              <w:bottom w:val="single" w:sz="4" w:space="0" w:color="auto"/>
              <w:right w:val="single" w:sz="4" w:space="0" w:color="auto"/>
            </w:tcBorders>
            <w:hideMark/>
          </w:tcPr>
          <w:p w14:paraId="3264EB85" w14:textId="77777777" w:rsidR="00DC30EE" w:rsidRPr="00DC30EE" w:rsidRDefault="00DC30EE" w:rsidP="00DC30EE">
            <w:pPr>
              <w:spacing w:before="0" w:after="0"/>
              <w:rPr>
                <w:rFonts w:cs="Times New Roman"/>
                <w:sz w:val="18"/>
                <w:szCs w:val="18"/>
              </w:rPr>
            </w:pPr>
            <w:r w:rsidRPr="00DC30EE">
              <w:rPr>
                <w:rFonts w:cs="Times New Roman"/>
                <w:sz w:val="18"/>
                <w:szCs w:val="18"/>
              </w:rPr>
              <w:t>2 (2,2)</w:t>
            </w:r>
          </w:p>
        </w:tc>
        <w:tc>
          <w:tcPr>
            <w:tcW w:w="573" w:type="pct"/>
            <w:tcBorders>
              <w:top w:val="single" w:sz="4" w:space="0" w:color="auto"/>
              <w:left w:val="single" w:sz="4" w:space="0" w:color="auto"/>
              <w:bottom w:val="single" w:sz="4" w:space="0" w:color="auto"/>
              <w:right w:val="single" w:sz="4" w:space="0" w:color="auto"/>
            </w:tcBorders>
            <w:hideMark/>
          </w:tcPr>
          <w:p w14:paraId="64AC1266" w14:textId="77777777" w:rsidR="00DC30EE" w:rsidRPr="00DC30EE" w:rsidRDefault="00DC30EE" w:rsidP="00DC30EE">
            <w:pPr>
              <w:spacing w:before="0" w:after="0"/>
              <w:rPr>
                <w:rFonts w:cs="Times New Roman"/>
                <w:sz w:val="18"/>
                <w:szCs w:val="18"/>
              </w:rPr>
            </w:pPr>
            <w:r w:rsidRPr="00DC30EE">
              <w:rPr>
                <w:rFonts w:cs="Times New Roman"/>
                <w:sz w:val="18"/>
                <w:szCs w:val="18"/>
              </w:rPr>
              <w:t>2 (1,2)</w:t>
            </w:r>
          </w:p>
        </w:tc>
        <w:tc>
          <w:tcPr>
            <w:tcW w:w="573" w:type="pct"/>
            <w:tcBorders>
              <w:top w:val="single" w:sz="4" w:space="0" w:color="auto"/>
              <w:left w:val="single" w:sz="4" w:space="0" w:color="auto"/>
              <w:bottom w:val="single" w:sz="4" w:space="0" w:color="auto"/>
              <w:right w:val="single" w:sz="4" w:space="0" w:color="auto"/>
            </w:tcBorders>
            <w:hideMark/>
          </w:tcPr>
          <w:p w14:paraId="384ABF07" w14:textId="77777777" w:rsidR="00DC30EE" w:rsidRPr="00DC30EE" w:rsidRDefault="00DC30EE" w:rsidP="00DC30EE">
            <w:pPr>
              <w:spacing w:before="0" w:after="0"/>
              <w:rPr>
                <w:rFonts w:cs="Times New Roman"/>
                <w:sz w:val="18"/>
                <w:szCs w:val="18"/>
              </w:rPr>
            </w:pPr>
            <w:r w:rsidRPr="00DC30EE">
              <w:rPr>
                <w:rFonts w:cs="Times New Roman"/>
                <w:sz w:val="18"/>
                <w:szCs w:val="18"/>
              </w:rPr>
              <w:t>2 (2,2)</w:t>
            </w:r>
          </w:p>
        </w:tc>
        <w:tc>
          <w:tcPr>
            <w:tcW w:w="745" w:type="pct"/>
            <w:tcBorders>
              <w:top w:val="single" w:sz="4" w:space="0" w:color="auto"/>
              <w:left w:val="single" w:sz="4" w:space="0" w:color="auto"/>
              <w:bottom w:val="single" w:sz="4" w:space="0" w:color="auto"/>
              <w:right w:val="single" w:sz="4" w:space="0" w:color="auto"/>
            </w:tcBorders>
            <w:hideMark/>
          </w:tcPr>
          <w:p w14:paraId="268F3F91" w14:textId="77777777" w:rsidR="00DC30EE" w:rsidRPr="00DC30EE" w:rsidRDefault="00DC30EE" w:rsidP="00DC30EE">
            <w:pPr>
              <w:spacing w:before="0" w:after="0"/>
              <w:rPr>
                <w:rFonts w:cs="Times New Roman"/>
                <w:sz w:val="18"/>
                <w:szCs w:val="18"/>
              </w:rPr>
            </w:pPr>
            <w:r w:rsidRPr="00DC30EE">
              <w:rPr>
                <w:rFonts w:cs="Times New Roman"/>
                <w:sz w:val="18"/>
                <w:szCs w:val="18"/>
              </w:rPr>
              <w:t>2 (1,2)</w:t>
            </w:r>
          </w:p>
        </w:tc>
        <w:tc>
          <w:tcPr>
            <w:tcW w:w="576" w:type="pct"/>
            <w:tcBorders>
              <w:top w:val="single" w:sz="4" w:space="0" w:color="auto"/>
              <w:left w:val="single" w:sz="4" w:space="0" w:color="auto"/>
              <w:bottom w:val="single" w:sz="4" w:space="0" w:color="auto"/>
              <w:right w:val="single" w:sz="4" w:space="0" w:color="auto"/>
            </w:tcBorders>
            <w:hideMark/>
          </w:tcPr>
          <w:p w14:paraId="60867737" w14:textId="77777777" w:rsidR="00DC30EE" w:rsidRPr="00DC30EE" w:rsidRDefault="00DC30EE" w:rsidP="00DC30EE">
            <w:pPr>
              <w:spacing w:before="0" w:after="0"/>
              <w:rPr>
                <w:rFonts w:cs="Times New Roman"/>
                <w:sz w:val="18"/>
                <w:szCs w:val="18"/>
              </w:rPr>
            </w:pPr>
            <w:r w:rsidRPr="00DC30EE">
              <w:rPr>
                <w:rFonts w:cs="Times New Roman"/>
                <w:sz w:val="18"/>
                <w:szCs w:val="18"/>
              </w:rPr>
              <w:t>2 (1,2)</w:t>
            </w:r>
          </w:p>
        </w:tc>
      </w:tr>
      <w:tr w:rsidR="00DC30EE" w:rsidRPr="00DC30EE" w14:paraId="60D93E2C"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6C072FF3" w14:textId="77777777" w:rsidR="00DC30EE" w:rsidRPr="00DC30EE" w:rsidRDefault="00DC30EE" w:rsidP="00DC30EE">
            <w:pPr>
              <w:spacing w:before="0" w:after="0"/>
              <w:rPr>
                <w:rFonts w:cs="Times New Roman"/>
                <w:sz w:val="18"/>
                <w:szCs w:val="18"/>
              </w:rPr>
            </w:pPr>
            <w:r w:rsidRPr="00DC30EE">
              <w:rPr>
                <w:rFonts w:cs="Times New Roman"/>
                <w:sz w:val="18"/>
                <w:szCs w:val="18"/>
              </w:rPr>
              <w:t>New hobbies</w:t>
            </w:r>
          </w:p>
        </w:tc>
        <w:tc>
          <w:tcPr>
            <w:tcW w:w="616" w:type="pct"/>
            <w:tcBorders>
              <w:top w:val="single" w:sz="4" w:space="0" w:color="auto"/>
              <w:left w:val="single" w:sz="4" w:space="0" w:color="auto"/>
              <w:bottom w:val="single" w:sz="4" w:space="0" w:color="auto"/>
              <w:right w:val="single" w:sz="4" w:space="0" w:color="auto"/>
            </w:tcBorders>
            <w:hideMark/>
          </w:tcPr>
          <w:p w14:paraId="6AC7705D" w14:textId="77777777" w:rsidR="00DC30EE" w:rsidRPr="00DC30EE" w:rsidRDefault="00DC30EE" w:rsidP="00DC30EE">
            <w:pPr>
              <w:spacing w:before="0" w:after="0"/>
              <w:rPr>
                <w:rFonts w:cs="Times New Roman"/>
                <w:sz w:val="18"/>
                <w:szCs w:val="18"/>
              </w:rPr>
            </w:pPr>
            <w:r w:rsidRPr="00DC30EE">
              <w:rPr>
                <w:rFonts w:cs="Times New Roman"/>
                <w:sz w:val="18"/>
                <w:szCs w:val="18"/>
              </w:rPr>
              <w:t>2 (1,2)</w:t>
            </w:r>
          </w:p>
        </w:tc>
        <w:tc>
          <w:tcPr>
            <w:tcW w:w="649" w:type="pct"/>
            <w:tcBorders>
              <w:top w:val="single" w:sz="4" w:space="0" w:color="auto"/>
              <w:left w:val="single" w:sz="4" w:space="0" w:color="auto"/>
              <w:bottom w:val="single" w:sz="4" w:space="0" w:color="auto"/>
              <w:right w:val="single" w:sz="4" w:space="0" w:color="auto"/>
            </w:tcBorders>
            <w:hideMark/>
          </w:tcPr>
          <w:p w14:paraId="002E9FFE"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573" w:type="pct"/>
            <w:tcBorders>
              <w:top w:val="single" w:sz="4" w:space="0" w:color="auto"/>
              <w:left w:val="single" w:sz="4" w:space="0" w:color="auto"/>
              <w:bottom w:val="single" w:sz="4" w:space="0" w:color="auto"/>
              <w:right w:val="single" w:sz="4" w:space="0" w:color="auto"/>
            </w:tcBorders>
            <w:hideMark/>
          </w:tcPr>
          <w:p w14:paraId="17BC7EA9"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573" w:type="pct"/>
            <w:tcBorders>
              <w:top w:val="single" w:sz="4" w:space="0" w:color="auto"/>
              <w:left w:val="single" w:sz="4" w:space="0" w:color="auto"/>
              <w:bottom w:val="single" w:sz="4" w:space="0" w:color="auto"/>
              <w:right w:val="single" w:sz="4" w:space="0" w:color="auto"/>
            </w:tcBorders>
            <w:hideMark/>
          </w:tcPr>
          <w:p w14:paraId="3553D364"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745" w:type="pct"/>
            <w:tcBorders>
              <w:top w:val="single" w:sz="4" w:space="0" w:color="auto"/>
              <w:left w:val="single" w:sz="4" w:space="0" w:color="auto"/>
              <w:bottom w:val="single" w:sz="4" w:space="0" w:color="auto"/>
              <w:right w:val="single" w:sz="4" w:space="0" w:color="auto"/>
            </w:tcBorders>
            <w:hideMark/>
          </w:tcPr>
          <w:p w14:paraId="6BE17BCC" w14:textId="77777777" w:rsidR="00DC30EE" w:rsidRPr="00DC30EE" w:rsidRDefault="00DC30EE" w:rsidP="00DC30EE">
            <w:pPr>
              <w:spacing w:before="0" w:after="0"/>
              <w:rPr>
                <w:rFonts w:cs="Times New Roman"/>
                <w:sz w:val="18"/>
                <w:szCs w:val="18"/>
              </w:rPr>
            </w:pPr>
            <w:r w:rsidRPr="00DC30EE">
              <w:rPr>
                <w:rFonts w:cs="Times New Roman"/>
                <w:sz w:val="18"/>
                <w:szCs w:val="18"/>
              </w:rPr>
              <w:t>2 (1,2)</w:t>
            </w:r>
          </w:p>
        </w:tc>
        <w:tc>
          <w:tcPr>
            <w:tcW w:w="576" w:type="pct"/>
            <w:tcBorders>
              <w:top w:val="single" w:sz="4" w:space="0" w:color="auto"/>
              <w:left w:val="single" w:sz="4" w:space="0" w:color="auto"/>
              <w:bottom w:val="single" w:sz="4" w:space="0" w:color="auto"/>
              <w:right w:val="single" w:sz="4" w:space="0" w:color="auto"/>
            </w:tcBorders>
            <w:hideMark/>
          </w:tcPr>
          <w:p w14:paraId="445736AC"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r>
      <w:tr w:rsidR="00DC30EE" w:rsidRPr="00DC30EE" w14:paraId="2A6512E6"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09330816" w14:textId="77777777" w:rsidR="00DC30EE" w:rsidRPr="00DC30EE" w:rsidRDefault="00DC30EE" w:rsidP="00DC30EE">
            <w:pPr>
              <w:spacing w:before="0" w:after="0"/>
              <w:rPr>
                <w:rFonts w:cs="Times New Roman"/>
                <w:sz w:val="18"/>
                <w:szCs w:val="18"/>
              </w:rPr>
            </w:pPr>
            <w:r w:rsidRPr="00DC30EE">
              <w:rPr>
                <w:rFonts w:cs="Times New Roman"/>
                <w:sz w:val="18"/>
                <w:szCs w:val="18"/>
              </w:rPr>
              <w:t>Crafts</w:t>
            </w:r>
          </w:p>
        </w:tc>
        <w:tc>
          <w:tcPr>
            <w:tcW w:w="616" w:type="pct"/>
            <w:tcBorders>
              <w:top w:val="single" w:sz="4" w:space="0" w:color="auto"/>
              <w:left w:val="single" w:sz="4" w:space="0" w:color="auto"/>
              <w:bottom w:val="single" w:sz="4" w:space="0" w:color="auto"/>
              <w:right w:val="single" w:sz="4" w:space="0" w:color="auto"/>
            </w:tcBorders>
            <w:hideMark/>
          </w:tcPr>
          <w:p w14:paraId="05C9EF44" w14:textId="77777777" w:rsidR="00DC30EE" w:rsidRPr="00DC30EE" w:rsidRDefault="00DC30EE" w:rsidP="00DC30EE">
            <w:pPr>
              <w:spacing w:before="0" w:after="0"/>
              <w:rPr>
                <w:rFonts w:cs="Times New Roman"/>
                <w:sz w:val="18"/>
                <w:szCs w:val="18"/>
              </w:rPr>
            </w:pPr>
            <w:r w:rsidRPr="00DC30EE">
              <w:rPr>
                <w:rFonts w:cs="Times New Roman"/>
                <w:sz w:val="18"/>
                <w:szCs w:val="18"/>
              </w:rPr>
              <w:t>1.5 (1,4)</w:t>
            </w:r>
          </w:p>
        </w:tc>
        <w:tc>
          <w:tcPr>
            <w:tcW w:w="649" w:type="pct"/>
            <w:tcBorders>
              <w:top w:val="single" w:sz="4" w:space="0" w:color="auto"/>
              <w:left w:val="single" w:sz="4" w:space="0" w:color="auto"/>
              <w:bottom w:val="single" w:sz="4" w:space="0" w:color="auto"/>
              <w:right w:val="single" w:sz="4" w:space="0" w:color="auto"/>
            </w:tcBorders>
            <w:hideMark/>
          </w:tcPr>
          <w:p w14:paraId="2EECAAD1" w14:textId="77777777" w:rsidR="00DC30EE" w:rsidRPr="00DC30EE" w:rsidRDefault="00DC30EE" w:rsidP="00DC30EE">
            <w:pPr>
              <w:spacing w:before="0" w:after="0"/>
              <w:rPr>
                <w:rFonts w:cs="Times New Roman"/>
                <w:sz w:val="18"/>
                <w:szCs w:val="18"/>
              </w:rPr>
            </w:pPr>
            <w:r w:rsidRPr="00DC30EE">
              <w:rPr>
                <w:rFonts w:cs="Times New Roman"/>
                <w:sz w:val="18"/>
                <w:szCs w:val="18"/>
              </w:rPr>
              <w:t>2 (1,4)</w:t>
            </w:r>
          </w:p>
        </w:tc>
        <w:tc>
          <w:tcPr>
            <w:tcW w:w="573" w:type="pct"/>
            <w:tcBorders>
              <w:top w:val="single" w:sz="4" w:space="0" w:color="auto"/>
              <w:left w:val="single" w:sz="4" w:space="0" w:color="auto"/>
              <w:bottom w:val="single" w:sz="4" w:space="0" w:color="auto"/>
              <w:right w:val="single" w:sz="4" w:space="0" w:color="auto"/>
            </w:tcBorders>
            <w:hideMark/>
          </w:tcPr>
          <w:p w14:paraId="4861E6B9"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573" w:type="pct"/>
            <w:tcBorders>
              <w:top w:val="single" w:sz="4" w:space="0" w:color="auto"/>
              <w:left w:val="single" w:sz="4" w:space="0" w:color="auto"/>
              <w:bottom w:val="single" w:sz="4" w:space="0" w:color="auto"/>
              <w:right w:val="single" w:sz="4" w:space="0" w:color="auto"/>
            </w:tcBorders>
            <w:hideMark/>
          </w:tcPr>
          <w:p w14:paraId="6EDD1607" w14:textId="77777777" w:rsidR="00DC30EE" w:rsidRPr="00DC30EE" w:rsidRDefault="00DC30EE" w:rsidP="00DC30EE">
            <w:pPr>
              <w:spacing w:before="0" w:after="0"/>
              <w:rPr>
                <w:rFonts w:cs="Times New Roman"/>
                <w:sz w:val="18"/>
                <w:szCs w:val="18"/>
              </w:rPr>
            </w:pPr>
            <w:r w:rsidRPr="00DC30EE">
              <w:rPr>
                <w:rFonts w:cs="Times New Roman"/>
                <w:sz w:val="18"/>
                <w:szCs w:val="18"/>
              </w:rPr>
              <w:t>1 (1,3)</w:t>
            </w:r>
          </w:p>
        </w:tc>
        <w:tc>
          <w:tcPr>
            <w:tcW w:w="745" w:type="pct"/>
            <w:tcBorders>
              <w:top w:val="single" w:sz="4" w:space="0" w:color="auto"/>
              <w:left w:val="single" w:sz="4" w:space="0" w:color="auto"/>
              <w:bottom w:val="single" w:sz="4" w:space="0" w:color="auto"/>
              <w:right w:val="single" w:sz="4" w:space="0" w:color="auto"/>
            </w:tcBorders>
            <w:hideMark/>
          </w:tcPr>
          <w:p w14:paraId="32A30E0B" w14:textId="77777777" w:rsidR="00DC30EE" w:rsidRPr="00DC30EE" w:rsidRDefault="00DC30EE" w:rsidP="00DC30EE">
            <w:pPr>
              <w:spacing w:before="0" w:after="0"/>
              <w:rPr>
                <w:rFonts w:cs="Times New Roman"/>
                <w:sz w:val="18"/>
                <w:szCs w:val="18"/>
              </w:rPr>
            </w:pPr>
            <w:r w:rsidRPr="00DC30EE">
              <w:rPr>
                <w:rFonts w:cs="Times New Roman"/>
                <w:sz w:val="18"/>
                <w:szCs w:val="18"/>
              </w:rPr>
              <w:t>2 (1,4)</w:t>
            </w:r>
          </w:p>
        </w:tc>
        <w:tc>
          <w:tcPr>
            <w:tcW w:w="576" w:type="pct"/>
            <w:tcBorders>
              <w:top w:val="single" w:sz="4" w:space="0" w:color="auto"/>
              <w:left w:val="single" w:sz="4" w:space="0" w:color="auto"/>
              <w:bottom w:val="single" w:sz="4" w:space="0" w:color="auto"/>
              <w:right w:val="single" w:sz="4" w:space="0" w:color="auto"/>
            </w:tcBorders>
            <w:hideMark/>
          </w:tcPr>
          <w:p w14:paraId="345E8D72" w14:textId="77777777" w:rsidR="00DC30EE" w:rsidRPr="00DC30EE" w:rsidRDefault="00DC30EE" w:rsidP="00DC30EE">
            <w:pPr>
              <w:spacing w:before="0" w:after="0"/>
              <w:rPr>
                <w:rFonts w:cs="Times New Roman"/>
                <w:sz w:val="18"/>
                <w:szCs w:val="18"/>
              </w:rPr>
            </w:pPr>
            <w:r w:rsidRPr="00DC30EE">
              <w:rPr>
                <w:rFonts w:cs="Times New Roman"/>
                <w:sz w:val="18"/>
                <w:szCs w:val="18"/>
              </w:rPr>
              <w:t>1 (1,3)</w:t>
            </w:r>
          </w:p>
        </w:tc>
      </w:tr>
      <w:tr w:rsidR="00DC30EE" w:rsidRPr="00DC30EE" w14:paraId="22AF5F5B"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0292DC26" w14:textId="77777777" w:rsidR="00DC30EE" w:rsidRPr="00DC30EE" w:rsidRDefault="00DC30EE" w:rsidP="00DC30EE">
            <w:pPr>
              <w:spacing w:before="0" w:after="0"/>
              <w:rPr>
                <w:rFonts w:cs="Times New Roman"/>
                <w:sz w:val="18"/>
                <w:szCs w:val="18"/>
              </w:rPr>
            </w:pPr>
            <w:r w:rsidRPr="00DC30EE">
              <w:rPr>
                <w:rFonts w:cs="Times New Roman"/>
                <w:sz w:val="18"/>
                <w:szCs w:val="18"/>
              </w:rPr>
              <w:t>Art</w:t>
            </w:r>
          </w:p>
        </w:tc>
        <w:tc>
          <w:tcPr>
            <w:tcW w:w="616" w:type="pct"/>
            <w:tcBorders>
              <w:top w:val="single" w:sz="4" w:space="0" w:color="auto"/>
              <w:left w:val="single" w:sz="4" w:space="0" w:color="auto"/>
              <w:bottom w:val="single" w:sz="4" w:space="0" w:color="auto"/>
              <w:right w:val="single" w:sz="4" w:space="0" w:color="auto"/>
            </w:tcBorders>
            <w:hideMark/>
          </w:tcPr>
          <w:p w14:paraId="57144212"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649" w:type="pct"/>
            <w:tcBorders>
              <w:top w:val="single" w:sz="4" w:space="0" w:color="auto"/>
              <w:left w:val="single" w:sz="4" w:space="0" w:color="auto"/>
              <w:bottom w:val="single" w:sz="4" w:space="0" w:color="auto"/>
              <w:right w:val="single" w:sz="4" w:space="0" w:color="auto"/>
            </w:tcBorders>
            <w:hideMark/>
          </w:tcPr>
          <w:p w14:paraId="3F378315"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573" w:type="pct"/>
            <w:tcBorders>
              <w:top w:val="single" w:sz="4" w:space="0" w:color="auto"/>
              <w:left w:val="single" w:sz="4" w:space="0" w:color="auto"/>
              <w:bottom w:val="single" w:sz="4" w:space="0" w:color="auto"/>
              <w:right w:val="single" w:sz="4" w:space="0" w:color="auto"/>
            </w:tcBorders>
            <w:hideMark/>
          </w:tcPr>
          <w:p w14:paraId="4FACA59A"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573" w:type="pct"/>
            <w:tcBorders>
              <w:top w:val="single" w:sz="4" w:space="0" w:color="auto"/>
              <w:left w:val="single" w:sz="4" w:space="0" w:color="auto"/>
              <w:bottom w:val="single" w:sz="4" w:space="0" w:color="auto"/>
              <w:right w:val="single" w:sz="4" w:space="0" w:color="auto"/>
            </w:tcBorders>
            <w:hideMark/>
          </w:tcPr>
          <w:p w14:paraId="2D59F125"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745" w:type="pct"/>
            <w:tcBorders>
              <w:top w:val="single" w:sz="4" w:space="0" w:color="auto"/>
              <w:left w:val="single" w:sz="4" w:space="0" w:color="auto"/>
              <w:bottom w:val="single" w:sz="4" w:space="0" w:color="auto"/>
              <w:right w:val="single" w:sz="4" w:space="0" w:color="auto"/>
            </w:tcBorders>
            <w:hideMark/>
          </w:tcPr>
          <w:p w14:paraId="6E84D701"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576" w:type="pct"/>
            <w:tcBorders>
              <w:top w:val="single" w:sz="4" w:space="0" w:color="auto"/>
              <w:left w:val="single" w:sz="4" w:space="0" w:color="auto"/>
              <w:bottom w:val="single" w:sz="4" w:space="0" w:color="auto"/>
              <w:right w:val="single" w:sz="4" w:space="0" w:color="auto"/>
            </w:tcBorders>
            <w:hideMark/>
          </w:tcPr>
          <w:p w14:paraId="793934E6"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r>
      <w:tr w:rsidR="00DC30EE" w:rsidRPr="00DC30EE" w14:paraId="7B4FA3E3"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3CE9ED04" w14:textId="77777777" w:rsidR="00DC30EE" w:rsidRPr="00DC30EE" w:rsidRDefault="00DC30EE" w:rsidP="00DC30EE">
            <w:pPr>
              <w:spacing w:before="0" w:after="0"/>
              <w:rPr>
                <w:rFonts w:cs="Times New Roman"/>
                <w:sz w:val="18"/>
                <w:szCs w:val="18"/>
              </w:rPr>
            </w:pPr>
            <w:r w:rsidRPr="00DC30EE">
              <w:rPr>
                <w:rFonts w:cs="Times New Roman"/>
                <w:sz w:val="18"/>
                <w:szCs w:val="18"/>
              </w:rPr>
              <w:t>Social club</w:t>
            </w:r>
          </w:p>
        </w:tc>
        <w:tc>
          <w:tcPr>
            <w:tcW w:w="616" w:type="pct"/>
            <w:tcBorders>
              <w:top w:val="single" w:sz="4" w:space="0" w:color="auto"/>
              <w:left w:val="single" w:sz="4" w:space="0" w:color="auto"/>
              <w:bottom w:val="single" w:sz="4" w:space="0" w:color="auto"/>
              <w:right w:val="single" w:sz="4" w:space="0" w:color="auto"/>
            </w:tcBorders>
            <w:hideMark/>
          </w:tcPr>
          <w:p w14:paraId="75368CD0" w14:textId="77777777" w:rsidR="00DC30EE" w:rsidRPr="00DC30EE" w:rsidRDefault="00DC30EE" w:rsidP="00DC30EE">
            <w:pPr>
              <w:spacing w:before="0" w:after="0"/>
              <w:rPr>
                <w:rFonts w:cs="Times New Roman"/>
                <w:sz w:val="18"/>
                <w:szCs w:val="18"/>
              </w:rPr>
            </w:pPr>
            <w:r w:rsidRPr="00DC30EE">
              <w:rPr>
                <w:rFonts w:cs="Times New Roman"/>
                <w:sz w:val="18"/>
                <w:szCs w:val="18"/>
              </w:rPr>
              <w:t>3 (1,3)</w:t>
            </w:r>
          </w:p>
        </w:tc>
        <w:tc>
          <w:tcPr>
            <w:tcW w:w="649" w:type="pct"/>
            <w:tcBorders>
              <w:top w:val="single" w:sz="4" w:space="0" w:color="auto"/>
              <w:left w:val="single" w:sz="4" w:space="0" w:color="auto"/>
              <w:bottom w:val="single" w:sz="4" w:space="0" w:color="auto"/>
              <w:right w:val="single" w:sz="4" w:space="0" w:color="auto"/>
            </w:tcBorders>
            <w:hideMark/>
          </w:tcPr>
          <w:p w14:paraId="48C50A03" w14:textId="77777777" w:rsidR="00DC30EE" w:rsidRPr="00DC30EE" w:rsidRDefault="00DC30EE" w:rsidP="00DC30EE">
            <w:pPr>
              <w:spacing w:before="0" w:after="0"/>
              <w:rPr>
                <w:rFonts w:cs="Times New Roman"/>
                <w:sz w:val="18"/>
                <w:szCs w:val="18"/>
              </w:rPr>
            </w:pPr>
            <w:r w:rsidRPr="00DC30EE">
              <w:rPr>
                <w:rFonts w:cs="Times New Roman"/>
                <w:sz w:val="18"/>
                <w:szCs w:val="18"/>
              </w:rPr>
              <w:t>3 (1,3.5)</w:t>
            </w:r>
          </w:p>
        </w:tc>
        <w:tc>
          <w:tcPr>
            <w:tcW w:w="573" w:type="pct"/>
            <w:tcBorders>
              <w:top w:val="single" w:sz="4" w:space="0" w:color="auto"/>
              <w:left w:val="single" w:sz="4" w:space="0" w:color="auto"/>
              <w:bottom w:val="single" w:sz="4" w:space="0" w:color="auto"/>
              <w:right w:val="single" w:sz="4" w:space="0" w:color="auto"/>
            </w:tcBorders>
            <w:hideMark/>
          </w:tcPr>
          <w:p w14:paraId="4A1DF812" w14:textId="77777777" w:rsidR="00DC30EE" w:rsidRPr="00DC30EE" w:rsidRDefault="00DC30EE" w:rsidP="00DC30EE">
            <w:pPr>
              <w:spacing w:before="0" w:after="0"/>
              <w:rPr>
                <w:rFonts w:cs="Times New Roman"/>
                <w:sz w:val="18"/>
                <w:szCs w:val="18"/>
              </w:rPr>
            </w:pPr>
            <w:r w:rsidRPr="00DC30EE">
              <w:rPr>
                <w:rFonts w:cs="Times New Roman"/>
                <w:sz w:val="18"/>
                <w:szCs w:val="18"/>
              </w:rPr>
              <w:t>1.5 (1,4)</w:t>
            </w:r>
          </w:p>
        </w:tc>
        <w:tc>
          <w:tcPr>
            <w:tcW w:w="573" w:type="pct"/>
            <w:tcBorders>
              <w:top w:val="single" w:sz="4" w:space="0" w:color="auto"/>
              <w:left w:val="single" w:sz="4" w:space="0" w:color="auto"/>
              <w:bottom w:val="single" w:sz="4" w:space="0" w:color="auto"/>
              <w:right w:val="single" w:sz="4" w:space="0" w:color="auto"/>
            </w:tcBorders>
            <w:hideMark/>
          </w:tcPr>
          <w:p w14:paraId="7AC2A25A"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745" w:type="pct"/>
            <w:tcBorders>
              <w:top w:val="single" w:sz="4" w:space="0" w:color="auto"/>
              <w:left w:val="single" w:sz="4" w:space="0" w:color="auto"/>
              <w:bottom w:val="single" w:sz="4" w:space="0" w:color="auto"/>
              <w:right w:val="single" w:sz="4" w:space="0" w:color="auto"/>
            </w:tcBorders>
            <w:hideMark/>
          </w:tcPr>
          <w:p w14:paraId="17DB5268" w14:textId="77777777" w:rsidR="00DC30EE" w:rsidRPr="00DC30EE" w:rsidRDefault="00DC30EE" w:rsidP="00DC30EE">
            <w:pPr>
              <w:spacing w:before="0" w:after="0"/>
              <w:rPr>
                <w:rFonts w:cs="Times New Roman"/>
                <w:sz w:val="18"/>
                <w:szCs w:val="18"/>
              </w:rPr>
            </w:pPr>
            <w:r w:rsidRPr="00DC30EE">
              <w:rPr>
                <w:rFonts w:cs="Times New Roman"/>
                <w:sz w:val="18"/>
                <w:szCs w:val="18"/>
              </w:rPr>
              <w:t>1 (1,3)</w:t>
            </w:r>
          </w:p>
        </w:tc>
        <w:tc>
          <w:tcPr>
            <w:tcW w:w="576" w:type="pct"/>
            <w:tcBorders>
              <w:top w:val="single" w:sz="4" w:space="0" w:color="auto"/>
              <w:left w:val="single" w:sz="4" w:space="0" w:color="auto"/>
              <w:bottom w:val="single" w:sz="4" w:space="0" w:color="auto"/>
              <w:right w:val="single" w:sz="4" w:space="0" w:color="auto"/>
            </w:tcBorders>
            <w:hideMark/>
          </w:tcPr>
          <w:p w14:paraId="53F50F0F" w14:textId="77777777" w:rsidR="00DC30EE" w:rsidRPr="00DC30EE" w:rsidRDefault="00DC30EE" w:rsidP="00DC30EE">
            <w:pPr>
              <w:spacing w:before="0" w:after="0"/>
              <w:rPr>
                <w:rFonts w:cs="Times New Roman"/>
                <w:sz w:val="18"/>
                <w:szCs w:val="18"/>
              </w:rPr>
            </w:pPr>
            <w:r w:rsidRPr="00DC30EE">
              <w:rPr>
                <w:rFonts w:cs="Times New Roman"/>
                <w:sz w:val="18"/>
                <w:szCs w:val="18"/>
              </w:rPr>
              <w:t>2 (1,4)</w:t>
            </w:r>
          </w:p>
        </w:tc>
      </w:tr>
      <w:tr w:rsidR="00DC30EE" w:rsidRPr="00DC30EE" w14:paraId="4E0069BB"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394F3BD1" w14:textId="77777777" w:rsidR="00DC30EE" w:rsidRPr="00DC30EE" w:rsidRDefault="00DC30EE" w:rsidP="00DC30EE">
            <w:pPr>
              <w:spacing w:before="0" w:after="0"/>
              <w:rPr>
                <w:rFonts w:cs="Times New Roman"/>
                <w:sz w:val="18"/>
                <w:szCs w:val="18"/>
              </w:rPr>
            </w:pPr>
            <w:r w:rsidRPr="00DC30EE">
              <w:rPr>
                <w:rFonts w:cs="Times New Roman"/>
                <w:sz w:val="18"/>
                <w:szCs w:val="18"/>
              </w:rPr>
              <w:t>Visit friends</w:t>
            </w:r>
          </w:p>
        </w:tc>
        <w:tc>
          <w:tcPr>
            <w:tcW w:w="616" w:type="pct"/>
            <w:tcBorders>
              <w:top w:val="single" w:sz="4" w:space="0" w:color="auto"/>
              <w:left w:val="single" w:sz="4" w:space="0" w:color="auto"/>
              <w:bottom w:val="single" w:sz="4" w:space="0" w:color="auto"/>
              <w:right w:val="single" w:sz="4" w:space="0" w:color="auto"/>
            </w:tcBorders>
            <w:hideMark/>
          </w:tcPr>
          <w:p w14:paraId="2FB6A09C" w14:textId="77777777" w:rsidR="00DC30EE" w:rsidRPr="00DC30EE" w:rsidRDefault="00DC30EE" w:rsidP="00DC30EE">
            <w:pPr>
              <w:spacing w:before="0" w:after="0"/>
              <w:rPr>
                <w:rFonts w:cs="Times New Roman"/>
                <w:sz w:val="18"/>
                <w:szCs w:val="18"/>
              </w:rPr>
            </w:pPr>
            <w:r w:rsidRPr="00DC30EE">
              <w:rPr>
                <w:rFonts w:cs="Times New Roman"/>
                <w:sz w:val="18"/>
                <w:szCs w:val="18"/>
              </w:rPr>
              <w:t>3 (3,4)</w:t>
            </w:r>
          </w:p>
        </w:tc>
        <w:tc>
          <w:tcPr>
            <w:tcW w:w="649" w:type="pct"/>
            <w:tcBorders>
              <w:top w:val="single" w:sz="4" w:space="0" w:color="auto"/>
              <w:left w:val="single" w:sz="4" w:space="0" w:color="auto"/>
              <w:bottom w:val="single" w:sz="4" w:space="0" w:color="auto"/>
              <w:right w:val="single" w:sz="4" w:space="0" w:color="auto"/>
            </w:tcBorders>
            <w:hideMark/>
          </w:tcPr>
          <w:p w14:paraId="0C3C58CB" w14:textId="77777777" w:rsidR="00DC30EE" w:rsidRPr="00DC30EE" w:rsidRDefault="00DC30EE" w:rsidP="00DC30EE">
            <w:pPr>
              <w:spacing w:before="0" w:after="0"/>
              <w:rPr>
                <w:rFonts w:cs="Times New Roman"/>
                <w:sz w:val="18"/>
                <w:szCs w:val="18"/>
              </w:rPr>
            </w:pPr>
            <w:r w:rsidRPr="00DC30EE">
              <w:rPr>
                <w:rFonts w:cs="Times New Roman"/>
                <w:sz w:val="18"/>
                <w:szCs w:val="18"/>
              </w:rPr>
              <w:t>3 (2.5,4)</w:t>
            </w:r>
          </w:p>
        </w:tc>
        <w:tc>
          <w:tcPr>
            <w:tcW w:w="573" w:type="pct"/>
            <w:tcBorders>
              <w:top w:val="single" w:sz="4" w:space="0" w:color="auto"/>
              <w:left w:val="single" w:sz="4" w:space="0" w:color="auto"/>
              <w:bottom w:val="single" w:sz="4" w:space="0" w:color="auto"/>
              <w:right w:val="single" w:sz="4" w:space="0" w:color="auto"/>
            </w:tcBorders>
            <w:hideMark/>
          </w:tcPr>
          <w:p w14:paraId="0227083E"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c>
          <w:tcPr>
            <w:tcW w:w="573" w:type="pct"/>
            <w:tcBorders>
              <w:top w:val="single" w:sz="4" w:space="0" w:color="auto"/>
              <w:left w:val="single" w:sz="4" w:space="0" w:color="auto"/>
              <w:bottom w:val="single" w:sz="4" w:space="0" w:color="auto"/>
              <w:right w:val="single" w:sz="4" w:space="0" w:color="auto"/>
            </w:tcBorders>
            <w:hideMark/>
          </w:tcPr>
          <w:p w14:paraId="2E73D13F" w14:textId="77777777" w:rsidR="00DC30EE" w:rsidRPr="00DC30EE" w:rsidRDefault="00DC30EE" w:rsidP="00DC30EE">
            <w:pPr>
              <w:spacing w:before="0" w:after="0"/>
              <w:rPr>
                <w:rFonts w:cs="Times New Roman"/>
                <w:sz w:val="18"/>
                <w:szCs w:val="18"/>
              </w:rPr>
            </w:pPr>
            <w:r w:rsidRPr="00DC30EE">
              <w:rPr>
                <w:rFonts w:cs="Times New Roman"/>
                <w:sz w:val="18"/>
                <w:szCs w:val="18"/>
              </w:rPr>
              <w:t>3 (3,4)</w:t>
            </w:r>
          </w:p>
        </w:tc>
        <w:tc>
          <w:tcPr>
            <w:tcW w:w="745" w:type="pct"/>
            <w:tcBorders>
              <w:top w:val="single" w:sz="4" w:space="0" w:color="auto"/>
              <w:left w:val="single" w:sz="4" w:space="0" w:color="auto"/>
              <w:bottom w:val="single" w:sz="4" w:space="0" w:color="auto"/>
              <w:right w:val="single" w:sz="4" w:space="0" w:color="auto"/>
            </w:tcBorders>
            <w:hideMark/>
          </w:tcPr>
          <w:p w14:paraId="2C2F2380" w14:textId="77777777" w:rsidR="00DC30EE" w:rsidRPr="00DC30EE" w:rsidRDefault="00DC30EE" w:rsidP="00DC30EE">
            <w:pPr>
              <w:spacing w:before="0" w:after="0"/>
              <w:rPr>
                <w:rFonts w:cs="Times New Roman"/>
                <w:sz w:val="18"/>
                <w:szCs w:val="18"/>
              </w:rPr>
            </w:pPr>
            <w:r w:rsidRPr="00DC30EE">
              <w:rPr>
                <w:rFonts w:cs="Times New Roman"/>
                <w:sz w:val="18"/>
                <w:szCs w:val="18"/>
              </w:rPr>
              <w:t>4 (2,4)</w:t>
            </w:r>
          </w:p>
        </w:tc>
        <w:tc>
          <w:tcPr>
            <w:tcW w:w="576" w:type="pct"/>
            <w:tcBorders>
              <w:top w:val="single" w:sz="4" w:space="0" w:color="auto"/>
              <w:left w:val="single" w:sz="4" w:space="0" w:color="auto"/>
              <w:bottom w:val="single" w:sz="4" w:space="0" w:color="auto"/>
              <w:right w:val="single" w:sz="4" w:space="0" w:color="auto"/>
            </w:tcBorders>
            <w:hideMark/>
          </w:tcPr>
          <w:p w14:paraId="2771A62A" w14:textId="77777777" w:rsidR="00DC30EE" w:rsidRPr="00DC30EE" w:rsidRDefault="00DC30EE" w:rsidP="00DC30EE">
            <w:pPr>
              <w:spacing w:before="0" w:after="0"/>
              <w:rPr>
                <w:rFonts w:cs="Times New Roman"/>
                <w:sz w:val="18"/>
                <w:szCs w:val="18"/>
              </w:rPr>
            </w:pPr>
            <w:r w:rsidRPr="00DC30EE">
              <w:rPr>
                <w:rFonts w:cs="Times New Roman"/>
                <w:sz w:val="18"/>
                <w:szCs w:val="18"/>
              </w:rPr>
              <w:t>3 (3,4)</w:t>
            </w:r>
          </w:p>
        </w:tc>
      </w:tr>
      <w:tr w:rsidR="00DC30EE" w:rsidRPr="00DC30EE" w14:paraId="0627709E"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00E507EC" w14:textId="77777777" w:rsidR="00DC30EE" w:rsidRPr="00DC30EE" w:rsidRDefault="00DC30EE" w:rsidP="00DC30EE">
            <w:pPr>
              <w:spacing w:before="0" w:after="0"/>
              <w:rPr>
                <w:rFonts w:cs="Times New Roman"/>
                <w:sz w:val="18"/>
                <w:szCs w:val="18"/>
              </w:rPr>
            </w:pPr>
            <w:r w:rsidRPr="00DC30EE">
              <w:rPr>
                <w:rFonts w:cs="Times New Roman"/>
                <w:sz w:val="18"/>
                <w:szCs w:val="18"/>
              </w:rPr>
              <w:t>Listen to music</w:t>
            </w:r>
          </w:p>
        </w:tc>
        <w:tc>
          <w:tcPr>
            <w:tcW w:w="616" w:type="pct"/>
            <w:tcBorders>
              <w:top w:val="single" w:sz="4" w:space="0" w:color="auto"/>
              <w:left w:val="single" w:sz="4" w:space="0" w:color="auto"/>
              <w:bottom w:val="single" w:sz="4" w:space="0" w:color="auto"/>
              <w:right w:val="single" w:sz="4" w:space="0" w:color="auto"/>
            </w:tcBorders>
            <w:hideMark/>
          </w:tcPr>
          <w:p w14:paraId="6D6DAC2B"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649" w:type="pct"/>
            <w:tcBorders>
              <w:top w:val="single" w:sz="4" w:space="0" w:color="auto"/>
              <w:left w:val="single" w:sz="4" w:space="0" w:color="auto"/>
              <w:bottom w:val="single" w:sz="4" w:space="0" w:color="auto"/>
              <w:right w:val="single" w:sz="4" w:space="0" w:color="auto"/>
            </w:tcBorders>
            <w:hideMark/>
          </w:tcPr>
          <w:p w14:paraId="2372D9BF" w14:textId="77777777" w:rsidR="00DC30EE" w:rsidRPr="00DC30EE" w:rsidRDefault="00DC30EE" w:rsidP="00DC30EE">
            <w:pPr>
              <w:spacing w:before="0" w:after="0"/>
              <w:rPr>
                <w:rFonts w:cs="Times New Roman"/>
                <w:sz w:val="18"/>
                <w:szCs w:val="18"/>
              </w:rPr>
            </w:pPr>
            <w:r w:rsidRPr="00DC30EE">
              <w:rPr>
                <w:rFonts w:cs="Times New Roman"/>
                <w:sz w:val="18"/>
                <w:szCs w:val="18"/>
              </w:rPr>
              <w:t>5 (4.5,5)</w:t>
            </w:r>
          </w:p>
        </w:tc>
        <w:tc>
          <w:tcPr>
            <w:tcW w:w="573" w:type="pct"/>
            <w:tcBorders>
              <w:top w:val="single" w:sz="4" w:space="0" w:color="auto"/>
              <w:left w:val="single" w:sz="4" w:space="0" w:color="auto"/>
              <w:bottom w:val="single" w:sz="4" w:space="0" w:color="auto"/>
              <w:right w:val="single" w:sz="4" w:space="0" w:color="auto"/>
            </w:tcBorders>
            <w:hideMark/>
          </w:tcPr>
          <w:p w14:paraId="0818379A"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573" w:type="pct"/>
            <w:tcBorders>
              <w:top w:val="single" w:sz="4" w:space="0" w:color="auto"/>
              <w:left w:val="single" w:sz="4" w:space="0" w:color="auto"/>
              <w:bottom w:val="single" w:sz="4" w:space="0" w:color="auto"/>
              <w:right w:val="single" w:sz="4" w:space="0" w:color="auto"/>
            </w:tcBorders>
            <w:hideMark/>
          </w:tcPr>
          <w:p w14:paraId="2419BFCD"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745" w:type="pct"/>
            <w:tcBorders>
              <w:top w:val="single" w:sz="4" w:space="0" w:color="auto"/>
              <w:left w:val="single" w:sz="4" w:space="0" w:color="auto"/>
              <w:bottom w:val="single" w:sz="4" w:space="0" w:color="auto"/>
              <w:right w:val="single" w:sz="4" w:space="0" w:color="auto"/>
            </w:tcBorders>
            <w:hideMark/>
          </w:tcPr>
          <w:p w14:paraId="0ADFDF70"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576" w:type="pct"/>
            <w:tcBorders>
              <w:top w:val="single" w:sz="4" w:space="0" w:color="auto"/>
              <w:left w:val="single" w:sz="4" w:space="0" w:color="auto"/>
              <w:bottom w:val="single" w:sz="4" w:space="0" w:color="auto"/>
              <w:right w:val="single" w:sz="4" w:space="0" w:color="auto"/>
            </w:tcBorders>
            <w:hideMark/>
          </w:tcPr>
          <w:p w14:paraId="498B757F"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r>
      <w:tr w:rsidR="00DC30EE" w:rsidRPr="00DC30EE" w14:paraId="0CBACB28"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32180AF5" w14:textId="77777777" w:rsidR="00DC30EE" w:rsidRPr="00DC30EE" w:rsidRDefault="00DC30EE" w:rsidP="00DC30EE">
            <w:pPr>
              <w:spacing w:before="0" w:after="0"/>
              <w:rPr>
                <w:rFonts w:cs="Times New Roman"/>
                <w:sz w:val="18"/>
                <w:szCs w:val="18"/>
              </w:rPr>
            </w:pPr>
            <w:r w:rsidRPr="00DC30EE">
              <w:rPr>
                <w:rFonts w:cs="Times New Roman"/>
                <w:sz w:val="18"/>
                <w:szCs w:val="18"/>
              </w:rPr>
              <w:t>DIY repairs</w:t>
            </w:r>
          </w:p>
        </w:tc>
        <w:tc>
          <w:tcPr>
            <w:tcW w:w="616" w:type="pct"/>
            <w:tcBorders>
              <w:top w:val="single" w:sz="4" w:space="0" w:color="auto"/>
              <w:left w:val="single" w:sz="4" w:space="0" w:color="auto"/>
              <w:bottom w:val="single" w:sz="4" w:space="0" w:color="auto"/>
              <w:right w:val="single" w:sz="4" w:space="0" w:color="auto"/>
            </w:tcBorders>
            <w:hideMark/>
          </w:tcPr>
          <w:p w14:paraId="5F691D43" w14:textId="77777777" w:rsidR="00DC30EE" w:rsidRPr="00DC30EE" w:rsidRDefault="00DC30EE" w:rsidP="00DC30EE">
            <w:pPr>
              <w:spacing w:before="0" w:after="0"/>
              <w:rPr>
                <w:rFonts w:cs="Times New Roman"/>
                <w:sz w:val="18"/>
                <w:szCs w:val="18"/>
              </w:rPr>
            </w:pPr>
            <w:r w:rsidRPr="00DC30EE">
              <w:rPr>
                <w:rFonts w:cs="Times New Roman"/>
                <w:sz w:val="18"/>
                <w:szCs w:val="18"/>
              </w:rPr>
              <w:t>2.5 (2,4)</w:t>
            </w:r>
          </w:p>
        </w:tc>
        <w:tc>
          <w:tcPr>
            <w:tcW w:w="649" w:type="pct"/>
            <w:tcBorders>
              <w:top w:val="single" w:sz="4" w:space="0" w:color="auto"/>
              <w:left w:val="single" w:sz="4" w:space="0" w:color="auto"/>
              <w:bottom w:val="single" w:sz="4" w:space="0" w:color="auto"/>
              <w:right w:val="single" w:sz="4" w:space="0" w:color="auto"/>
            </w:tcBorders>
            <w:hideMark/>
          </w:tcPr>
          <w:p w14:paraId="5E947F63" w14:textId="77777777" w:rsidR="00DC30EE" w:rsidRPr="00DC30EE" w:rsidRDefault="00DC30EE" w:rsidP="00DC30EE">
            <w:pPr>
              <w:spacing w:before="0" w:after="0"/>
              <w:rPr>
                <w:rFonts w:cs="Times New Roman"/>
                <w:sz w:val="18"/>
                <w:szCs w:val="18"/>
              </w:rPr>
            </w:pPr>
            <w:r w:rsidRPr="00DC30EE">
              <w:rPr>
                <w:rFonts w:cs="Times New Roman"/>
                <w:sz w:val="18"/>
                <w:szCs w:val="18"/>
              </w:rPr>
              <w:t>3 (2,4)</w:t>
            </w:r>
          </w:p>
        </w:tc>
        <w:tc>
          <w:tcPr>
            <w:tcW w:w="573" w:type="pct"/>
            <w:tcBorders>
              <w:top w:val="single" w:sz="4" w:space="0" w:color="auto"/>
              <w:left w:val="single" w:sz="4" w:space="0" w:color="auto"/>
              <w:bottom w:val="single" w:sz="4" w:space="0" w:color="auto"/>
              <w:right w:val="single" w:sz="4" w:space="0" w:color="auto"/>
            </w:tcBorders>
            <w:hideMark/>
          </w:tcPr>
          <w:p w14:paraId="01E7CFF6" w14:textId="77777777" w:rsidR="00DC30EE" w:rsidRPr="00DC30EE" w:rsidRDefault="00DC30EE" w:rsidP="00DC30EE">
            <w:pPr>
              <w:spacing w:before="0" w:after="0"/>
              <w:rPr>
                <w:rFonts w:cs="Times New Roman"/>
                <w:sz w:val="18"/>
                <w:szCs w:val="18"/>
              </w:rPr>
            </w:pPr>
            <w:r w:rsidRPr="00DC30EE">
              <w:rPr>
                <w:rFonts w:cs="Times New Roman"/>
                <w:sz w:val="18"/>
                <w:szCs w:val="18"/>
              </w:rPr>
              <w:t>3 (2,3)</w:t>
            </w:r>
          </w:p>
        </w:tc>
        <w:tc>
          <w:tcPr>
            <w:tcW w:w="573" w:type="pct"/>
            <w:tcBorders>
              <w:top w:val="single" w:sz="4" w:space="0" w:color="auto"/>
              <w:left w:val="single" w:sz="4" w:space="0" w:color="auto"/>
              <w:bottom w:val="single" w:sz="4" w:space="0" w:color="auto"/>
              <w:right w:val="single" w:sz="4" w:space="0" w:color="auto"/>
            </w:tcBorders>
            <w:hideMark/>
          </w:tcPr>
          <w:p w14:paraId="3521BF6C" w14:textId="77777777" w:rsidR="00DC30EE" w:rsidRPr="00DC30EE" w:rsidRDefault="00DC30EE" w:rsidP="00DC30EE">
            <w:pPr>
              <w:spacing w:before="0" w:after="0"/>
              <w:rPr>
                <w:rFonts w:cs="Times New Roman"/>
                <w:sz w:val="18"/>
                <w:szCs w:val="18"/>
              </w:rPr>
            </w:pPr>
            <w:r w:rsidRPr="00DC30EE">
              <w:rPr>
                <w:rFonts w:cs="Times New Roman"/>
                <w:sz w:val="18"/>
                <w:szCs w:val="18"/>
              </w:rPr>
              <w:t>3 (2,4)</w:t>
            </w:r>
          </w:p>
        </w:tc>
        <w:tc>
          <w:tcPr>
            <w:tcW w:w="745" w:type="pct"/>
            <w:tcBorders>
              <w:top w:val="single" w:sz="4" w:space="0" w:color="auto"/>
              <w:left w:val="single" w:sz="4" w:space="0" w:color="auto"/>
              <w:bottom w:val="single" w:sz="4" w:space="0" w:color="auto"/>
              <w:right w:val="single" w:sz="4" w:space="0" w:color="auto"/>
            </w:tcBorders>
            <w:hideMark/>
          </w:tcPr>
          <w:p w14:paraId="6AB96EC5" w14:textId="77777777" w:rsidR="00DC30EE" w:rsidRPr="00DC30EE" w:rsidRDefault="00DC30EE" w:rsidP="00DC30EE">
            <w:pPr>
              <w:spacing w:before="0" w:after="0"/>
              <w:rPr>
                <w:rFonts w:cs="Times New Roman"/>
                <w:sz w:val="18"/>
                <w:szCs w:val="18"/>
              </w:rPr>
            </w:pPr>
            <w:r w:rsidRPr="00DC30EE">
              <w:rPr>
                <w:rFonts w:cs="Times New Roman"/>
                <w:sz w:val="18"/>
                <w:szCs w:val="18"/>
              </w:rPr>
              <w:t>3 (2,3)</w:t>
            </w:r>
          </w:p>
        </w:tc>
        <w:tc>
          <w:tcPr>
            <w:tcW w:w="576" w:type="pct"/>
            <w:tcBorders>
              <w:top w:val="single" w:sz="4" w:space="0" w:color="auto"/>
              <w:left w:val="single" w:sz="4" w:space="0" w:color="auto"/>
              <w:bottom w:val="single" w:sz="4" w:space="0" w:color="auto"/>
              <w:right w:val="single" w:sz="4" w:space="0" w:color="auto"/>
            </w:tcBorders>
            <w:hideMark/>
          </w:tcPr>
          <w:p w14:paraId="66DB78EB" w14:textId="77777777" w:rsidR="00DC30EE" w:rsidRPr="00DC30EE" w:rsidRDefault="00DC30EE" w:rsidP="00DC30EE">
            <w:pPr>
              <w:spacing w:before="0" w:after="0"/>
              <w:rPr>
                <w:rFonts w:cs="Times New Roman"/>
                <w:sz w:val="18"/>
                <w:szCs w:val="18"/>
              </w:rPr>
            </w:pPr>
            <w:r w:rsidRPr="00DC30EE">
              <w:rPr>
                <w:rFonts w:cs="Times New Roman"/>
                <w:sz w:val="18"/>
                <w:szCs w:val="18"/>
              </w:rPr>
              <w:t>3 (2,4)</w:t>
            </w:r>
          </w:p>
        </w:tc>
      </w:tr>
      <w:tr w:rsidR="00DC30EE" w:rsidRPr="00DC30EE" w14:paraId="7929E79D"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751073B4" w14:textId="77777777" w:rsidR="00DC30EE" w:rsidRPr="00DC30EE" w:rsidRDefault="00DC30EE" w:rsidP="00DC30EE">
            <w:pPr>
              <w:spacing w:before="0" w:after="0"/>
              <w:rPr>
                <w:rFonts w:cs="Times New Roman"/>
                <w:sz w:val="18"/>
                <w:szCs w:val="18"/>
              </w:rPr>
            </w:pPr>
            <w:r w:rsidRPr="00DC30EE">
              <w:rPr>
                <w:rFonts w:cs="Times New Roman"/>
                <w:sz w:val="18"/>
                <w:szCs w:val="18"/>
              </w:rPr>
              <w:t>Movies</w:t>
            </w:r>
          </w:p>
        </w:tc>
        <w:tc>
          <w:tcPr>
            <w:tcW w:w="616" w:type="pct"/>
            <w:tcBorders>
              <w:top w:val="single" w:sz="4" w:space="0" w:color="auto"/>
              <w:left w:val="single" w:sz="4" w:space="0" w:color="auto"/>
              <w:bottom w:val="single" w:sz="4" w:space="0" w:color="auto"/>
              <w:right w:val="single" w:sz="4" w:space="0" w:color="auto"/>
            </w:tcBorders>
            <w:hideMark/>
          </w:tcPr>
          <w:p w14:paraId="1333A6BF" w14:textId="77777777" w:rsidR="00DC30EE" w:rsidRPr="00DC30EE" w:rsidRDefault="00DC30EE" w:rsidP="00DC30EE">
            <w:pPr>
              <w:spacing w:before="0" w:after="0"/>
              <w:rPr>
                <w:rFonts w:cs="Times New Roman"/>
                <w:sz w:val="18"/>
                <w:szCs w:val="18"/>
              </w:rPr>
            </w:pPr>
            <w:r w:rsidRPr="00DC30EE">
              <w:rPr>
                <w:rFonts w:cs="Times New Roman"/>
                <w:sz w:val="18"/>
                <w:szCs w:val="18"/>
              </w:rPr>
              <w:t>3 (2,3)</w:t>
            </w:r>
          </w:p>
        </w:tc>
        <w:tc>
          <w:tcPr>
            <w:tcW w:w="649" w:type="pct"/>
            <w:tcBorders>
              <w:top w:val="single" w:sz="4" w:space="0" w:color="auto"/>
              <w:left w:val="single" w:sz="4" w:space="0" w:color="auto"/>
              <w:bottom w:val="single" w:sz="4" w:space="0" w:color="auto"/>
              <w:right w:val="single" w:sz="4" w:space="0" w:color="auto"/>
            </w:tcBorders>
            <w:hideMark/>
          </w:tcPr>
          <w:p w14:paraId="3F90A5A9" w14:textId="77777777" w:rsidR="00DC30EE" w:rsidRPr="00DC30EE" w:rsidRDefault="00DC30EE" w:rsidP="00DC30EE">
            <w:pPr>
              <w:spacing w:before="0" w:after="0"/>
              <w:rPr>
                <w:rFonts w:cs="Times New Roman"/>
                <w:sz w:val="18"/>
                <w:szCs w:val="18"/>
              </w:rPr>
            </w:pPr>
            <w:r w:rsidRPr="00DC30EE">
              <w:rPr>
                <w:rFonts w:cs="Times New Roman"/>
                <w:sz w:val="18"/>
                <w:szCs w:val="18"/>
              </w:rPr>
              <w:t>3 (2,3)</w:t>
            </w:r>
          </w:p>
        </w:tc>
        <w:tc>
          <w:tcPr>
            <w:tcW w:w="573" w:type="pct"/>
            <w:tcBorders>
              <w:top w:val="single" w:sz="4" w:space="0" w:color="auto"/>
              <w:left w:val="single" w:sz="4" w:space="0" w:color="auto"/>
              <w:bottom w:val="single" w:sz="4" w:space="0" w:color="auto"/>
              <w:right w:val="single" w:sz="4" w:space="0" w:color="auto"/>
            </w:tcBorders>
            <w:hideMark/>
          </w:tcPr>
          <w:p w14:paraId="2B3007AF" w14:textId="77777777" w:rsidR="00DC30EE" w:rsidRPr="00DC30EE" w:rsidRDefault="00DC30EE" w:rsidP="00DC30EE">
            <w:pPr>
              <w:spacing w:before="0" w:after="0"/>
              <w:rPr>
                <w:rFonts w:cs="Times New Roman"/>
                <w:sz w:val="18"/>
                <w:szCs w:val="18"/>
              </w:rPr>
            </w:pPr>
            <w:r w:rsidRPr="00DC30EE">
              <w:rPr>
                <w:rFonts w:cs="Times New Roman"/>
                <w:sz w:val="18"/>
                <w:szCs w:val="18"/>
              </w:rPr>
              <w:t>3 (3,4)</w:t>
            </w:r>
          </w:p>
        </w:tc>
        <w:tc>
          <w:tcPr>
            <w:tcW w:w="573" w:type="pct"/>
            <w:tcBorders>
              <w:top w:val="single" w:sz="4" w:space="0" w:color="auto"/>
              <w:left w:val="single" w:sz="4" w:space="0" w:color="auto"/>
              <w:bottom w:val="single" w:sz="4" w:space="0" w:color="auto"/>
              <w:right w:val="single" w:sz="4" w:space="0" w:color="auto"/>
            </w:tcBorders>
            <w:hideMark/>
          </w:tcPr>
          <w:p w14:paraId="6CA37C65" w14:textId="77777777" w:rsidR="00DC30EE" w:rsidRPr="00DC30EE" w:rsidRDefault="00DC30EE" w:rsidP="00DC30EE">
            <w:pPr>
              <w:spacing w:before="0" w:after="0"/>
              <w:rPr>
                <w:rFonts w:cs="Times New Roman"/>
                <w:sz w:val="18"/>
                <w:szCs w:val="18"/>
              </w:rPr>
            </w:pPr>
            <w:r w:rsidRPr="00DC30EE">
              <w:rPr>
                <w:rFonts w:cs="Times New Roman"/>
                <w:sz w:val="18"/>
                <w:szCs w:val="18"/>
              </w:rPr>
              <w:t>3 (2,3)</w:t>
            </w:r>
          </w:p>
        </w:tc>
        <w:tc>
          <w:tcPr>
            <w:tcW w:w="745" w:type="pct"/>
            <w:tcBorders>
              <w:top w:val="single" w:sz="4" w:space="0" w:color="auto"/>
              <w:left w:val="single" w:sz="4" w:space="0" w:color="auto"/>
              <w:bottom w:val="single" w:sz="4" w:space="0" w:color="auto"/>
              <w:right w:val="single" w:sz="4" w:space="0" w:color="auto"/>
            </w:tcBorders>
            <w:hideMark/>
          </w:tcPr>
          <w:p w14:paraId="56E814E4" w14:textId="77777777" w:rsidR="00DC30EE" w:rsidRPr="00DC30EE" w:rsidRDefault="00DC30EE" w:rsidP="00DC30EE">
            <w:pPr>
              <w:spacing w:before="0" w:after="0"/>
              <w:rPr>
                <w:rFonts w:cs="Times New Roman"/>
                <w:sz w:val="18"/>
                <w:szCs w:val="18"/>
              </w:rPr>
            </w:pPr>
            <w:r w:rsidRPr="00DC30EE">
              <w:rPr>
                <w:rFonts w:cs="Times New Roman"/>
                <w:sz w:val="18"/>
                <w:szCs w:val="18"/>
              </w:rPr>
              <w:t>3 (3,3)</w:t>
            </w:r>
          </w:p>
        </w:tc>
        <w:tc>
          <w:tcPr>
            <w:tcW w:w="576" w:type="pct"/>
            <w:tcBorders>
              <w:top w:val="single" w:sz="4" w:space="0" w:color="auto"/>
              <w:left w:val="single" w:sz="4" w:space="0" w:color="auto"/>
              <w:bottom w:val="single" w:sz="4" w:space="0" w:color="auto"/>
              <w:right w:val="single" w:sz="4" w:space="0" w:color="auto"/>
            </w:tcBorders>
            <w:hideMark/>
          </w:tcPr>
          <w:p w14:paraId="207665BE" w14:textId="77777777" w:rsidR="00DC30EE" w:rsidRPr="00DC30EE" w:rsidRDefault="00DC30EE" w:rsidP="00DC30EE">
            <w:pPr>
              <w:spacing w:before="0" w:after="0"/>
              <w:rPr>
                <w:rFonts w:cs="Times New Roman"/>
                <w:sz w:val="18"/>
                <w:szCs w:val="18"/>
              </w:rPr>
            </w:pPr>
            <w:r w:rsidRPr="00DC30EE">
              <w:rPr>
                <w:rFonts w:cs="Times New Roman"/>
                <w:sz w:val="18"/>
                <w:szCs w:val="18"/>
              </w:rPr>
              <w:t>3 (2,3)</w:t>
            </w:r>
          </w:p>
        </w:tc>
      </w:tr>
      <w:tr w:rsidR="00DC30EE" w:rsidRPr="00DC30EE" w14:paraId="49D500C9"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57A757B6" w14:textId="77777777" w:rsidR="00DC30EE" w:rsidRPr="00DC30EE" w:rsidRDefault="00DC30EE" w:rsidP="00DC30EE">
            <w:pPr>
              <w:spacing w:before="0" w:after="0"/>
              <w:rPr>
                <w:rFonts w:cs="Times New Roman"/>
                <w:sz w:val="18"/>
                <w:szCs w:val="18"/>
              </w:rPr>
            </w:pPr>
            <w:r w:rsidRPr="00DC30EE">
              <w:rPr>
                <w:rFonts w:cs="Times New Roman"/>
                <w:sz w:val="18"/>
                <w:szCs w:val="18"/>
              </w:rPr>
              <w:t xml:space="preserve">Walking </w:t>
            </w:r>
          </w:p>
        </w:tc>
        <w:tc>
          <w:tcPr>
            <w:tcW w:w="616" w:type="pct"/>
            <w:tcBorders>
              <w:top w:val="single" w:sz="4" w:space="0" w:color="auto"/>
              <w:left w:val="single" w:sz="4" w:space="0" w:color="auto"/>
              <w:bottom w:val="single" w:sz="4" w:space="0" w:color="auto"/>
              <w:right w:val="single" w:sz="4" w:space="0" w:color="auto"/>
            </w:tcBorders>
            <w:hideMark/>
          </w:tcPr>
          <w:p w14:paraId="49DCCDB0"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c>
          <w:tcPr>
            <w:tcW w:w="649" w:type="pct"/>
            <w:tcBorders>
              <w:top w:val="single" w:sz="4" w:space="0" w:color="auto"/>
              <w:left w:val="single" w:sz="4" w:space="0" w:color="auto"/>
              <w:bottom w:val="single" w:sz="4" w:space="0" w:color="auto"/>
              <w:right w:val="single" w:sz="4" w:space="0" w:color="auto"/>
            </w:tcBorders>
            <w:hideMark/>
          </w:tcPr>
          <w:p w14:paraId="36CBBA58"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c>
          <w:tcPr>
            <w:tcW w:w="573" w:type="pct"/>
            <w:tcBorders>
              <w:top w:val="single" w:sz="4" w:space="0" w:color="auto"/>
              <w:left w:val="single" w:sz="4" w:space="0" w:color="auto"/>
              <w:bottom w:val="single" w:sz="4" w:space="0" w:color="auto"/>
              <w:right w:val="single" w:sz="4" w:space="0" w:color="auto"/>
            </w:tcBorders>
            <w:hideMark/>
          </w:tcPr>
          <w:p w14:paraId="40B8A0E7" w14:textId="77777777" w:rsidR="00DC30EE" w:rsidRPr="00DC30EE" w:rsidRDefault="00DC30EE" w:rsidP="00DC30EE">
            <w:pPr>
              <w:spacing w:before="0" w:after="0"/>
              <w:rPr>
                <w:rFonts w:cs="Times New Roman"/>
                <w:sz w:val="18"/>
                <w:szCs w:val="18"/>
              </w:rPr>
            </w:pPr>
            <w:r w:rsidRPr="00DC30EE">
              <w:rPr>
                <w:rFonts w:cs="Times New Roman"/>
                <w:sz w:val="18"/>
                <w:szCs w:val="18"/>
              </w:rPr>
              <w:t>4 (2,4)</w:t>
            </w:r>
          </w:p>
        </w:tc>
        <w:tc>
          <w:tcPr>
            <w:tcW w:w="573" w:type="pct"/>
            <w:tcBorders>
              <w:top w:val="single" w:sz="4" w:space="0" w:color="auto"/>
              <w:left w:val="single" w:sz="4" w:space="0" w:color="auto"/>
              <w:bottom w:val="single" w:sz="4" w:space="0" w:color="auto"/>
              <w:right w:val="single" w:sz="4" w:space="0" w:color="auto"/>
            </w:tcBorders>
            <w:hideMark/>
          </w:tcPr>
          <w:p w14:paraId="06019D15"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c>
          <w:tcPr>
            <w:tcW w:w="745" w:type="pct"/>
            <w:tcBorders>
              <w:top w:val="single" w:sz="4" w:space="0" w:color="auto"/>
              <w:left w:val="single" w:sz="4" w:space="0" w:color="auto"/>
              <w:bottom w:val="single" w:sz="4" w:space="0" w:color="auto"/>
              <w:right w:val="single" w:sz="4" w:space="0" w:color="auto"/>
            </w:tcBorders>
            <w:hideMark/>
          </w:tcPr>
          <w:p w14:paraId="06F3D5F8"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c>
          <w:tcPr>
            <w:tcW w:w="576" w:type="pct"/>
            <w:tcBorders>
              <w:top w:val="single" w:sz="4" w:space="0" w:color="auto"/>
              <w:left w:val="single" w:sz="4" w:space="0" w:color="auto"/>
              <w:bottom w:val="single" w:sz="4" w:space="0" w:color="auto"/>
              <w:right w:val="single" w:sz="4" w:space="0" w:color="auto"/>
            </w:tcBorders>
            <w:hideMark/>
          </w:tcPr>
          <w:p w14:paraId="53644C6E"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r>
      <w:tr w:rsidR="00DC30EE" w:rsidRPr="00DC30EE" w14:paraId="74D455EA"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0B8BFD48" w14:textId="77777777" w:rsidR="00DC30EE" w:rsidRPr="00DC30EE" w:rsidRDefault="00DC30EE" w:rsidP="00DC30EE">
            <w:pPr>
              <w:spacing w:before="0" w:after="0"/>
              <w:rPr>
                <w:rFonts w:cs="Times New Roman"/>
                <w:sz w:val="18"/>
                <w:szCs w:val="18"/>
              </w:rPr>
            </w:pPr>
            <w:r w:rsidRPr="00DC30EE">
              <w:rPr>
                <w:rFonts w:cs="Times New Roman"/>
                <w:sz w:val="18"/>
                <w:szCs w:val="18"/>
              </w:rPr>
              <w:lastRenderedPageBreak/>
              <w:t>Gardening</w:t>
            </w:r>
          </w:p>
        </w:tc>
        <w:tc>
          <w:tcPr>
            <w:tcW w:w="616" w:type="pct"/>
            <w:tcBorders>
              <w:top w:val="single" w:sz="4" w:space="0" w:color="auto"/>
              <w:left w:val="single" w:sz="4" w:space="0" w:color="auto"/>
              <w:bottom w:val="single" w:sz="4" w:space="0" w:color="auto"/>
              <w:right w:val="single" w:sz="4" w:space="0" w:color="auto"/>
            </w:tcBorders>
            <w:hideMark/>
          </w:tcPr>
          <w:p w14:paraId="148079F7" w14:textId="77777777" w:rsidR="00DC30EE" w:rsidRPr="00DC30EE" w:rsidRDefault="00DC30EE" w:rsidP="00DC30EE">
            <w:pPr>
              <w:spacing w:before="0" w:after="0"/>
              <w:rPr>
                <w:rFonts w:cs="Times New Roman"/>
                <w:sz w:val="18"/>
                <w:szCs w:val="18"/>
              </w:rPr>
            </w:pPr>
            <w:r w:rsidRPr="00DC30EE">
              <w:rPr>
                <w:rFonts w:cs="Times New Roman"/>
                <w:sz w:val="18"/>
                <w:szCs w:val="18"/>
              </w:rPr>
              <w:t>3 (3,4)</w:t>
            </w:r>
          </w:p>
        </w:tc>
        <w:tc>
          <w:tcPr>
            <w:tcW w:w="649" w:type="pct"/>
            <w:tcBorders>
              <w:top w:val="single" w:sz="4" w:space="0" w:color="auto"/>
              <w:left w:val="single" w:sz="4" w:space="0" w:color="auto"/>
              <w:bottom w:val="single" w:sz="4" w:space="0" w:color="auto"/>
              <w:right w:val="single" w:sz="4" w:space="0" w:color="auto"/>
            </w:tcBorders>
            <w:hideMark/>
          </w:tcPr>
          <w:p w14:paraId="1FD3C529"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c>
          <w:tcPr>
            <w:tcW w:w="573" w:type="pct"/>
            <w:tcBorders>
              <w:top w:val="single" w:sz="4" w:space="0" w:color="auto"/>
              <w:left w:val="single" w:sz="4" w:space="0" w:color="auto"/>
              <w:bottom w:val="single" w:sz="4" w:space="0" w:color="auto"/>
              <w:right w:val="single" w:sz="4" w:space="0" w:color="auto"/>
            </w:tcBorders>
            <w:hideMark/>
          </w:tcPr>
          <w:p w14:paraId="1A3F73DD" w14:textId="77777777" w:rsidR="00DC30EE" w:rsidRPr="00DC30EE" w:rsidRDefault="00DC30EE" w:rsidP="00DC30EE">
            <w:pPr>
              <w:spacing w:before="0" w:after="0"/>
              <w:rPr>
                <w:rFonts w:cs="Times New Roman"/>
                <w:sz w:val="18"/>
                <w:szCs w:val="18"/>
              </w:rPr>
            </w:pPr>
            <w:r w:rsidRPr="00DC30EE">
              <w:rPr>
                <w:rFonts w:cs="Times New Roman"/>
                <w:sz w:val="18"/>
                <w:szCs w:val="18"/>
              </w:rPr>
              <w:t>3 (3,4)</w:t>
            </w:r>
          </w:p>
        </w:tc>
        <w:tc>
          <w:tcPr>
            <w:tcW w:w="573" w:type="pct"/>
            <w:tcBorders>
              <w:top w:val="single" w:sz="4" w:space="0" w:color="auto"/>
              <w:left w:val="single" w:sz="4" w:space="0" w:color="auto"/>
              <w:bottom w:val="single" w:sz="4" w:space="0" w:color="auto"/>
              <w:right w:val="single" w:sz="4" w:space="0" w:color="auto"/>
            </w:tcBorders>
            <w:hideMark/>
          </w:tcPr>
          <w:p w14:paraId="0F4CA115" w14:textId="77777777" w:rsidR="00DC30EE" w:rsidRPr="00DC30EE" w:rsidRDefault="00DC30EE" w:rsidP="00DC30EE">
            <w:pPr>
              <w:spacing w:before="0" w:after="0"/>
              <w:rPr>
                <w:rFonts w:cs="Times New Roman"/>
                <w:sz w:val="18"/>
                <w:szCs w:val="18"/>
              </w:rPr>
            </w:pPr>
            <w:r w:rsidRPr="00DC30EE">
              <w:rPr>
                <w:rFonts w:cs="Times New Roman"/>
                <w:sz w:val="18"/>
                <w:szCs w:val="18"/>
              </w:rPr>
              <w:t>4 (3,4)</w:t>
            </w:r>
          </w:p>
        </w:tc>
        <w:tc>
          <w:tcPr>
            <w:tcW w:w="745" w:type="pct"/>
            <w:tcBorders>
              <w:top w:val="single" w:sz="4" w:space="0" w:color="auto"/>
              <w:left w:val="single" w:sz="4" w:space="0" w:color="auto"/>
              <w:bottom w:val="single" w:sz="4" w:space="0" w:color="auto"/>
              <w:right w:val="single" w:sz="4" w:space="0" w:color="auto"/>
            </w:tcBorders>
            <w:hideMark/>
          </w:tcPr>
          <w:p w14:paraId="09CC5429" w14:textId="77777777" w:rsidR="00DC30EE" w:rsidRPr="00DC30EE" w:rsidRDefault="00DC30EE" w:rsidP="00DC30EE">
            <w:pPr>
              <w:spacing w:before="0" w:after="0"/>
              <w:rPr>
                <w:rFonts w:cs="Times New Roman"/>
                <w:sz w:val="18"/>
                <w:szCs w:val="18"/>
              </w:rPr>
            </w:pPr>
            <w:r w:rsidRPr="00DC30EE">
              <w:rPr>
                <w:rFonts w:cs="Times New Roman"/>
                <w:sz w:val="18"/>
                <w:szCs w:val="18"/>
              </w:rPr>
              <w:t>3 (3,4)</w:t>
            </w:r>
          </w:p>
        </w:tc>
        <w:tc>
          <w:tcPr>
            <w:tcW w:w="576" w:type="pct"/>
            <w:tcBorders>
              <w:top w:val="single" w:sz="4" w:space="0" w:color="auto"/>
              <w:left w:val="single" w:sz="4" w:space="0" w:color="auto"/>
              <w:bottom w:val="single" w:sz="4" w:space="0" w:color="auto"/>
              <w:right w:val="single" w:sz="4" w:space="0" w:color="auto"/>
            </w:tcBorders>
            <w:hideMark/>
          </w:tcPr>
          <w:p w14:paraId="7EC55ED7" w14:textId="77777777" w:rsidR="00DC30EE" w:rsidRPr="00DC30EE" w:rsidRDefault="00DC30EE" w:rsidP="00DC30EE">
            <w:pPr>
              <w:spacing w:before="0" w:after="0"/>
              <w:rPr>
                <w:rFonts w:cs="Times New Roman"/>
                <w:sz w:val="18"/>
                <w:szCs w:val="18"/>
              </w:rPr>
            </w:pPr>
            <w:r w:rsidRPr="00DC30EE">
              <w:rPr>
                <w:rFonts w:cs="Times New Roman"/>
                <w:sz w:val="18"/>
                <w:szCs w:val="18"/>
              </w:rPr>
              <w:t>3 (2,4)</w:t>
            </w:r>
          </w:p>
        </w:tc>
      </w:tr>
      <w:tr w:rsidR="00DC30EE" w:rsidRPr="00DC30EE" w14:paraId="126FFB89"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10F0DCEF" w14:textId="77777777" w:rsidR="00DC30EE" w:rsidRPr="00DC30EE" w:rsidRDefault="00DC30EE" w:rsidP="00DC30EE">
            <w:pPr>
              <w:spacing w:before="0" w:after="0"/>
              <w:rPr>
                <w:rFonts w:cs="Times New Roman"/>
                <w:sz w:val="18"/>
                <w:szCs w:val="18"/>
              </w:rPr>
            </w:pPr>
            <w:r w:rsidRPr="00DC30EE">
              <w:rPr>
                <w:rFonts w:cs="Times New Roman"/>
                <w:sz w:val="18"/>
                <w:szCs w:val="18"/>
              </w:rPr>
              <w:t>Group discussion</w:t>
            </w:r>
          </w:p>
        </w:tc>
        <w:tc>
          <w:tcPr>
            <w:tcW w:w="616" w:type="pct"/>
            <w:tcBorders>
              <w:top w:val="single" w:sz="4" w:space="0" w:color="auto"/>
              <w:left w:val="single" w:sz="4" w:space="0" w:color="auto"/>
              <w:bottom w:val="single" w:sz="4" w:space="0" w:color="auto"/>
              <w:right w:val="single" w:sz="4" w:space="0" w:color="auto"/>
            </w:tcBorders>
            <w:hideMark/>
          </w:tcPr>
          <w:p w14:paraId="03587819"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649" w:type="pct"/>
            <w:tcBorders>
              <w:top w:val="single" w:sz="4" w:space="0" w:color="auto"/>
              <w:left w:val="single" w:sz="4" w:space="0" w:color="auto"/>
              <w:bottom w:val="single" w:sz="4" w:space="0" w:color="auto"/>
              <w:right w:val="single" w:sz="4" w:space="0" w:color="auto"/>
            </w:tcBorders>
            <w:hideMark/>
          </w:tcPr>
          <w:p w14:paraId="7403FE31"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573" w:type="pct"/>
            <w:tcBorders>
              <w:top w:val="single" w:sz="4" w:space="0" w:color="auto"/>
              <w:left w:val="single" w:sz="4" w:space="0" w:color="auto"/>
              <w:bottom w:val="single" w:sz="4" w:space="0" w:color="auto"/>
              <w:right w:val="single" w:sz="4" w:space="0" w:color="auto"/>
            </w:tcBorders>
            <w:hideMark/>
          </w:tcPr>
          <w:p w14:paraId="583B96F5"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c>
          <w:tcPr>
            <w:tcW w:w="573" w:type="pct"/>
            <w:tcBorders>
              <w:top w:val="single" w:sz="4" w:space="0" w:color="auto"/>
              <w:left w:val="single" w:sz="4" w:space="0" w:color="auto"/>
              <w:bottom w:val="single" w:sz="4" w:space="0" w:color="auto"/>
              <w:right w:val="single" w:sz="4" w:space="0" w:color="auto"/>
            </w:tcBorders>
            <w:hideMark/>
          </w:tcPr>
          <w:p w14:paraId="011B2A45" w14:textId="77777777" w:rsidR="00DC30EE" w:rsidRPr="00DC30EE" w:rsidRDefault="00DC30EE" w:rsidP="00DC30EE">
            <w:pPr>
              <w:spacing w:before="0" w:after="0"/>
              <w:rPr>
                <w:rFonts w:cs="Times New Roman"/>
                <w:sz w:val="18"/>
                <w:szCs w:val="18"/>
              </w:rPr>
            </w:pPr>
            <w:r w:rsidRPr="00DC30EE">
              <w:rPr>
                <w:rFonts w:cs="Times New Roman"/>
                <w:sz w:val="18"/>
                <w:szCs w:val="18"/>
              </w:rPr>
              <w:t>3 (1,4)</w:t>
            </w:r>
          </w:p>
        </w:tc>
        <w:tc>
          <w:tcPr>
            <w:tcW w:w="745" w:type="pct"/>
            <w:tcBorders>
              <w:top w:val="single" w:sz="4" w:space="0" w:color="auto"/>
              <w:left w:val="single" w:sz="4" w:space="0" w:color="auto"/>
              <w:bottom w:val="single" w:sz="4" w:space="0" w:color="auto"/>
              <w:right w:val="single" w:sz="4" w:space="0" w:color="auto"/>
            </w:tcBorders>
            <w:hideMark/>
          </w:tcPr>
          <w:p w14:paraId="0A3156D0" w14:textId="77777777" w:rsidR="00DC30EE" w:rsidRPr="00DC30EE" w:rsidRDefault="00DC30EE" w:rsidP="00DC30EE">
            <w:pPr>
              <w:spacing w:before="0" w:after="0"/>
              <w:rPr>
                <w:rFonts w:cs="Times New Roman"/>
                <w:sz w:val="18"/>
                <w:szCs w:val="18"/>
              </w:rPr>
            </w:pPr>
            <w:r w:rsidRPr="00DC30EE">
              <w:rPr>
                <w:rFonts w:cs="Times New Roman"/>
                <w:sz w:val="18"/>
                <w:szCs w:val="18"/>
              </w:rPr>
              <w:t>2.5 (1,4)</w:t>
            </w:r>
          </w:p>
        </w:tc>
        <w:tc>
          <w:tcPr>
            <w:tcW w:w="576" w:type="pct"/>
            <w:tcBorders>
              <w:top w:val="single" w:sz="4" w:space="0" w:color="auto"/>
              <w:left w:val="single" w:sz="4" w:space="0" w:color="auto"/>
              <w:bottom w:val="single" w:sz="4" w:space="0" w:color="auto"/>
              <w:right w:val="single" w:sz="4" w:space="0" w:color="auto"/>
            </w:tcBorders>
            <w:hideMark/>
          </w:tcPr>
          <w:p w14:paraId="21DC1074" w14:textId="77777777" w:rsidR="00DC30EE" w:rsidRPr="00DC30EE" w:rsidRDefault="00DC30EE" w:rsidP="00DC30EE">
            <w:pPr>
              <w:spacing w:before="0" w:after="0"/>
              <w:rPr>
                <w:rFonts w:cs="Times New Roman"/>
                <w:sz w:val="18"/>
                <w:szCs w:val="18"/>
              </w:rPr>
            </w:pPr>
            <w:r w:rsidRPr="00DC30EE">
              <w:rPr>
                <w:rFonts w:cs="Times New Roman"/>
                <w:sz w:val="18"/>
                <w:szCs w:val="18"/>
              </w:rPr>
              <w:t>2 (1,3)</w:t>
            </w:r>
          </w:p>
        </w:tc>
      </w:tr>
      <w:tr w:rsidR="00DC30EE" w:rsidRPr="00DC30EE" w14:paraId="606D2E2F"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6D117A3D" w14:textId="77777777" w:rsidR="00DC30EE" w:rsidRPr="00DC30EE" w:rsidRDefault="00DC30EE" w:rsidP="00DC30EE">
            <w:pPr>
              <w:spacing w:before="0" w:after="0"/>
              <w:rPr>
                <w:rFonts w:cs="Times New Roman"/>
                <w:sz w:val="18"/>
                <w:szCs w:val="18"/>
              </w:rPr>
            </w:pPr>
            <w:r w:rsidRPr="00DC30EE">
              <w:rPr>
                <w:rFonts w:cs="Times New Roman"/>
                <w:sz w:val="18"/>
                <w:szCs w:val="18"/>
              </w:rPr>
              <w:t>Charity work</w:t>
            </w:r>
          </w:p>
        </w:tc>
        <w:tc>
          <w:tcPr>
            <w:tcW w:w="616" w:type="pct"/>
            <w:tcBorders>
              <w:top w:val="single" w:sz="4" w:space="0" w:color="auto"/>
              <w:left w:val="single" w:sz="4" w:space="0" w:color="auto"/>
              <w:bottom w:val="single" w:sz="4" w:space="0" w:color="auto"/>
              <w:right w:val="single" w:sz="4" w:space="0" w:color="auto"/>
            </w:tcBorders>
            <w:hideMark/>
          </w:tcPr>
          <w:p w14:paraId="528B78F2" w14:textId="77777777" w:rsidR="00DC30EE" w:rsidRPr="00DC30EE" w:rsidRDefault="00DC30EE" w:rsidP="00DC30EE">
            <w:pPr>
              <w:spacing w:before="0" w:after="0"/>
              <w:rPr>
                <w:rFonts w:cs="Times New Roman"/>
                <w:sz w:val="18"/>
                <w:szCs w:val="18"/>
              </w:rPr>
            </w:pPr>
            <w:r w:rsidRPr="00DC30EE">
              <w:rPr>
                <w:rFonts w:cs="Times New Roman"/>
                <w:sz w:val="18"/>
                <w:szCs w:val="18"/>
              </w:rPr>
              <w:t>2.5 (1,4)</w:t>
            </w:r>
          </w:p>
        </w:tc>
        <w:tc>
          <w:tcPr>
            <w:tcW w:w="649" w:type="pct"/>
            <w:tcBorders>
              <w:top w:val="single" w:sz="4" w:space="0" w:color="auto"/>
              <w:left w:val="single" w:sz="4" w:space="0" w:color="auto"/>
              <w:bottom w:val="single" w:sz="4" w:space="0" w:color="auto"/>
              <w:right w:val="single" w:sz="4" w:space="0" w:color="auto"/>
            </w:tcBorders>
            <w:hideMark/>
          </w:tcPr>
          <w:p w14:paraId="4BABCB08" w14:textId="77777777" w:rsidR="00DC30EE" w:rsidRPr="00DC30EE" w:rsidRDefault="00DC30EE" w:rsidP="00DC30EE">
            <w:pPr>
              <w:spacing w:before="0" w:after="0"/>
              <w:rPr>
                <w:rFonts w:cs="Times New Roman"/>
                <w:sz w:val="18"/>
                <w:szCs w:val="18"/>
              </w:rPr>
            </w:pPr>
            <w:r w:rsidRPr="00DC30EE">
              <w:rPr>
                <w:rFonts w:cs="Times New Roman"/>
                <w:sz w:val="18"/>
                <w:szCs w:val="18"/>
              </w:rPr>
              <w:t>1.5 (1,4)</w:t>
            </w:r>
          </w:p>
        </w:tc>
        <w:tc>
          <w:tcPr>
            <w:tcW w:w="573" w:type="pct"/>
            <w:tcBorders>
              <w:top w:val="single" w:sz="4" w:space="0" w:color="auto"/>
              <w:left w:val="single" w:sz="4" w:space="0" w:color="auto"/>
              <w:bottom w:val="single" w:sz="4" w:space="0" w:color="auto"/>
              <w:right w:val="single" w:sz="4" w:space="0" w:color="auto"/>
            </w:tcBorders>
            <w:hideMark/>
          </w:tcPr>
          <w:p w14:paraId="1898DA0F" w14:textId="77777777" w:rsidR="00DC30EE" w:rsidRPr="00DC30EE" w:rsidRDefault="00DC30EE" w:rsidP="00DC30EE">
            <w:pPr>
              <w:spacing w:before="0" w:after="0"/>
              <w:rPr>
                <w:rFonts w:cs="Times New Roman"/>
                <w:sz w:val="18"/>
                <w:szCs w:val="18"/>
              </w:rPr>
            </w:pPr>
            <w:r w:rsidRPr="00DC30EE">
              <w:rPr>
                <w:rFonts w:cs="Times New Roman"/>
                <w:sz w:val="18"/>
                <w:szCs w:val="18"/>
              </w:rPr>
              <w:t>3 (1,4)</w:t>
            </w:r>
          </w:p>
        </w:tc>
        <w:tc>
          <w:tcPr>
            <w:tcW w:w="573" w:type="pct"/>
            <w:tcBorders>
              <w:top w:val="single" w:sz="4" w:space="0" w:color="auto"/>
              <w:left w:val="single" w:sz="4" w:space="0" w:color="auto"/>
              <w:bottom w:val="single" w:sz="4" w:space="0" w:color="auto"/>
              <w:right w:val="single" w:sz="4" w:space="0" w:color="auto"/>
            </w:tcBorders>
            <w:hideMark/>
          </w:tcPr>
          <w:p w14:paraId="3AF2375C" w14:textId="77777777" w:rsidR="00DC30EE" w:rsidRPr="00DC30EE" w:rsidRDefault="00DC30EE" w:rsidP="00DC30EE">
            <w:pPr>
              <w:spacing w:before="0" w:after="0"/>
              <w:rPr>
                <w:rFonts w:cs="Times New Roman"/>
                <w:sz w:val="18"/>
                <w:szCs w:val="18"/>
              </w:rPr>
            </w:pPr>
            <w:r w:rsidRPr="00DC30EE">
              <w:rPr>
                <w:rFonts w:cs="Times New Roman"/>
                <w:sz w:val="18"/>
                <w:szCs w:val="18"/>
              </w:rPr>
              <w:t>1 (1,3)</w:t>
            </w:r>
          </w:p>
        </w:tc>
        <w:tc>
          <w:tcPr>
            <w:tcW w:w="745" w:type="pct"/>
            <w:tcBorders>
              <w:top w:val="single" w:sz="4" w:space="0" w:color="auto"/>
              <w:left w:val="single" w:sz="4" w:space="0" w:color="auto"/>
              <w:bottom w:val="single" w:sz="4" w:space="0" w:color="auto"/>
              <w:right w:val="single" w:sz="4" w:space="0" w:color="auto"/>
            </w:tcBorders>
            <w:hideMark/>
          </w:tcPr>
          <w:p w14:paraId="794289F4" w14:textId="77777777" w:rsidR="00DC30EE" w:rsidRPr="00DC30EE" w:rsidRDefault="00DC30EE" w:rsidP="00DC30EE">
            <w:pPr>
              <w:spacing w:before="0" w:after="0"/>
              <w:rPr>
                <w:rFonts w:cs="Times New Roman"/>
                <w:sz w:val="18"/>
                <w:szCs w:val="18"/>
              </w:rPr>
            </w:pPr>
            <w:r w:rsidRPr="00DC30EE">
              <w:rPr>
                <w:rFonts w:cs="Times New Roman"/>
                <w:sz w:val="18"/>
                <w:szCs w:val="18"/>
              </w:rPr>
              <w:t>1 (1,4)</w:t>
            </w:r>
          </w:p>
        </w:tc>
        <w:tc>
          <w:tcPr>
            <w:tcW w:w="576" w:type="pct"/>
            <w:tcBorders>
              <w:top w:val="single" w:sz="4" w:space="0" w:color="auto"/>
              <w:left w:val="single" w:sz="4" w:space="0" w:color="auto"/>
              <w:bottom w:val="single" w:sz="4" w:space="0" w:color="auto"/>
              <w:right w:val="single" w:sz="4" w:space="0" w:color="auto"/>
            </w:tcBorders>
            <w:hideMark/>
          </w:tcPr>
          <w:p w14:paraId="08B34510" w14:textId="77777777" w:rsidR="00DC30EE" w:rsidRPr="00DC30EE" w:rsidRDefault="00DC30EE" w:rsidP="00DC30EE">
            <w:pPr>
              <w:spacing w:before="0" w:after="0"/>
              <w:rPr>
                <w:rFonts w:cs="Times New Roman"/>
                <w:sz w:val="18"/>
                <w:szCs w:val="18"/>
              </w:rPr>
            </w:pPr>
            <w:r w:rsidRPr="00DC30EE">
              <w:rPr>
                <w:rFonts w:cs="Times New Roman"/>
                <w:sz w:val="18"/>
                <w:szCs w:val="18"/>
              </w:rPr>
              <w:t>2 (1,4)</w:t>
            </w:r>
          </w:p>
        </w:tc>
      </w:tr>
      <w:tr w:rsidR="00DC30EE" w:rsidRPr="00DC30EE" w14:paraId="3C8C348B"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5791A3D4" w14:textId="77777777" w:rsidR="00DC30EE" w:rsidRPr="00DC30EE" w:rsidRDefault="00DC30EE" w:rsidP="00DC30EE">
            <w:pPr>
              <w:spacing w:before="0" w:after="0"/>
              <w:rPr>
                <w:rFonts w:cs="Times New Roman"/>
                <w:sz w:val="18"/>
                <w:szCs w:val="18"/>
              </w:rPr>
            </w:pPr>
            <w:r w:rsidRPr="00DC30EE">
              <w:rPr>
                <w:rFonts w:cs="Times New Roman"/>
                <w:sz w:val="18"/>
                <w:szCs w:val="18"/>
              </w:rPr>
              <w:t>Play instrument</w:t>
            </w:r>
          </w:p>
        </w:tc>
        <w:tc>
          <w:tcPr>
            <w:tcW w:w="616" w:type="pct"/>
            <w:tcBorders>
              <w:top w:val="single" w:sz="4" w:space="0" w:color="auto"/>
              <w:left w:val="single" w:sz="4" w:space="0" w:color="auto"/>
              <w:bottom w:val="single" w:sz="4" w:space="0" w:color="auto"/>
              <w:right w:val="single" w:sz="4" w:space="0" w:color="auto"/>
            </w:tcBorders>
            <w:hideMark/>
          </w:tcPr>
          <w:p w14:paraId="0946E54B"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c>
          <w:tcPr>
            <w:tcW w:w="649" w:type="pct"/>
            <w:tcBorders>
              <w:top w:val="single" w:sz="4" w:space="0" w:color="auto"/>
              <w:left w:val="single" w:sz="4" w:space="0" w:color="auto"/>
              <w:bottom w:val="single" w:sz="4" w:space="0" w:color="auto"/>
              <w:right w:val="single" w:sz="4" w:space="0" w:color="auto"/>
            </w:tcBorders>
            <w:hideMark/>
          </w:tcPr>
          <w:p w14:paraId="7FD72996"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c>
          <w:tcPr>
            <w:tcW w:w="573" w:type="pct"/>
            <w:tcBorders>
              <w:top w:val="single" w:sz="4" w:space="0" w:color="auto"/>
              <w:left w:val="single" w:sz="4" w:space="0" w:color="auto"/>
              <w:bottom w:val="single" w:sz="4" w:space="0" w:color="auto"/>
              <w:right w:val="single" w:sz="4" w:space="0" w:color="auto"/>
            </w:tcBorders>
            <w:hideMark/>
          </w:tcPr>
          <w:p w14:paraId="7C635A4C"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c>
          <w:tcPr>
            <w:tcW w:w="573" w:type="pct"/>
            <w:tcBorders>
              <w:top w:val="single" w:sz="4" w:space="0" w:color="auto"/>
              <w:left w:val="single" w:sz="4" w:space="0" w:color="auto"/>
              <w:bottom w:val="single" w:sz="4" w:space="0" w:color="auto"/>
              <w:right w:val="single" w:sz="4" w:space="0" w:color="auto"/>
            </w:tcBorders>
            <w:hideMark/>
          </w:tcPr>
          <w:p w14:paraId="0A8C0ABA"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c>
          <w:tcPr>
            <w:tcW w:w="745" w:type="pct"/>
            <w:tcBorders>
              <w:top w:val="single" w:sz="4" w:space="0" w:color="auto"/>
              <w:left w:val="single" w:sz="4" w:space="0" w:color="auto"/>
              <w:bottom w:val="single" w:sz="4" w:space="0" w:color="auto"/>
              <w:right w:val="single" w:sz="4" w:space="0" w:color="auto"/>
            </w:tcBorders>
            <w:hideMark/>
          </w:tcPr>
          <w:p w14:paraId="39843173"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c>
          <w:tcPr>
            <w:tcW w:w="576" w:type="pct"/>
            <w:tcBorders>
              <w:top w:val="single" w:sz="4" w:space="0" w:color="auto"/>
              <w:left w:val="single" w:sz="4" w:space="0" w:color="auto"/>
              <w:bottom w:val="single" w:sz="4" w:space="0" w:color="auto"/>
              <w:right w:val="single" w:sz="4" w:space="0" w:color="auto"/>
            </w:tcBorders>
            <w:hideMark/>
          </w:tcPr>
          <w:p w14:paraId="1F69E53E"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r>
      <w:tr w:rsidR="00DC30EE" w:rsidRPr="00DC30EE" w14:paraId="2BB6C09D"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69C89B19" w14:textId="77777777" w:rsidR="00DC30EE" w:rsidRPr="00DC30EE" w:rsidRDefault="00DC30EE" w:rsidP="00DC30EE">
            <w:pPr>
              <w:spacing w:before="0" w:after="0"/>
              <w:rPr>
                <w:rFonts w:cs="Times New Roman"/>
                <w:sz w:val="18"/>
                <w:szCs w:val="18"/>
              </w:rPr>
            </w:pPr>
            <w:r w:rsidRPr="00DC30EE">
              <w:rPr>
                <w:rFonts w:cs="Times New Roman"/>
                <w:sz w:val="18"/>
                <w:szCs w:val="18"/>
              </w:rPr>
              <w:t>Cooking</w:t>
            </w:r>
          </w:p>
        </w:tc>
        <w:tc>
          <w:tcPr>
            <w:tcW w:w="616" w:type="pct"/>
            <w:tcBorders>
              <w:top w:val="single" w:sz="4" w:space="0" w:color="auto"/>
              <w:left w:val="single" w:sz="4" w:space="0" w:color="auto"/>
              <w:bottom w:val="single" w:sz="4" w:space="0" w:color="auto"/>
              <w:right w:val="single" w:sz="4" w:space="0" w:color="auto"/>
            </w:tcBorders>
            <w:hideMark/>
          </w:tcPr>
          <w:p w14:paraId="4FF30FC8"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649" w:type="pct"/>
            <w:tcBorders>
              <w:top w:val="single" w:sz="4" w:space="0" w:color="auto"/>
              <w:left w:val="single" w:sz="4" w:space="0" w:color="auto"/>
              <w:bottom w:val="single" w:sz="4" w:space="0" w:color="auto"/>
              <w:right w:val="single" w:sz="4" w:space="0" w:color="auto"/>
            </w:tcBorders>
            <w:hideMark/>
          </w:tcPr>
          <w:p w14:paraId="3AB1559B" w14:textId="77777777" w:rsidR="00DC30EE" w:rsidRPr="00DC30EE" w:rsidRDefault="00DC30EE" w:rsidP="00DC30EE">
            <w:pPr>
              <w:spacing w:before="0" w:after="0"/>
              <w:rPr>
                <w:rFonts w:cs="Times New Roman"/>
                <w:sz w:val="18"/>
                <w:szCs w:val="18"/>
              </w:rPr>
            </w:pPr>
            <w:r w:rsidRPr="00DC30EE">
              <w:rPr>
                <w:rFonts w:cs="Times New Roman"/>
                <w:sz w:val="18"/>
                <w:szCs w:val="18"/>
              </w:rPr>
              <w:t>5 (4.5,5)</w:t>
            </w:r>
          </w:p>
        </w:tc>
        <w:tc>
          <w:tcPr>
            <w:tcW w:w="573" w:type="pct"/>
            <w:tcBorders>
              <w:top w:val="single" w:sz="4" w:space="0" w:color="auto"/>
              <w:left w:val="single" w:sz="4" w:space="0" w:color="auto"/>
              <w:bottom w:val="single" w:sz="4" w:space="0" w:color="auto"/>
              <w:right w:val="single" w:sz="4" w:space="0" w:color="auto"/>
            </w:tcBorders>
            <w:hideMark/>
          </w:tcPr>
          <w:p w14:paraId="402DEF01"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573" w:type="pct"/>
            <w:tcBorders>
              <w:top w:val="single" w:sz="4" w:space="0" w:color="auto"/>
              <w:left w:val="single" w:sz="4" w:space="0" w:color="auto"/>
              <w:bottom w:val="single" w:sz="4" w:space="0" w:color="auto"/>
              <w:right w:val="single" w:sz="4" w:space="0" w:color="auto"/>
            </w:tcBorders>
            <w:hideMark/>
          </w:tcPr>
          <w:p w14:paraId="3D36CF15" w14:textId="77777777" w:rsidR="00DC30EE" w:rsidRPr="00DC30EE" w:rsidRDefault="00DC30EE" w:rsidP="00DC30EE">
            <w:pPr>
              <w:spacing w:before="0" w:after="0"/>
              <w:rPr>
                <w:rFonts w:cs="Times New Roman"/>
                <w:sz w:val="18"/>
                <w:szCs w:val="18"/>
              </w:rPr>
            </w:pPr>
            <w:r w:rsidRPr="00DC30EE">
              <w:rPr>
                <w:rFonts w:cs="Times New Roman"/>
                <w:sz w:val="18"/>
                <w:szCs w:val="18"/>
              </w:rPr>
              <w:t>5 (3,5)</w:t>
            </w:r>
          </w:p>
        </w:tc>
        <w:tc>
          <w:tcPr>
            <w:tcW w:w="745" w:type="pct"/>
            <w:tcBorders>
              <w:top w:val="single" w:sz="4" w:space="0" w:color="auto"/>
              <w:left w:val="single" w:sz="4" w:space="0" w:color="auto"/>
              <w:bottom w:val="single" w:sz="4" w:space="0" w:color="auto"/>
              <w:right w:val="single" w:sz="4" w:space="0" w:color="auto"/>
            </w:tcBorders>
            <w:hideMark/>
          </w:tcPr>
          <w:p w14:paraId="7AB32AAC"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c>
          <w:tcPr>
            <w:tcW w:w="576" w:type="pct"/>
            <w:tcBorders>
              <w:top w:val="single" w:sz="4" w:space="0" w:color="auto"/>
              <w:left w:val="single" w:sz="4" w:space="0" w:color="auto"/>
              <w:bottom w:val="single" w:sz="4" w:space="0" w:color="auto"/>
              <w:right w:val="single" w:sz="4" w:space="0" w:color="auto"/>
            </w:tcBorders>
            <w:hideMark/>
          </w:tcPr>
          <w:p w14:paraId="467904B7" w14:textId="77777777" w:rsidR="00DC30EE" w:rsidRPr="00DC30EE" w:rsidRDefault="00DC30EE" w:rsidP="00DC30EE">
            <w:pPr>
              <w:spacing w:before="0" w:after="0"/>
              <w:rPr>
                <w:rFonts w:cs="Times New Roman"/>
                <w:sz w:val="18"/>
                <w:szCs w:val="18"/>
              </w:rPr>
            </w:pPr>
            <w:r w:rsidRPr="00DC30EE">
              <w:rPr>
                <w:rFonts w:cs="Times New Roman"/>
                <w:sz w:val="18"/>
                <w:szCs w:val="18"/>
              </w:rPr>
              <w:t>5 (4,5)</w:t>
            </w:r>
          </w:p>
        </w:tc>
      </w:tr>
      <w:tr w:rsidR="00DC30EE" w:rsidRPr="00DC30EE" w14:paraId="4F74D94A" w14:textId="77777777" w:rsidTr="003C3FFF">
        <w:tc>
          <w:tcPr>
            <w:tcW w:w="1268" w:type="pct"/>
            <w:tcBorders>
              <w:top w:val="single" w:sz="4" w:space="0" w:color="auto"/>
              <w:left w:val="single" w:sz="4" w:space="0" w:color="auto"/>
              <w:bottom w:val="single" w:sz="4" w:space="0" w:color="auto"/>
              <w:right w:val="single" w:sz="4" w:space="0" w:color="auto"/>
            </w:tcBorders>
            <w:hideMark/>
          </w:tcPr>
          <w:p w14:paraId="1D08229A" w14:textId="77777777" w:rsidR="00DC30EE" w:rsidRPr="00DC30EE" w:rsidRDefault="00DC30EE" w:rsidP="00DC30EE">
            <w:pPr>
              <w:spacing w:before="0" w:after="0"/>
              <w:rPr>
                <w:rFonts w:cs="Times New Roman"/>
                <w:sz w:val="18"/>
                <w:szCs w:val="18"/>
              </w:rPr>
            </w:pPr>
            <w:r w:rsidRPr="00DC30EE">
              <w:rPr>
                <w:rFonts w:cs="Times New Roman"/>
                <w:sz w:val="18"/>
                <w:szCs w:val="18"/>
              </w:rPr>
              <w:t>Dancing</w:t>
            </w:r>
          </w:p>
        </w:tc>
        <w:tc>
          <w:tcPr>
            <w:tcW w:w="616" w:type="pct"/>
            <w:tcBorders>
              <w:top w:val="single" w:sz="4" w:space="0" w:color="auto"/>
              <w:left w:val="single" w:sz="4" w:space="0" w:color="auto"/>
              <w:bottom w:val="single" w:sz="4" w:space="0" w:color="auto"/>
              <w:right w:val="single" w:sz="4" w:space="0" w:color="auto"/>
            </w:tcBorders>
            <w:hideMark/>
          </w:tcPr>
          <w:p w14:paraId="5C242012"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649" w:type="pct"/>
            <w:tcBorders>
              <w:top w:val="single" w:sz="4" w:space="0" w:color="auto"/>
              <w:left w:val="single" w:sz="4" w:space="0" w:color="auto"/>
              <w:bottom w:val="single" w:sz="4" w:space="0" w:color="auto"/>
              <w:right w:val="single" w:sz="4" w:space="0" w:color="auto"/>
            </w:tcBorders>
            <w:hideMark/>
          </w:tcPr>
          <w:p w14:paraId="70EF403B"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c>
          <w:tcPr>
            <w:tcW w:w="573" w:type="pct"/>
            <w:tcBorders>
              <w:top w:val="single" w:sz="4" w:space="0" w:color="auto"/>
              <w:left w:val="single" w:sz="4" w:space="0" w:color="auto"/>
              <w:bottom w:val="single" w:sz="4" w:space="0" w:color="auto"/>
              <w:right w:val="single" w:sz="4" w:space="0" w:color="auto"/>
            </w:tcBorders>
            <w:hideMark/>
          </w:tcPr>
          <w:p w14:paraId="258014A4"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573" w:type="pct"/>
            <w:tcBorders>
              <w:top w:val="single" w:sz="4" w:space="0" w:color="auto"/>
              <w:left w:val="single" w:sz="4" w:space="0" w:color="auto"/>
              <w:bottom w:val="single" w:sz="4" w:space="0" w:color="auto"/>
              <w:right w:val="single" w:sz="4" w:space="0" w:color="auto"/>
            </w:tcBorders>
            <w:hideMark/>
          </w:tcPr>
          <w:p w14:paraId="3DA49F23"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c>
          <w:tcPr>
            <w:tcW w:w="745" w:type="pct"/>
            <w:tcBorders>
              <w:top w:val="single" w:sz="4" w:space="0" w:color="auto"/>
              <w:left w:val="single" w:sz="4" w:space="0" w:color="auto"/>
              <w:bottom w:val="single" w:sz="4" w:space="0" w:color="auto"/>
              <w:right w:val="single" w:sz="4" w:space="0" w:color="auto"/>
            </w:tcBorders>
            <w:hideMark/>
          </w:tcPr>
          <w:p w14:paraId="6F79C719" w14:textId="77777777" w:rsidR="00DC30EE" w:rsidRPr="00DC30EE" w:rsidRDefault="00DC30EE" w:rsidP="00DC30EE">
            <w:pPr>
              <w:spacing w:before="0" w:after="0"/>
              <w:rPr>
                <w:rFonts w:cs="Times New Roman"/>
                <w:sz w:val="18"/>
                <w:szCs w:val="18"/>
              </w:rPr>
            </w:pPr>
            <w:r w:rsidRPr="00DC30EE">
              <w:rPr>
                <w:rFonts w:cs="Times New Roman"/>
                <w:sz w:val="18"/>
                <w:szCs w:val="18"/>
              </w:rPr>
              <w:t>1 (1,1)</w:t>
            </w:r>
          </w:p>
        </w:tc>
        <w:tc>
          <w:tcPr>
            <w:tcW w:w="576" w:type="pct"/>
            <w:tcBorders>
              <w:top w:val="single" w:sz="4" w:space="0" w:color="auto"/>
              <w:left w:val="single" w:sz="4" w:space="0" w:color="auto"/>
              <w:bottom w:val="single" w:sz="4" w:space="0" w:color="auto"/>
              <w:right w:val="single" w:sz="4" w:space="0" w:color="auto"/>
            </w:tcBorders>
            <w:hideMark/>
          </w:tcPr>
          <w:p w14:paraId="2DD7EB91" w14:textId="77777777" w:rsidR="00DC30EE" w:rsidRPr="00DC30EE" w:rsidRDefault="00DC30EE" w:rsidP="00DC30EE">
            <w:pPr>
              <w:spacing w:before="0" w:after="0"/>
              <w:rPr>
                <w:rFonts w:cs="Times New Roman"/>
                <w:sz w:val="18"/>
                <w:szCs w:val="18"/>
              </w:rPr>
            </w:pPr>
            <w:r w:rsidRPr="00DC30EE">
              <w:rPr>
                <w:rFonts w:cs="Times New Roman"/>
                <w:sz w:val="18"/>
                <w:szCs w:val="18"/>
              </w:rPr>
              <w:t>1 (1,2)</w:t>
            </w:r>
          </w:p>
        </w:tc>
      </w:tr>
      <w:tr w:rsidR="00DC30EE" w:rsidRPr="00DC30EE" w14:paraId="69F11D33" w14:textId="77777777" w:rsidTr="003C3FFF">
        <w:tc>
          <w:tcPr>
            <w:tcW w:w="1268" w:type="pct"/>
            <w:tcBorders>
              <w:top w:val="single" w:sz="4" w:space="0" w:color="auto"/>
              <w:left w:val="single" w:sz="4" w:space="0" w:color="auto"/>
              <w:bottom w:val="single" w:sz="4" w:space="0" w:color="auto"/>
              <w:right w:val="single" w:sz="4" w:space="0" w:color="auto"/>
            </w:tcBorders>
          </w:tcPr>
          <w:p w14:paraId="50C0CDE3" w14:textId="77777777" w:rsidR="00DC30EE" w:rsidRPr="00DC30EE" w:rsidRDefault="00DC30EE" w:rsidP="00DC30EE">
            <w:pPr>
              <w:spacing w:before="0" w:after="0"/>
              <w:rPr>
                <w:rFonts w:cs="Times New Roman"/>
                <w:sz w:val="18"/>
                <w:szCs w:val="18"/>
              </w:rPr>
            </w:pPr>
          </w:p>
        </w:tc>
        <w:tc>
          <w:tcPr>
            <w:tcW w:w="616" w:type="pct"/>
            <w:tcBorders>
              <w:top w:val="single" w:sz="4" w:space="0" w:color="auto"/>
              <w:left w:val="single" w:sz="4" w:space="0" w:color="auto"/>
              <w:bottom w:val="single" w:sz="4" w:space="0" w:color="auto"/>
              <w:right w:val="single" w:sz="4" w:space="0" w:color="auto"/>
            </w:tcBorders>
          </w:tcPr>
          <w:p w14:paraId="0FA76DC9" w14:textId="77777777" w:rsidR="00DC30EE" w:rsidRPr="00DC30EE" w:rsidRDefault="00DC30EE" w:rsidP="00DC30EE">
            <w:pPr>
              <w:spacing w:before="0" w:after="0"/>
              <w:rPr>
                <w:rFonts w:cs="Times New Roman"/>
                <w:sz w:val="18"/>
                <w:szCs w:val="18"/>
              </w:rPr>
            </w:pPr>
          </w:p>
        </w:tc>
        <w:tc>
          <w:tcPr>
            <w:tcW w:w="649" w:type="pct"/>
            <w:tcBorders>
              <w:top w:val="single" w:sz="4" w:space="0" w:color="auto"/>
              <w:left w:val="single" w:sz="4" w:space="0" w:color="auto"/>
              <w:bottom w:val="single" w:sz="4" w:space="0" w:color="auto"/>
              <w:right w:val="single" w:sz="4" w:space="0" w:color="auto"/>
            </w:tcBorders>
          </w:tcPr>
          <w:p w14:paraId="252B7636" w14:textId="77777777" w:rsidR="00DC30EE" w:rsidRPr="00DC30EE" w:rsidRDefault="00DC30EE" w:rsidP="00DC30EE">
            <w:pPr>
              <w:spacing w:before="0" w:after="0"/>
              <w:rPr>
                <w:rFonts w:cs="Times New Roman"/>
                <w:sz w:val="18"/>
                <w:szCs w:val="18"/>
              </w:rPr>
            </w:pPr>
          </w:p>
        </w:tc>
        <w:tc>
          <w:tcPr>
            <w:tcW w:w="573" w:type="pct"/>
            <w:tcBorders>
              <w:top w:val="single" w:sz="4" w:space="0" w:color="auto"/>
              <w:left w:val="single" w:sz="4" w:space="0" w:color="auto"/>
              <w:bottom w:val="single" w:sz="4" w:space="0" w:color="auto"/>
              <w:right w:val="single" w:sz="4" w:space="0" w:color="auto"/>
            </w:tcBorders>
          </w:tcPr>
          <w:p w14:paraId="0F62C651" w14:textId="77777777" w:rsidR="00DC30EE" w:rsidRPr="00DC30EE" w:rsidRDefault="00DC30EE" w:rsidP="00DC30EE">
            <w:pPr>
              <w:spacing w:before="0" w:after="0"/>
              <w:rPr>
                <w:rFonts w:cs="Times New Roman"/>
                <w:sz w:val="18"/>
                <w:szCs w:val="18"/>
              </w:rPr>
            </w:pPr>
          </w:p>
        </w:tc>
        <w:tc>
          <w:tcPr>
            <w:tcW w:w="573" w:type="pct"/>
            <w:tcBorders>
              <w:top w:val="single" w:sz="4" w:space="0" w:color="auto"/>
              <w:left w:val="single" w:sz="4" w:space="0" w:color="auto"/>
              <w:bottom w:val="single" w:sz="4" w:space="0" w:color="auto"/>
              <w:right w:val="single" w:sz="4" w:space="0" w:color="auto"/>
            </w:tcBorders>
          </w:tcPr>
          <w:p w14:paraId="5B5EDCF4" w14:textId="77777777" w:rsidR="00DC30EE" w:rsidRPr="00DC30EE" w:rsidRDefault="00DC30EE" w:rsidP="00DC30EE">
            <w:pPr>
              <w:spacing w:before="0" w:after="0"/>
              <w:rPr>
                <w:rFonts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tcPr>
          <w:p w14:paraId="614F5A13" w14:textId="77777777" w:rsidR="00DC30EE" w:rsidRPr="00DC30EE" w:rsidRDefault="00DC30EE" w:rsidP="00DC30EE">
            <w:pPr>
              <w:spacing w:before="0" w:after="0"/>
              <w:rPr>
                <w:rFonts w:cs="Times New Roman"/>
                <w:sz w:val="18"/>
                <w:szCs w:val="18"/>
              </w:rPr>
            </w:pPr>
          </w:p>
        </w:tc>
        <w:tc>
          <w:tcPr>
            <w:tcW w:w="576" w:type="pct"/>
            <w:tcBorders>
              <w:top w:val="single" w:sz="4" w:space="0" w:color="auto"/>
              <w:left w:val="single" w:sz="4" w:space="0" w:color="auto"/>
              <w:bottom w:val="single" w:sz="4" w:space="0" w:color="auto"/>
              <w:right w:val="single" w:sz="4" w:space="0" w:color="auto"/>
            </w:tcBorders>
          </w:tcPr>
          <w:p w14:paraId="3C3F7826" w14:textId="77777777" w:rsidR="00DC30EE" w:rsidRPr="00DC30EE" w:rsidRDefault="00DC30EE" w:rsidP="00DC30EE">
            <w:pPr>
              <w:spacing w:before="0" w:after="0"/>
              <w:rPr>
                <w:rFonts w:cs="Times New Roman"/>
                <w:sz w:val="18"/>
                <w:szCs w:val="18"/>
              </w:rPr>
            </w:pPr>
          </w:p>
        </w:tc>
      </w:tr>
      <w:tr w:rsidR="00DC30EE" w:rsidRPr="00DC30EE" w14:paraId="34ED3495" w14:textId="77777777" w:rsidTr="003C3FFF">
        <w:tc>
          <w:tcPr>
            <w:tcW w:w="1268" w:type="pct"/>
            <w:tcBorders>
              <w:top w:val="single" w:sz="4" w:space="0" w:color="auto"/>
              <w:left w:val="single" w:sz="4" w:space="0" w:color="auto"/>
              <w:bottom w:val="single" w:sz="4" w:space="0" w:color="auto"/>
              <w:right w:val="single" w:sz="4" w:space="0" w:color="auto"/>
            </w:tcBorders>
          </w:tcPr>
          <w:p w14:paraId="61FA0DBC" w14:textId="77777777" w:rsidR="00DC30EE" w:rsidRPr="00DC30EE" w:rsidRDefault="00DC30EE" w:rsidP="00DC30EE">
            <w:pPr>
              <w:spacing w:before="0" w:after="0"/>
              <w:rPr>
                <w:rFonts w:cs="Times New Roman"/>
                <w:sz w:val="18"/>
                <w:szCs w:val="18"/>
              </w:rPr>
            </w:pPr>
            <w:r w:rsidRPr="00DC30EE">
              <w:rPr>
                <w:rFonts w:cs="Times New Roman"/>
                <w:sz w:val="18"/>
                <w:szCs w:val="18"/>
              </w:rPr>
              <w:t>Missing activity info (n, %)</w:t>
            </w:r>
          </w:p>
        </w:tc>
        <w:tc>
          <w:tcPr>
            <w:tcW w:w="616" w:type="pct"/>
            <w:tcBorders>
              <w:top w:val="single" w:sz="4" w:space="0" w:color="auto"/>
              <w:left w:val="single" w:sz="4" w:space="0" w:color="auto"/>
              <w:bottom w:val="single" w:sz="4" w:space="0" w:color="auto"/>
              <w:right w:val="single" w:sz="4" w:space="0" w:color="auto"/>
            </w:tcBorders>
          </w:tcPr>
          <w:p w14:paraId="50EDC7D4" w14:textId="77777777" w:rsidR="00DC30EE" w:rsidRPr="00DC30EE" w:rsidRDefault="00DC30EE" w:rsidP="00DC30EE">
            <w:pPr>
              <w:spacing w:before="0" w:after="0"/>
              <w:rPr>
                <w:rFonts w:cs="Times New Roman"/>
                <w:sz w:val="18"/>
                <w:szCs w:val="18"/>
              </w:rPr>
            </w:pPr>
            <w:r w:rsidRPr="00DC30EE">
              <w:rPr>
                <w:rFonts w:cs="Times New Roman"/>
                <w:sz w:val="18"/>
                <w:szCs w:val="18"/>
              </w:rPr>
              <w:t>17 (32.1%)</w:t>
            </w:r>
          </w:p>
        </w:tc>
        <w:tc>
          <w:tcPr>
            <w:tcW w:w="649" w:type="pct"/>
            <w:tcBorders>
              <w:top w:val="single" w:sz="4" w:space="0" w:color="auto"/>
              <w:left w:val="single" w:sz="4" w:space="0" w:color="auto"/>
              <w:bottom w:val="single" w:sz="4" w:space="0" w:color="auto"/>
              <w:right w:val="single" w:sz="4" w:space="0" w:color="auto"/>
            </w:tcBorders>
          </w:tcPr>
          <w:p w14:paraId="4D17E462" w14:textId="77777777" w:rsidR="00DC30EE" w:rsidRPr="00DC30EE" w:rsidRDefault="00DC30EE" w:rsidP="00DC30EE">
            <w:pPr>
              <w:spacing w:before="0" w:after="0"/>
              <w:rPr>
                <w:rFonts w:cs="Times New Roman"/>
                <w:sz w:val="18"/>
                <w:szCs w:val="18"/>
              </w:rPr>
            </w:pPr>
            <w:r w:rsidRPr="00DC30EE">
              <w:rPr>
                <w:rFonts w:cs="Times New Roman"/>
                <w:sz w:val="18"/>
                <w:szCs w:val="18"/>
              </w:rPr>
              <w:t>22 (37.3%)</w:t>
            </w:r>
          </w:p>
        </w:tc>
        <w:tc>
          <w:tcPr>
            <w:tcW w:w="573" w:type="pct"/>
            <w:tcBorders>
              <w:top w:val="single" w:sz="4" w:space="0" w:color="auto"/>
              <w:left w:val="single" w:sz="4" w:space="0" w:color="auto"/>
              <w:bottom w:val="single" w:sz="4" w:space="0" w:color="auto"/>
              <w:right w:val="single" w:sz="4" w:space="0" w:color="auto"/>
            </w:tcBorders>
          </w:tcPr>
          <w:p w14:paraId="28A171AC" w14:textId="77777777" w:rsidR="00DC30EE" w:rsidRPr="00DC30EE" w:rsidRDefault="00DC30EE" w:rsidP="00DC30EE">
            <w:pPr>
              <w:spacing w:before="0" w:after="0"/>
              <w:rPr>
                <w:rFonts w:cs="Times New Roman"/>
                <w:sz w:val="18"/>
                <w:szCs w:val="18"/>
              </w:rPr>
            </w:pPr>
            <w:r w:rsidRPr="00DC30EE">
              <w:rPr>
                <w:rFonts w:cs="Times New Roman"/>
                <w:sz w:val="18"/>
                <w:szCs w:val="18"/>
              </w:rPr>
              <w:t>12 (17.6%)</w:t>
            </w:r>
          </w:p>
        </w:tc>
        <w:tc>
          <w:tcPr>
            <w:tcW w:w="573" w:type="pct"/>
            <w:tcBorders>
              <w:top w:val="single" w:sz="4" w:space="0" w:color="auto"/>
              <w:left w:val="single" w:sz="4" w:space="0" w:color="auto"/>
              <w:bottom w:val="single" w:sz="4" w:space="0" w:color="auto"/>
              <w:right w:val="single" w:sz="4" w:space="0" w:color="auto"/>
            </w:tcBorders>
          </w:tcPr>
          <w:p w14:paraId="5492A6CE" w14:textId="77777777" w:rsidR="00DC30EE" w:rsidRPr="00DC30EE" w:rsidRDefault="00DC30EE" w:rsidP="00DC30EE">
            <w:pPr>
              <w:spacing w:before="0" w:after="0"/>
              <w:rPr>
                <w:rFonts w:cs="Times New Roman"/>
                <w:sz w:val="18"/>
                <w:szCs w:val="18"/>
              </w:rPr>
            </w:pPr>
            <w:r w:rsidRPr="00DC30EE">
              <w:rPr>
                <w:rFonts w:cs="Times New Roman"/>
                <w:sz w:val="18"/>
                <w:szCs w:val="18"/>
              </w:rPr>
              <w:t>19 (29.2%)</w:t>
            </w:r>
          </w:p>
        </w:tc>
        <w:tc>
          <w:tcPr>
            <w:tcW w:w="745" w:type="pct"/>
            <w:tcBorders>
              <w:top w:val="single" w:sz="4" w:space="0" w:color="auto"/>
              <w:left w:val="single" w:sz="4" w:space="0" w:color="auto"/>
              <w:bottom w:val="single" w:sz="4" w:space="0" w:color="auto"/>
              <w:right w:val="single" w:sz="4" w:space="0" w:color="auto"/>
            </w:tcBorders>
          </w:tcPr>
          <w:p w14:paraId="19160614" w14:textId="77777777" w:rsidR="00DC30EE" w:rsidRPr="00DC30EE" w:rsidRDefault="00DC30EE" w:rsidP="00DC30EE">
            <w:pPr>
              <w:spacing w:before="0" w:after="0"/>
              <w:rPr>
                <w:rFonts w:cs="Times New Roman"/>
                <w:sz w:val="18"/>
                <w:szCs w:val="18"/>
              </w:rPr>
            </w:pPr>
            <w:r w:rsidRPr="00DC30EE">
              <w:rPr>
                <w:rFonts w:cs="Times New Roman"/>
                <w:sz w:val="18"/>
                <w:szCs w:val="18"/>
              </w:rPr>
              <w:t>14 (23.3%)</w:t>
            </w:r>
          </w:p>
        </w:tc>
        <w:tc>
          <w:tcPr>
            <w:tcW w:w="576" w:type="pct"/>
            <w:tcBorders>
              <w:top w:val="single" w:sz="4" w:space="0" w:color="auto"/>
              <w:left w:val="single" w:sz="4" w:space="0" w:color="auto"/>
              <w:bottom w:val="single" w:sz="4" w:space="0" w:color="auto"/>
              <w:right w:val="single" w:sz="4" w:space="0" w:color="auto"/>
            </w:tcBorders>
          </w:tcPr>
          <w:p w14:paraId="7CF3ED8D" w14:textId="77777777" w:rsidR="00DC30EE" w:rsidRPr="00DC30EE" w:rsidRDefault="00DC30EE" w:rsidP="00DC30EE">
            <w:pPr>
              <w:spacing w:before="0" w:after="0"/>
              <w:rPr>
                <w:rFonts w:cs="Times New Roman"/>
                <w:sz w:val="18"/>
                <w:szCs w:val="18"/>
              </w:rPr>
            </w:pPr>
            <w:r w:rsidRPr="00DC30EE">
              <w:rPr>
                <w:rFonts w:cs="Times New Roman"/>
                <w:sz w:val="18"/>
                <w:szCs w:val="18"/>
              </w:rPr>
              <w:t>5 (9.1%)</w:t>
            </w:r>
          </w:p>
        </w:tc>
      </w:tr>
    </w:tbl>
    <w:p w14:paraId="0B07036F" w14:textId="77777777" w:rsidR="00DC30EE" w:rsidRPr="00DC30EE" w:rsidRDefault="00DC30EE" w:rsidP="00DC30EE">
      <w:pPr>
        <w:spacing w:before="0" w:after="160" w:line="259" w:lineRule="auto"/>
        <w:rPr>
          <w:rFonts w:eastAsia="Calibri" w:cs="Times New Roman"/>
          <w:sz w:val="22"/>
          <w:lang w:val="en-GB"/>
        </w:rPr>
      </w:pPr>
    </w:p>
    <w:p w14:paraId="271B81DB" w14:textId="77777777" w:rsidR="00DC30EE" w:rsidRPr="00DC30EE" w:rsidRDefault="00DC30EE" w:rsidP="00DC30EE">
      <w:pPr>
        <w:spacing w:before="0" w:after="160" w:line="259" w:lineRule="auto"/>
        <w:rPr>
          <w:rFonts w:eastAsia="Calibri" w:cs="Times New Roman"/>
          <w:sz w:val="22"/>
          <w:lang w:val="en-GB"/>
        </w:rPr>
      </w:pPr>
      <w:r w:rsidRPr="00DC30EE">
        <w:rPr>
          <w:rFonts w:eastAsia="Calibri" w:cs="Times New Roman"/>
          <w:sz w:val="22"/>
          <w:lang w:val="en-GB"/>
        </w:rPr>
        <w:t>These data show the median frequency with which each group engaged with the relevant activity, with 1 being never, to 5 being every day. Overall, this indicated that reading books was a more common pastime amongst ‘cognitively healthy’ participants, whereas engaging in charity work appeared more common amongst the ‘cognitively impaired’ trial participants. Within the ‘cognitively impaired’ trial, there was some indication that those in the intervention arms more frequently attend social clubs at follow-up.</w:t>
      </w:r>
    </w:p>
    <w:p w14:paraId="02ED8E1C" w14:textId="21009FE3" w:rsidR="00DC30EE" w:rsidRPr="002A6F80" w:rsidRDefault="00DC30EE" w:rsidP="0027153E">
      <w:pPr>
        <w:pStyle w:val="Heading1"/>
        <w:numPr>
          <w:ilvl w:val="0"/>
          <w:numId w:val="0"/>
        </w:numPr>
        <w:ind w:left="567" w:hanging="567"/>
        <w:rPr>
          <w:lang w:val="en-GB"/>
        </w:rPr>
      </w:pPr>
      <w:r w:rsidRPr="002A6F80">
        <w:rPr>
          <w:lang w:val="en-GB"/>
        </w:rPr>
        <w:t xml:space="preserve">Supplementary </w:t>
      </w:r>
      <w:r w:rsidR="002A6F80" w:rsidRPr="002A6F80">
        <w:rPr>
          <w:lang w:val="en-GB"/>
        </w:rPr>
        <w:t>table</w:t>
      </w:r>
      <w:r w:rsidRPr="002A6F80">
        <w:rPr>
          <w:lang w:val="en-GB"/>
        </w:rPr>
        <w:t xml:space="preserve"> 3 - baseline and follow-up brief FFQ (dietary pattern) data in both trials</w:t>
      </w:r>
    </w:p>
    <w:tbl>
      <w:tblPr>
        <w:tblStyle w:val="TableGrid1"/>
        <w:tblW w:w="5000" w:type="pct"/>
        <w:tblInd w:w="0" w:type="dxa"/>
        <w:tblLayout w:type="fixed"/>
        <w:tblLook w:val="04A0" w:firstRow="1" w:lastRow="0" w:firstColumn="1" w:lastColumn="0" w:noHBand="0" w:noVBand="1"/>
      </w:tblPr>
      <w:tblGrid>
        <w:gridCol w:w="2759"/>
        <w:gridCol w:w="1230"/>
        <w:gridCol w:w="1252"/>
        <w:gridCol w:w="1145"/>
        <w:gridCol w:w="1133"/>
        <w:gridCol w:w="1074"/>
        <w:gridCol w:w="1174"/>
      </w:tblGrid>
      <w:tr w:rsidR="00DC30EE" w:rsidRPr="002A6F80" w14:paraId="522F92F0" w14:textId="77777777" w:rsidTr="00DC30EE">
        <w:tc>
          <w:tcPr>
            <w:tcW w:w="1412" w:type="pct"/>
            <w:tcBorders>
              <w:top w:val="single" w:sz="4" w:space="0" w:color="auto"/>
              <w:left w:val="single" w:sz="4" w:space="0" w:color="auto"/>
              <w:bottom w:val="single" w:sz="4" w:space="0" w:color="auto"/>
              <w:right w:val="single" w:sz="4" w:space="0" w:color="auto"/>
            </w:tcBorders>
            <w:shd w:val="clear" w:color="auto" w:fill="A5A5A5"/>
            <w:hideMark/>
          </w:tcPr>
          <w:p w14:paraId="6E718C94" w14:textId="77777777" w:rsidR="00DC30EE" w:rsidRPr="00DC30EE" w:rsidRDefault="00DC30EE" w:rsidP="00DC30EE">
            <w:pPr>
              <w:spacing w:before="0" w:after="0"/>
              <w:rPr>
                <w:rFonts w:cs="Times New Roman"/>
                <w:b/>
                <w:sz w:val="18"/>
                <w:szCs w:val="18"/>
              </w:rPr>
            </w:pPr>
            <w:r w:rsidRPr="00DC30EE">
              <w:rPr>
                <w:rFonts w:eastAsia="Calibri" w:cs="Times New Roman"/>
                <w:b/>
                <w:bCs/>
                <w:sz w:val="18"/>
                <w:szCs w:val="18"/>
              </w:rPr>
              <w:t>Lower cognitive score Trial</w:t>
            </w:r>
          </w:p>
        </w:tc>
        <w:tc>
          <w:tcPr>
            <w:tcW w:w="1270" w:type="pct"/>
            <w:gridSpan w:val="2"/>
            <w:tcBorders>
              <w:top w:val="single" w:sz="4" w:space="0" w:color="auto"/>
              <w:left w:val="single" w:sz="4" w:space="0" w:color="auto"/>
              <w:bottom w:val="single" w:sz="4" w:space="0" w:color="auto"/>
              <w:right w:val="single" w:sz="4" w:space="0" w:color="auto"/>
            </w:tcBorders>
            <w:shd w:val="clear" w:color="auto" w:fill="A5A5A5"/>
            <w:hideMark/>
          </w:tcPr>
          <w:p w14:paraId="152B03C1"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Active Brains (n=53)</w:t>
            </w:r>
          </w:p>
        </w:tc>
        <w:tc>
          <w:tcPr>
            <w:tcW w:w="1166" w:type="pct"/>
            <w:gridSpan w:val="2"/>
            <w:tcBorders>
              <w:top w:val="single" w:sz="4" w:space="0" w:color="auto"/>
              <w:left w:val="single" w:sz="4" w:space="0" w:color="auto"/>
              <w:bottom w:val="single" w:sz="4" w:space="0" w:color="auto"/>
              <w:right w:val="single" w:sz="4" w:space="0" w:color="auto"/>
            </w:tcBorders>
            <w:shd w:val="clear" w:color="auto" w:fill="A5A5A5"/>
            <w:hideMark/>
          </w:tcPr>
          <w:p w14:paraId="2E3BC294"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AB + Support (n=59)</w:t>
            </w:r>
          </w:p>
        </w:tc>
        <w:tc>
          <w:tcPr>
            <w:tcW w:w="1151" w:type="pct"/>
            <w:gridSpan w:val="2"/>
            <w:tcBorders>
              <w:top w:val="single" w:sz="4" w:space="0" w:color="auto"/>
              <w:left w:val="single" w:sz="4" w:space="0" w:color="auto"/>
              <w:bottom w:val="single" w:sz="4" w:space="0" w:color="auto"/>
              <w:right w:val="single" w:sz="4" w:space="0" w:color="auto"/>
            </w:tcBorders>
            <w:shd w:val="clear" w:color="auto" w:fill="A5A5A5"/>
            <w:hideMark/>
          </w:tcPr>
          <w:p w14:paraId="45A47BD6"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Usual Care (n=68)</w:t>
            </w:r>
          </w:p>
        </w:tc>
      </w:tr>
      <w:tr w:rsidR="00DC30EE" w:rsidRPr="002A6F80" w14:paraId="5C35049F" w14:textId="77777777" w:rsidTr="00DC30EE">
        <w:tc>
          <w:tcPr>
            <w:tcW w:w="1412" w:type="pct"/>
            <w:tcBorders>
              <w:top w:val="single" w:sz="4" w:space="0" w:color="auto"/>
              <w:left w:val="single" w:sz="4" w:space="0" w:color="auto"/>
              <w:bottom w:val="single" w:sz="4" w:space="0" w:color="auto"/>
              <w:right w:val="single" w:sz="4" w:space="0" w:color="auto"/>
            </w:tcBorders>
            <w:shd w:val="clear" w:color="auto" w:fill="A5A5A5"/>
            <w:hideMark/>
          </w:tcPr>
          <w:p w14:paraId="0624E4FF" w14:textId="77777777" w:rsidR="00DC30EE" w:rsidRPr="00DC30EE" w:rsidRDefault="00DC30EE" w:rsidP="00DC30EE">
            <w:pPr>
              <w:spacing w:before="0" w:after="0"/>
              <w:rPr>
                <w:rFonts w:cs="Times New Roman"/>
                <w:b/>
                <w:sz w:val="18"/>
                <w:szCs w:val="18"/>
              </w:rPr>
            </w:pPr>
            <w:r w:rsidRPr="00DC30EE">
              <w:rPr>
                <w:rFonts w:cs="Times New Roman"/>
                <w:b/>
                <w:sz w:val="18"/>
                <w:szCs w:val="18"/>
              </w:rPr>
              <w:t>Portions per week (median)</w:t>
            </w:r>
          </w:p>
        </w:tc>
        <w:tc>
          <w:tcPr>
            <w:tcW w:w="629" w:type="pct"/>
            <w:tcBorders>
              <w:top w:val="single" w:sz="4" w:space="0" w:color="auto"/>
              <w:left w:val="single" w:sz="4" w:space="0" w:color="auto"/>
              <w:bottom w:val="single" w:sz="4" w:space="0" w:color="auto"/>
              <w:right w:val="single" w:sz="4" w:space="0" w:color="auto"/>
            </w:tcBorders>
            <w:shd w:val="clear" w:color="auto" w:fill="A5A5A5"/>
            <w:hideMark/>
          </w:tcPr>
          <w:p w14:paraId="5071BC04"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Baseline</w:t>
            </w:r>
          </w:p>
        </w:tc>
        <w:tc>
          <w:tcPr>
            <w:tcW w:w="641" w:type="pct"/>
            <w:tcBorders>
              <w:top w:val="single" w:sz="4" w:space="0" w:color="auto"/>
              <w:left w:val="single" w:sz="4" w:space="0" w:color="auto"/>
              <w:bottom w:val="single" w:sz="4" w:space="0" w:color="auto"/>
              <w:right w:val="single" w:sz="4" w:space="0" w:color="auto"/>
            </w:tcBorders>
            <w:shd w:val="clear" w:color="auto" w:fill="A5A5A5"/>
            <w:hideMark/>
          </w:tcPr>
          <w:p w14:paraId="3646B3D4"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Follow up</w:t>
            </w:r>
          </w:p>
        </w:tc>
        <w:tc>
          <w:tcPr>
            <w:tcW w:w="586" w:type="pct"/>
            <w:tcBorders>
              <w:top w:val="single" w:sz="4" w:space="0" w:color="auto"/>
              <w:left w:val="single" w:sz="4" w:space="0" w:color="auto"/>
              <w:bottom w:val="single" w:sz="4" w:space="0" w:color="auto"/>
              <w:right w:val="single" w:sz="4" w:space="0" w:color="auto"/>
            </w:tcBorders>
            <w:shd w:val="clear" w:color="auto" w:fill="A5A5A5"/>
            <w:hideMark/>
          </w:tcPr>
          <w:p w14:paraId="516DA5B4"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Baseline</w:t>
            </w:r>
          </w:p>
        </w:tc>
        <w:tc>
          <w:tcPr>
            <w:tcW w:w="580" w:type="pct"/>
            <w:tcBorders>
              <w:top w:val="single" w:sz="4" w:space="0" w:color="auto"/>
              <w:left w:val="single" w:sz="4" w:space="0" w:color="auto"/>
              <w:bottom w:val="single" w:sz="4" w:space="0" w:color="auto"/>
              <w:right w:val="single" w:sz="4" w:space="0" w:color="auto"/>
            </w:tcBorders>
            <w:shd w:val="clear" w:color="auto" w:fill="A5A5A5"/>
            <w:hideMark/>
          </w:tcPr>
          <w:p w14:paraId="767AD47C"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Follow up</w:t>
            </w:r>
          </w:p>
        </w:tc>
        <w:tc>
          <w:tcPr>
            <w:tcW w:w="550" w:type="pct"/>
            <w:tcBorders>
              <w:top w:val="single" w:sz="4" w:space="0" w:color="auto"/>
              <w:left w:val="single" w:sz="4" w:space="0" w:color="auto"/>
              <w:bottom w:val="single" w:sz="4" w:space="0" w:color="auto"/>
              <w:right w:val="single" w:sz="4" w:space="0" w:color="auto"/>
            </w:tcBorders>
            <w:shd w:val="clear" w:color="auto" w:fill="A5A5A5"/>
            <w:hideMark/>
          </w:tcPr>
          <w:p w14:paraId="6136A10A"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Baseline</w:t>
            </w:r>
          </w:p>
        </w:tc>
        <w:tc>
          <w:tcPr>
            <w:tcW w:w="601" w:type="pct"/>
            <w:tcBorders>
              <w:top w:val="single" w:sz="4" w:space="0" w:color="auto"/>
              <w:left w:val="single" w:sz="4" w:space="0" w:color="auto"/>
              <w:bottom w:val="single" w:sz="4" w:space="0" w:color="auto"/>
              <w:right w:val="single" w:sz="4" w:space="0" w:color="auto"/>
            </w:tcBorders>
            <w:shd w:val="clear" w:color="auto" w:fill="A5A5A5"/>
            <w:hideMark/>
          </w:tcPr>
          <w:p w14:paraId="07CCF08D"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Follow up</w:t>
            </w:r>
          </w:p>
        </w:tc>
      </w:tr>
      <w:tr w:rsidR="00DC30EE" w:rsidRPr="00DC30EE" w14:paraId="4165865A"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78FF38D3" w14:textId="77777777" w:rsidR="00DC30EE" w:rsidRPr="00DC30EE" w:rsidRDefault="00DC30EE" w:rsidP="00DC30EE">
            <w:pPr>
              <w:spacing w:before="0" w:after="0"/>
              <w:rPr>
                <w:rFonts w:cs="Times New Roman"/>
                <w:b/>
                <w:sz w:val="18"/>
                <w:szCs w:val="18"/>
              </w:rPr>
            </w:pPr>
            <w:r w:rsidRPr="00DC30EE">
              <w:rPr>
                <w:rFonts w:cs="Times New Roman"/>
                <w:b/>
                <w:sz w:val="18"/>
                <w:szCs w:val="18"/>
              </w:rPr>
              <w:t>FFQ – prudent pattern score (mean, SD)</w:t>
            </w:r>
          </w:p>
        </w:tc>
        <w:tc>
          <w:tcPr>
            <w:tcW w:w="629" w:type="pct"/>
            <w:tcBorders>
              <w:top w:val="single" w:sz="4" w:space="0" w:color="auto"/>
              <w:left w:val="single" w:sz="4" w:space="0" w:color="auto"/>
              <w:bottom w:val="single" w:sz="4" w:space="0" w:color="auto"/>
              <w:right w:val="single" w:sz="4" w:space="0" w:color="auto"/>
            </w:tcBorders>
            <w:hideMark/>
          </w:tcPr>
          <w:p w14:paraId="7233FA86" w14:textId="77777777" w:rsidR="00DC30EE" w:rsidRPr="00DC30EE" w:rsidRDefault="00DC30EE" w:rsidP="00DC30EE">
            <w:pPr>
              <w:spacing w:before="0" w:after="0"/>
              <w:rPr>
                <w:rFonts w:cs="Times New Roman"/>
                <w:sz w:val="18"/>
                <w:szCs w:val="18"/>
              </w:rPr>
            </w:pPr>
            <w:r w:rsidRPr="00DC30EE">
              <w:rPr>
                <w:rFonts w:cs="Times New Roman"/>
                <w:sz w:val="18"/>
                <w:szCs w:val="18"/>
              </w:rPr>
              <w:t>-0.06(1.19)</w:t>
            </w:r>
          </w:p>
        </w:tc>
        <w:tc>
          <w:tcPr>
            <w:tcW w:w="641" w:type="pct"/>
            <w:tcBorders>
              <w:top w:val="single" w:sz="4" w:space="0" w:color="auto"/>
              <w:left w:val="single" w:sz="4" w:space="0" w:color="auto"/>
              <w:bottom w:val="single" w:sz="4" w:space="0" w:color="auto"/>
              <w:right w:val="single" w:sz="4" w:space="0" w:color="auto"/>
            </w:tcBorders>
            <w:hideMark/>
          </w:tcPr>
          <w:p w14:paraId="4F1EDAE5" w14:textId="77777777" w:rsidR="00DC30EE" w:rsidRPr="00DC30EE" w:rsidRDefault="00DC30EE" w:rsidP="00DC30EE">
            <w:pPr>
              <w:spacing w:before="0" w:after="0"/>
              <w:rPr>
                <w:rFonts w:cs="Times New Roman"/>
                <w:sz w:val="18"/>
                <w:szCs w:val="18"/>
              </w:rPr>
            </w:pPr>
            <w:r w:rsidRPr="00DC30EE">
              <w:rPr>
                <w:rFonts w:cs="Times New Roman"/>
                <w:sz w:val="18"/>
                <w:szCs w:val="18"/>
              </w:rPr>
              <w:t>0.25(1.61)</w:t>
            </w:r>
          </w:p>
        </w:tc>
        <w:tc>
          <w:tcPr>
            <w:tcW w:w="586" w:type="pct"/>
            <w:tcBorders>
              <w:top w:val="single" w:sz="4" w:space="0" w:color="auto"/>
              <w:left w:val="single" w:sz="4" w:space="0" w:color="auto"/>
              <w:bottom w:val="single" w:sz="4" w:space="0" w:color="auto"/>
              <w:right w:val="single" w:sz="4" w:space="0" w:color="auto"/>
            </w:tcBorders>
            <w:hideMark/>
          </w:tcPr>
          <w:p w14:paraId="6DC0528A" w14:textId="77777777" w:rsidR="00DC30EE" w:rsidRPr="00DC30EE" w:rsidRDefault="00DC30EE" w:rsidP="00DC30EE">
            <w:pPr>
              <w:spacing w:before="0" w:after="0"/>
              <w:rPr>
                <w:rFonts w:cs="Times New Roman"/>
                <w:sz w:val="18"/>
                <w:szCs w:val="18"/>
              </w:rPr>
            </w:pPr>
            <w:r w:rsidRPr="00DC30EE">
              <w:rPr>
                <w:rFonts w:cs="Times New Roman"/>
                <w:sz w:val="18"/>
                <w:szCs w:val="18"/>
              </w:rPr>
              <w:t>0.06 (0.87)</w:t>
            </w:r>
          </w:p>
        </w:tc>
        <w:tc>
          <w:tcPr>
            <w:tcW w:w="580" w:type="pct"/>
            <w:tcBorders>
              <w:top w:val="single" w:sz="4" w:space="0" w:color="auto"/>
              <w:left w:val="single" w:sz="4" w:space="0" w:color="auto"/>
              <w:bottom w:val="single" w:sz="4" w:space="0" w:color="auto"/>
              <w:right w:val="single" w:sz="4" w:space="0" w:color="auto"/>
            </w:tcBorders>
            <w:hideMark/>
          </w:tcPr>
          <w:p w14:paraId="062B5FB0" w14:textId="77777777" w:rsidR="00DC30EE" w:rsidRPr="00DC30EE" w:rsidRDefault="00DC30EE" w:rsidP="00DC30EE">
            <w:pPr>
              <w:spacing w:before="0" w:after="0"/>
              <w:rPr>
                <w:rFonts w:cs="Times New Roman"/>
                <w:sz w:val="18"/>
                <w:szCs w:val="18"/>
              </w:rPr>
            </w:pPr>
            <w:r w:rsidRPr="00DC30EE">
              <w:rPr>
                <w:rFonts w:cs="Times New Roman"/>
                <w:sz w:val="18"/>
                <w:szCs w:val="18"/>
              </w:rPr>
              <w:t>-0.04 (0.94)</w:t>
            </w:r>
          </w:p>
        </w:tc>
        <w:tc>
          <w:tcPr>
            <w:tcW w:w="550" w:type="pct"/>
            <w:tcBorders>
              <w:top w:val="single" w:sz="4" w:space="0" w:color="auto"/>
              <w:left w:val="single" w:sz="4" w:space="0" w:color="auto"/>
              <w:bottom w:val="single" w:sz="4" w:space="0" w:color="auto"/>
              <w:right w:val="single" w:sz="4" w:space="0" w:color="auto"/>
            </w:tcBorders>
            <w:hideMark/>
          </w:tcPr>
          <w:p w14:paraId="4902979D" w14:textId="77777777" w:rsidR="00DC30EE" w:rsidRPr="00DC30EE" w:rsidRDefault="00DC30EE" w:rsidP="00DC30EE">
            <w:pPr>
              <w:spacing w:before="0" w:after="0"/>
              <w:rPr>
                <w:rFonts w:cs="Times New Roman"/>
                <w:sz w:val="18"/>
                <w:szCs w:val="18"/>
              </w:rPr>
            </w:pPr>
            <w:r w:rsidRPr="00DC30EE">
              <w:rPr>
                <w:rFonts w:cs="Times New Roman"/>
                <w:sz w:val="18"/>
                <w:szCs w:val="18"/>
              </w:rPr>
              <w:t>0.13 (0.72)</w:t>
            </w:r>
          </w:p>
        </w:tc>
        <w:tc>
          <w:tcPr>
            <w:tcW w:w="601" w:type="pct"/>
            <w:tcBorders>
              <w:top w:val="single" w:sz="4" w:space="0" w:color="auto"/>
              <w:left w:val="single" w:sz="4" w:space="0" w:color="auto"/>
              <w:bottom w:val="single" w:sz="4" w:space="0" w:color="auto"/>
              <w:right w:val="single" w:sz="4" w:space="0" w:color="auto"/>
            </w:tcBorders>
            <w:hideMark/>
          </w:tcPr>
          <w:p w14:paraId="037F301D" w14:textId="77777777" w:rsidR="00DC30EE" w:rsidRPr="00DC30EE" w:rsidRDefault="00DC30EE" w:rsidP="00DC30EE">
            <w:pPr>
              <w:spacing w:before="0" w:after="0"/>
              <w:rPr>
                <w:rFonts w:cs="Times New Roman"/>
                <w:sz w:val="18"/>
                <w:szCs w:val="18"/>
              </w:rPr>
            </w:pPr>
            <w:r w:rsidRPr="00DC30EE">
              <w:rPr>
                <w:rFonts w:cs="Times New Roman"/>
                <w:sz w:val="18"/>
                <w:szCs w:val="18"/>
              </w:rPr>
              <w:t>-0.12 (0.65)</w:t>
            </w:r>
          </w:p>
        </w:tc>
      </w:tr>
      <w:tr w:rsidR="00DC30EE" w:rsidRPr="00DC30EE" w14:paraId="14056D52"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6EDFFEEA" w14:textId="77777777" w:rsidR="00DC30EE" w:rsidRPr="00DC30EE" w:rsidRDefault="00DC30EE" w:rsidP="00DC30EE">
            <w:pPr>
              <w:spacing w:before="0" w:after="0"/>
              <w:rPr>
                <w:rFonts w:cs="Times New Roman"/>
                <w:b/>
                <w:sz w:val="18"/>
                <w:szCs w:val="18"/>
              </w:rPr>
            </w:pPr>
            <w:r w:rsidRPr="00DC30EE">
              <w:rPr>
                <w:rFonts w:cs="Times New Roman"/>
                <w:b/>
                <w:sz w:val="18"/>
                <w:szCs w:val="18"/>
              </w:rPr>
              <w:t>Oily fish</w:t>
            </w:r>
          </w:p>
        </w:tc>
        <w:tc>
          <w:tcPr>
            <w:tcW w:w="629" w:type="pct"/>
            <w:tcBorders>
              <w:top w:val="single" w:sz="4" w:space="0" w:color="auto"/>
              <w:left w:val="single" w:sz="4" w:space="0" w:color="auto"/>
              <w:bottom w:val="single" w:sz="4" w:space="0" w:color="auto"/>
              <w:right w:val="single" w:sz="4" w:space="0" w:color="auto"/>
            </w:tcBorders>
            <w:hideMark/>
          </w:tcPr>
          <w:p w14:paraId="22433725"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641" w:type="pct"/>
            <w:tcBorders>
              <w:top w:val="single" w:sz="4" w:space="0" w:color="auto"/>
              <w:left w:val="single" w:sz="4" w:space="0" w:color="auto"/>
              <w:bottom w:val="single" w:sz="4" w:space="0" w:color="auto"/>
              <w:right w:val="single" w:sz="4" w:space="0" w:color="auto"/>
            </w:tcBorders>
            <w:hideMark/>
          </w:tcPr>
          <w:p w14:paraId="07A73BB8"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586" w:type="pct"/>
            <w:tcBorders>
              <w:top w:val="single" w:sz="4" w:space="0" w:color="auto"/>
              <w:left w:val="single" w:sz="4" w:space="0" w:color="auto"/>
              <w:bottom w:val="single" w:sz="4" w:space="0" w:color="auto"/>
              <w:right w:val="single" w:sz="4" w:space="0" w:color="auto"/>
            </w:tcBorders>
            <w:hideMark/>
          </w:tcPr>
          <w:p w14:paraId="35AABAF1" w14:textId="77777777" w:rsidR="00DC30EE" w:rsidRPr="00DC30EE" w:rsidRDefault="00DC30EE" w:rsidP="00DC30EE">
            <w:pPr>
              <w:spacing w:before="0" w:after="0"/>
              <w:rPr>
                <w:rFonts w:cs="Times New Roman"/>
                <w:sz w:val="18"/>
                <w:szCs w:val="18"/>
              </w:rPr>
            </w:pPr>
            <w:r w:rsidRPr="00DC30EE">
              <w:rPr>
                <w:rFonts w:cs="Times New Roman"/>
                <w:sz w:val="18"/>
                <w:szCs w:val="18"/>
              </w:rPr>
              <w:t>0.5</w:t>
            </w:r>
          </w:p>
        </w:tc>
        <w:tc>
          <w:tcPr>
            <w:tcW w:w="580" w:type="pct"/>
            <w:tcBorders>
              <w:top w:val="single" w:sz="4" w:space="0" w:color="auto"/>
              <w:left w:val="single" w:sz="4" w:space="0" w:color="auto"/>
              <w:bottom w:val="single" w:sz="4" w:space="0" w:color="auto"/>
              <w:right w:val="single" w:sz="4" w:space="0" w:color="auto"/>
            </w:tcBorders>
            <w:hideMark/>
          </w:tcPr>
          <w:p w14:paraId="71D272C2"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14:paraId="31897A0F"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601" w:type="pct"/>
            <w:tcBorders>
              <w:top w:val="single" w:sz="4" w:space="0" w:color="auto"/>
              <w:left w:val="single" w:sz="4" w:space="0" w:color="auto"/>
              <w:bottom w:val="single" w:sz="4" w:space="0" w:color="auto"/>
              <w:right w:val="single" w:sz="4" w:space="0" w:color="auto"/>
            </w:tcBorders>
            <w:hideMark/>
          </w:tcPr>
          <w:p w14:paraId="021C556A"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r>
      <w:tr w:rsidR="00DC30EE" w:rsidRPr="00DC30EE" w14:paraId="568DDC68"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2F3FA3E8" w14:textId="77777777" w:rsidR="00DC30EE" w:rsidRPr="00DC30EE" w:rsidRDefault="00DC30EE" w:rsidP="00DC30EE">
            <w:pPr>
              <w:spacing w:before="0" w:after="0"/>
              <w:rPr>
                <w:rFonts w:cs="Times New Roman"/>
                <w:b/>
                <w:sz w:val="18"/>
                <w:szCs w:val="18"/>
              </w:rPr>
            </w:pPr>
            <w:r w:rsidRPr="00DC30EE">
              <w:rPr>
                <w:rFonts w:cs="Times New Roman"/>
                <w:b/>
                <w:sz w:val="18"/>
                <w:szCs w:val="18"/>
              </w:rPr>
              <w:t>Olive oil (one tbsp)</w:t>
            </w:r>
          </w:p>
        </w:tc>
        <w:tc>
          <w:tcPr>
            <w:tcW w:w="629" w:type="pct"/>
            <w:tcBorders>
              <w:top w:val="single" w:sz="4" w:space="0" w:color="auto"/>
              <w:left w:val="single" w:sz="4" w:space="0" w:color="auto"/>
              <w:bottom w:val="single" w:sz="4" w:space="0" w:color="auto"/>
              <w:right w:val="single" w:sz="4" w:space="0" w:color="auto"/>
            </w:tcBorders>
            <w:hideMark/>
          </w:tcPr>
          <w:p w14:paraId="377FBFD7"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641" w:type="pct"/>
            <w:tcBorders>
              <w:top w:val="single" w:sz="4" w:space="0" w:color="auto"/>
              <w:left w:val="single" w:sz="4" w:space="0" w:color="auto"/>
              <w:bottom w:val="single" w:sz="4" w:space="0" w:color="auto"/>
              <w:right w:val="single" w:sz="4" w:space="0" w:color="auto"/>
            </w:tcBorders>
            <w:hideMark/>
          </w:tcPr>
          <w:p w14:paraId="3AEF7CAA"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586" w:type="pct"/>
            <w:tcBorders>
              <w:top w:val="single" w:sz="4" w:space="0" w:color="auto"/>
              <w:left w:val="single" w:sz="4" w:space="0" w:color="auto"/>
              <w:bottom w:val="single" w:sz="4" w:space="0" w:color="auto"/>
              <w:right w:val="single" w:sz="4" w:space="0" w:color="auto"/>
            </w:tcBorders>
            <w:hideMark/>
          </w:tcPr>
          <w:p w14:paraId="108E4C45"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580" w:type="pct"/>
            <w:tcBorders>
              <w:top w:val="single" w:sz="4" w:space="0" w:color="auto"/>
              <w:left w:val="single" w:sz="4" w:space="0" w:color="auto"/>
              <w:bottom w:val="single" w:sz="4" w:space="0" w:color="auto"/>
              <w:right w:val="single" w:sz="4" w:space="0" w:color="auto"/>
            </w:tcBorders>
            <w:hideMark/>
          </w:tcPr>
          <w:p w14:paraId="3E10A39F"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550" w:type="pct"/>
            <w:tcBorders>
              <w:top w:val="single" w:sz="4" w:space="0" w:color="auto"/>
              <w:left w:val="single" w:sz="4" w:space="0" w:color="auto"/>
              <w:bottom w:val="single" w:sz="4" w:space="0" w:color="auto"/>
              <w:right w:val="single" w:sz="4" w:space="0" w:color="auto"/>
            </w:tcBorders>
            <w:hideMark/>
          </w:tcPr>
          <w:p w14:paraId="1F61D937"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601" w:type="pct"/>
            <w:tcBorders>
              <w:top w:val="single" w:sz="4" w:space="0" w:color="auto"/>
              <w:left w:val="single" w:sz="4" w:space="0" w:color="auto"/>
              <w:bottom w:val="single" w:sz="4" w:space="0" w:color="auto"/>
              <w:right w:val="single" w:sz="4" w:space="0" w:color="auto"/>
            </w:tcBorders>
            <w:hideMark/>
          </w:tcPr>
          <w:p w14:paraId="07D6CD47"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r>
      <w:tr w:rsidR="00DC30EE" w:rsidRPr="00DC30EE" w14:paraId="273F9165"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1B4D63CA" w14:textId="77777777" w:rsidR="00DC30EE" w:rsidRPr="00DC30EE" w:rsidRDefault="00DC30EE" w:rsidP="00DC30EE">
            <w:pPr>
              <w:spacing w:before="0" w:after="0"/>
              <w:rPr>
                <w:rFonts w:cs="Times New Roman"/>
                <w:b/>
                <w:sz w:val="18"/>
                <w:szCs w:val="18"/>
              </w:rPr>
            </w:pPr>
            <w:r w:rsidRPr="00DC30EE">
              <w:rPr>
                <w:rFonts w:cs="Times New Roman"/>
                <w:b/>
                <w:sz w:val="18"/>
                <w:szCs w:val="18"/>
              </w:rPr>
              <w:t>Almond/hazelnut/walnut</w:t>
            </w:r>
          </w:p>
        </w:tc>
        <w:tc>
          <w:tcPr>
            <w:tcW w:w="629" w:type="pct"/>
            <w:tcBorders>
              <w:top w:val="single" w:sz="4" w:space="0" w:color="auto"/>
              <w:left w:val="single" w:sz="4" w:space="0" w:color="auto"/>
              <w:bottom w:val="single" w:sz="4" w:space="0" w:color="auto"/>
              <w:right w:val="single" w:sz="4" w:space="0" w:color="auto"/>
            </w:tcBorders>
            <w:hideMark/>
          </w:tcPr>
          <w:p w14:paraId="02FA0657" w14:textId="77777777" w:rsidR="00DC30EE" w:rsidRPr="00DC30EE" w:rsidRDefault="00DC30EE" w:rsidP="00DC30EE">
            <w:pPr>
              <w:spacing w:before="0" w:after="0"/>
              <w:rPr>
                <w:rFonts w:cs="Times New Roman"/>
                <w:sz w:val="18"/>
                <w:szCs w:val="18"/>
              </w:rPr>
            </w:pPr>
            <w:r w:rsidRPr="00DC30EE">
              <w:rPr>
                <w:rFonts w:cs="Times New Roman"/>
                <w:sz w:val="18"/>
                <w:szCs w:val="18"/>
              </w:rPr>
              <w:t>0.2</w:t>
            </w:r>
          </w:p>
        </w:tc>
        <w:tc>
          <w:tcPr>
            <w:tcW w:w="641" w:type="pct"/>
            <w:tcBorders>
              <w:top w:val="single" w:sz="4" w:space="0" w:color="auto"/>
              <w:left w:val="single" w:sz="4" w:space="0" w:color="auto"/>
              <w:bottom w:val="single" w:sz="4" w:space="0" w:color="auto"/>
              <w:right w:val="single" w:sz="4" w:space="0" w:color="auto"/>
            </w:tcBorders>
            <w:hideMark/>
          </w:tcPr>
          <w:p w14:paraId="4CD1F5CC" w14:textId="77777777" w:rsidR="00DC30EE" w:rsidRPr="00DC30EE" w:rsidRDefault="00DC30EE" w:rsidP="00DC30EE">
            <w:pPr>
              <w:spacing w:before="0" w:after="0"/>
              <w:rPr>
                <w:rFonts w:cs="Times New Roman"/>
                <w:sz w:val="18"/>
                <w:szCs w:val="18"/>
              </w:rPr>
            </w:pPr>
            <w:r w:rsidRPr="00DC30EE">
              <w:rPr>
                <w:rFonts w:cs="Times New Roman"/>
                <w:sz w:val="18"/>
                <w:szCs w:val="18"/>
              </w:rPr>
              <w:t>0.5</w:t>
            </w:r>
          </w:p>
        </w:tc>
        <w:tc>
          <w:tcPr>
            <w:tcW w:w="586" w:type="pct"/>
            <w:tcBorders>
              <w:top w:val="single" w:sz="4" w:space="0" w:color="auto"/>
              <w:left w:val="single" w:sz="4" w:space="0" w:color="auto"/>
              <w:bottom w:val="single" w:sz="4" w:space="0" w:color="auto"/>
              <w:right w:val="single" w:sz="4" w:space="0" w:color="auto"/>
            </w:tcBorders>
            <w:hideMark/>
          </w:tcPr>
          <w:p w14:paraId="2DCF63D0" w14:textId="77777777" w:rsidR="00DC30EE" w:rsidRPr="00DC30EE" w:rsidRDefault="00DC30EE" w:rsidP="00DC30EE">
            <w:pPr>
              <w:spacing w:before="0" w:after="0"/>
              <w:rPr>
                <w:rFonts w:cs="Times New Roman"/>
                <w:sz w:val="18"/>
                <w:szCs w:val="18"/>
              </w:rPr>
            </w:pPr>
            <w:r w:rsidRPr="00DC30EE">
              <w:rPr>
                <w:rFonts w:cs="Times New Roman"/>
                <w:sz w:val="18"/>
                <w:szCs w:val="18"/>
              </w:rPr>
              <w:t>0.5</w:t>
            </w:r>
          </w:p>
        </w:tc>
        <w:tc>
          <w:tcPr>
            <w:tcW w:w="580" w:type="pct"/>
            <w:tcBorders>
              <w:top w:val="single" w:sz="4" w:space="0" w:color="auto"/>
              <w:left w:val="single" w:sz="4" w:space="0" w:color="auto"/>
              <w:bottom w:val="single" w:sz="4" w:space="0" w:color="auto"/>
              <w:right w:val="single" w:sz="4" w:space="0" w:color="auto"/>
            </w:tcBorders>
            <w:hideMark/>
          </w:tcPr>
          <w:p w14:paraId="0834DEBC" w14:textId="77777777" w:rsidR="00DC30EE" w:rsidRPr="00DC30EE" w:rsidRDefault="00DC30EE" w:rsidP="00DC30EE">
            <w:pPr>
              <w:spacing w:before="0" w:after="0"/>
              <w:rPr>
                <w:rFonts w:cs="Times New Roman"/>
                <w:sz w:val="18"/>
                <w:szCs w:val="18"/>
              </w:rPr>
            </w:pPr>
            <w:r w:rsidRPr="00DC30EE">
              <w:rPr>
                <w:rFonts w:cs="Times New Roman"/>
                <w:sz w:val="18"/>
                <w:szCs w:val="18"/>
              </w:rPr>
              <w:t>0.5</w:t>
            </w:r>
          </w:p>
        </w:tc>
        <w:tc>
          <w:tcPr>
            <w:tcW w:w="550" w:type="pct"/>
            <w:tcBorders>
              <w:top w:val="single" w:sz="4" w:space="0" w:color="auto"/>
              <w:left w:val="single" w:sz="4" w:space="0" w:color="auto"/>
              <w:bottom w:val="single" w:sz="4" w:space="0" w:color="auto"/>
              <w:right w:val="single" w:sz="4" w:space="0" w:color="auto"/>
            </w:tcBorders>
            <w:hideMark/>
          </w:tcPr>
          <w:p w14:paraId="6F51804D"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601" w:type="pct"/>
            <w:tcBorders>
              <w:top w:val="single" w:sz="4" w:space="0" w:color="auto"/>
              <w:left w:val="single" w:sz="4" w:space="0" w:color="auto"/>
              <w:bottom w:val="single" w:sz="4" w:space="0" w:color="auto"/>
              <w:right w:val="single" w:sz="4" w:space="0" w:color="auto"/>
            </w:tcBorders>
            <w:hideMark/>
          </w:tcPr>
          <w:p w14:paraId="24B3F80B"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r>
      <w:tr w:rsidR="00DC30EE" w:rsidRPr="00DC30EE" w14:paraId="49569F66" w14:textId="77777777" w:rsidTr="003C3FFF">
        <w:tc>
          <w:tcPr>
            <w:tcW w:w="1412" w:type="pct"/>
            <w:tcBorders>
              <w:top w:val="single" w:sz="4" w:space="0" w:color="auto"/>
              <w:left w:val="single" w:sz="4" w:space="0" w:color="auto"/>
              <w:bottom w:val="single" w:sz="4" w:space="0" w:color="auto"/>
              <w:right w:val="single" w:sz="4" w:space="0" w:color="auto"/>
            </w:tcBorders>
          </w:tcPr>
          <w:p w14:paraId="4CB98989" w14:textId="77777777" w:rsidR="00DC30EE" w:rsidRPr="00DC30EE" w:rsidRDefault="00DC30EE" w:rsidP="00DC30EE">
            <w:pPr>
              <w:spacing w:before="0" w:after="0"/>
              <w:rPr>
                <w:rFonts w:cs="Times New Roman"/>
                <w:bCs/>
                <w:sz w:val="18"/>
                <w:szCs w:val="18"/>
              </w:rPr>
            </w:pPr>
            <w:r w:rsidRPr="00DC30EE">
              <w:rPr>
                <w:rFonts w:cs="Times New Roman"/>
                <w:bCs/>
                <w:sz w:val="18"/>
                <w:szCs w:val="18"/>
              </w:rPr>
              <w:t>Missing FFQ score (n, %)</w:t>
            </w:r>
          </w:p>
        </w:tc>
        <w:tc>
          <w:tcPr>
            <w:tcW w:w="629" w:type="pct"/>
            <w:tcBorders>
              <w:top w:val="single" w:sz="4" w:space="0" w:color="auto"/>
              <w:left w:val="single" w:sz="4" w:space="0" w:color="auto"/>
              <w:bottom w:val="single" w:sz="4" w:space="0" w:color="auto"/>
              <w:right w:val="single" w:sz="4" w:space="0" w:color="auto"/>
            </w:tcBorders>
          </w:tcPr>
          <w:p w14:paraId="04DE2F4E" w14:textId="77777777" w:rsidR="00DC30EE" w:rsidRPr="00DC30EE" w:rsidRDefault="00DC30EE" w:rsidP="00DC30EE">
            <w:pPr>
              <w:spacing w:before="0" w:after="0"/>
              <w:rPr>
                <w:rFonts w:cs="Times New Roman"/>
                <w:sz w:val="18"/>
                <w:szCs w:val="18"/>
              </w:rPr>
            </w:pPr>
            <w:r w:rsidRPr="00DC30EE">
              <w:rPr>
                <w:rFonts w:cs="Times New Roman"/>
                <w:sz w:val="18"/>
                <w:szCs w:val="18"/>
              </w:rPr>
              <w:t>1 (1.9%)</w:t>
            </w:r>
          </w:p>
        </w:tc>
        <w:tc>
          <w:tcPr>
            <w:tcW w:w="641" w:type="pct"/>
            <w:tcBorders>
              <w:top w:val="single" w:sz="4" w:space="0" w:color="auto"/>
              <w:left w:val="single" w:sz="4" w:space="0" w:color="auto"/>
              <w:bottom w:val="single" w:sz="4" w:space="0" w:color="auto"/>
              <w:right w:val="single" w:sz="4" w:space="0" w:color="auto"/>
            </w:tcBorders>
          </w:tcPr>
          <w:p w14:paraId="5AC97157" w14:textId="77777777" w:rsidR="00DC30EE" w:rsidRPr="00DC30EE" w:rsidRDefault="00DC30EE" w:rsidP="00DC30EE">
            <w:pPr>
              <w:spacing w:before="0" w:after="0"/>
              <w:rPr>
                <w:rFonts w:cs="Times New Roman"/>
                <w:sz w:val="18"/>
                <w:szCs w:val="18"/>
              </w:rPr>
            </w:pPr>
            <w:r w:rsidRPr="00DC30EE">
              <w:rPr>
                <w:rFonts w:cs="Times New Roman"/>
                <w:sz w:val="18"/>
                <w:szCs w:val="18"/>
              </w:rPr>
              <w:t>23 (43.4%)</w:t>
            </w:r>
          </w:p>
        </w:tc>
        <w:tc>
          <w:tcPr>
            <w:tcW w:w="586" w:type="pct"/>
            <w:tcBorders>
              <w:top w:val="single" w:sz="4" w:space="0" w:color="auto"/>
              <w:left w:val="single" w:sz="4" w:space="0" w:color="auto"/>
              <w:bottom w:val="single" w:sz="4" w:space="0" w:color="auto"/>
              <w:right w:val="single" w:sz="4" w:space="0" w:color="auto"/>
            </w:tcBorders>
          </w:tcPr>
          <w:p w14:paraId="7D0E04AC" w14:textId="77777777" w:rsidR="00DC30EE" w:rsidRPr="00DC30EE" w:rsidRDefault="00DC30EE" w:rsidP="00DC30EE">
            <w:pPr>
              <w:spacing w:before="0" w:after="0"/>
              <w:rPr>
                <w:rFonts w:cs="Times New Roman"/>
                <w:sz w:val="18"/>
                <w:szCs w:val="18"/>
              </w:rPr>
            </w:pPr>
            <w:r w:rsidRPr="00DC30EE">
              <w:rPr>
                <w:rFonts w:cs="Times New Roman"/>
                <w:sz w:val="18"/>
                <w:szCs w:val="18"/>
              </w:rPr>
              <w:t>4 (6.8%)</w:t>
            </w:r>
          </w:p>
        </w:tc>
        <w:tc>
          <w:tcPr>
            <w:tcW w:w="580" w:type="pct"/>
            <w:tcBorders>
              <w:top w:val="single" w:sz="4" w:space="0" w:color="auto"/>
              <w:left w:val="single" w:sz="4" w:space="0" w:color="auto"/>
              <w:bottom w:val="single" w:sz="4" w:space="0" w:color="auto"/>
              <w:right w:val="single" w:sz="4" w:space="0" w:color="auto"/>
            </w:tcBorders>
          </w:tcPr>
          <w:p w14:paraId="1DD6342C" w14:textId="77777777" w:rsidR="00DC30EE" w:rsidRPr="00DC30EE" w:rsidRDefault="00DC30EE" w:rsidP="00DC30EE">
            <w:pPr>
              <w:spacing w:before="0" w:after="0"/>
              <w:rPr>
                <w:rFonts w:cs="Times New Roman"/>
                <w:sz w:val="18"/>
                <w:szCs w:val="18"/>
              </w:rPr>
            </w:pPr>
            <w:r w:rsidRPr="00DC30EE">
              <w:rPr>
                <w:rFonts w:cs="Times New Roman"/>
                <w:sz w:val="18"/>
                <w:szCs w:val="18"/>
              </w:rPr>
              <w:t>24 (40.7%)</w:t>
            </w:r>
          </w:p>
        </w:tc>
        <w:tc>
          <w:tcPr>
            <w:tcW w:w="550" w:type="pct"/>
            <w:tcBorders>
              <w:top w:val="single" w:sz="4" w:space="0" w:color="auto"/>
              <w:left w:val="single" w:sz="4" w:space="0" w:color="auto"/>
              <w:bottom w:val="single" w:sz="4" w:space="0" w:color="auto"/>
              <w:right w:val="single" w:sz="4" w:space="0" w:color="auto"/>
            </w:tcBorders>
          </w:tcPr>
          <w:p w14:paraId="3D9C2EDC" w14:textId="77777777" w:rsidR="00DC30EE" w:rsidRPr="00DC30EE" w:rsidRDefault="00DC30EE" w:rsidP="00DC30EE">
            <w:pPr>
              <w:spacing w:before="0" w:after="0"/>
              <w:rPr>
                <w:rFonts w:cs="Times New Roman"/>
                <w:sz w:val="18"/>
                <w:szCs w:val="18"/>
              </w:rPr>
            </w:pPr>
            <w:r w:rsidRPr="00DC30EE">
              <w:rPr>
                <w:rFonts w:cs="Times New Roman"/>
                <w:sz w:val="18"/>
                <w:szCs w:val="18"/>
              </w:rPr>
              <w:t>3 (4.4%)</w:t>
            </w:r>
          </w:p>
        </w:tc>
        <w:tc>
          <w:tcPr>
            <w:tcW w:w="601" w:type="pct"/>
            <w:tcBorders>
              <w:top w:val="single" w:sz="4" w:space="0" w:color="auto"/>
              <w:left w:val="single" w:sz="4" w:space="0" w:color="auto"/>
              <w:bottom w:val="single" w:sz="4" w:space="0" w:color="auto"/>
              <w:right w:val="single" w:sz="4" w:space="0" w:color="auto"/>
            </w:tcBorders>
          </w:tcPr>
          <w:p w14:paraId="2BBE9493" w14:textId="77777777" w:rsidR="00DC30EE" w:rsidRPr="00DC30EE" w:rsidRDefault="00DC30EE" w:rsidP="00DC30EE">
            <w:pPr>
              <w:spacing w:before="0" w:after="0"/>
              <w:rPr>
                <w:rFonts w:cs="Times New Roman"/>
                <w:sz w:val="18"/>
                <w:szCs w:val="18"/>
              </w:rPr>
            </w:pPr>
            <w:r w:rsidRPr="00DC30EE">
              <w:rPr>
                <w:rFonts w:cs="Times New Roman"/>
                <w:sz w:val="18"/>
                <w:szCs w:val="18"/>
              </w:rPr>
              <w:t>16 (23.5%)</w:t>
            </w:r>
          </w:p>
        </w:tc>
      </w:tr>
      <w:tr w:rsidR="00DC30EE" w:rsidRPr="002A6F80" w14:paraId="62E814B3" w14:textId="77777777" w:rsidTr="00DC30EE">
        <w:tc>
          <w:tcPr>
            <w:tcW w:w="1412" w:type="pct"/>
            <w:tcBorders>
              <w:top w:val="single" w:sz="4" w:space="0" w:color="auto"/>
              <w:left w:val="single" w:sz="4" w:space="0" w:color="auto"/>
              <w:bottom w:val="single" w:sz="4" w:space="0" w:color="auto"/>
              <w:right w:val="single" w:sz="4" w:space="0" w:color="auto"/>
            </w:tcBorders>
            <w:shd w:val="clear" w:color="auto" w:fill="A5A5A5"/>
            <w:hideMark/>
          </w:tcPr>
          <w:p w14:paraId="1B2DD749" w14:textId="77777777" w:rsidR="00DC30EE" w:rsidRPr="00DC30EE" w:rsidRDefault="00DC30EE" w:rsidP="00DC30EE">
            <w:pPr>
              <w:spacing w:before="0" w:after="0"/>
              <w:rPr>
                <w:rFonts w:cs="Times New Roman"/>
                <w:b/>
                <w:sz w:val="18"/>
                <w:szCs w:val="18"/>
              </w:rPr>
            </w:pPr>
            <w:r w:rsidRPr="00DC30EE">
              <w:rPr>
                <w:rFonts w:eastAsia="Calibri" w:cs="Times New Roman"/>
                <w:b/>
                <w:bCs/>
                <w:sz w:val="18"/>
                <w:szCs w:val="18"/>
              </w:rPr>
              <w:t>Higher cognitive score Trial</w:t>
            </w:r>
          </w:p>
        </w:tc>
        <w:tc>
          <w:tcPr>
            <w:tcW w:w="1270" w:type="pct"/>
            <w:gridSpan w:val="2"/>
            <w:tcBorders>
              <w:top w:val="single" w:sz="4" w:space="0" w:color="auto"/>
              <w:left w:val="single" w:sz="4" w:space="0" w:color="auto"/>
              <w:bottom w:val="single" w:sz="4" w:space="0" w:color="auto"/>
              <w:right w:val="single" w:sz="4" w:space="0" w:color="auto"/>
            </w:tcBorders>
            <w:shd w:val="clear" w:color="auto" w:fill="A5A5A5"/>
            <w:hideMark/>
          </w:tcPr>
          <w:p w14:paraId="48A8CD15"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Active Brains (n=65)</w:t>
            </w:r>
          </w:p>
        </w:tc>
        <w:tc>
          <w:tcPr>
            <w:tcW w:w="1166" w:type="pct"/>
            <w:gridSpan w:val="2"/>
            <w:tcBorders>
              <w:top w:val="single" w:sz="4" w:space="0" w:color="auto"/>
              <w:left w:val="single" w:sz="4" w:space="0" w:color="auto"/>
              <w:bottom w:val="single" w:sz="4" w:space="0" w:color="auto"/>
              <w:right w:val="single" w:sz="4" w:space="0" w:color="auto"/>
            </w:tcBorders>
            <w:shd w:val="clear" w:color="auto" w:fill="A5A5A5"/>
            <w:hideMark/>
          </w:tcPr>
          <w:p w14:paraId="0ED07600"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AB + Support (n=60)</w:t>
            </w:r>
          </w:p>
        </w:tc>
        <w:tc>
          <w:tcPr>
            <w:tcW w:w="1151" w:type="pct"/>
            <w:gridSpan w:val="2"/>
            <w:tcBorders>
              <w:top w:val="single" w:sz="4" w:space="0" w:color="auto"/>
              <w:left w:val="single" w:sz="4" w:space="0" w:color="auto"/>
              <w:bottom w:val="single" w:sz="4" w:space="0" w:color="auto"/>
              <w:right w:val="single" w:sz="4" w:space="0" w:color="auto"/>
            </w:tcBorders>
            <w:shd w:val="clear" w:color="auto" w:fill="A5A5A5"/>
            <w:hideMark/>
          </w:tcPr>
          <w:p w14:paraId="6E4B8988"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Usual Care (n=55)</w:t>
            </w:r>
          </w:p>
        </w:tc>
      </w:tr>
      <w:tr w:rsidR="00DC30EE" w:rsidRPr="002A6F80" w14:paraId="24ECA8BE" w14:textId="77777777" w:rsidTr="00DC30EE">
        <w:tc>
          <w:tcPr>
            <w:tcW w:w="1412" w:type="pct"/>
            <w:tcBorders>
              <w:top w:val="single" w:sz="4" w:space="0" w:color="auto"/>
              <w:left w:val="single" w:sz="4" w:space="0" w:color="auto"/>
              <w:bottom w:val="single" w:sz="4" w:space="0" w:color="auto"/>
              <w:right w:val="single" w:sz="4" w:space="0" w:color="auto"/>
            </w:tcBorders>
            <w:shd w:val="clear" w:color="auto" w:fill="A5A5A5"/>
            <w:hideMark/>
          </w:tcPr>
          <w:p w14:paraId="7C6EFF40" w14:textId="77777777" w:rsidR="00DC30EE" w:rsidRPr="00DC30EE" w:rsidRDefault="00DC30EE" w:rsidP="00DC30EE">
            <w:pPr>
              <w:spacing w:before="0" w:after="0"/>
              <w:rPr>
                <w:rFonts w:cs="Times New Roman"/>
                <w:b/>
                <w:sz w:val="18"/>
                <w:szCs w:val="18"/>
              </w:rPr>
            </w:pPr>
            <w:r w:rsidRPr="00DC30EE">
              <w:rPr>
                <w:rFonts w:cs="Times New Roman"/>
                <w:b/>
                <w:sz w:val="18"/>
                <w:szCs w:val="18"/>
              </w:rPr>
              <w:t>Portions per week (median)</w:t>
            </w:r>
          </w:p>
        </w:tc>
        <w:tc>
          <w:tcPr>
            <w:tcW w:w="629" w:type="pct"/>
            <w:tcBorders>
              <w:top w:val="single" w:sz="4" w:space="0" w:color="auto"/>
              <w:left w:val="single" w:sz="4" w:space="0" w:color="auto"/>
              <w:bottom w:val="single" w:sz="4" w:space="0" w:color="auto"/>
              <w:right w:val="single" w:sz="4" w:space="0" w:color="auto"/>
            </w:tcBorders>
            <w:shd w:val="clear" w:color="auto" w:fill="A5A5A5"/>
            <w:hideMark/>
          </w:tcPr>
          <w:p w14:paraId="49432D7D"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Baseline</w:t>
            </w:r>
          </w:p>
        </w:tc>
        <w:tc>
          <w:tcPr>
            <w:tcW w:w="641" w:type="pct"/>
            <w:tcBorders>
              <w:top w:val="single" w:sz="4" w:space="0" w:color="auto"/>
              <w:left w:val="single" w:sz="4" w:space="0" w:color="auto"/>
              <w:bottom w:val="single" w:sz="4" w:space="0" w:color="auto"/>
              <w:right w:val="single" w:sz="4" w:space="0" w:color="auto"/>
            </w:tcBorders>
            <w:shd w:val="clear" w:color="auto" w:fill="A5A5A5"/>
            <w:hideMark/>
          </w:tcPr>
          <w:p w14:paraId="3134FC56"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Follow up</w:t>
            </w:r>
          </w:p>
        </w:tc>
        <w:tc>
          <w:tcPr>
            <w:tcW w:w="586" w:type="pct"/>
            <w:tcBorders>
              <w:top w:val="single" w:sz="4" w:space="0" w:color="auto"/>
              <w:left w:val="single" w:sz="4" w:space="0" w:color="auto"/>
              <w:bottom w:val="single" w:sz="4" w:space="0" w:color="auto"/>
              <w:right w:val="single" w:sz="4" w:space="0" w:color="auto"/>
            </w:tcBorders>
            <w:shd w:val="clear" w:color="auto" w:fill="A5A5A5"/>
            <w:hideMark/>
          </w:tcPr>
          <w:p w14:paraId="58C1469B"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Baseline</w:t>
            </w:r>
          </w:p>
        </w:tc>
        <w:tc>
          <w:tcPr>
            <w:tcW w:w="580" w:type="pct"/>
            <w:tcBorders>
              <w:top w:val="single" w:sz="4" w:space="0" w:color="auto"/>
              <w:left w:val="single" w:sz="4" w:space="0" w:color="auto"/>
              <w:bottom w:val="single" w:sz="4" w:space="0" w:color="auto"/>
              <w:right w:val="single" w:sz="4" w:space="0" w:color="auto"/>
            </w:tcBorders>
            <w:shd w:val="clear" w:color="auto" w:fill="A5A5A5"/>
            <w:hideMark/>
          </w:tcPr>
          <w:p w14:paraId="09BEA092"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Follow up</w:t>
            </w:r>
          </w:p>
        </w:tc>
        <w:tc>
          <w:tcPr>
            <w:tcW w:w="550" w:type="pct"/>
            <w:tcBorders>
              <w:top w:val="single" w:sz="4" w:space="0" w:color="auto"/>
              <w:left w:val="single" w:sz="4" w:space="0" w:color="auto"/>
              <w:bottom w:val="single" w:sz="4" w:space="0" w:color="auto"/>
              <w:right w:val="single" w:sz="4" w:space="0" w:color="auto"/>
            </w:tcBorders>
            <w:shd w:val="clear" w:color="auto" w:fill="A5A5A5"/>
            <w:hideMark/>
          </w:tcPr>
          <w:p w14:paraId="7122C8F8"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Baseline</w:t>
            </w:r>
          </w:p>
        </w:tc>
        <w:tc>
          <w:tcPr>
            <w:tcW w:w="601" w:type="pct"/>
            <w:tcBorders>
              <w:top w:val="single" w:sz="4" w:space="0" w:color="auto"/>
              <w:left w:val="single" w:sz="4" w:space="0" w:color="auto"/>
              <w:bottom w:val="single" w:sz="4" w:space="0" w:color="auto"/>
              <w:right w:val="single" w:sz="4" w:space="0" w:color="auto"/>
            </w:tcBorders>
            <w:shd w:val="clear" w:color="auto" w:fill="A5A5A5"/>
            <w:hideMark/>
          </w:tcPr>
          <w:p w14:paraId="5E84BA51" w14:textId="77777777" w:rsidR="00DC30EE" w:rsidRPr="00DC30EE" w:rsidRDefault="00DC30EE" w:rsidP="00DC30EE">
            <w:pPr>
              <w:spacing w:before="0" w:after="0"/>
              <w:jc w:val="center"/>
              <w:rPr>
                <w:rFonts w:cs="Times New Roman"/>
                <w:b/>
                <w:sz w:val="18"/>
                <w:szCs w:val="18"/>
              </w:rPr>
            </w:pPr>
            <w:r w:rsidRPr="00DC30EE">
              <w:rPr>
                <w:rFonts w:cs="Times New Roman"/>
                <w:b/>
                <w:sz w:val="18"/>
                <w:szCs w:val="18"/>
              </w:rPr>
              <w:t>Follow up</w:t>
            </w:r>
          </w:p>
        </w:tc>
      </w:tr>
      <w:tr w:rsidR="00DC30EE" w:rsidRPr="00DC30EE" w14:paraId="25B77174"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26124968" w14:textId="77777777" w:rsidR="00DC30EE" w:rsidRPr="00DC30EE" w:rsidRDefault="00DC30EE" w:rsidP="00DC30EE">
            <w:pPr>
              <w:spacing w:before="0" w:after="0"/>
              <w:rPr>
                <w:rFonts w:cs="Times New Roman"/>
                <w:b/>
                <w:sz w:val="18"/>
                <w:szCs w:val="18"/>
              </w:rPr>
            </w:pPr>
            <w:r w:rsidRPr="00DC30EE">
              <w:rPr>
                <w:rFonts w:cs="Times New Roman"/>
                <w:b/>
                <w:sz w:val="18"/>
                <w:szCs w:val="18"/>
              </w:rPr>
              <w:t>FFQ – prudent pattern score (mean, SD)</w:t>
            </w:r>
          </w:p>
        </w:tc>
        <w:tc>
          <w:tcPr>
            <w:tcW w:w="629" w:type="pct"/>
            <w:tcBorders>
              <w:top w:val="single" w:sz="4" w:space="0" w:color="auto"/>
              <w:left w:val="single" w:sz="4" w:space="0" w:color="auto"/>
              <w:bottom w:val="single" w:sz="4" w:space="0" w:color="auto"/>
              <w:right w:val="single" w:sz="4" w:space="0" w:color="auto"/>
            </w:tcBorders>
            <w:hideMark/>
          </w:tcPr>
          <w:p w14:paraId="2696E018" w14:textId="77777777" w:rsidR="00DC30EE" w:rsidRPr="00DC30EE" w:rsidRDefault="00DC30EE" w:rsidP="00DC30EE">
            <w:pPr>
              <w:spacing w:before="0" w:after="0"/>
              <w:rPr>
                <w:rFonts w:cs="Times New Roman"/>
                <w:sz w:val="18"/>
                <w:szCs w:val="18"/>
              </w:rPr>
            </w:pPr>
            <w:r w:rsidRPr="00DC30EE">
              <w:rPr>
                <w:rFonts w:cs="Times New Roman"/>
                <w:sz w:val="18"/>
                <w:szCs w:val="18"/>
              </w:rPr>
              <w:t>0.04 (0.86)</w:t>
            </w:r>
          </w:p>
        </w:tc>
        <w:tc>
          <w:tcPr>
            <w:tcW w:w="641" w:type="pct"/>
            <w:tcBorders>
              <w:top w:val="single" w:sz="4" w:space="0" w:color="auto"/>
              <w:left w:val="single" w:sz="4" w:space="0" w:color="auto"/>
              <w:bottom w:val="single" w:sz="4" w:space="0" w:color="auto"/>
              <w:right w:val="single" w:sz="4" w:space="0" w:color="auto"/>
            </w:tcBorders>
            <w:hideMark/>
          </w:tcPr>
          <w:p w14:paraId="051FACDF" w14:textId="77777777" w:rsidR="00DC30EE" w:rsidRPr="00DC30EE" w:rsidRDefault="00DC30EE" w:rsidP="00DC30EE">
            <w:pPr>
              <w:spacing w:before="0" w:after="0"/>
              <w:rPr>
                <w:rFonts w:cs="Times New Roman"/>
                <w:sz w:val="18"/>
                <w:szCs w:val="18"/>
              </w:rPr>
            </w:pPr>
            <w:r w:rsidRPr="00DC30EE">
              <w:rPr>
                <w:rFonts w:cs="Times New Roman"/>
                <w:sz w:val="18"/>
                <w:szCs w:val="18"/>
              </w:rPr>
              <w:t>0.08 (1.03)</w:t>
            </w:r>
          </w:p>
        </w:tc>
        <w:tc>
          <w:tcPr>
            <w:tcW w:w="586" w:type="pct"/>
            <w:tcBorders>
              <w:top w:val="single" w:sz="4" w:space="0" w:color="auto"/>
              <w:left w:val="single" w:sz="4" w:space="0" w:color="auto"/>
              <w:bottom w:val="single" w:sz="4" w:space="0" w:color="auto"/>
              <w:right w:val="single" w:sz="4" w:space="0" w:color="auto"/>
            </w:tcBorders>
            <w:hideMark/>
          </w:tcPr>
          <w:p w14:paraId="2B37AAAC" w14:textId="77777777" w:rsidR="00DC30EE" w:rsidRPr="00DC30EE" w:rsidRDefault="00DC30EE" w:rsidP="00DC30EE">
            <w:pPr>
              <w:spacing w:before="0" w:after="0"/>
              <w:rPr>
                <w:rFonts w:cs="Times New Roman"/>
                <w:sz w:val="18"/>
                <w:szCs w:val="18"/>
              </w:rPr>
            </w:pPr>
            <w:r w:rsidRPr="00DC30EE">
              <w:rPr>
                <w:rFonts w:cs="Times New Roman"/>
                <w:sz w:val="18"/>
                <w:szCs w:val="18"/>
              </w:rPr>
              <w:t>0.12 (0.69)</w:t>
            </w:r>
          </w:p>
        </w:tc>
        <w:tc>
          <w:tcPr>
            <w:tcW w:w="580" w:type="pct"/>
            <w:tcBorders>
              <w:top w:val="single" w:sz="4" w:space="0" w:color="auto"/>
              <w:left w:val="single" w:sz="4" w:space="0" w:color="auto"/>
              <w:bottom w:val="single" w:sz="4" w:space="0" w:color="auto"/>
              <w:right w:val="single" w:sz="4" w:space="0" w:color="auto"/>
            </w:tcBorders>
            <w:hideMark/>
          </w:tcPr>
          <w:p w14:paraId="119B6327" w14:textId="77777777" w:rsidR="00DC30EE" w:rsidRPr="00DC30EE" w:rsidRDefault="00DC30EE" w:rsidP="00DC30EE">
            <w:pPr>
              <w:spacing w:before="0" w:after="0"/>
              <w:rPr>
                <w:rFonts w:cs="Times New Roman"/>
                <w:sz w:val="18"/>
                <w:szCs w:val="18"/>
              </w:rPr>
            </w:pPr>
            <w:r w:rsidRPr="00DC30EE">
              <w:rPr>
                <w:rFonts w:cs="Times New Roman"/>
                <w:sz w:val="18"/>
                <w:szCs w:val="18"/>
              </w:rPr>
              <w:t>0.19 (0.85)</w:t>
            </w:r>
          </w:p>
        </w:tc>
        <w:tc>
          <w:tcPr>
            <w:tcW w:w="550" w:type="pct"/>
            <w:tcBorders>
              <w:top w:val="single" w:sz="4" w:space="0" w:color="auto"/>
              <w:left w:val="single" w:sz="4" w:space="0" w:color="auto"/>
              <w:bottom w:val="single" w:sz="4" w:space="0" w:color="auto"/>
              <w:right w:val="single" w:sz="4" w:space="0" w:color="auto"/>
            </w:tcBorders>
            <w:hideMark/>
          </w:tcPr>
          <w:p w14:paraId="11377A68" w14:textId="77777777" w:rsidR="00DC30EE" w:rsidRPr="00DC30EE" w:rsidRDefault="00DC30EE" w:rsidP="00DC30EE">
            <w:pPr>
              <w:spacing w:before="0" w:after="0"/>
              <w:rPr>
                <w:rFonts w:cs="Times New Roman"/>
                <w:sz w:val="18"/>
                <w:szCs w:val="18"/>
              </w:rPr>
            </w:pPr>
            <w:r w:rsidRPr="00DC30EE">
              <w:rPr>
                <w:rFonts w:cs="Times New Roman"/>
                <w:sz w:val="18"/>
                <w:szCs w:val="18"/>
              </w:rPr>
              <w:t>0.00 (0.67)</w:t>
            </w:r>
          </w:p>
        </w:tc>
        <w:tc>
          <w:tcPr>
            <w:tcW w:w="601" w:type="pct"/>
            <w:tcBorders>
              <w:top w:val="single" w:sz="4" w:space="0" w:color="auto"/>
              <w:left w:val="single" w:sz="4" w:space="0" w:color="auto"/>
              <w:bottom w:val="single" w:sz="4" w:space="0" w:color="auto"/>
              <w:right w:val="single" w:sz="4" w:space="0" w:color="auto"/>
            </w:tcBorders>
            <w:hideMark/>
          </w:tcPr>
          <w:p w14:paraId="185F93D8" w14:textId="77777777" w:rsidR="00DC30EE" w:rsidRPr="00DC30EE" w:rsidRDefault="00DC30EE" w:rsidP="00DC30EE">
            <w:pPr>
              <w:spacing w:before="0" w:after="0"/>
              <w:rPr>
                <w:rFonts w:cs="Times New Roman"/>
                <w:sz w:val="18"/>
                <w:szCs w:val="18"/>
              </w:rPr>
            </w:pPr>
            <w:r w:rsidRPr="00DC30EE">
              <w:rPr>
                <w:rFonts w:cs="Times New Roman"/>
                <w:sz w:val="18"/>
                <w:szCs w:val="18"/>
              </w:rPr>
              <w:t>-0.13 (0.83)</w:t>
            </w:r>
          </w:p>
        </w:tc>
      </w:tr>
      <w:tr w:rsidR="00DC30EE" w:rsidRPr="00DC30EE" w14:paraId="26DF149F"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09883A86" w14:textId="77777777" w:rsidR="00DC30EE" w:rsidRPr="00DC30EE" w:rsidRDefault="00DC30EE" w:rsidP="00DC30EE">
            <w:pPr>
              <w:spacing w:before="0" w:after="0"/>
              <w:rPr>
                <w:rFonts w:cs="Times New Roman"/>
                <w:b/>
                <w:sz w:val="18"/>
                <w:szCs w:val="18"/>
              </w:rPr>
            </w:pPr>
            <w:r w:rsidRPr="00DC30EE">
              <w:rPr>
                <w:rFonts w:cs="Times New Roman"/>
                <w:b/>
                <w:sz w:val="18"/>
                <w:szCs w:val="18"/>
              </w:rPr>
              <w:t>Oily fish</w:t>
            </w:r>
          </w:p>
        </w:tc>
        <w:tc>
          <w:tcPr>
            <w:tcW w:w="629" w:type="pct"/>
            <w:tcBorders>
              <w:top w:val="single" w:sz="4" w:space="0" w:color="auto"/>
              <w:left w:val="single" w:sz="4" w:space="0" w:color="auto"/>
              <w:bottom w:val="single" w:sz="4" w:space="0" w:color="auto"/>
              <w:right w:val="single" w:sz="4" w:space="0" w:color="auto"/>
            </w:tcBorders>
            <w:hideMark/>
          </w:tcPr>
          <w:p w14:paraId="4A39CFD1"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641" w:type="pct"/>
            <w:tcBorders>
              <w:top w:val="single" w:sz="4" w:space="0" w:color="auto"/>
              <w:left w:val="single" w:sz="4" w:space="0" w:color="auto"/>
              <w:bottom w:val="single" w:sz="4" w:space="0" w:color="auto"/>
              <w:right w:val="single" w:sz="4" w:space="0" w:color="auto"/>
            </w:tcBorders>
            <w:hideMark/>
          </w:tcPr>
          <w:p w14:paraId="26E6540D"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586" w:type="pct"/>
            <w:tcBorders>
              <w:top w:val="single" w:sz="4" w:space="0" w:color="auto"/>
              <w:left w:val="single" w:sz="4" w:space="0" w:color="auto"/>
              <w:bottom w:val="single" w:sz="4" w:space="0" w:color="auto"/>
              <w:right w:val="single" w:sz="4" w:space="0" w:color="auto"/>
            </w:tcBorders>
            <w:hideMark/>
          </w:tcPr>
          <w:p w14:paraId="6D33495E"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580" w:type="pct"/>
            <w:tcBorders>
              <w:top w:val="single" w:sz="4" w:space="0" w:color="auto"/>
              <w:left w:val="single" w:sz="4" w:space="0" w:color="auto"/>
              <w:bottom w:val="single" w:sz="4" w:space="0" w:color="auto"/>
              <w:right w:val="single" w:sz="4" w:space="0" w:color="auto"/>
            </w:tcBorders>
            <w:hideMark/>
          </w:tcPr>
          <w:p w14:paraId="63928266"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550" w:type="pct"/>
            <w:tcBorders>
              <w:top w:val="single" w:sz="4" w:space="0" w:color="auto"/>
              <w:left w:val="single" w:sz="4" w:space="0" w:color="auto"/>
              <w:bottom w:val="single" w:sz="4" w:space="0" w:color="auto"/>
              <w:right w:val="single" w:sz="4" w:space="0" w:color="auto"/>
            </w:tcBorders>
            <w:hideMark/>
          </w:tcPr>
          <w:p w14:paraId="06A16896"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601" w:type="pct"/>
            <w:tcBorders>
              <w:top w:val="single" w:sz="4" w:space="0" w:color="auto"/>
              <w:left w:val="single" w:sz="4" w:space="0" w:color="auto"/>
              <w:bottom w:val="single" w:sz="4" w:space="0" w:color="auto"/>
              <w:right w:val="single" w:sz="4" w:space="0" w:color="auto"/>
            </w:tcBorders>
            <w:hideMark/>
          </w:tcPr>
          <w:p w14:paraId="7935FAAF"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r>
      <w:tr w:rsidR="00DC30EE" w:rsidRPr="00DC30EE" w14:paraId="4951ADA5"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5726D3C7" w14:textId="77777777" w:rsidR="00DC30EE" w:rsidRPr="00DC30EE" w:rsidRDefault="00DC30EE" w:rsidP="00DC30EE">
            <w:pPr>
              <w:spacing w:before="0" w:after="0"/>
              <w:rPr>
                <w:rFonts w:cs="Times New Roman"/>
                <w:b/>
                <w:sz w:val="18"/>
                <w:szCs w:val="18"/>
              </w:rPr>
            </w:pPr>
            <w:r w:rsidRPr="00DC30EE">
              <w:rPr>
                <w:rFonts w:cs="Times New Roman"/>
                <w:b/>
                <w:sz w:val="18"/>
                <w:szCs w:val="18"/>
              </w:rPr>
              <w:t>Olive oil (one tbsp)</w:t>
            </w:r>
          </w:p>
        </w:tc>
        <w:tc>
          <w:tcPr>
            <w:tcW w:w="629" w:type="pct"/>
            <w:tcBorders>
              <w:top w:val="single" w:sz="4" w:space="0" w:color="auto"/>
              <w:left w:val="single" w:sz="4" w:space="0" w:color="auto"/>
              <w:bottom w:val="single" w:sz="4" w:space="0" w:color="auto"/>
              <w:right w:val="single" w:sz="4" w:space="0" w:color="auto"/>
            </w:tcBorders>
            <w:hideMark/>
          </w:tcPr>
          <w:p w14:paraId="07976618"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641" w:type="pct"/>
            <w:tcBorders>
              <w:top w:val="single" w:sz="4" w:space="0" w:color="auto"/>
              <w:left w:val="single" w:sz="4" w:space="0" w:color="auto"/>
              <w:bottom w:val="single" w:sz="4" w:space="0" w:color="auto"/>
              <w:right w:val="single" w:sz="4" w:space="0" w:color="auto"/>
            </w:tcBorders>
            <w:hideMark/>
          </w:tcPr>
          <w:p w14:paraId="5634504E"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586" w:type="pct"/>
            <w:tcBorders>
              <w:top w:val="single" w:sz="4" w:space="0" w:color="auto"/>
              <w:left w:val="single" w:sz="4" w:space="0" w:color="auto"/>
              <w:bottom w:val="single" w:sz="4" w:space="0" w:color="auto"/>
              <w:right w:val="single" w:sz="4" w:space="0" w:color="auto"/>
            </w:tcBorders>
            <w:hideMark/>
          </w:tcPr>
          <w:p w14:paraId="2FF992E9"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580" w:type="pct"/>
            <w:tcBorders>
              <w:top w:val="single" w:sz="4" w:space="0" w:color="auto"/>
              <w:left w:val="single" w:sz="4" w:space="0" w:color="auto"/>
              <w:bottom w:val="single" w:sz="4" w:space="0" w:color="auto"/>
              <w:right w:val="single" w:sz="4" w:space="0" w:color="auto"/>
            </w:tcBorders>
            <w:hideMark/>
          </w:tcPr>
          <w:p w14:paraId="1485AE91"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550" w:type="pct"/>
            <w:tcBorders>
              <w:top w:val="single" w:sz="4" w:space="0" w:color="auto"/>
              <w:left w:val="single" w:sz="4" w:space="0" w:color="auto"/>
              <w:bottom w:val="single" w:sz="4" w:space="0" w:color="auto"/>
              <w:right w:val="single" w:sz="4" w:space="0" w:color="auto"/>
            </w:tcBorders>
            <w:hideMark/>
          </w:tcPr>
          <w:p w14:paraId="6786B3CF"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601" w:type="pct"/>
            <w:tcBorders>
              <w:top w:val="single" w:sz="4" w:space="0" w:color="auto"/>
              <w:left w:val="single" w:sz="4" w:space="0" w:color="auto"/>
              <w:bottom w:val="single" w:sz="4" w:space="0" w:color="auto"/>
              <w:right w:val="single" w:sz="4" w:space="0" w:color="auto"/>
            </w:tcBorders>
            <w:hideMark/>
          </w:tcPr>
          <w:p w14:paraId="35AD02D0"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r>
      <w:tr w:rsidR="00DC30EE" w:rsidRPr="00DC30EE" w14:paraId="0065055C" w14:textId="77777777" w:rsidTr="003C3FFF">
        <w:tc>
          <w:tcPr>
            <w:tcW w:w="1412" w:type="pct"/>
            <w:tcBorders>
              <w:top w:val="single" w:sz="4" w:space="0" w:color="auto"/>
              <w:left w:val="single" w:sz="4" w:space="0" w:color="auto"/>
              <w:bottom w:val="single" w:sz="4" w:space="0" w:color="auto"/>
              <w:right w:val="single" w:sz="4" w:space="0" w:color="auto"/>
            </w:tcBorders>
            <w:hideMark/>
          </w:tcPr>
          <w:p w14:paraId="5D7F62BD" w14:textId="77777777" w:rsidR="00DC30EE" w:rsidRPr="00DC30EE" w:rsidRDefault="00DC30EE" w:rsidP="00DC30EE">
            <w:pPr>
              <w:spacing w:before="0" w:after="0"/>
              <w:rPr>
                <w:rFonts w:cs="Times New Roman"/>
                <w:b/>
                <w:sz w:val="18"/>
                <w:szCs w:val="18"/>
              </w:rPr>
            </w:pPr>
            <w:r w:rsidRPr="00DC30EE">
              <w:rPr>
                <w:rFonts w:cs="Times New Roman"/>
                <w:b/>
                <w:sz w:val="18"/>
                <w:szCs w:val="18"/>
              </w:rPr>
              <w:t>Almond/hazelnut/walnut</w:t>
            </w:r>
          </w:p>
        </w:tc>
        <w:tc>
          <w:tcPr>
            <w:tcW w:w="629" w:type="pct"/>
            <w:tcBorders>
              <w:top w:val="single" w:sz="4" w:space="0" w:color="auto"/>
              <w:left w:val="single" w:sz="4" w:space="0" w:color="auto"/>
              <w:bottom w:val="single" w:sz="4" w:space="0" w:color="auto"/>
              <w:right w:val="single" w:sz="4" w:space="0" w:color="auto"/>
            </w:tcBorders>
            <w:hideMark/>
          </w:tcPr>
          <w:p w14:paraId="7AFBD7A8"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641" w:type="pct"/>
            <w:tcBorders>
              <w:top w:val="single" w:sz="4" w:space="0" w:color="auto"/>
              <w:left w:val="single" w:sz="4" w:space="0" w:color="auto"/>
              <w:bottom w:val="single" w:sz="4" w:space="0" w:color="auto"/>
              <w:right w:val="single" w:sz="4" w:space="0" w:color="auto"/>
            </w:tcBorders>
            <w:hideMark/>
          </w:tcPr>
          <w:p w14:paraId="2A8D308F"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586" w:type="pct"/>
            <w:tcBorders>
              <w:top w:val="single" w:sz="4" w:space="0" w:color="auto"/>
              <w:left w:val="single" w:sz="4" w:space="0" w:color="auto"/>
              <w:bottom w:val="single" w:sz="4" w:space="0" w:color="auto"/>
              <w:right w:val="single" w:sz="4" w:space="0" w:color="auto"/>
            </w:tcBorders>
            <w:hideMark/>
          </w:tcPr>
          <w:p w14:paraId="058CA06A" w14:textId="77777777" w:rsidR="00DC30EE" w:rsidRPr="00DC30EE" w:rsidRDefault="00DC30EE" w:rsidP="00DC30EE">
            <w:pPr>
              <w:spacing w:before="0" w:after="0"/>
              <w:rPr>
                <w:rFonts w:cs="Times New Roman"/>
                <w:sz w:val="18"/>
                <w:szCs w:val="18"/>
              </w:rPr>
            </w:pPr>
            <w:r w:rsidRPr="00DC30EE">
              <w:rPr>
                <w:rFonts w:cs="Times New Roman"/>
                <w:sz w:val="18"/>
                <w:szCs w:val="18"/>
              </w:rPr>
              <w:t>1</w:t>
            </w:r>
          </w:p>
        </w:tc>
        <w:tc>
          <w:tcPr>
            <w:tcW w:w="580" w:type="pct"/>
            <w:tcBorders>
              <w:top w:val="single" w:sz="4" w:space="0" w:color="auto"/>
              <w:left w:val="single" w:sz="4" w:space="0" w:color="auto"/>
              <w:bottom w:val="single" w:sz="4" w:space="0" w:color="auto"/>
              <w:right w:val="single" w:sz="4" w:space="0" w:color="auto"/>
            </w:tcBorders>
            <w:hideMark/>
          </w:tcPr>
          <w:p w14:paraId="7EF2BA67"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c>
          <w:tcPr>
            <w:tcW w:w="550" w:type="pct"/>
            <w:tcBorders>
              <w:top w:val="single" w:sz="4" w:space="0" w:color="auto"/>
              <w:left w:val="single" w:sz="4" w:space="0" w:color="auto"/>
              <w:bottom w:val="single" w:sz="4" w:space="0" w:color="auto"/>
              <w:right w:val="single" w:sz="4" w:space="0" w:color="auto"/>
            </w:tcBorders>
            <w:hideMark/>
          </w:tcPr>
          <w:p w14:paraId="40E5EE97" w14:textId="77777777" w:rsidR="00DC30EE" w:rsidRPr="00DC30EE" w:rsidRDefault="00DC30EE" w:rsidP="00DC30EE">
            <w:pPr>
              <w:spacing w:before="0" w:after="0"/>
              <w:rPr>
                <w:rFonts w:cs="Times New Roman"/>
                <w:sz w:val="18"/>
                <w:szCs w:val="18"/>
              </w:rPr>
            </w:pPr>
            <w:r w:rsidRPr="00DC30EE">
              <w:rPr>
                <w:rFonts w:cs="Times New Roman"/>
                <w:sz w:val="18"/>
                <w:szCs w:val="18"/>
              </w:rPr>
              <w:t>0.5</w:t>
            </w:r>
          </w:p>
        </w:tc>
        <w:tc>
          <w:tcPr>
            <w:tcW w:w="601" w:type="pct"/>
            <w:tcBorders>
              <w:top w:val="single" w:sz="4" w:space="0" w:color="auto"/>
              <w:left w:val="single" w:sz="4" w:space="0" w:color="auto"/>
              <w:bottom w:val="single" w:sz="4" w:space="0" w:color="auto"/>
              <w:right w:val="single" w:sz="4" w:space="0" w:color="auto"/>
            </w:tcBorders>
            <w:hideMark/>
          </w:tcPr>
          <w:p w14:paraId="4FFEE35B" w14:textId="77777777" w:rsidR="00DC30EE" w:rsidRPr="00DC30EE" w:rsidRDefault="00DC30EE" w:rsidP="00DC30EE">
            <w:pPr>
              <w:spacing w:before="0" w:after="0"/>
              <w:rPr>
                <w:rFonts w:cs="Times New Roman"/>
                <w:sz w:val="18"/>
                <w:szCs w:val="18"/>
              </w:rPr>
            </w:pPr>
            <w:r w:rsidRPr="00DC30EE">
              <w:rPr>
                <w:rFonts w:cs="Times New Roman"/>
                <w:sz w:val="18"/>
                <w:szCs w:val="18"/>
              </w:rPr>
              <w:t>3</w:t>
            </w:r>
          </w:p>
        </w:tc>
      </w:tr>
      <w:tr w:rsidR="00DC30EE" w:rsidRPr="00DC30EE" w14:paraId="2B6AFE81" w14:textId="77777777" w:rsidTr="003C3FFF">
        <w:tc>
          <w:tcPr>
            <w:tcW w:w="1412" w:type="pct"/>
            <w:tcBorders>
              <w:top w:val="single" w:sz="4" w:space="0" w:color="auto"/>
              <w:left w:val="single" w:sz="4" w:space="0" w:color="auto"/>
              <w:bottom w:val="single" w:sz="4" w:space="0" w:color="auto"/>
              <w:right w:val="single" w:sz="4" w:space="0" w:color="auto"/>
            </w:tcBorders>
          </w:tcPr>
          <w:p w14:paraId="3E8B5218" w14:textId="77777777" w:rsidR="00DC30EE" w:rsidRPr="00DC30EE" w:rsidRDefault="00DC30EE" w:rsidP="00DC30EE">
            <w:pPr>
              <w:spacing w:before="0" w:after="0"/>
              <w:rPr>
                <w:rFonts w:cs="Times New Roman"/>
                <w:bCs/>
                <w:sz w:val="18"/>
                <w:szCs w:val="18"/>
              </w:rPr>
            </w:pPr>
            <w:r w:rsidRPr="00DC30EE">
              <w:rPr>
                <w:rFonts w:cs="Times New Roman"/>
                <w:bCs/>
                <w:sz w:val="18"/>
                <w:szCs w:val="18"/>
              </w:rPr>
              <w:t>Missing FFQ score (n, %)</w:t>
            </w:r>
          </w:p>
        </w:tc>
        <w:tc>
          <w:tcPr>
            <w:tcW w:w="629" w:type="pct"/>
            <w:tcBorders>
              <w:top w:val="single" w:sz="4" w:space="0" w:color="auto"/>
              <w:left w:val="single" w:sz="4" w:space="0" w:color="auto"/>
              <w:bottom w:val="single" w:sz="4" w:space="0" w:color="auto"/>
              <w:right w:val="single" w:sz="4" w:space="0" w:color="auto"/>
            </w:tcBorders>
          </w:tcPr>
          <w:p w14:paraId="01D93AFD" w14:textId="77777777" w:rsidR="00DC30EE" w:rsidRPr="00DC30EE" w:rsidRDefault="00DC30EE" w:rsidP="00DC30EE">
            <w:pPr>
              <w:spacing w:before="0" w:after="0"/>
              <w:rPr>
                <w:rFonts w:cs="Times New Roman"/>
                <w:sz w:val="18"/>
                <w:szCs w:val="18"/>
              </w:rPr>
            </w:pPr>
            <w:r w:rsidRPr="00DC30EE">
              <w:rPr>
                <w:rFonts w:cs="Times New Roman"/>
                <w:sz w:val="18"/>
                <w:szCs w:val="18"/>
              </w:rPr>
              <w:t>0 (0.0%)</w:t>
            </w:r>
          </w:p>
        </w:tc>
        <w:tc>
          <w:tcPr>
            <w:tcW w:w="641" w:type="pct"/>
            <w:tcBorders>
              <w:top w:val="single" w:sz="4" w:space="0" w:color="auto"/>
              <w:left w:val="single" w:sz="4" w:space="0" w:color="auto"/>
              <w:bottom w:val="single" w:sz="4" w:space="0" w:color="auto"/>
              <w:right w:val="single" w:sz="4" w:space="0" w:color="auto"/>
            </w:tcBorders>
          </w:tcPr>
          <w:p w14:paraId="05B8BCBA" w14:textId="77777777" w:rsidR="00DC30EE" w:rsidRPr="00DC30EE" w:rsidRDefault="00DC30EE" w:rsidP="00DC30EE">
            <w:pPr>
              <w:spacing w:before="0" w:after="0"/>
              <w:rPr>
                <w:rFonts w:cs="Times New Roman"/>
                <w:sz w:val="18"/>
                <w:szCs w:val="18"/>
              </w:rPr>
            </w:pPr>
            <w:r w:rsidRPr="00DC30EE">
              <w:rPr>
                <w:rFonts w:cs="Times New Roman"/>
                <w:sz w:val="18"/>
                <w:szCs w:val="18"/>
              </w:rPr>
              <w:t>21 (32.3%)</w:t>
            </w:r>
          </w:p>
        </w:tc>
        <w:tc>
          <w:tcPr>
            <w:tcW w:w="586" w:type="pct"/>
            <w:tcBorders>
              <w:top w:val="single" w:sz="4" w:space="0" w:color="auto"/>
              <w:left w:val="single" w:sz="4" w:space="0" w:color="auto"/>
              <w:bottom w:val="single" w:sz="4" w:space="0" w:color="auto"/>
              <w:right w:val="single" w:sz="4" w:space="0" w:color="auto"/>
            </w:tcBorders>
          </w:tcPr>
          <w:p w14:paraId="1B2CE39F" w14:textId="77777777" w:rsidR="00DC30EE" w:rsidRPr="00DC30EE" w:rsidRDefault="00DC30EE" w:rsidP="00DC30EE">
            <w:pPr>
              <w:spacing w:before="0" w:after="0"/>
              <w:rPr>
                <w:rFonts w:cs="Times New Roman"/>
                <w:sz w:val="18"/>
                <w:szCs w:val="18"/>
              </w:rPr>
            </w:pPr>
            <w:r w:rsidRPr="00DC30EE">
              <w:rPr>
                <w:rFonts w:cs="Times New Roman"/>
                <w:sz w:val="18"/>
                <w:szCs w:val="18"/>
              </w:rPr>
              <w:t>1 (1.7%)</w:t>
            </w:r>
          </w:p>
        </w:tc>
        <w:tc>
          <w:tcPr>
            <w:tcW w:w="580" w:type="pct"/>
            <w:tcBorders>
              <w:top w:val="single" w:sz="4" w:space="0" w:color="auto"/>
              <w:left w:val="single" w:sz="4" w:space="0" w:color="auto"/>
              <w:bottom w:val="single" w:sz="4" w:space="0" w:color="auto"/>
              <w:right w:val="single" w:sz="4" w:space="0" w:color="auto"/>
            </w:tcBorders>
          </w:tcPr>
          <w:p w14:paraId="24251023" w14:textId="77777777" w:rsidR="00DC30EE" w:rsidRPr="00DC30EE" w:rsidRDefault="00DC30EE" w:rsidP="00DC30EE">
            <w:pPr>
              <w:spacing w:before="0" w:after="0"/>
              <w:rPr>
                <w:rFonts w:cs="Times New Roman"/>
                <w:sz w:val="18"/>
                <w:szCs w:val="18"/>
              </w:rPr>
            </w:pPr>
            <w:r w:rsidRPr="00DC30EE">
              <w:rPr>
                <w:rFonts w:cs="Times New Roman"/>
                <w:sz w:val="18"/>
                <w:szCs w:val="18"/>
              </w:rPr>
              <w:t>16 (26.7%)</w:t>
            </w:r>
          </w:p>
        </w:tc>
        <w:tc>
          <w:tcPr>
            <w:tcW w:w="550" w:type="pct"/>
            <w:tcBorders>
              <w:top w:val="single" w:sz="4" w:space="0" w:color="auto"/>
              <w:left w:val="single" w:sz="4" w:space="0" w:color="auto"/>
              <w:bottom w:val="single" w:sz="4" w:space="0" w:color="auto"/>
              <w:right w:val="single" w:sz="4" w:space="0" w:color="auto"/>
            </w:tcBorders>
          </w:tcPr>
          <w:p w14:paraId="3CE8E0F3" w14:textId="77777777" w:rsidR="00DC30EE" w:rsidRPr="00DC30EE" w:rsidRDefault="00DC30EE" w:rsidP="00DC30EE">
            <w:pPr>
              <w:spacing w:before="0" w:after="0"/>
              <w:rPr>
                <w:rFonts w:cs="Times New Roman"/>
                <w:sz w:val="18"/>
                <w:szCs w:val="18"/>
              </w:rPr>
            </w:pPr>
            <w:r w:rsidRPr="00DC30EE">
              <w:rPr>
                <w:rFonts w:cs="Times New Roman"/>
                <w:sz w:val="18"/>
                <w:szCs w:val="18"/>
              </w:rPr>
              <w:t>0 (0.0%)</w:t>
            </w:r>
          </w:p>
        </w:tc>
        <w:tc>
          <w:tcPr>
            <w:tcW w:w="601" w:type="pct"/>
            <w:tcBorders>
              <w:top w:val="single" w:sz="4" w:space="0" w:color="auto"/>
              <w:left w:val="single" w:sz="4" w:space="0" w:color="auto"/>
              <w:bottom w:val="single" w:sz="4" w:space="0" w:color="auto"/>
              <w:right w:val="single" w:sz="4" w:space="0" w:color="auto"/>
            </w:tcBorders>
          </w:tcPr>
          <w:p w14:paraId="4D0A9E62" w14:textId="77777777" w:rsidR="00DC30EE" w:rsidRPr="00DC30EE" w:rsidRDefault="00DC30EE" w:rsidP="00DC30EE">
            <w:pPr>
              <w:spacing w:before="0" w:after="0"/>
              <w:rPr>
                <w:rFonts w:cs="Times New Roman"/>
                <w:sz w:val="18"/>
                <w:szCs w:val="18"/>
              </w:rPr>
            </w:pPr>
            <w:r w:rsidRPr="00DC30EE">
              <w:rPr>
                <w:rFonts w:cs="Times New Roman"/>
                <w:sz w:val="18"/>
                <w:szCs w:val="18"/>
              </w:rPr>
              <w:t>7 (12.7%)</w:t>
            </w:r>
          </w:p>
        </w:tc>
      </w:tr>
    </w:tbl>
    <w:p w14:paraId="42B259BA" w14:textId="77777777" w:rsidR="00DC30EE" w:rsidRPr="00DC30EE" w:rsidRDefault="00DC30EE" w:rsidP="00DC30EE">
      <w:pPr>
        <w:spacing w:before="0" w:after="160" w:line="259" w:lineRule="auto"/>
        <w:rPr>
          <w:rFonts w:eastAsia="Calibri" w:cs="Times New Roman"/>
          <w:sz w:val="22"/>
          <w:lang w:val="en-GB"/>
        </w:rPr>
      </w:pPr>
    </w:p>
    <w:p w14:paraId="4F291D9F" w14:textId="77777777" w:rsidR="00DC30EE" w:rsidRPr="00DC30EE" w:rsidRDefault="00DC30EE" w:rsidP="00DC30EE">
      <w:pPr>
        <w:spacing w:before="0" w:after="160" w:line="259" w:lineRule="auto"/>
        <w:rPr>
          <w:rFonts w:eastAsia="Calibri" w:cs="Times New Roman"/>
          <w:sz w:val="22"/>
          <w:lang w:val="en-GB"/>
        </w:rPr>
      </w:pPr>
      <w:r w:rsidRPr="00DC30EE">
        <w:rPr>
          <w:rFonts w:eastAsia="Calibri" w:cs="Times New Roman"/>
          <w:sz w:val="22"/>
          <w:lang w:val="en-GB"/>
        </w:rPr>
        <w:t>The FFQ prudent pattern score indicates how close to a ‘healthy diet’ (</w:t>
      </w:r>
      <w:proofErr w:type="gramStart"/>
      <w:r w:rsidRPr="00DC30EE">
        <w:rPr>
          <w:rFonts w:eastAsia="Calibri" w:cs="Times New Roman"/>
          <w:sz w:val="22"/>
          <w:lang w:val="en-GB"/>
        </w:rPr>
        <w:t>i.e.</w:t>
      </w:r>
      <w:proofErr w:type="gramEnd"/>
      <w:r w:rsidRPr="00DC30EE">
        <w:rPr>
          <w:rFonts w:eastAsia="Calibri" w:cs="Times New Roman"/>
          <w:sz w:val="22"/>
          <w:lang w:val="en-GB"/>
        </w:rPr>
        <w:t xml:space="preserve"> one conforming to healthy eating recommendations) an individuals’ food consumption is, with higher scores indicating healthier eating. We also used the FFQ to measure portions per week of specific foods recommended by the intervention as protective of cognitive health.</w:t>
      </w:r>
    </w:p>
    <w:p w14:paraId="7762298F" w14:textId="77777777" w:rsidR="00DC30EE" w:rsidRPr="00DC30EE" w:rsidRDefault="00DC30EE" w:rsidP="00DC30EE">
      <w:pPr>
        <w:spacing w:before="0" w:after="160" w:line="259" w:lineRule="auto"/>
        <w:rPr>
          <w:rFonts w:eastAsia="Calibri" w:cs="Times New Roman"/>
          <w:sz w:val="22"/>
          <w:lang w:val="en-GB"/>
        </w:rPr>
      </w:pPr>
      <w:r w:rsidRPr="00DC30EE">
        <w:rPr>
          <w:rFonts w:eastAsia="Calibri" w:cs="Times New Roman"/>
          <w:sz w:val="22"/>
          <w:lang w:val="en-GB"/>
        </w:rPr>
        <w:t xml:space="preserve">There was little indication of change in eating behaviours between baseline and follow-up in either trial. However, there appeared to be slight improvement in prudent pattern score (indicating how closely an individual’s food consumption conforms to healthy eating recommendations) in the Active Brains group in the ‘cognitively impaired’ trial. </w:t>
      </w:r>
    </w:p>
    <w:p w14:paraId="119CDFF8" w14:textId="526A5796" w:rsidR="0027153E" w:rsidRDefault="0027153E" w:rsidP="002A6F80">
      <w:pPr>
        <w:rPr>
          <w:lang w:val="en-GB"/>
        </w:rPr>
      </w:pPr>
    </w:p>
    <w:p w14:paraId="54AF079B" w14:textId="59C3B7A6" w:rsidR="002A6F80" w:rsidRDefault="002A6F80" w:rsidP="002A6F80">
      <w:pPr>
        <w:rPr>
          <w:lang w:val="en-GB"/>
        </w:rPr>
      </w:pPr>
    </w:p>
    <w:p w14:paraId="44693C30" w14:textId="1436D1F6" w:rsidR="002A6F80" w:rsidRDefault="002A6F80" w:rsidP="002A6F80">
      <w:pPr>
        <w:rPr>
          <w:lang w:val="en-GB"/>
        </w:rPr>
      </w:pPr>
    </w:p>
    <w:p w14:paraId="162179A6" w14:textId="1D44A063" w:rsidR="002A6F80" w:rsidRDefault="002A6F80" w:rsidP="002A6F80">
      <w:pPr>
        <w:rPr>
          <w:lang w:val="en-GB"/>
        </w:rPr>
      </w:pPr>
    </w:p>
    <w:p w14:paraId="6CC9A997" w14:textId="0F7BE578" w:rsidR="002A6F80" w:rsidRDefault="002A6F80" w:rsidP="002A6F80">
      <w:pPr>
        <w:rPr>
          <w:lang w:val="en-GB"/>
        </w:rPr>
      </w:pPr>
    </w:p>
    <w:p w14:paraId="1F1ED761" w14:textId="77777777" w:rsidR="002A6F80" w:rsidRPr="002A6F80" w:rsidRDefault="002A6F80" w:rsidP="0027153E">
      <w:pPr>
        <w:keepNext/>
        <w:keepLines/>
        <w:spacing w:before="40" w:after="0" w:line="259" w:lineRule="auto"/>
        <w:outlineLvl w:val="2"/>
        <w:rPr>
          <w:rFonts w:eastAsia="Calibri" w:cs="Times New Roman"/>
          <w:sz w:val="22"/>
          <w:lang w:val="en-GB"/>
        </w:rPr>
      </w:pPr>
    </w:p>
    <w:p w14:paraId="5F4B24D0" w14:textId="4178279F" w:rsidR="00DC30EE" w:rsidRPr="002A6F80" w:rsidRDefault="00DC30EE" w:rsidP="0027153E">
      <w:pPr>
        <w:pStyle w:val="Heading1"/>
        <w:numPr>
          <w:ilvl w:val="0"/>
          <w:numId w:val="0"/>
        </w:numPr>
        <w:ind w:left="567" w:hanging="567"/>
        <w:rPr>
          <w:lang w:val="en-GB"/>
        </w:rPr>
      </w:pPr>
      <w:r w:rsidRPr="002A6F80">
        <w:rPr>
          <w:lang w:val="en-GB"/>
        </w:rPr>
        <w:t xml:space="preserve">Supplementary </w:t>
      </w:r>
      <w:r w:rsidR="002A6F80" w:rsidRPr="002A6F80">
        <w:rPr>
          <w:lang w:val="en-GB"/>
        </w:rPr>
        <w:t>table</w:t>
      </w:r>
      <w:r w:rsidRPr="002A6F80">
        <w:rPr>
          <w:lang w:val="en-GB"/>
        </w:rPr>
        <w:t xml:space="preserve"> 4 - completion of primary outcome broken down by trial and</w:t>
      </w:r>
      <w:r w:rsidR="0027153E" w:rsidRPr="002A6F80">
        <w:rPr>
          <w:lang w:val="en-GB"/>
        </w:rPr>
        <w:t xml:space="preserve"> </w:t>
      </w:r>
      <w:r w:rsidRPr="002A6F80">
        <w:rPr>
          <w:lang w:val="en-GB"/>
        </w:rPr>
        <w:t>intervention group</w:t>
      </w:r>
    </w:p>
    <w:tbl>
      <w:tblPr>
        <w:tblW w:w="5000" w:type="pct"/>
        <w:tblLook w:val="04A0" w:firstRow="1" w:lastRow="0" w:firstColumn="1" w:lastColumn="0" w:noHBand="0" w:noVBand="1"/>
      </w:tblPr>
      <w:tblGrid>
        <w:gridCol w:w="4659"/>
        <w:gridCol w:w="1159"/>
        <w:gridCol w:w="2319"/>
        <w:gridCol w:w="1615"/>
      </w:tblGrid>
      <w:tr w:rsidR="00DC30EE" w:rsidRPr="00DC30EE" w14:paraId="7346DA73" w14:textId="77777777" w:rsidTr="003C3FFF">
        <w:trPr>
          <w:trHeight w:val="686"/>
        </w:trPr>
        <w:tc>
          <w:tcPr>
            <w:tcW w:w="2389" w:type="pct"/>
            <w:tcBorders>
              <w:top w:val="single" w:sz="8" w:space="0" w:color="auto"/>
              <w:left w:val="single" w:sz="8" w:space="0" w:color="auto"/>
              <w:bottom w:val="single" w:sz="4" w:space="0" w:color="auto"/>
              <w:right w:val="nil"/>
            </w:tcBorders>
            <w:vAlign w:val="bottom"/>
            <w:hideMark/>
          </w:tcPr>
          <w:p w14:paraId="60D01953" w14:textId="77777777" w:rsidR="00DC30EE" w:rsidRPr="00DC30EE" w:rsidRDefault="00DC30EE" w:rsidP="00DC30EE">
            <w:pPr>
              <w:spacing w:before="0" w:after="0"/>
              <w:rPr>
                <w:rFonts w:eastAsia="Times New Roman" w:cs="Times New Roman"/>
                <w:sz w:val="18"/>
                <w:szCs w:val="18"/>
                <w:lang w:val="en-GB" w:eastAsia="en-GB"/>
              </w:rPr>
            </w:pPr>
            <w:r w:rsidRPr="00DC30EE">
              <w:rPr>
                <w:rFonts w:eastAsia="Times New Roman" w:cs="Times New Roman"/>
                <w:sz w:val="18"/>
                <w:szCs w:val="18"/>
                <w:lang w:val="en-GB" w:eastAsia="en-GB"/>
              </w:rPr>
              <w:t> </w:t>
            </w:r>
          </w:p>
        </w:tc>
        <w:tc>
          <w:tcPr>
            <w:tcW w:w="594" w:type="pct"/>
            <w:tcBorders>
              <w:top w:val="single" w:sz="8" w:space="0" w:color="auto"/>
              <w:left w:val="single" w:sz="4" w:space="0" w:color="auto"/>
              <w:bottom w:val="single" w:sz="4" w:space="0" w:color="auto"/>
              <w:right w:val="single" w:sz="4" w:space="0" w:color="auto"/>
            </w:tcBorders>
            <w:vAlign w:val="bottom"/>
            <w:hideMark/>
          </w:tcPr>
          <w:p w14:paraId="2A687639" w14:textId="77777777" w:rsidR="00DC30EE" w:rsidRPr="00DC30EE" w:rsidRDefault="00DC30EE" w:rsidP="00DC30EE">
            <w:pPr>
              <w:spacing w:before="0" w:after="0"/>
              <w:jc w:val="center"/>
              <w:rPr>
                <w:rFonts w:eastAsia="Times New Roman" w:cs="Times New Roman"/>
                <w:b/>
                <w:bCs/>
                <w:sz w:val="18"/>
                <w:szCs w:val="18"/>
                <w:lang w:val="en-GB" w:eastAsia="en-GB"/>
              </w:rPr>
            </w:pPr>
            <w:r w:rsidRPr="00DC30EE">
              <w:rPr>
                <w:rFonts w:eastAsia="Times New Roman" w:cs="Times New Roman"/>
                <w:b/>
                <w:bCs/>
                <w:sz w:val="18"/>
                <w:szCs w:val="18"/>
                <w:lang w:val="en-GB" w:eastAsia="en-GB"/>
              </w:rPr>
              <w:t xml:space="preserve">Total </w:t>
            </w:r>
          </w:p>
          <w:p w14:paraId="048C1FDC" w14:textId="77777777" w:rsidR="00DC30EE" w:rsidRPr="00DC30EE" w:rsidRDefault="00DC30EE" w:rsidP="00DC30EE">
            <w:pPr>
              <w:spacing w:before="0" w:after="0"/>
              <w:jc w:val="center"/>
              <w:rPr>
                <w:rFonts w:eastAsia="Times New Roman" w:cs="Times New Roman"/>
                <w:b/>
                <w:bCs/>
                <w:sz w:val="18"/>
                <w:szCs w:val="18"/>
                <w:lang w:val="en-GB" w:eastAsia="en-GB"/>
              </w:rPr>
            </w:pPr>
            <w:r w:rsidRPr="00DC30EE">
              <w:rPr>
                <w:rFonts w:eastAsia="Times New Roman" w:cs="Times New Roman"/>
                <w:b/>
                <w:bCs/>
                <w:sz w:val="18"/>
                <w:szCs w:val="18"/>
                <w:lang w:val="en-GB" w:eastAsia="en-GB"/>
              </w:rPr>
              <w:t>n</w:t>
            </w:r>
          </w:p>
        </w:tc>
        <w:tc>
          <w:tcPr>
            <w:tcW w:w="1189" w:type="pct"/>
            <w:tcBorders>
              <w:top w:val="single" w:sz="8" w:space="0" w:color="auto"/>
              <w:left w:val="nil"/>
              <w:bottom w:val="single" w:sz="4" w:space="0" w:color="auto"/>
              <w:right w:val="nil"/>
            </w:tcBorders>
            <w:vAlign w:val="bottom"/>
            <w:hideMark/>
          </w:tcPr>
          <w:p w14:paraId="0EAEE26A" w14:textId="77777777" w:rsidR="00DC30EE" w:rsidRPr="00DC30EE" w:rsidRDefault="00DC30EE" w:rsidP="00DC30EE">
            <w:pPr>
              <w:spacing w:before="0" w:after="0"/>
              <w:jc w:val="center"/>
              <w:rPr>
                <w:rFonts w:eastAsia="Times New Roman" w:cs="Times New Roman"/>
                <w:b/>
                <w:bCs/>
                <w:sz w:val="18"/>
                <w:szCs w:val="18"/>
                <w:lang w:val="en-GB" w:eastAsia="en-GB"/>
              </w:rPr>
            </w:pPr>
            <w:r w:rsidRPr="00DC30EE">
              <w:rPr>
                <w:rFonts w:eastAsia="Times New Roman" w:cs="Times New Roman"/>
                <w:b/>
                <w:bCs/>
                <w:sz w:val="18"/>
                <w:szCs w:val="18"/>
                <w:lang w:val="en-GB" w:eastAsia="en-GB"/>
              </w:rPr>
              <w:t>Completed Primary Outcome Measure</w:t>
            </w:r>
          </w:p>
        </w:tc>
        <w:tc>
          <w:tcPr>
            <w:tcW w:w="828" w:type="pct"/>
            <w:tcBorders>
              <w:top w:val="single" w:sz="8" w:space="0" w:color="auto"/>
              <w:left w:val="nil"/>
              <w:bottom w:val="single" w:sz="4" w:space="0" w:color="auto"/>
              <w:right w:val="single" w:sz="12" w:space="0" w:color="auto"/>
            </w:tcBorders>
            <w:vAlign w:val="bottom"/>
            <w:hideMark/>
          </w:tcPr>
          <w:p w14:paraId="6630A56B" w14:textId="77777777" w:rsidR="00DC30EE" w:rsidRPr="00DC30EE" w:rsidRDefault="00DC30EE" w:rsidP="00DC30EE">
            <w:pPr>
              <w:spacing w:before="0" w:after="0"/>
              <w:jc w:val="center"/>
              <w:rPr>
                <w:rFonts w:eastAsia="Times New Roman" w:cs="Times New Roman"/>
                <w:b/>
                <w:bCs/>
                <w:i/>
                <w:iCs/>
                <w:sz w:val="18"/>
                <w:szCs w:val="18"/>
                <w:lang w:val="en-GB" w:eastAsia="en-GB"/>
              </w:rPr>
            </w:pPr>
            <w:r w:rsidRPr="00DC30EE">
              <w:rPr>
                <w:rFonts w:eastAsia="Times New Roman" w:cs="Times New Roman"/>
                <w:b/>
                <w:bCs/>
                <w:i/>
                <w:iCs/>
                <w:sz w:val="18"/>
                <w:szCs w:val="18"/>
                <w:lang w:val="en-GB" w:eastAsia="en-GB"/>
              </w:rPr>
              <w:t>%</w:t>
            </w:r>
          </w:p>
        </w:tc>
      </w:tr>
      <w:tr w:rsidR="00DC30EE" w:rsidRPr="00DC30EE" w14:paraId="6A495EEE" w14:textId="77777777" w:rsidTr="00DC30EE">
        <w:trPr>
          <w:trHeight w:val="302"/>
        </w:trPr>
        <w:tc>
          <w:tcPr>
            <w:tcW w:w="5000" w:type="pct"/>
            <w:gridSpan w:val="4"/>
            <w:tcBorders>
              <w:top w:val="single" w:sz="4" w:space="0" w:color="auto"/>
              <w:left w:val="single" w:sz="8" w:space="0" w:color="auto"/>
              <w:bottom w:val="single" w:sz="4" w:space="0" w:color="auto"/>
              <w:right w:val="single" w:sz="12" w:space="0" w:color="auto"/>
            </w:tcBorders>
            <w:shd w:val="clear" w:color="auto" w:fill="A5A5A5"/>
            <w:noWrap/>
            <w:vAlign w:val="bottom"/>
          </w:tcPr>
          <w:p w14:paraId="00377327" w14:textId="77777777" w:rsidR="00DC30EE" w:rsidRPr="00DC30EE" w:rsidRDefault="00DC30EE" w:rsidP="00DC30EE">
            <w:pPr>
              <w:spacing w:before="0" w:after="0"/>
              <w:rPr>
                <w:rFonts w:eastAsia="Times New Roman" w:cs="Times New Roman"/>
                <w:b/>
                <w:bCs/>
                <w:sz w:val="18"/>
                <w:szCs w:val="18"/>
                <w:lang w:val="en-GB" w:eastAsia="en-GB"/>
              </w:rPr>
            </w:pPr>
            <w:r w:rsidRPr="00DC30EE">
              <w:rPr>
                <w:rFonts w:eastAsia="Times New Roman" w:cs="Times New Roman"/>
                <w:b/>
                <w:bCs/>
                <w:sz w:val="18"/>
                <w:szCs w:val="18"/>
                <w:lang w:val="en-GB" w:eastAsia="en-GB"/>
              </w:rPr>
              <w:t>Trial:</w:t>
            </w:r>
            <w:r w:rsidRPr="00DC30EE">
              <w:rPr>
                <w:rFonts w:eastAsia="Times New Roman" w:cs="Times New Roman"/>
                <w:sz w:val="18"/>
                <w:szCs w:val="18"/>
                <w:lang w:val="en-GB" w:eastAsia="en-GB"/>
              </w:rPr>
              <w:t> </w:t>
            </w:r>
          </w:p>
        </w:tc>
      </w:tr>
      <w:tr w:rsidR="00DC30EE" w:rsidRPr="00DC30EE" w14:paraId="07D3A75A" w14:textId="77777777" w:rsidTr="003C3FFF">
        <w:trPr>
          <w:trHeight w:val="298"/>
        </w:trPr>
        <w:tc>
          <w:tcPr>
            <w:tcW w:w="2389" w:type="pct"/>
            <w:tcBorders>
              <w:top w:val="single" w:sz="4" w:space="0" w:color="auto"/>
              <w:left w:val="single" w:sz="8" w:space="0" w:color="auto"/>
              <w:bottom w:val="single" w:sz="4" w:space="0" w:color="auto"/>
              <w:right w:val="nil"/>
            </w:tcBorders>
            <w:noWrap/>
            <w:vAlign w:val="bottom"/>
          </w:tcPr>
          <w:p w14:paraId="1BCBC068" w14:textId="77777777" w:rsidR="00DC30EE" w:rsidRPr="00DC30EE" w:rsidRDefault="00DC30EE" w:rsidP="00DC30EE">
            <w:pPr>
              <w:spacing w:before="0" w:after="0"/>
              <w:rPr>
                <w:rFonts w:eastAsia="Times New Roman" w:cs="Times New Roman"/>
                <w:b/>
                <w:bCs/>
                <w:sz w:val="18"/>
                <w:szCs w:val="18"/>
                <w:lang w:val="en-GB" w:eastAsia="en-GB"/>
              </w:rPr>
            </w:pPr>
            <w:r w:rsidRPr="00DC30EE">
              <w:rPr>
                <w:rFonts w:eastAsia="Calibri" w:cs="Times New Roman"/>
                <w:b/>
                <w:bCs/>
                <w:sz w:val="18"/>
                <w:szCs w:val="18"/>
                <w:lang w:val="en-GB"/>
              </w:rPr>
              <w:t>Lower cognitive score Trial</w:t>
            </w:r>
          </w:p>
        </w:tc>
        <w:tc>
          <w:tcPr>
            <w:tcW w:w="594" w:type="pct"/>
            <w:tcBorders>
              <w:top w:val="single" w:sz="4" w:space="0" w:color="auto"/>
              <w:left w:val="single" w:sz="4" w:space="0" w:color="auto"/>
              <w:bottom w:val="single" w:sz="4" w:space="0" w:color="auto"/>
              <w:right w:val="single" w:sz="4" w:space="0" w:color="auto"/>
            </w:tcBorders>
            <w:noWrap/>
            <w:vAlign w:val="bottom"/>
          </w:tcPr>
          <w:p w14:paraId="72A125E0"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180</w:t>
            </w:r>
          </w:p>
        </w:tc>
        <w:tc>
          <w:tcPr>
            <w:tcW w:w="1189" w:type="pct"/>
            <w:tcBorders>
              <w:top w:val="single" w:sz="4" w:space="0" w:color="auto"/>
              <w:left w:val="nil"/>
              <w:bottom w:val="single" w:sz="4" w:space="0" w:color="auto"/>
              <w:right w:val="nil"/>
            </w:tcBorders>
            <w:noWrap/>
            <w:vAlign w:val="bottom"/>
          </w:tcPr>
          <w:p w14:paraId="2B37093F"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121</w:t>
            </w:r>
          </w:p>
        </w:tc>
        <w:tc>
          <w:tcPr>
            <w:tcW w:w="828" w:type="pct"/>
            <w:tcBorders>
              <w:top w:val="single" w:sz="4" w:space="0" w:color="auto"/>
              <w:left w:val="nil"/>
              <w:bottom w:val="single" w:sz="4" w:space="0" w:color="auto"/>
              <w:right w:val="single" w:sz="12" w:space="0" w:color="auto"/>
            </w:tcBorders>
            <w:noWrap/>
            <w:vAlign w:val="bottom"/>
          </w:tcPr>
          <w:p w14:paraId="796A8DED" w14:textId="77777777" w:rsidR="00DC30EE" w:rsidRPr="00DC30EE" w:rsidRDefault="00DC30EE" w:rsidP="00DC30EE">
            <w:pPr>
              <w:spacing w:before="0" w:after="0"/>
              <w:jc w:val="center"/>
              <w:rPr>
                <w:rFonts w:eastAsia="Times New Roman" w:cs="Times New Roman"/>
                <w:i/>
                <w:iCs/>
                <w:sz w:val="18"/>
                <w:szCs w:val="18"/>
                <w:lang w:val="en-GB" w:eastAsia="en-GB"/>
              </w:rPr>
            </w:pPr>
            <w:r w:rsidRPr="00DC30EE">
              <w:rPr>
                <w:rFonts w:eastAsia="Times New Roman" w:cs="Times New Roman"/>
                <w:i/>
                <w:iCs/>
                <w:sz w:val="18"/>
                <w:szCs w:val="18"/>
                <w:lang w:val="en-GB" w:eastAsia="en-GB"/>
              </w:rPr>
              <w:t>67.2%</w:t>
            </w:r>
          </w:p>
        </w:tc>
      </w:tr>
      <w:tr w:rsidR="00DC30EE" w:rsidRPr="00DC30EE" w14:paraId="02F3DC72" w14:textId="77777777" w:rsidTr="003C3FFF">
        <w:trPr>
          <w:trHeight w:val="298"/>
        </w:trPr>
        <w:tc>
          <w:tcPr>
            <w:tcW w:w="2389" w:type="pct"/>
            <w:tcBorders>
              <w:top w:val="single" w:sz="4" w:space="0" w:color="auto"/>
              <w:left w:val="single" w:sz="8" w:space="0" w:color="auto"/>
              <w:bottom w:val="single" w:sz="4" w:space="0" w:color="auto"/>
              <w:right w:val="nil"/>
            </w:tcBorders>
            <w:noWrap/>
            <w:vAlign w:val="bottom"/>
          </w:tcPr>
          <w:p w14:paraId="5DC7CAAF" w14:textId="77777777" w:rsidR="00DC30EE" w:rsidRPr="00DC30EE" w:rsidRDefault="00DC30EE" w:rsidP="00DC30EE">
            <w:pPr>
              <w:spacing w:before="0" w:after="0"/>
              <w:rPr>
                <w:rFonts w:eastAsia="Times New Roman" w:cs="Times New Roman"/>
                <w:b/>
                <w:bCs/>
                <w:sz w:val="18"/>
                <w:szCs w:val="18"/>
                <w:lang w:val="en-GB" w:eastAsia="en-GB"/>
              </w:rPr>
            </w:pPr>
            <w:r w:rsidRPr="00DC30EE">
              <w:rPr>
                <w:rFonts w:eastAsia="Calibri" w:cs="Times New Roman"/>
                <w:b/>
                <w:bCs/>
                <w:sz w:val="18"/>
                <w:szCs w:val="18"/>
                <w:lang w:val="en-GB"/>
              </w:rPr>
              <w:t>Higher cognitive score Trial</w:t>
            </w:r>
          </w:p>
        </w:tc>
        <w:tc>
          <w:tcPr>
            <w:tcW w:w="594" w:type="pct"/>
            <w:tcBorders>
              <w:top w:val="single" w:sz="4" w:space="0" w:color="auto"/>
              <w:left w:val="single" w:sz="4" w:space="0" w:color="auto"/>
              <w:bottom w:val="single" w:sz="4" w:space="0" w:color="auto"/>
              <w:right w:val="single" w:sz="4" w:space="0" w:color="auto"/>
            </w:tcBorders>
            <w:noWrap/>
            <w:vAlign w:val="bottom"/>
          </w:tcPr>
          <w:p w14:paraId="54B7951B"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180</w:t>
            </w:r>
          </w:p>
        </w:tc>
        <w:tc>
          <w:tcPr>
            <w:tcW w:w="1189" w:type="pct"/>
            <w:tcBorders>
              <w:top w:val="single" w:sz="4" w:space="0" w:color="auto"/>
              <w:left w:val="nil"/>
              <w:bottom w:val="single" w:sz="4" w:space="0" w:color="auto"/>
              <w:right w:val="nil"/>
            </w:tcBorders>
            <w:noWrap/>
            <w:vAlign w:val="bottom"/>
          </w:tcPr>
          <w:p w14:paraId="21E01E7A"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137</w:t>
            </w:r>
          </w:p>
        </w:tc>
        <w:tc>
          <w:tcPr>
            <w:tcW w:w="828" w:type="pct"/>
            <w:tcBorders>
              <w:top w:val="single" w:sz="4" w:space="0" w:color="auto"/>
              <w:left w:val="nil"/>
              <w:bottom w:val="single" w:sz="4" w:space="0" w:color="auto"/>
              <w:right w:val="single" w:sz="12" w:space="0" w:color="auto"/>
            </w:tcBorders>
            <w:noWrap/>
            <w:vAlign w:val="bottom"/>
          </w:tcPr>
          <w:p w14:paraId="2DFDF6DA" w14:textId="77777777" w:rsidR="00DC30EE" w:rsidRPr="00DC30EE" w:rsidRDefault="00DC30EE" w:rsidP="00DC30EE">
            <w:pPr>
              <w:spacing w:before="0" w:after="0"/>
              <w:jc w:val="center"/>
              <w:rPr>
                <w:rFonts w:eastAsia="Times New Roman" w:cs="Times New Roman"/>
                <w:i/>
                <w:iCs/>
                <w:sz w:val="18"/>
                <w:szCs w:val="18"/>
                <w:lang w:val="en-GB" w:eastAsia="en-GB"/>
              </w:rPr>
            </w:pPr>
            <w:r w:rsidRPr="00DC30EE">
              <w:rPr>
                <w:rFonts w:eastAsia="Times New Roman" w:cs="Times New Roman"/>
                <w:i/>
                <w:iCs/>
                <w:sz w:val="18"/>
                <w:szCs w:val="18"/>
                <w:lang w:val="en-GB" w:eastAsia="en-GB"/>
              </w:rPr>
              <w:t>76.1%</w:t>
            </w:r>
          </w:p>
        </w:tc>
      </w:tr>
      <w:tr w:rsidR="00DC30EE" w:rsidRPr="00DC30EE" w14:paraId="5E720D90" w14:textId="77777777" w:rsidTr="00DC30EE">
        <w:trPr>
          <w:trHeight w:val="298"/>
        </w:trPr>
        <w:tc>
          <w:tcPr>
            <w:tcW w:w="5000" w:type="pct"/>
            <w:gridSpan w:val="4"/>
            <w:tcBorders>
              <w:top w:val="single" w:sz="4" w:space="0" w:color="auto"/>
              <w:left w:val="single" w:sz="8" w:space="0" w:color="auto"/>
              <w:bottom w:val="single" w:sz="4" w:space="0" w:color="auto"/>
              <w:right w:val="single" w:sz="12" w:space="0" w:color="auto"/>
            </w:tcBorders>
            <w:shd w:val="clear" w:color="auto" w:fill="A5A5A5"/>
            <w:noWrap/>
            <w:vAlign w:val="bottom"/>
          </w:tcPr>
          <w:p w14:paraId="605CAD52" w14:textId="77777777" w:rsidR="00DC30EE" w:rsidRPr="00DC30EE" w:rsidRDefault="00DC30EE" w:rsidP="00DC30EE">
            <w:pPr>
              <w:spacing w:before="0" w:after="0"/>
              <w:rPr>
                <w:rFonts w:eastAsia="Times New Roman" w:cs="Times New Roman"/>
                <w:sz w:val="18"/>
                <w:szCs w:val="18"/>
                <w:lang w:val="en-GB" w:eastAsia="en-GB"/>
              </w:rPr>
            </w:pPr>
            <w:r w:rsidRPr="00DC30EE">
              <w:rPr>
                <w:rFonts w:eastAsia="Times New Roman" w:cs="Times New Roman"/>
                <w:b/>
                <w:bCs/>
                <w:sz w:val="18"/>
                <w:szCs w:val="18"/>
                <w:lang w:val="en-GB" w:eastAsia="en-GB"/>
              </w:rPr>
              <w:t>Intervention group (across both trials):</w:t>
            </w:r>
            <w:r w:rsidRPr="00DC30EE">
              <w:rPr>
                <w:rFonts w:eastAsia="Times New Roman" w:cs="Times New Roman"/>
                <w:sz w:val="18"/>
                <w:szCs w:val="18"/>
                <w:lang w:val="en-GB" w:eastAsia="en-GB"/>
              </w:rPr>
              <w:t> </w:t>
            </w:r>
          </w:p>
        </w:tc>
      </w:tr>
      <w:tr w:rsidR="00DC30EE" w:rsidRPr="00DC30EE" w14:paraId="76006931" w14:textId="77777777" w:rsidTr="003C3FFF">
        <w:trPr>
          <w:trHeight w:val="298"/>
        </w:trPr>
        <w:tc>
          <w:tcPr>
            <w:tcW w:w="2389" w:type="pct"/>
            <w:tcBorders>
              <w:top w:val="single" w:sz="4" w:space="0" w:color="auto"/>
              <w:left w:val="single" w:sz="8" w:space="0" w:color="auto"/>
              <w:bottom w:val="single" w:sz="4" w:space="0" w:color="auto"/>
              <w:right w:val="nil"/>
            </w:tcBorders>
            <w:noWrap/>
            <w:vAlign w:val="bottom"/>
          </w:tcPr>
          <w:p w14:paraId="587F37EF" w14:textId="77777777" w:rsidR="00DC30EE" w:rsidRPr="00DC30EE" w:rsidRDefault="00DC30EE" w:rsidP="00DC30EE">
            <w:pPr>
              <w:spacing w:before="0" w:after="0"/>
              <w:rPr>
                <w:rFonts w:eastAsia="Times New Roman" w:cs="Times New Roman"/>
                <w:b/>
                <w:bCs/>
                <w:sz w:val="18"/>
                <w:szCs w:val="18"/>
                <w:lang w:val="en-GB" w:eastAsia="en-GB"/>
              </w:rPr>
            </w:pPr>
            <w:r w:rsidRPr="00DC30EE">
              <w:rPr>
                <w:rFonts w:eastAsia="Times New Roman" w:cs="Times New Roman"/>
                <w:b/>
                <w:bCs/>
                <w:sz w:val="18"/>
                <w:szCs w:val="18"/>
                <w:lang w:val="en-GB" w:eastAsia="en-GB"/>
              </w:rPr>
              <w:t>Active Brains</w:t>
            </w:r>
          </w:p>
        </w:tc>
        <w:tc>
          <w:tcPr>
            <w:tcW w:w="594" w:type="pct"/>
            <w:tcBorders>
              <w:top w:val="single" w:sz="4" w:space="0" w:color="auto"/>
              <w:left w:val="single" w:sz="4" w:space="0" w:color="auto"/>
              <w:bottom w:val="single" w:sz="4" w:space="0" w:color="auto"/>
              <w:right w:val="single" w:sz="4" w:space="0" w:color="auto"/>
            </w:tcBorders>
            <w:noWrap/>
            <w:vAlign w:val="bottom"/>
          </w:tcPr>
          <w:p w14:paraId="2391B7DF"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118</w:t>
            </w:r>
          </w:p>
        </w:tc>
        <w:tc>
          <w:tcPr>
            <w:tcW w:w="1189" w:type="pct"/>
            <w:tcBorders>
              <w:top w:val="single" w:sz="4" w:space="0" w:color="auto"/>
              <w:left w:val="nil"/>
              <w:bottom w:val="single" w:sz="4" w:space="0" w:color="auto"/>
              <w:right w:val="nil"/>
            </w:tcBorders>
            <w:noWrap/>
            <w:vAlign w:val="bottom"/>
          </w:tcPr>
          <w:p w14:paraId="2847BD01"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80</w:t>
            </w:r>
          </w:p>
        </w:tc>
        <w:tc>
          <w:tcPr>
            <w:tcW w:w="828" w:type="pct"/>
            <w:tcBorders>
              <w:top w:val="single" w:sz="4" w:space="0" w:color="auto"/>
              <w:left w:val="nil"/>
              <w:bottom w:val="single" w:sz="4" w:space="0" w:color="auto"/>
              <w:right w:val="single" w:sz="12" w:space="0" w:color="auto"/>
            </w:tcBorders>
            <w:noWrap/>
            <w:vAlign w:val="bottom"/>
          </w:tcPr>
          <w:p w14:paraId="632AA4C8" w14:textId="77777777" w:rsidR="00DC30EE" w:rsidRPr="00DC30EE" w:rsidRDefault="00DC30EE" w:rsidP="00DC30EE">
            <w:pPr>
              <w:spacing w:before="0" w:after="0"/>
              <w:jc w:val="center"/>
              <w:rPr>
                <w:rFonts w:eastAsia="Times New Roman" w:cs="Times New Roman"/>
                <w:i/>
                <w:iCs/>
                <w:sz w:val="18"/>
                <w:szCs w:val="18"/>
                <w:lang w:val="en-GB" w:eastAsia="en-GB"/>
              </w:rPr>
            </w:pPr>
            <w:r w:rsidRPr="00DC30EE">
              <w:rPr>
                <w:rFonts w:eastAsia="Times New Roman" w:cs="Times New Roman"/>
                <w:i/>
                <w:iCs/>
                <w:sz w:val="18"/>
                <w:szCs w:val="18"/>
                <w:lang w:val="en-GB" w:eastAsia="en-GB"/>
              </w:rPr>
              <w:t>67.8%</w:t>
            </w:r>
          </w:p>
        </w:tc>
      </w:tr>
      <w:tr w:rsidR="00DC30EE" w:rsidRPr="00DC30EE" w14:paraId="054C259F" w14:textId="77777777" w:rsidTr="003C3FFF">
        <w:trPr>
          <w:trHeight w:val="298"/>
        </w:trPr>
        <w:tc>
          <w:tcPr>
            <w:tcW w:w="2389" w:type="pct"/>
            <w:tcBorders>
              <w:top w:val="single" w:sz="4" w:space="0" w:color="auto"/>
              <w:left w:val="single" w:sz="8" w:space="0" w:color="auto"/>
              <w:bottom w:val="single" w:sz="4" w:space="0" w:color="auto"/>
              <w:right w:val="nil"/>
            </w:tcBorders>
            <w:noWrap/>
            <w:vAlign w:val="bottom"/>
          </w:tcPr>
          <w:p w14:paraId="08D06328" w14:textId="77777777" w:rsidR="00DC30EE" w:rsidRPr="00DC30EE" w:rsidRDefault="00DC30EE" w:rsidP="00DC30EE">
            <w:pPr>
              <w:spacing w:before="0" w:after="0"/>
              <w:rPr>
                <w:rFonts w:eastAsia="Times New Roman" w:cs="Times New Roman"/>
                <w:b/>
                <w:bCs/>
                <w:sz w:val="18"/>
                <w:szCs w:val="18"/>
                <w:lang w:val="en-GB" w:eastAsia="en-GB"/>
              </w:rPr>
            </w:pPr>
            <w:r w:rsidRPr="00DC30EE">
              <w:rPr>
                <w:rFonts w:eastAsia="Times New Roman" w:cs="Times New Roman"/>
                <w:b/>
                <w:bCs/>
                <w:sz w:val="18"/>
                <w:szCs w:val="18"/>
                <w:lang w:val="en-GB" w:eastAsia="en-GB"/>
              </w:rPr>
              <w:t>Active Brains plus support</w:t>
            </w:r>
          </w:p>
        </w:tc>
        <w:tc>
          <w:tcPr>
            <w:tcW w:w="594" w:type="pct"/>
            <w:tcBorders>
              <w:top w:val="single" w:sz="4" w:space="0" w:color="auto"/>
              <w:left w:val="single" w:sz="4" w:space="0" w:color="auto"/>
              <w:bottom w:val="single" w:sz="4" w:space="0" w:color="auto"/>
              <w:right w:val="single" w:sz="4" w:space="0" w:color="auto"/>
            </w:tcBorders>
            <w:noWrap/>
            <w:vAlign w:val="bottom"/>
          </w:tcPr>
          <w:p w14:paraId="3D78ADCE"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119</w:t>
            </w:r>
          </w:p>
        </w:tc>
        <w:tc>
          <w:tcPr>
            <w:tcW w:w="1189" w:type="pct"/>
            <w:tcBorders>
              <w:top w:val="single" w:sz="4" w:space="0" w:color="auto"/>
              <w:left w:val="nil"/>
              <w:bottom w:val="single" w:sz="4" w:space="0" w:color="auto"/>
              <w:right w:val="nil"/>
            </w:tcBorders>
            <w:noWrap/>
            <w:vAlign w:val="bottom"/>
          </w:tcPr>
          <w:p w14:paraId="59B07B1F"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78</w:t>
            </w:r>
          </w:p>
        </w:tc>
        <w:tc>
          <w:tcPr>
            <w:tcW w:w="828" w:type="pct"/>
            <w:tcBorders>
              <w:top w:val="single" w:sz="4" w:space="0" w:color="auto"/>
              <w:left w:val="nil"/>
              <w:bottom w:val="single" w:sz="4" w:space="0" w:color="auto"/>
              <w:right w:val="single" w:sz="12" w:space="0" w:color="auto"/>
            </w:tcBorders>
            <w:noWrap/>
            <w:vAlign w:val="bottom"/>
          </w:tcPr>
          <w:p w14:paraId="62703272" w14:textId="77777777" w:rsidR="00DC30EE" w:rsidRPr="00DC30EE" w:rsidRDefault="00DC30EE" w:rsidP="00DC30EE">
            <w:pPr>
              <w:spacing w:before="0" w:after="0"/>
              <w:jc w:val="center"/>
              <w:rPr>
                <w:rFonts w:eastAsia="Times New Roman" w:cs="Times New Roman"/>
                <w:i/>
                <w:iCs/>
                <w:sz w:val="18"/>
                <w:szCs w:val="18"/>
                <w:lang w:val="en-GB" w:eastAsia="en-GB"/>
              </w:rPr>
            </w:pPr>
            <w:r w:rsidRPr="00DC30EE">
              <w:rPr>
                <w:rFonts w:eastAsia="Times New Roman" w:cs="Times New Roman"/>
                <w:i/>
                <w:iCs/>
                <w:sz w:val="18"/>
                <w:szCs w:val="18"/>
                <w:lang w:val="en-GB" w:eastAsia="en-GB"/>
              </w:rPr>
              <w:t>65.5%</w:t>
            </w:r>
          </w:p>
        </w:tc>
      </w:tr>
      <w:tr w:rsidR="00DC30EE" w:rsidRPr="00DC30EE" w14:paraId="7C7231BD" w14:textId="77777777" w:rsidTr="003C3FFF">
        <w:trPr>
          <w:trHeight w:val="312"/>
        </w:trPr>
        <w:tc>
          <w:tcPr>
            <w:tcW w:w="2389" w:type="pct"/>
            <w:tcBorders>
              <w:top w:val="single" w:sz="4" w:space="0" w:color="auto"/>
              <w:left w:val="single" w:sz="8" w:space="0" w:color="auto"/>
              <w:bottom w:val="single" w:sz="8" w:space="0" w:color="auto"/>
              <w:right w:val="nil"/>
            </w:tcBorders>
            <w:shd w:val="clear" w:color="auto" w:fill="auto"/>
            <w:noWrap/>
            <w:vAlign w:val="bottom"/>
          </w:tcPr>
          <w:p w14:paraId="554BEEF2" w14:textId="77777777" w:rsidR="00DC30EE" w:rsidRPr="00DC30EE" w:rsidRDefault="00DC30EE" w:rsidP="00DC30EE">
            <w:pPr>
              <w:spacing w:before="0" w:after="0"/>
              <w:rPr>
                <w:rFonts w:eastAsia="Times New Roman" w:cs="Times New Roman"/>
                <w:b/>
                <w:bCs/>
                <w:sz w:val="18"/>
                <w:szCs w:val="18"/>
                <w:lang w:val="en-GB" w:eastAsia="en-GB"/>
              </w:rPr>
            </w:pPr>
            <w:r w:rsidRPr="00DC30EE">
              <w:rPr>
                <w:rFonts w:eastAsia="Times New Roman" w:cs="Times New Roman"/>
                <w:b/>
                <w:bCs/>
                <w:sz w:val="18"/>
                <w:szCs w:val="18"/>
                <w:lang w:val="en-GB" w:eastAsia="en-GB"/>
              </w:rPr>
              <w:t>Usual care</w:t>
            </w:r>
          </w:p>
        </w:tc>
        <w:tc>
          <w:tcPr>
            <w:tcW w:w="594" w:type="pct"/>
            <w:tcBorders>
              <w:top w:val="single" w:sz="4" w:space="0" w:color="auto"/>
              <w:left w:val="single" w:sz="4" w:space="0" w:color="auto"/>
              <w:bottom w:val="single" w:sz="8" w:space="0" w:color="auto"/>
              <w:right w:val="single" w:sz="4" w:space="0" w:color="auto"/>
            </w:tcBorders>
            <w:shd w:val="clear" w:color="auto" w:fill="auto"/>
            <w:noWrap/>
            <w:vAlign w:val="bottom"/>
          </w:tcPr>
          <w:p w14:paraId="5D1A9DDE"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123</w:t>
            </w:r>
          </w:p>
        </w:tc>
        <w:tc>
          <w:tcPr>
            <w:tcW w:w="1189" w:type="pct"/>
            <w:tcBorders>
              <w:top w:val="single" w:sz="4" w:space="0" w:color="auto"/>
              <w:left w:val="nil"/>
              <w:bottom w:val="single" w:sz="8" w:space="0" w:color="auto"/>
              <w:right w:val="nil"/>
            </w:tcBorders>
            <w:shd w:val="clear" w:color="auto" w:fill="auto"/>
            <w:noWrap/>
            <w:vAlign w:val="bottom"/>
          </w:tcPr>
          <w:p w14:paraId="61273353"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100</w:t>
            </w:r>
          </w:p>
        </w:tc>
        <w:tc>
          <w:tcPr>
            <w:tcW w:w="828" w:type="pct"/>
            <w:tcBorders>
              <w:top w:val="single" w:sz="4" w:space="0" w:color="auto"/>
              <w:left w:val="nil"/>
              <w:bottom w:val="single" w:sz="8" w:space="0" w:color="auto"/>
              <w:right w:val="single" w:sz="12" w:space="0" w:color="auto"/>
            </w:tcBorders>
            <w:shd w:val="clear" w:color="auto" w:fill="auto"/>
            <w:noWrap/>
            <w:vAlign w:val="bottom"/>
          </w:tcPr>
          <w:p w14:paraId="37E8E3A6" w14:textId="77777777" w:rsidR="00DC30EE" w:rsidRPr="00DC30EE" w:rsidRDefault="00DC30EE" w:rsidP="00DC30EE">
            <w:pPr>
              <w:spacing w:before="0" w:after="0"/>
              <w:jc w:val="center"/>
              <w:rPr>
                <w:rFonts w:eastAsia="Times New Roman" w:cs="Times New Roman"/>
                <w:b/>
                <w:bCs/>
                <w:i/>
                <w:iCs/>
                <w:sz w:val="18"/>
                <w:szCs w:val="18"/>
                <w:lang w:val="en-GB" w:eastAsia="en-GB"/>
              </w:rPr>
            </w:pPr>
            <w:r w:rsidRPr="00DC30EE">
              <w:rPr>
                <w:rFonts w:eastAsia="Times New Roman" w:cs="Times New Roman"/>
                <w:i/>
                <w:iCs/>
                <w:sz w:val="18"/>
                <w:szCs w:val="18"/>
                <w:lang w:val="en-GB" w:eastAsia="en-GB"/>
              </w:rPr>
              <w:t>81.3%</w:t>
            </w:r>
          </w:p>
        </w:tc>
      </w:tr>
      <w:tr w:rsidR="00DC30EE" w:rsidRPr="002A6F80" w14:paraId="051B57EB" w14:textId="77777777" w:rsidTr="00DC30EE">
        <w:trPr>
          <w:trHeight w:val="312"/>
        </w:trPr>
        <w:tc>
          <w:tcPr>
            <w:tcW w:w="2389" w:type="pct"/>
            <w:tcBorders>
              <w:top w:val="single" w:sz="4" w:space="0" w:color="auto"/>
              <w:left w:val="single" w:sz="8" w:space="0" w:color="auto"/>
              <w:bottom w:val="single" w:sz="8" w:space="0" w:color="auto"/>
              <w:right w:val="nil"/>
            </w:tcBorders>
            <w:shd w:val="clear" w:color="auto" w:fill="A5A5A5"/>
            <w:noWrap/>
            <w:vAlign w:val="bottom"/>
            <w:hideMark/>
          </w:tcPr>
          <w:p w14:paraId="43EB2914" w14:textId="77777777" w:rsidR="00DC30EE" w:rsidRPr="00DC30EE" w:rsidRDefault="00DC30EE" w:rsidP="00DC30EE">
            <w:pPr>
              <w:spacing w:before="0" w:after="0"/>
              <w:rPr>
                <w:rFonts w:eastAsia="Times New Roman" w:cs="Times New Roman"/>
                <w:b/>
                <w:bCs/>
                <w:sz w:val="18"/>
                <w:szCs w:val="18"/>
                <w:lang w:val="en-GB" w:eastAsia="en-GB"/>
              </w:rPr>
            </w:pPr>
            <w:r w:rsidRPr="00DC30EE">
              <w:rPr>
                <w:rFonts w:eastAsia="Times New Roman" w:cs="Times New Roman"/>
                <w:b/>
                <w:bCs/>
                <w:sz w:val="18"/>
                <w:szCs w:val="18"/>
                <w:lang w:val="en-GB" w:eastAsia="en-GB"/>
              </w:rPr>
              <w:t>Total</w:t>
            </w:r>
          </w:p>
        </w:tc>
        <w:tc>
          <w:tcPr>
            <w:tcW w:w="594" w:type="pct"/>
            <w:tcBorders>
              <w:top w:val="single" w:sz="4" w:space="0" w:color="auto"/>
              <w:left w:val="single" w:sz="4" w:space="0" w:color="auto"/>
              <w:bottom w:val="single" w:sz="8" w:space="0" w:color="auto"/>
              <w:right w:val="single" w:sz="4" w:space="0" w:color="auto"/>
            </w:tcBorders>
            <w:shd w:val="clear" w:color="auto" w:fill="A5A5A5"/>
            <w:noWrap/>
            <w:vAlign w:val="bottom"/>
            <w:hideMark/>
          </w:tcPr>
          <w:p w14:paraId="2F93C333"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360</w:t>
            </w:r>
          </w:p>
        </w:tc>
        <w:tc>
          <w:tcPr>
            <w:tcW w:w="1189" w:type="pct"/>
            <w:tcBorders>
              <w:top w:val="single" w:sz="4" w:space="0" w:color="auto"/>
              <w:left w:val="nil"/>
              <w:bottom w:val="single" w:sz="8" w:space="0" w:color="auto"/>
              <w:right w:val="nil"/>
            </w:tcBorders>
            <w:shd w:val="clear" w:color="auto" w:fill="A5A5A5"/>
            <w:noWrap/>
            <w:vAlign w:val="bottom"/>
            <w:hideMark/>
          </w:tcPr>
          <w:p w14:paraId="52B45AAF" w14:textId="77777777" w:rsidR="00DC30EE" w:rsidRPr="00DC30EE" w:rsidRDefault="00DC30EE" w:rsidP="00DC30EE">
            <w:pPr>
              <w:spacing w:before="0" w:after="0"/>
              <w:jc w:val="center"/>
              <w:rPr>
                <w:rFonts w:eastAsia="Times New Roman" w:cs="Times New Roman"/>
                <w:sz w:val="18"/>
                <w:szCs w:val="18"/>
                <w:lang w:val="en-GB" w:eastAsia="en-GB"/>
              </w:rPr>
            </w:pPr>
            <w:r w:rsidRPr="00DC30EE">
              <w:rPr>
                <w:rFonts w:eastAsia="Times New Roman" w:cs="Times New Roman"/>
                <w:sz w:val="18"/>
                <w:szCs w:val="18"/>
                <w:lang w:val="en-GB" w:eastAsia="en-GB"/>
              </w:rPr>
              <w:t>258</w:t>
            </w:r>
          </w:p>
        </w:tc>
        <w:tc>
          <w:tcPr>
            <w:tcW w:w="828" w:type="pct"/>
            <w:tcBorders>
              <w:top w:val="single" w:sz="4" w:space="0" w:color="auto"/>
              <w:left w:val="nil"/>
              <w:bottom w:val="single" w:sz="8" w:space="0" w:color="auto"/>
              <w:right w:val="single" w:sz="12" w:space="0" w:color="auto"/>
            </w:tcBorders>
            <w:shd w:val="clear" w:color="auto" w:fill="A5A5A5"/>
            <w:noWrap/>
            <w:vAlign w:val="bottom"/>
            <w:hideMark/>
          </w:tcPr>
          <w:p w14:paraId="6C07DFA3" w14:textId="77777777" w:rsidR="00DC30EE" w:rsidRPr="00DC30EE" w:rsidRDefault="00DC30EE" w:rsidP="00DC30EE">
            <w:pPr>
              <w:spacing w:before="0" w:after="0"/>
              <w:jc w:val="center"/>
              <w:rPr>
                <w:rFonts w:eastAsia="Times New Roman" w:cs="Times New Roman"/>
                <w:b/>
                <w:bCs/>
                <w:i/>
                <w:iCs/>
                <w:sz w:val="18"/>
                <w:szCs w:val="18"/>
                <w:lang w:val="en-GB" w:eastAsia="en-GB"/>
              </w:rPr>
            </w:pPr>
            <w:r w:rsidRPr="00DC30EE">
              <w:rPr>
                <w:rFonts w:eastAsia="Times New Roman" w:cs="Times New Roman"/>
                <w:b/>
                <w:bCs/>
                <w:i/>
                <w:iCs/>
                <w:sz w:val="18"/>
                <w:szCs w:val="18"/>
                <w:lang w:val="en-GB" w:eastAsia="en-GB"/>
              </w:rPr>
              <w:t>71.7%</w:t>
            </w:r>
          </w:p>
        </w:tc>
      </w:tr>
    </w:tbl>
    <w:p w14:paraId="5F401D0E" w14:textId="77777777" w:rsidR="0027153E" w:rsidRPr="002A6F80" w:rsidRDefault="0027153E" w:rsidP="0027153E">
      <w:pPr>
        <w:keepNext/>
        <w:keepLines/>
        <w:spacing w:before="40" w:after="0" w:line="259" w:lineRule="auto"/>
        <w:outlineLvl w:val="2"/>
        <w:rPr>
          <w:rFonts w:eastAsia="DengXian Light" w:cs="Times New Roman"/>
          <w:color w:val="1F4D78"/>
          <w:szCs w:val="24"/>
          <w:lang w:val="en-GB"/>
        </w:rPr>
      </w:pPr>
    </w:p>
    <w:p w14:paraId="35428DA4" w14:textId="0D3FDFF6" w:rsidR="00DC30EE" w:rsidRPr="002A6F80" w:rsidRDefault="00DC30EE" w:rsidP="0027153E">
      <w:pPr>
        <w:pStyle w:val="Heading1"/>
        <w:numPr>
          <w:ilvl w:val="0"/>
          <w:numId w:val="0"/>
        </w:numPr>
        <w:ind w:left="567" w:hanging="567"/>
        <w:rPr>
          <w:lang w:val="en-GB"/>
        </w:rPr>
      </w:pPr>
      <w:r w:rsidRPr="002A6F80">
        <w:rPr>
          <w:lang w:val="en-GB"/>
        </w:rPr>
        <w:t xml:space="preserve">Supplementary </w:t>
      </w:r>
      <w:r w:rsidR="002A6F80" w:rsidRPr="002A6F80">
        <w:rPr>
          <w:lang w:val="en-GB"/>
        </w:rPr>
        <w:t>table</w:t>
      </w:r>
      <w:r w:rsidRPr="002A6F80">
        <w:rPr>
          <w:lang w:val="en-GB"/>
        </w:rPr>
        <w:t xml:space="preserve"> 5 – additional detail of health economics analysis </w:t>
      </w:r>
    </w:p>
    <w:p w14:paraId="55409362" w14:textId="77777777" w:rsidR="00DC30EE" w:rsidRPr="00DC30EE" w:rsidRDefault="00DC30EE" w:rsidP="00DC30EE">
      <w:pPr>
        <w:spacing w:before="0" w:after="160" w:line="259" w:lineRule="auto"/>
        <w:rPr>
          <w:rFonts w:eastAsia="Calibri" w:cs="Times New Roman"/>
          <w:sz w:val="22"/>
          <w:lang w:val="en-GB"/>
        </w:rPr>
      </w:pPr>
    </w:p>
    <w:p w14:paraId="29630965" w14:textId="77777777" w:rsidR="00DC30EE" w:rsidRPr="00DC30EE" w:rsidRDefault="00DC30EE" w:rsidP="00DC30EE">
      <w:pPr>
        <w:spacing w:before="0" w:after="160" w:line="259" w:lineRule="auto"/>
        <w:rPr>
          <w:rFonts w:eastAsia="Calibri" w:cs="Times New Roman"/>
          <w:sz w:val="22"/>
          <w:lang w:val="en-GB"/>
        </w:rPr>
      </w:pPr>
      <w:r w:rsidRPr="00DC30EE">
        <w:rPr>
          <w:rFonts w:eastAsia="Calibri" w:cs="Times New Roman"/>
          <w:sz w:val="22"/>
          <w:lang w:val="en-GB"/>
        </w:rPr>
        <w:t xml:space="preserve">A large proportion of service usage occurred within primary care (239; 66%) with only a few cases in NHS phone calls and walk-in centres. Three quarters of patients took at least one medication.  Outpatient appointments were </w:t>
      </w:r>
      <w:proofErr w:type="gramStart"/>
      <w:r w:rsidRPr="00DC30EE">
        <w:rPr>
          <w:rFonts w:eastAsia="Calibri" w:cs="Times New Roman"/>
          <w:sz w:val="22"/>
          <w:lang w:val="en-GB"/>
        </w:rPr>
        <w:t>fairly common</w:t>
      </w:r>
      <w:proofErr w:type="gramEnd"/>
      <w:r w:rsidRPr="00DC30EE">
        <w:rPr>
          <w:rFonts w:eastAsia="Calibri" w:cs="Times New Roman"/>
          <w:sz w:val="22"/>
          <w:lang w:val="en-GB"/>
        </w:rPr>
        <w:t xml:space="preserve"> and relevant A&amp;E visits and hospital admission less common.</w:t>
      </w:r>
    </w:p>
    <w:tbl>
      <w:tblPr>
        <w:tblW w:w="9120" w:type="dxa"/>
        <w:tblLook w:val="04A0" w:firstRow="1" w:lastRow="0" w:firstColumn="1" w:lastColumn="0" w:noHBand="0" w:noVBand="1"/>
      </w:tblPr>
      <w:tblGrid>
        <w:gridCol w:w="3040"/>
        <w:gridCol w:w="3040"/>
        <w:gridCol w:w="3040"/>
      </w:tblGrid>
      <w:tr w:rsidR="00DC30EE" w:rsidRPr="00DC30EE" w14:paraId="36B037E7" w14:textId="77777777" w:rsidTr="003C3FFF">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hideMark/>
          </w:tcPr>
          <w:p w14:paraId="576C25A8" w14:textId="77777777" w:rsidR="00DC30EE" w:rsidRPr="00DC30EE" w:rsidRDefault="00DC30EE" w:rsidP="00DC30EE">
            <w:pPr>
              <w:spacing w:before="0" w:after="0"/>
              <w:rPr>
                <w:rFonts w:eastAsia="Times New Roman" w:cs="Times New Roman"/>
                <w:b/>
                <w:bCs/>
                <w:color w:val="000000"/>
                <w:sz w:val="22"/>
                <w:lang w:val="en-GB"/>
              </w:rPr>
            </w:pPr>
            <w:r w:rsidRPr="00DC30EE">
              <w:rPr>
                <w:rFonts w:eastAsia="Times New Roman" w:cs="Times New Roman"/>
                <w:b/>
                <w:bCs/>
                <w:color w:val="000000"/>
                <w:sz w:val="22"/>
                <w:lang w:val="en-GB"/>
              </w:rPr>
              <w:t>Type of service use</w:t>
            </w:r>
          </w:p>
        </w:tc>
        <w:tc>
          <w:tcPr>
            <w:tcW w:w="3040" w:type="dxa"/>
            <w:tcBorders>
              <w:top w:val="single" w:sz="4" w:space="0" w:color="auto"/>
              <w:left w:val="nil"/>
              <w:bottom w:val="single" w:sz="4" w:space="0" w:color="auto"/>
              <w:right w:val="single" w:sz="4" w:space="0" w:color="auto"/>
            </w:tcBorders>
            <w:shd w:val="clear" w:color="auto" w:fill="auto"/>
            <w:hideMark/>
          </w:tcPr>
          <w:p w14:paraId="6AED802F" w14:textId="77777777" w:rsidR="00DC30EE" w:rsidRPr="00DC30EE" w:rsidRDefault="00DC30EE" w:rsidP="00DC30EE">
            <w:pPr>
              <w:spacing w:before="0" w:after="0"/>
              <w:rPr>
                <w:rFonts w:eastAsia="Times New Roman" w:cs="Times New Roman"/>
                <w:b/>
                <w:bCs/>
                <w:color w:val="000000"/>
                <w:sz w:val="22"/>
                <w:lang w:val="en-GB"/>
              </w:rPr>
            </w:pPr>
            <w:r w:rsidRPr="00DC30EE">
              <w:rPr>
                <w:rFonts w:eastAsia="Times New Roman" w:cs="Times New Roman"/>
                <w:b/>
                <w:bCs/>
                <w:color w:val="000000"/>
                <w:sz w:val="22"/>
                <w:lang w:val="en-GB"/>
              </w:rPr>
              <w:t>Number of services (%)</w:t>
            </w:r>
          </w:p>
        </w:tc>
        <w:tc>
          <w:tcPr>
            <w:tcW w:w="3040" w:type="dxa"/>
            <w:tcBorders>
              <w:top w:val="single" w:sz="4" w:space="0" w:color="auto"/>
              <w:left w:val="nil"/>
              <w:bottom w:val="single" w:sz="4" w:space="0" w:color="auto"/>
              <w:right w:val="single" w:sz="4" w:space="0" w:color="auto"/>
            </w:tcBorders>
            <w:shd w:val="clear" w:color="auto" w:fill="auto"/>
            <w:hideMark/>
          </w:tcPr>
          <w:p w14:paraId="345B8954" w14:textId="77777777" w:rsidR="00DC30EE" w:rsidRPr="00DC30EE" w:rsidRDefault="00DC30EE" w:rsidP="00DC30EE">
            <w:pPr>
              <w:spacing w:before="0" w:after="0"/>
              <w:rPr>
                <w:rFonts w:eastAsia="Times New Roman" w:cs="Times New Roman"/>
                <w:b/>
                <w:bCs/>
                <w:color w:val="000000"/>
                <w:sz w:val="22"/>
                <w:lang w:val="en-GB"/>
              </w:rPr>
            </w:pPr>
            <w:r w:rsidRPr="00DC30EE">
              <w:rPr>
                <w:rFonts w:eastAsia="Times New Roman" w:cs="Times New Roman"/>
                <w:b/>
                <w:bCs/>
                <w:color w:val="000000"/>
                <w:sz w:val="22"/>
                <w:lang w:val="en-GB"/>
              </w:rPr>
              <w:t>Mean (STD)</w:t>
            </w:r>
          </w:p>
        </w:tc>
      </w:tr>
      <w:tr w:rsidR="00DC30EE" w:rsidRPr="00DC30EE" w14:paraId="6DE41589" w14:textId="77777777" w:rsidTr="003C3FFF">
        <w:trPr>
          <w:trHeight w:val="300"/>
        </w:trPr>
        <w:tc>
          <w:tcPr>
            <w:tcW w:w="3040" w:type="dxa"/>
            <w:tcBorders>
              <w:top w:val="nil"/>
              <w:left w:val="single" w:sz="4" w:space="0" w:color="auto"/>
              <w:bottom w:val="single" w:sz="4" w:space="0" w:color="auto"/>
              <w:right w:val="single" w:sz="4" w:space="0" w:color="auto"/>
            </w:tcBorders>
            <w:shd w:val="clear" w:color="auto" w:fill="auto"/>
            <w:hideMark/>
          </w:tcPr>
          <w:p w14:paraId="215D7156"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Primary care consultation</w:t>
            </w:r>
          </w:p>
        </w:tc>
        <w:tc>
          <w:tcPr>
            <w:tcW w:w="3040" w:type="dxa"/>
            <w:tcBorders>
              <w:top w:val="nil"/>
              <w:left w:val="nil"/>
              <w:bottom w:val="single" w:sz="4" w:space="0" w:color="auto"/>
              <w:right w:val="single" w:sz="4" w:space="0" w:color="auto"/>
            </w:tcBorders>
            <w:shd w:val="clear" w:color="auto" w:fill="auto"/>
            <w:hideMark/>
          </w:tcPr>
          <w:p w14:paraId="18D1B09C"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239 (66%)</w:t>
            </w:r>
          </w:p>
        </w:tc>
        <w:tc>
          <w:tcPr>
            <w:tcW w:w="3040" w:type="dxa"/>
            <w:tcBorders>
              <w:top w:val="nil"/>
              <w:left w:val="nil"/>
              <w:bottom w:val="single" w:sz="4" w:space="0" w:color="auto"/>
              <w:right w:val="single" w:sz="4" w:space="0" w:color="auto"/>
            </w:tcBorders>
            <w:shd w:val="clear" w:color="auto" w:fill="auto"/>
            <w:hideMark/>
          </w:tcPr>
          <w:p w14:paraId="3F710546"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3.26 (2.15)</w:t>
            </w:r>
          </w:p>
        </w:tc>
      </w:tr>
      <w:tr w:rsidR="00DC30EE" w:rsidRPr="00DC30EE" w14:paraId="4DDA9FC8" w14:textId="77777777" w:rsidTr="003C3FFF">
        <w:trPr>
          <w:trHeight w:val="300"/>
        </w:trPr>
        <w:tc>
          <w:tcPr>
            <w:tcW w:w="3040" w:type="dxa"/>
            <w:tcBorders>
              <w:top w:val="nil"/>
              <w:left w:val="single" w:sz="4" w:space="0" w:color="auto"/>
              <w:bottom w:val="single" w:sz="4" w:space="0" w:color="auto"/>
              <w:right w:val="single" w:sz="4" w:space="0" w:color="auto"/>
            </w:tcBorders>
            <w:shd w:val="clear" w:color="auto" w:fill="auto"/>
            <w:hideMark/>
          </w:tcPr>
          <w:p w14:paraId="621B1111"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GP home visit</w:t>
            </w:r>
          </w:p>
        </w:tc>
        <w:tc>
          <w:tcPr>
            <w:tcW w:w="3040" w:type="dxa"/>
            <w:tcBorders>
              <w:top w:val="nil"/>
              <w:left w:val="nil"/>
              <w:bottom w:val="single" w:sz="4" w:space="0" w:color="auto"/>
              <w:right w:val="single" w:sz="4" w:space="0" w:color="auto"/>
            </w:tcBorders>
            <w:shd w:val="clear" w:color="auto" w:fill="auto"/>
            <w:hideMark/>
          </w:tcPr>
          <w:p w14:paraId="436AB362"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3 (1%)</w:t>
            </w:r>
          </w:p>
        </w:tc>
        <w:tc>
          <w:tcPr>
            <w:tcW w:w="3040" w:type="dxa"/>
            <w:tcBorders>
              <w:top w:val="nil"/>
              <w:left w:val="nil"/>
              <w:bottom w:val="single" w:sz="4" w:space="0" w:color="auto"/>
              <w:right w:val="single" w:sz="4" w:space="0" w:color="auto"/>
            </w:tcBorders>
            <w:shd w:val="clear" w:color="auto" w:fill="auto"/>
            <w:hideMark/>
          </w:tcPr>
          <w:p w14:paraId="6F709A41"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1 (0)</w:t>
            </w:r>
          </w:p>
        </w:tc>
      </w:tr>
      <w:tr w:rsidR="00DC30EE" w:rsidRPr="00DC30EE" w14:paraId="201336A4" w14:textId="77777777" w:rsidTr="003C3FFF">
        <w:trPr>
          <w:trHeight w:val="300"/>
        </w:trPr>
        <w:tc>
          <w:tcPr>
            <w:tcW w:w="3040" w:type="dxa"/>
            <w:tcBorders>
              <w:top w:val="nil"/>
              <w:left w:val="single" w:sz="4" w:space="0" w:color="auto"/>
              <w:bottom w:val="single" w:sz="4" w:space="0" w:color="auto"/>
              <w:right w:val="single" w:sz="4" w:space="0" w:color="auto"/>
            </w:tcBorders>
            <w:shd w:val="clear" w:color="auto" w:fill="auto"/>
            <w:hideMark/>
          </w:tcPr>
          <w:p w14:paraId="57309259"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 xml:space="preserve">NHS phone call </w:t>
            </w:r>
          </w:p>
        </w:tc>
        <w:tc>
          <w:tcPr>
            <w:tcW w:w="3040" w:type="dxa"/>
            <w:tcBorders>
              <w:top w:val="nil"/>
              <w:left w:val="nil"/>
              <w:bottom w:val="single" w:sz="4" w:space="0" w:color="auto"/>
              <w:right w:val="single" w:sz="4" w:space="0" w:color="auto"/>
            </w:tcBorders>
            <w:shd w:val="clear" w:color="auto" w:fill="auto"/>
            <w:hideMark/>
          </w:tcPr>
          <w:p w14:paraId="7D6B403D"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10 (3%)</w:t>
            </w:r>
          </w:p>
        </w:tc>
        <w:tc>
          <w:tcPr>
            <w:tcW w:w="3040" w:type="dxa"/>
            <w:tcBorders>
              <w:top w:val="nil"/>
              <w:left w:val="nil"/>
              <w:bottom w:val="single" w:sz="4" w:space="0" w:color="auto"/>
              <w:right w:val="single" w:sz="4" w:space="0" w:color="auto"/>
            </w:tcBorders>
            <w:shd w:val="clear" w:color="auto" w:fill="auto"/>
            <w:hideMark/>
          </w:tcPr>
          <w:p w14:paraId="168C512F"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1.3 (0.67)</w:t>
            </w:r>
          </w:p>
        </w:tc>
      </w:tr>
      <w:tr w:rsidR="00DC30EE" w:rsidRPr="00DC30EE" w14:paraId="4B9D1A6C" w14:textId="77777777" w:rsidTr="003C3FFF">
        <w:trPr>
          <w:trHeight w:val="300"/>
        </w:trPr>
        <w:tc>
          <w:tcPr>
            <w:tcW w:w="3040" w:type="dxa"/>
            <w:tcBorders>
              <w:top w:val="nil"/>
              <w:left w:val="single" w:sz="4" w:space="0" w:color="auto"/>
              <w:bottom w:val="single" w:sz="4" w:space="0" w:color="auto"/>
              <w:right w:val="single" w:sz="4" w:space="0" w:color="auto"/>
            </w:tcBorders>
            <w:shd w:val="clear" w:color="auto" w:fill="auto"/>
            <w:hideMark/>
          </w:tcPr>
          <w:p w14:paraId="1C23FEC2"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 xml:space="preserve">Medication </w:t>
            </w:r>
          </w:p>
        </w:tc>
        <w:tc>
          <w:tcPr>
            <w:tcW w:w="3040" w:type="dxa"/>
            <w:tcBorders>
              <w:top w:val="nil"/>
              <w:left w:val="nil"/>
              <w:bottom w:val="single" w:sz="4" w:space="0" w:color="auto"/>
              <w:right w:val="single" w:sz="4" w:space="0" w:color="auto"/>
            </w:tcBorders>
            <w:shd w:val="clear" w:color="auto" w:fill="auto"/>
            <w:hideMark/>
          </w:tcPr>
          <w:p w14:paraId="2BF10F67"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265 (74%)</w:t>
            </w:r>
          </w:p>
        </w:tc>
        <w:tc>
          <w:tcPr>
            <w:tcW w:w="3040" w:type="dxa"/>
            <w:tcBorders>
              <w:top w:val="nil"/>
              <w:left w:val="nil"/>
              <w:bottom w:val="single" w:sz="4" w:space="0" w:color="auto"/>
              <w:right w:val="single" w:sz="4" w:space="0" w:color="auto"/>
            </w:tcBorders>
            <w:shd w:val="clear" w:color="auto" w:fill="auto"/>
            <w:hideMark/>
          </w:tcPr>
          <w:p w14:paraId="59E89B5D"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3.98 (2.95)</w:t>
            </w:r>
          </w:p>
        </w:tc>
      </w:tr>
      <w:tr w:rsidR="00DC30EE" w:rsidRPr="00DC30EE" w14:paraId="1391FA2F" w14:textId="77777777" w:rsidTr="003C3FFF">
        <w:trPr>
          <w:trHeight w:val="300"/>
        </w:trPr>
        <w:tc>
          <w:tcPr>
            <w:tcW w:w="3040" w:type="dxa"/>
            <w:tcBorders>
              <w:top w:val="nil"/>
              <w:left w:val="single" w:sz="4" w:space="0" w:color="auto"/>
              <w:bottom w:val="single" w:sz="4" w:space="0" w:color="auto"/>
              <w:right w:val="single" w:sz="4" w:space="0" w:color="auto"/>
            </w:tcBorders>
            <w:shd w:val="clear" w:color="auto" w:fill="auto"/>
            <w:hideMark/>
          </w:tcPr>
          <w:p w14:paraId="650B80B1"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 xml:space="preserve">Outpatient </w:t>
            </w:r>
          </w:p>
        </w:tc>
        <w:tc>
          <w:tcPr>
            <w:tcW w:w="3040" w:type="dxa"/>
            <w:tcBorders>
              <w:top w:val="nil"/>
              <w:left w:val="nil"/>
              <w:bottom w:val="single" w:sz="4" w:space="0" w:color="auto"/>
              <w:right w:val="single" w:sz="4" w:space="0" w:color="auto"/>
            </w:tcBorders>
            <w:shd w:val="clear" w:color="auto" w:fill="auto"/>
            <w:hideMark/>
          </w:tcPr>
          <w:p w14:paraId="0554EFE1"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96 (27%)</w:t>
            </w:r>
          </w:p>
        </w:tc>
        <w:tc>
          <w:tcPr>
            <w:tcW w:w="3040" w:type="dxa"/>
            <w:tcBorders>
              <w:top w:val="nil"/>
              <w:left w:val="nil"/>
              <w:bottom w:val="single" w:sz="4" w:space="0" w:color="auto"/>
              <w:right w:val="single" w:sz="4" w:space="0" w:color="auto"/>
            </w:tcBorders>
            <w:shd w:val="clear" w:color="auto" w:fill="auto"/>
            <w:hideMark/>
          </w:tcPr>
          <w:p w14:paraId="26833B98"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1.8 (1.19)</w:t>
            </w:r>
          </w:p>
        </w:tc>
      </w:tr>
      <w:tr w:rsidR="00DC30EE" w:rsidRPr="00DC30EE" w14:paraId="40F3CC33" w14:textId="77777777" w:rsidTr="003C3FFF">
        <w:trPr>
          <w:trHeight w:val="288"/>
        </w:trPr>
        <w:tc>
          <w:tcPr>
            <w:tcW w:w="3040" w:type="dxa"/>
            <w:tcBorders>
              <w:top w:val="nil"/>
              <w:left w:val="single" w:sz="4" w:space="0" w:color="auto"/>
              <w:bottom w:val="single" w:sz="4" w:space="0" w:color="auto"/>
              <w:right w:val="single" w:sz="4" w:space="0" w:color="auto"/>
            </w:tcBorders>
            <w:shd w:val="clear" w:color="auto" w:fill="auto"/>
            <w:hideMark/>
          </w:tcPr>
          <w:p w14:paraId="623786E2"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A&amp;E</w:t>
            </w:r>
          </w:p>
        </w:tc>
        <w:tc>
          <w:tcPr>
            <w:tcW w:w="3040" w:type="dxa"/>
            <w:tcBorders>
              <w:top w:val="nil"/>
              <w:left w:val="nil"/>
              <w:bottom w:val="single" w:sz="4" w:space="0" w:color="auto"/>
              <w:right w:val="single" w:sz="4" w:space="0" w:color="auto"/>
            </w:tcBorders>
            <w:shd w:val="clear" w:color="auto" w:fill="auto"/>
            <w:hideMark/>
          </w:tcPr>
          <w:p w14:paraId="073E7395" w14:textId="77777777" w:rsidR="00DC30EE" w:rsidRPr="00DC30EE" w:rsidRDefault="00DC30EE" w:rsidP="00DC30EE">
            <w:pPr>
              <w:spacing w:before="0" w:after="0"/>
              <w:rPr>
                <w:rFonts w:eastAsia="Times New Roman" w:cs="Times New Roman"/>
                <w:color w:val="000000"/>
                <w:sz w:val="22"/>
                <w:lang w:val="en-GB"/>
              </w:rPr>
            </w:pPr>
            <w:r w:rsidRPr="00DC30EE">
              <w:rPr>
                <w:rFonts w:eastAsia="Times New Roman" w:cs="Times New Roman"/>
                <w:color w:val="000000"/>
                <w:sz w:val="22"/>
                <w:lang w:val="en-GB"/>
              </w:rPr>
              <w:t>22 (6%)</w:t>
            </w:r>
          </w:p>
        </w:tc>
        <w:tc>
          <w:tcPr>
            <w:tcW w:w="3040" w:type="dxa"/>
            <w:tcBorders>
              <w:top w:val="nil"/>
              <w:left w:val="nil"/>
              <w:bottom w:val="single" w:sz="4" w:space="0" w:color="auto"/>
              <w:right w:val="single" w:sz="4" w:space="0" w:color="auto"/>
            </w:tcBorders>
            <w:shd w:val="clear" w:color="auto" w:fill="auto"/>
            <w:hideMark/>
          </w:tcPr>
          <w:p w14:paraId="01E4C8B0" w14:textId="256EC3ED" w:rsidR="00DC30EE" w:rsidRPr="002A6F80" w:rsidRDefault="00DC30EE" w:rsidP="0027153E">
            <w:pPr>
              <w:pStyle w:val="ListParagraph"/>
              <w:numPr>
                <w:ilvl w:val="1"/>
                <w:numId w:val="24"/>
              </w:numPr>
              <w:spacing w:before="0" w:after="0"/>
              <w:rPr>
                <w:rFonts w:eastAsia="Times New Roman"/>
                <w:color w:val="000000"/>
                <w:sz w:val="22"/>
                <w:lang w:val="en-GB"/>
              </w:rPr>
            </w:pPr>
            <w:r w:rsidRPr="002A6F80">
              <w:rPr>
                <w:rFonts w:eastAsia="Times New Roman"/>
                <w:color w:val="000000"/>
                <w:sz w:val="22"/>
                <w:lang w:val="en-GB"/>
              </w:rPr>
              <w:t>0.21)</w:t>
            </w:r>
          </w:p>
        </w:tc>
      </w:tr>
    </w:tbl>
    <w:p w14:paraId="44BA741F" w14:textId="77777777" w:rsidR="0027153E" w:rsidRPr="002A6F80" w:rsidRDefault="0027153E" w:rsidP="0027153E">
      <w:pPr>
        <w:keepNext/>
        <w:keepLines/>
        <w:spacing w:before="40" w:after="0" w:line="259" w:lineRule="auto"/>
        <w:outlineLvl w:val="2"/>
        <w:rPr>
          <w:rFonts w:eastAsia="DengXian Light" w:cs="Times New Roman"/>
          <w:color w:val="1F4D78"/>
          <w:szCs w:val="24"/>
          <w:lang w:val="en-GB"/>
        </w:rPr>
      </w:pPr>
    </w:p>
    <w:p w14:paraId="2A42B39D" w14:textId="3B89DC24" w:rsidR="00DC30EE" w:rsidRPr="002A6F80" w:rsidRDefault="00DC30EE" w:rsidP="0027153E">
      <w:pPr>
        <w:pStyle w:val="Heading1"/>
        <w:numPr>
          <w:ilvl w:val="0"/>
          <w:numId w:val="0"/>
        </w:numPr>
        <w:ind w:left="567" w:hanging="567"/>
        <w:rPr>
          <w:lang w:val="en-GB"/>
        </w:rPr>
      </w:pPr>
      <w:r w:rsidRPr="002A6F80">
        <w:rPr>
          <w:lang w:val="en-GB"/>
        </w:rPr>
        <w:t xml:space="preserve">Supplementary </w:t>
      </w:r>
      <w:r w:rsidR="002A6F80" w:rsidRPr="002A6F80">
        <w:rPr>
          <w:lang w:val="en-GB"/>
        </w:rPr>
        <w:t>table</w:t>
      </w:r>
      <w:r w:rsidRPr="002A6F80">
        <w:rPr>
          <w:lang w:val="en-GB"/>
        </w:rPr>
        <w:t xml:space="preserve"> 6 - Problems and solutions identified for the screening process</w:t>
      </w:r>
    </w:p>
    <w:tbl>
      <w:tblPr>
        <w:tblStyle w:val="TableGrid1"/>
        <w:tblW w:w="10490" w:type="dxa"/>
        <w:tblInd w:w="-572" w:type="dxa"/>
        <w:tblLook w:val="04A0" w:firstRow="1" w:lastRow="0" w:firstColumn="1" w:lastColumn="0" w:noHBand="0" w:noVBand="1"/>
      </w:tblPr>
      <w:tblGrid>
        <w:gridCol w:w="3261"/>
        <w:gridCol w:w="3543"/>
        <w:gridCol w:w="3686"/>
      </w:tblGrid>
      <w:tr w:rsidR="00DC30EE" w:rsidRPr="00DC30EE" w14:paraId="0702DE7B" w14:textId="77777777" w:rsidTr="003C3FFF">
        <w:tc>
          <w:tcPr>
            <w:tcW w:w="3261" w:type="dxa"/>
          </w:tcPr>
          <w:p w14:paraId="5BF15A63" w14:textId="77777777" w:rsidR="00DC30EE" w:rsidRPr="00DC30EE" w:rsidRDefault="00DC30EE" w:rsidP="00DC30EE">
            <w:pPr>
              <w:spacing w:before="0" w:after="0"/>
              <w:rPr>
                <w:rFonts w:cs="Times New Roman"/>
                <w:b/>
                <w:bCs/>
                <w:sz w:val="22"/>
              </w:rPr>
            </w:pPr>
            <w:r w:rsidRPr="00DC30EE">
              <w:rPr>
                <w:rFonts w:cs="Times New Roman"/>
                <w:b/>
                <w:bCs/>
                <w:sz w:val="22"/>
              </w:rPr>
              <w:t>Screening step</w:t>
            </w:r>
          </w:p>
        </w:tc>
        <w:tc>
          <w:tcPr>
            <w:tcW w:w="3543" w:type="dxa"/>
          </w:tcPr>
          <w:p w14:paraId="55256553" w14:textId="77777777" w:rsidR="00DC30EE" w:rsidRPr="00DC30EE" w:rsidRDefault="00DC30EE" w:rsidP="00DC30EE">
            <w:pPr>
              <w:spacing w:before="0" w:after="0"/>
              <w:rPr>
                <w:rFonts w:cs="Times New Roman"/>
                <w:b/>
                <w:bCs/>
                <w:sz w:val="22"/>
              </w:rPr>
            </w:pPr>
            <w:r w:rsidRPr="00DC30EE">
              <w:rPr>
                <w:rFonts w:cs="Times New Roman"/>
                <w:b/>
                <w:bCs/>
                <w:sz w:val="22"/>
              </w:rPr>
              <w:t>Problem Identified</w:t>
            </w:r>
          </w:p>
        </w:tc>
        <w:tc>
          <w:tcPr>
            <w:tcW w:w="3686" w:type="dxa"/>
          </w:tcPr>
          <w:p w14:paraId="16AD076F" w14:textId="77777777" w:rsidR="00DC30EE" w:rsidRPr="00DC30EE" w:rsidRDefault="00DC30EE" w:rsidP="00DC30EE">
            <w:pPr>
              <w:spacing w:before="0" w:after="0"/>
              <w:rPr>
                <w:rFonts w:cs="Times New Roman"/>
                <w:b/>
                <w:bCs/>
                <w:sz w:val="22"/>
              </w:rPr>
            </w:pPr>
            <w:r w:rsidRPr="00DC30EE">
              <w:rPr>
                <w:rFonts w:cs="Times New Roman"/>
                <w:b/>
                <w:bCs/>
                <w:sz w:val="22"/>
              </w:rPr>
              <w:t>Solution implemented</w:t>
            </w:r>
          </w:p>
        </w:tc>
      </w:tr>
      <w:tr w:rsidR="00DC30EE" w:rsidRPr="00DC30EE" w14:paraId="2B720917" w14:textId="77777777" w:rsidTr="003C3FFF">
        <w:tc>
          <w:tcPr>
            <w:tcW w:w="3261" w:type="dxa"/>
          </w:tcPr>
          <w:p w14:paraId="141DCE28" w14:textId="77777777" w:rsidR="00DC30EE" w:rsidRPr="00DC30EE" w:rsidRDefault="00DC30EE" w:rsidP="00DC30EE">
            <w:pPr>
              <w:spacing w:before="0" w:after="0"/>
              <w:rPr>
                <w:rFonts w:cs="Times New Roman"/>
                <w:sz w:val="20"/>
                <w:szCs w:val="20"/>
              </w:rPr>
            </w:pPr>
            <w:r w:rsidRPr="00DC30EE">
              <w:rPr>
                <w:rFonts w:cs="Times New Roman"/>
                <w:sz w:val="20"/>
                <w:szCs w:val="20"/>
              </w:rPr>
              <w:t xml:space="preserve">Screening by practice staff following database search to exclude ineligible participants </w:t>
            </w:r>
            <w:proofErr w:type="gramStart"/>
            <w:r w:rsidRPr="00DC30EE">
              <w:rPr>
                <w:rFonts w:cs="Times New Roman"/>
                <w:sz w:val="20"/>
                <w:szCs w:val="20"/>
              </w:rPr>
              <w:t>on the basis of</w:t>
            </w:r>
            <w:proofErr w:type="gramEnd"/>
            <w:r w:rsidRPr="00DC30EE">
              <w:rPr>
                <w:rFonts w:cs="Times New Roman"/>
                <w:sz w:val="20"/>
                <w:szCs w:val="20"/>
              </w:rPr>
              <w:t>:</w:t>
            </w:r>
          </w:p>
          <w:p w14:paraId="567A9438" w14:textId="77777777" w:rsidR="00DC30EE" w:rsidRPr="00DC30EE" w:rsidRDefault="00DC30EE" w:rsidP="00DC30EE">
            <w:pPr>
              <w:spacing w:before="0" w:after="0"/>
              <w:rPr>
                <w:rFonts w:cs="Times New Roman"/>
                <w:sz w:val="20"/>
                <w:szCs w:val="20"/>
              </w:rPr>
            </w:pPr>
          </w:p>
          <w:p w14:paraId="37951152" w14:textId="77777777" w:rsidR="00DC30EE" w:rsidRPr="00DC30EE" w:rsidRDefault="00DC30EE" w:rsidP="00DC30EE">
            <w:pPr>
              <w:numPr>
                <w:ilvl w:val="0"/>
                <w:numId w:val="21"/>
              </w:numPr>
              <w:spacing w:before="0" w:after="0"/>
              <w:contextualSpacing/>
              <w:rPr>
                <w:rFonts w:cs="Times New Roman"/>
                <w:sz w:val="20"/>
                <w:szCs w:val="20"/>
              </w:rPr>
            </w:pPr>
            <w:r w:rsidRPr="00DC30EE">
              <w:rPr>
                <w:rFonts w:cs="Times New Roman"/>
                <w:sz w:val="20"/>
                <w:szCs w:val="20"/>
              </w:rPr>
              <w:t xml:space="preserve">recorded diagnosis of </w:t>
            </w:r>
            <w:proofErr w:type="gramStart"/>
            <w:r w:rsidRPr="00DC30EE">
              <w:rPr>
                <w:rFonts w:cs="Times New Roman"/>
                <w:sz w:val="20"/>
                <w:szCs w:val="20"/>
              </w:rPr>
              <w:t>dementia;</w:t>
            </w:r>
            <w:proofErr w:type="gramEnd"/>
            <w:r w:rsidRPr="00DC30EE">
              <w:rPr>
                <w:rFonts w:cs="Times New Roman"/>
                <w:sz w:val="20"/>
                <w:szCs w:val="20"/>
              </w:rPr>
              <w:t xml:space="preserve"> </w:t>
            </w:r>
          </w:p>
          <w:p w14:paraId="6CC63C9F" w14:textId="77777777" w:rsidR="00DC30EE" w:rsidRPr="00DC30EE" w:rsidRDefault="00DC30EE" w:rsidP="00DC30EE">
            <w:pPr>
              <w:numPr>
                <w:ilvl w:val="0"/>
                <w:numId w:val="21"/>
              </w:numPr>
              <w:spacing w:before="0" w:after="0"/>
              <w:contextualSpacing/>
              <w:rPr>
                <w:rFonts w:cs="Times New Roman"/>
                <w:sz w:val="20"/>
                <w:szCs w:val="20"/>
              </w:rPr>
            </w:pPr>
            <w:r w:rsidRPr="00DC30EE">
              <w:rPr>
                <w:rFonts w:cs="Times New Roman"/>
                <w:sz w:val="20"/>
                <w:szCs w:val="20"/>
              </w:rPr>
              <w:t>diagnosis of a serious mental illness (</w:t>
            </w:r>
            <w:proofErr w:type="gramStart"/>
            <w:r w:rsidRPr="00DC30EE">
              <w:rPr>
                <w:rFonts w:cs="Times New Roman"/>
                <w:sz w:val="20"/>
                <w:szCs w:val="20"/>
              </w:rPr>
              <w:t>e.g.</w:t>
            </w:r>
            <w:proofErr w:type="gramEnd"/>
            <w:r w:rsidRPr="00DC30EE">
              <w:rPr>
                <w:rFonts w:cs="Times New Roman"/>
                <w:sz w:val="20"/>
                <w:szCs w:val="20"/>
              </w:rPr>
              <w:t xml:space="preserve"> schizophrenia, major uncontrolled depression); </w:t>
            </w:r>
          </w:p>
          <w:p w14:paraId="0C1084B2" w14:textId="77777777" w:rsidR="00DC30EE" w:rsidRPr="00DC30EE" w:rsidRDefault="00DC30EE" w:rsidP="00DC30EE">
            <w:pPr>
              <w:numPr>
                <w:ilvl w:val="0"/>
                <w:numId w:val="21"/>
              </w:numPr>
              <w:spacing w:before="0" w:after="0"/>
              <w:contextualSpacing/>
              <w:rPr>
                <w:rFonts w:cs="Times New Roman"/>
                <w:sz w:val="20"/>
                <w:szCs w:val="20"/>
              </w:rPr>
            </w:pPr>
            <w:r w:rsidRPr="00DC30EE">
              <w:rPr>
                <w:rFonts w:cs="Times New Roman"/>
                <w:sz w:val="20"/>
                <w:szCs w:val="20"/>
              </w:rPr>
              <w:t xml:space="preserve">being terminally ill/ in receipt of palliative </w:t>
            </w:r>
            <w:proofErr w:type="gramStart"/>
            <w:r w:rsidRPr="00DC30EE">
              <w:rPr>
                <w:rFonts w:cs="Times New Roman"/>
                <w:sz w:val="20"/>
                <w:szCs w:val="20"/>
              </w:rPr>
              <w:t>care;</w:t>
            </w:r>
            <w:proofErr w:type="gramEnd"/>
            <w:r w:rsidRPr="00DC30EE">
              <w:rPr>
                <w:rFonts w:cs="Times New Roman"/>
                <w:sz w:val="20"/>
                <w:szCs w:val="20"/>
              </w:rPr>
              <w:t xml:space="preserve"> </w:t>
            </w:r>
          </w:p>
          <w:p w14:paraId="70BF478D" w14:textId="77777777" w:rsidR="00DC30EE" w:rsidRPr="00DC30EE" w:rsidRDefault="00DC30EE" w:rsidP="00DC30EE">
            <w:pPr>
              <w:numPr>
                <w:ilvl w:val="0"/>
                <w:numId w:val="21"/>
              </w:numPr>
              <w:spacing w:before="0" w:after="0"/>
              <w:contextualSpacing/>
              <w:rPr>
                <w:rFonts w:cs="Times New Roman"/>
                <w:sz w:val="20"/>
                <w:szCs w:val="20"/>
              </w:rPr>
            </w:pPr>
            <w:r w:rsidRPr="00DC30EE">
              <w:rPr>
                <w:rFonts w:cs="Times New Roman"/>
                <w:sz w:val="20"/>
                <w:szCs w:val="20"/>
              </w:rPr>
              <w:lastRenderedPageBreak/>
              <w:t xml:space="preserve">someone else within their household already being invited to participate in the </w:t>
            </w:r>
            <w:proofErr w:type="gramStart"/>
            <w:r w:rsidRPr="00DC30EE">
              <w:rPr>
                <w:rFonts w:cs="Times New Roman"/>
                <w:sz w:val="20"/>
                <w:szCs w:val="20"/>
              </w:rPr>
              <w:t>study;</w:t>
            </w:r>
            <w:proofErr w:type="gramEnd"/>
            <w:r w:rsidRPr="00DC30EE">
              <w:rPr>
                <w:rFonts w:cs="Times New Roman"/>
                <w:sz w:val="20"/>
                <w:szCs w:val="20"/>
              </w:rPr>
              <w:t xml:space="preserve"> </w:t>
            </w:r>
          </w:p>
          <w:p w14:paraId="7528D079" w14:textId="77777777" w:rsidR="00DC30EE" w:rsidRPr="00DC30EE" w:rsidRDefault="00DC30EE" w:rsidP="00DC30EE">
            <w:pPr>
              <w:numPr>
                <w:ilvl w:val="0"/>
                <w:numId w:val="21"/>
              </w:numPr>
              <w:spacing w:before="0" w:after="0"/>
              <w:contextualSpacing/>
              <w:rPr>
                <w:rFonts w:cs="Times New Roman"/>
                <w:sz w:val="20"/>
                <w:szCs w:val="20"/>
              </w:rPr>
            </w:pPr>
            <w:r w:rsidRPr="00DC30EE">
              <w:rPr>
                <w:rFonts w:cs="Times New Roman"/>
                <w:sz w:val="20"/>
                <w:szCs w:val="20"/>
              </w:rPr>
              <w:t xml:space="preserve">any other reason the GP felt a specific participant was ineligible </w:t>
            </w:r>
          </w:p>
        </w:tc>
        <w:tc>
          <w:tcPr>
            <w:tcW w:w="3543" w:type="dxa"/>
          </w:tcPr>
          <w:p w14:paraId="39D2B3A9" w14:textId="77777777" w:rsidR="00DC30EE" w:rsidRPr="00DC30EE" w:rsidRDefault="00DC30EE" w:rsidP="00DC30EE">
            <w:pPr>
              <w:spacing w:before="0" w:after="0"/>
              <w:rPr>
                <w:rFonts w:cs="Times New Roman"/>
                <w:sz w:val="20"/>
                <w:szCs w:val="20"/>
              </w:rPr>
            </w:pPr>
            <w:r w:rsidRPr="00DC30EE">
              <w:rPr>
                <w:rFonts w:cs="Times New Roman"/>
                <w:sz w:val="20"/>
                <w:szCs w:val="20"/>
              </w:rPr>
              <w:lastRenderedPageBreak/>
              <w:t>One practice did not operationalise screening criteria to prevent multiple people per household being invited to participate (to prevent risk of contamination of the control groups should different household members be randomised to different trial arms)</w:t>
            </w:r>
          </w:p>
          <w:p w14:paraId="63431E0E" w14:textId="77777777" w:rsidR="00DC30EE" w:rsidRPr="00DC30EE" w:rsidRDefault="00DC30EE" w:rsidP="00DC30EE">
            <w:pPr>
              <w:spacing w:before="0" w:after="0"/>
              <w:rPr>
                <w:rFonts w:cs="Times New Roman"/>
                <w:sz w:val="20"/>
                <w:szCs w:val="20"/>
              </w:rPr>
            </w:pPr>
          </w:p>
          <w:p w14:paraId="20E4D9C0" w14:textId="77777777" w:rsidR="00DC30EE" w:rsidRPr="00DC30EE" w:rsidRDefault="00DC30EE" w:rsidP="00DC30EE">
            <w:pPr>
              <w:spacing w:before="0" w:after="0"/>
              <w:rPr>
                <w:rFonts w:cs="Times New Roman"/>
                <w:sz w:val="20"/>
                <w:szCs w:val="20"/>
              </w:rPr>
            </w:pPr>
            <w:r w:rsidRPr="00DC30EE">
              <w:rPr>
                <w:rFonts w:cs="Times New Roman"/>
                <w:sz w:val="20"/>
                <w:szCs w:val="20"/>
              </w:rPr>
              <w:t xml:space="preserve">One practice reported concerns about operationalising ‘one participant per household’ criteria in terms of having to field calls from patients who didn’t </w:t>
            </w:r>
            <w:r w:rsidRPr="00DC30EE">
              <w:rPr>
                <w:rFonts w:cs="Times New Roman"/>
                <w:sz w:val="20"/>
                <w:szCs w:val="20"/>
              </w:rPr>
              <w:lastRenderedPageBreak/>
              <w:t>understand why they, but not their spouse, had been invited (or vice versa).</w:t>
            </w:r>
          </w:p>
        </w:tc>
        <w:tc>
          <w:tcPr>
            <w:tcW w:w="3686" w:type="dxa"/>
          </w:tcPr>
          <w:p w14:paraId="06826C5A" w14:textId="77777777" w:rsidR="00DC30EE" w:rsidRPr="00DC30EE" w:rsidRDefault="00DC30EE" w:rsidP="00DC30EE">
            <w:pPr>
              <w:spacing w:before="0" w:after="0"/>
              <w:rPr>
                <w:rFonts w:cs="Times New Roman"/>
                <w:sz w:val="20"/>
                <w:szCs w:val="20"/>
              </w:rPr>
            </w:pPr>
            <w:r w:rsidRPr="00DC30EE">
              <w:rPr>
                <w:rFonts w:cs="Times New Roman"/>
                <w:sz w:val="20"/>
                <w:szCs w:val="20"/>
              </w:rPr>
              <w:lastRenderedPageBreak/>
              <w:t>We modified the instruction documentation for practices to ensure this was clearer and members of the trial management team reiterated this point in email or verbal communication with practices during their setup.</w:t>
            </w:r>
          </w:p>
          <w:p w14:paraId="548364C1" w14:textId="77777777" w:rsidR="00DC30EE" w:rsidRPr="00DC30EE" w:rsidRDefault="00DC30EE" w:rsidP="00DC30EE">
            <w:pPr>
              <w:spacing w:before="0" w:after="0"/>
              <w:rPr>
                <w:rFonts w:cs="Times New Roman"/>
                <w:sz w:val="20"/>
                <w:szCs w:val="20"/>
              </w:rPr>
            </w:pPr>
          </w:p>
          <w:p w14:paraId="4FBD1275" w14:textId="77777777" w:rsidR="00DC30EE" w:rsidRPr="00DC30EE" w:rsidRDefault="00DC30EE" w:rsidP="00DC30EE">
            <w:pPr>
              <w:spacing w:before="0" w:after="0"/>
              <w:rPr>
                <w:rFonts w:cs="Times New Roman"/>
                <w:sz w:val="20"/>
                <w:szCs w:val="20"/>
              </w:rPr>
            </w:pPr>
          </w:p>
          <w:p w14:paraId="237A043F" w14:textId="77777777" w:rsidR="00DC30EE" w:rsidRPr="00DC30EE" w:rsidRDefault="00DC30EE" w:rsidP="00DC30EE">
            <w:pPr>
              <w:spacing w:before="0" w:after="0"/>
              <w:rPr>
                <w:rFonts w:cs="Times New Roman"/>
                <w:sz w:val="20"/>
                <w:szCs w:val="20"/>
              </w:rPr>
            </w:pPr>
          </w:p>
          <w:p w14:paraId="1B01B463" w14:textId="77777777" w:rsidR="00DC30EE" w:rsidRPr="00DC30EE" w:rsidRDefault="00DC30EE" w:rsidP="00DC30EE">
            <w:pPr>
              <w:spacing w:before="0" w:after="0"/>
              <w:rPr>
                <w:rFonts w:cs="Times New Roman"/>
                <w:sz w:val="20"/>
                <w:szCs w:val="20"/>
              </w:rPr>
            </w:pPr>
            <w:r w:rsidRPr="00DC30EE">
              <w:rPr>
                <w:rFonts w:cs="Times New Roman"/>
                <w:sz w:val="20"/>
                <w:szCs w:val="20"/>
              </w:rPr>
              <w:t xml:space="preserve">We modified our recruitment materials to make it clearer that only one person per household </w:t>
            </w:r>
            <w:proofErr w:type="gramStart"/>
            <w:r w:rsidRPr="00DC30EE">
              <w:rPr>
                <w:rFonts w:cs="Times New Roman"/>
                <w:sz w:val="20"/>
                <w:szCs w:val="20"/>
              </w:rPr>
              <w:t>is able to</w:t>
            </w:r>
            <w:proofErr w:type="gramEnd"/>
            <w:r w:rsidRPr="00DC30EE">
              <w:rPr>
                <w:rFonts w:cs="Times New Roman"/>
                <w:sz w:val="20"/>
                <w:szCs w:val="20"/>
              </w:rPr>
              <w:t xml:space="preserve"> participate and that, </w:t>
            </w:r>
            <w:r w:rsidRPr="00DC30EE">
              <w:rPr>
                <w:rFonts w:cs="Times New Roman"/>
                <w:sz w:val="20"/>
                <w:szCs w:val="20"/>
              </w:rPr>
              <w:lastRenderedPageBreak/>
              <w:t xml:space="preserve">where both may be eligible, the invitee was chosen at random. </w:t>
            </w:r>
          </w:p>
        </w:tc>
      </w:tr>
      <w:tr w:rsidR="00DC30EE" w:rsidRPr="00DC30EE" w14:paraId="18E89B04" w14:textId="77777777" w:rsidTr="003C3FFF">
        <w:tc>
          <w:tcPr>
            <w:tcW w:w="3261" w:type="dxa"/>
          </w:tcPr>
          <w:p w14:paraId="50D38A00" w14:textId="77777777" w:rsidR="00DC30EE" w:rsidRPr="00DC30EE" w:rsidRDefault="00DC30EE" w:rsidP="00DC30EE">
            <w:pPr>
              <w:spacing w:before="0" w:after="0"/>
              <w:rPr>
                <w:rFonts w:cs="Times New Roman"/>
                <w:sz w:val="20"/>
                <w:szCs w:val="20"/>
              </w:rPr>
            </w:pPr>
            <w:r w:rsidRPr="00DC30EE">
              <w:rPr>
                <w:rFonts w:cs="Times New Roman"/>
                <w:sz w:val="20"/>
                <w:szCs w:val="20"/>
              </w:rPr>
              <w:lastRenderedPageBreak/>
              <w:t>Participant-completed online screening questions on the Active Brains website to screen out ineligible invitees:</w:t>
            </w:r>
          </w:p>
          <w:p w14:paraId="5E620940" w14:textId="77777777" w:rsidR="00DC30EE" w:rsidRPr="00DC30EE" w:rsidRDefault="00DC30EE" w:rsidP="00DC30EE">
            <w:pPr>
              <w:spacing w:before="0" w:after="0"/>
              <w:rPr>
                <w:rFonts w:cs="Times New Roman"/>
                <w:sz w:val="20"/>
                <w:szCs w:val="20"/>
              </w:rPr>
            </w:pPr>
          </w:p>
          <w:p w14:paraId="7209C1A0" w14:textId="0DF59F1F" w:rsidR="00DC30EE" w:rsidRPr="00DC30EE" w:rsidRDefault="00DC30EE" w:rsidP="00DC30EE">
            <w:pPr>
              <w:numPr>
                <w:ilvl w:val="0"/>
                <w:numId w:val="22"/>
              </w:numPr>
              <w:spacing w:before="0" w:after="0"/>
              <w:contextualSpacing/>
              <w:rPr>
                <w:rFonts w:cs="Times New Roman"/>
                <w:sz w:val="20"/>
                <w:szCs w:val="20"/>
              </w:rPr>
            </w:pPr>
            <w:r w:rsidRPr="00DC30EE">
              <w:rPr>
                <w:rFonts w:cs="Times New Roman"/>
                <w:sz w:val="20"/>
                <w:szCs w:val="20"/>
              </w:rPr>
              <w:t>Godin Leisure Time Exercise Questionnaire (GLTEC</w:t>
            </w:r>
            <w:r w:rsidR="002A6F80" w:rsidRPr="002A6F80">
              <w:rPr>
                <w:rFonts w:cs="Times New Roman"/>
                <w:sz w:val="20"/>
                <w:szCs w:val="20"/>
              </w:rPr>
              <w:t xml:space="preserve"> (1))</w:t>
            </w:r>
            <w:r w:rsidRPr="00DC30EE">
              <w:rPr>
                <w:rFonts w:cs="Times New Roman"/>
                <w:sz w:val="20"/>
                <w:szCs w:val="20"/>
              </w:rPr>
              <w:t xml:space="preserve"> to assess baseline physical activity. Participants scoring &gt;30 were identified as ‘highly physically active’ and excluded in line with previously applied thresholds (</w:t>
            </w:r>
            <w:r w:rsidR="002A6F80" w:rsidRPr="002A6F80">
              <w:rPr>
                <w:rFonts w:cs="Times New Roman"/>
                <w:sz w:val="20"/>
                <w:szCs w:val="20"/>
              </w:rPr>
              <w:t>2</w:t>
            </w:r>
            <w:proofErr w:type="gramStart"/>
            <w:r w:rsidRPr="00DC30EE">
              <w:rPr>
                <w:rFonts w:cs="Times New Roman"/>
                <w:sz w:val="20"/>
                <w:szCs w:val="20"/>
              </w:rPr>
              <w:t>);</w:t>
            </w:r>
            <w:proofErr w:type="gramEnd"/>
          </w:p>
          <w:p w14:paraId="7B560E1C" w14:textId="77777777" w:rsidR="00DC30EE" w:rsidRPr="00DC30EE" w:rsidRDefault="00DC30EE" w:rsidP="00DC30EE">
            <w:pPr>
              <w:numPr>
                <w:ilvl w:val="0"/>
                <w:numId w:val="22"/>
              </w:numPr>
              <w:spacing w:before="0" w:after="0"/>
              <w:contextualSpacing/>
              <w:rPr>
                <w:rFonts w:cs="Times New Roman"/>
                <w:sz w:val="20"/>
                <w:szCs w:val="20"/>
              </w:rPr>
            </w:pPr>
            <w:r w:rsidRPr="00DC30EE">
              <w:rPr>
                <w:rFonts w:cs="Times New Roman"/>
                <w:sz w:val="20"/>
                <w:szCs w:val="20"/>
              </w:rPr>
              <w:t xml:space="preserve">confirmation of </w:t>
            </w:r>
            <w:proofErr w:type="gramStart"/>
            <w:r w:rsidRPr="00DC30EE">
              <w:rPr>
                <w:rFonts w:cs="Times New Roman"/>
                <w:sz w:val="20"/>
                <w:szCs w:val="20"/>
              </w:rPr>
              <w:t>age;</w:t>
            </w:r>
            <w:proofErr w:type="gramEnd"/>
            <w:r w:rsidRPr="00DC30EE">
              <w:rPr>
                <w:rFonts w:cs="Times New Roman"/>
                <w:sz w:val="20"/>
                <w:szCs w:val="20"/>
              </w:rPr>
              <w:t xml:space="preserve"> </w:t>
            </w:r>
          </w:p>
          <w:p w14:paraId="2F683319" w14:textId="77777777" w:rsidR="00DC30EE" w:rsidRPr="00DC30EE" w:rsidRDefault="00DC30EE" w:rsidP="00DC30EE">
            <w:pPr>
              <w:numPr>
                <w:ilvl w:val="0"/>
                <w:numId w:val="22"/>
              </w:numPr>
              <w:spacing w:before="0" w:after="0"/>
              <w:contextualSpacing/>
              <w:rPr>
                <w:rFonts w:cs="Times New Roman"/>
                <w:sz w:val="20"/>
                <w:szCs w:val="20"/>
              </w:rPr>
            </w:pPr>
            <w:r w:rsidRPr="00DC30EE">
              <w:rPr>
                <w:rFonts w:cs="Times New Roman"/>
                <w:sz w:val="20"/>
                <w:szCs w:val="20"/>
              </w:rPr>
              <w:t xml:space="preserve">dementia diagnosis </w:t>
            </w:r>
            <w:proofErr w:type="gramStart"/>
            <w:r w:rsidRPr="00DC30EE">
              <w:rPr>
                <w:rFonts w:cs="Times New Roman"/>
                <w:sz w:val="20"/>
                <w:szCs w:val="20"/>
              </w:rPr>
              <w:t>status;</w:t>
            </w:r>
            <w:proofErr w:type="gramEnd"/>
            <w:r w:rsidRPr="00DC30EE">
              <w:rPr>
                <w:rFonts w:cs="Times New Roman"/>
                <w:sz w:val="20"/>
                <w:szCs w:val="20"/>
              </w:rPr>
              <w:t xml:space="preserve"> </w:t>
            </w:r>
          </w:p>
          <w:p w14:paraId="4B7D015A" w14:textId="77777777" w:rsidR="00DC30EE" w:rsidRPr="00DC30EE" w:rsidRDefault="00DC30EE" w:rsidP="00DC30EE">
            <w:pPr>
              <w:numPr>
                <w:ilvl w:val="0"/>
                <w:numId w:val="22"/>
              </w:numPr>
              <w:spacing w:before="0" w:after="0"/>
              <w:contextualSpacing/>
              <w:rPr>
                <w:rFonts w:cs="Times New Roman"/>
                <w:sz w:val="20"/>
                <w:szCs w:val="20"/>
              </w:rPr>
            </w:pPr>
            <w:r w:rsidRPr="00DC30EE">
              <w:rPr>
                <w:rFonts w:cs="Times New Roman"/>
                <w:sz w:val="20"/>
                <w:szCs w:val="20"/>
              </w:rPr>
              <w:t xml:space="preserve">participation in any other intervention studies. </w:t>
            </w:r>
          </w:p>
          <w:p w14:paraId="15A9A72D" w14:textId="77777777" w:rsidR="00DC30EE" w:rsidRPr="00DC30EE" w:rsidRDefault="00DC30EE" w:rsidP="00DC30EE">
            <w:pPr>
              <w:spacing w:before="0" w:after="0"/>
              <w:rPr>
                <w:rFonts w:cs="Times New Roman"/>
                <w:sz w:val="20"/>
                <w:szCs w:val="20"/>
              </w:rPr>
            </w:pPr>
          </w:p>
        </w:tc>
        <w:tc>
          <w:tcPr>
            <w:tcW w:w="3543" w:type="dxa"/>
          </w:tcPr>
          <w:p w14:paraId="287F15C8" w14:textId="31EB0930" w:rsidR="00DC30EE" w:rsidRPr="00DC30EE" w:rsidRDefault="00DC30EE" w:rsidP="00DC30EE">
            <w:pPr>
              <w:spacing w:before="0" w:after="0"/>
              <w:rPr>
                <w:rFonts w:cs="Times New Roman"/>
                <w:sz w:val="20"/>
                <w:szCs w:val="20"/>
              </w:rPr>
            </w:pPr>
            <w:r w:rsidRPr="00DC30EE">
              <w:rPr>
                <w:rFonts w:cs="Times New Roman"/>
                <w:sz w:val="20"/>
                <w:szCs w:val="20"/>
              </w:rPr>
              <w:t xml:space="preserve">Based on our International Physical Activity Questionnaire (brief version for older adults – IPAQ- E; </w:t>
            </w:r>
            <w:r w:rsidR="002A6F80" w:rsidRPr="002A6F80">
              <w:rPr>
                <w:rFonts w:cs="Times New Roman"/>
                <w:sz w:val="20"/>
                <w:szCs w:val="20"/>
              </w:rPr>
              <w:t>(3)</w:t>
            </w:r>
            <w:r w:rsidRPr="00DC30EE">
              <w:rPr>
                <w:rFonts w:cs="Times New Roman"/>
                <w:sz w:val="20"/>
                <w:szCs w:val="20"/>
              </w:rPr>
              <w:t xml:space="preserve">) and qualitative process data, our samples appeared to include individuals who reported high levels of physically activity at baseline when these individuals should have been screened out. </w:t>
            </w:r>
          </w:p>
          <w:p w14:paraId="2E73687B" w14:textId="77777777" w:rsidR="00DC30EE" w:rsidRPr="00DC30EE" w:rsidRDefault="00DC30EE" w:rsidP="00DC30EE">
            <w:pPr>
              <w:spacing w:before="0" w:after="0"/>
              <w:rPr>
                <w:rFonts w:cs="Times New Roman"/>
                <w:sz w:val="20"/>
                <w:szCs w:val="20"/>
              </w:rPr>
            </w:pPr>
          </w:p>
          <w:p w14:paraId="1C7C13D2" w14:textId="77777777" w:rsidR="00DC30EE" w:rsidRPr="00DC30EE" w:rsidRDefault="00DC30EE" w:rsidP="00DC30EE">
            <w:pPr>
              <w:spacing w:before="0" w:after="0"/>
              <w:rPr>
                <w:rFonts w:cs="Times New Roman"/>
                <w:sz w:val="20"/>
                <w:szCs w:val="20"/>
              </w:rPr>
            </w:pPr>
            <w:r w:rsidRPr="00DC30EE">
              <w:rPr>
                <w:rFonts w:cs="Times New Roman"/>
                <w:sz w:val="20"/>
                <w:szCs w:val="20"/>
              </w:rPr>
              <w:t>Could imply a failure of the GLTEQ to identify highly active individuals (despite successfully screening out 267</w:t>
            </w:r>
            <w:proofErr w:type="gramStart"/>
            <w:r w:rsidRPr="00DC30EE">
              <w:rPr>
                <w:rFonts w:cs="Times New Roman"/>
                <w:sz w:val="20"/>
                <w:szCs w:val="20"/>
              </w:rPr>
              <w:t xml:space="preserve">), </w:t>
            </w:r>
            <w:r w:rsidRPr="00DC30EE">
              <w:rPr>
                <w:rFonts w:cs="Times New Roman"/>
                <w:sz w:val="20"/>
                <w:szCs w:val="20"/>
                <w:u w:val="single"/>
              </w:rPr>
              <w:t>or</w:t>
            </w:r>
            <w:proofErr w:type="gramEnd"/>
            <w:r w:rsidRPr="00DC30EE">
              <w:rPr>
                <w:rFonts w:cs="Times New Roman"/>
                <w:sz w:val="20"/>
                <w:szCs w:val="20"/>
              </w:rPr>
              <w:t xml:space="preserve"> might demonstrate participant over-reporting of physical activity on the IPAQ-E measure, </w:t>
            </w:r>
            <w:r w:rsidRPr="00DC30EE">
              <w:rPr>
                <w:rFonts w:cs="Times New Roman"/>
                <w:sz w:val="20"/>
                <w:szCs w:val="20"/>
                <w:u w:val="single"/>
              </w:rPr>
              <w:t>or</w:t>
            </w:r>
            <w:r w:rsidRPr="00DC30EE">
              <w:rPr>
                <w:rFonts w:cs="Times New Roman"/>
                <w:sz w:val="20"/>
                <w:szCs w:val="20"/>
              </w:rPr>
              <w:t xml:space="preserve"> possibly a combination of the two.</w:t>
            </w:r>
          </w:p>
          <w:p w14:paraId="5F1130A9" w14:textId="77777777" w:rsidR="00DC30EE" w:rsidRPr="00DC30EE" w:rsidRDefault="00DC30EE" w:rsidP="00DC30EE">
            <w:pPr>
              <w:spacing w:before="0" w:after="0"/>
              <w:rPr>
                <w:rFonts w:cs="Times New Roman"/>
                <w:sz w:val="20"/>
                <w:szCs w:val="20"/>
              </w:rPr>
            </w:pPr>
          </w:p>
        </w:tc>
        <w:tc>
          <w:tcPr>
            <w:tcW w:w="3686" w:type="dxa"/>
          </w:tcPr>
          <w:p w14:paraId="3184A746" w14:textId="77777777" w:rsidR="00DC30EE" w:rsidRPr="00DC30EE" w:rsidRDefault="00DC30EE" w:rsidP="00DC30EE">
            <w:pPr>
              <w:spacing w:before="0" w:after="0"/>
              <w:rPr>
                <w:rFonts w:cs="Times New Roman"/>
                <w:sz w:val="20"/>
                <w:szCs w:val="20"/>
              </w:rPr>
            </w:pPr>
            <w:r w:rsidRPr="00DC30EE">
              <w:rPr>
                <w:rFonts w:cs="Times New Roman"/>
                <w:sz w:val="20"/>
                <w:szCs w:val="20"/>
              </w:rPr>
              <w:t xml:space="preserve">We discussed replacing either or </w:t>
            </w:r>
            <w:proofErr w:type="gramStart"/>
            <w:r w:rsidRPr="00DC30EE">
              <w:rPr>
                <w:rFonts w:cs="Times New Roman"/>
                <w:sz w:val="20"/>
                <w:szCs w:val="20"/>
              </w:rPr>
              <w:t>both of these</w:t>
            </w:r>
            <w:proofErr w:type="gramEnd"/>
            <w:r w:rsidRPr="00DC30EE">
              <w:rPr>
                <w:rFonts w:cs="Times New Roman"/>
                <w:sz w:val="20"/>
                <w:szCs w:val="20"/>
              </w:rPr>
              <w:t xml:space="preserve"> self-report tools, but opted not to for several reasons:</w:t>
            </w:r>
          </w:p>
          <w:p w14:paraId="49120724" w14:textId="77777777" w:rsidR="00DC30EE" w:rsidRPr="00DC30EE" w:rsidRDefault="00DC30EE" w:rsidP="00DC30EE">
            <w:pPr>
              <w:spacing w:before="0" w:after="0"/>
              <w:rPr>
                <w:rFonts w:cs="Times New Roman"/>
                <w:sz w:val="20"/>
                <w:szCs w:val="20"/>
              </w:rPr>
            </w:pPr>
          </w:p>
          <w:p w14:paraId="53A8BA55" w14:textId="77777777" w:rsidR="00DC30EE" w:rsidRPr="00DC30EE" w:rsidRDefault="00DC30EE" w:rsidP="00DC30EE">
            <w:pPr>
              <w:numPr>
                <w:ilvl w:val="0"/>
                <w:numId w:val="23"/>
              </w:numPr>
              <w:spacing w:before="0" w:after="0"/>
              <w:contextualSpacing/>
              <w:rPr>
                <w:rFonts w:cs="Times New Roman"/>
                <w:sz w:val="20"/>
                <w:szCs w:val="20"/>
              </w:rPr>
            </w:pPr>
            <w:r w:rsidRPr="00DC30EE">
              <w:rPr>
                <w:rFonts w:cs="Times New Roman"/>
                <w:sz w:val="20"/>
                <w:szCs w:val="20"/>
              </w:rPr>
              <w:t xml:space="preserve">Without sufficient funds for objective monitoring of physical activity in such a large sample, we were reliant on self-report measures. </w:t>
            </w:r>
          </w:p>
          <w:p w14:paraId="0B0128F2" w14:textId="77777777" w:rsidR="00DC30EE" w:rsidRPr="00DC30EE" w:rsidRDefault="00DC30EE" w:rsidP="00DC30EE">
            <w:pPr>
              <w:numPr>
                <w:ilvl w:val="0"/>
                <w:numId w:val="23"/>
              </w:numPr>
              <w:spacing w:before="0" w:after="0"/>
              <w:contextualSpacing/>
              <w:rPr>
                <w:rFonts w:cs="Times New Roman"/>
                <w:sz w:val="20"/>
                <w:szCs w:val="20"/>
              </w:rPr>
            </w:pPr>
            <w:r w:rsidRPr="00DC30EE">
              <w:rPr>
                <w:rFonts w:cs="Times New Roman"/>
                <w:sz w:val="20"/>
                <w:szCs w:val="20"/>
              </w:rPr>
              <w:t xml:space="preserve">GLTEQ intentionally chosen as a short and simple measure that could be used for screening, whereas IPAQ-E deemed to have greater granularity to allow identification of small changes in physical activity  – both factors remained important. </w:t>
            </w:r>
          </w:p>
          <w:p w14:paraId="468C8C21" w14:textId="59F11CCC" w:rsidR="00DC30EE" w:rsidRPr="00DC30EE" w:rsidRDefault="00DC30EE" w:rsidP="00DC30EE">
            <w:pPr>
              <w:numPr>
                <w:ilvl w:val="0"/>
                <w:numId w:val="23"/>
              </w:numPr>
              <w:spacing w:before="0" w:after="0"/>
              <w:contextualSpacing/>
              <w:rPr>
                <w:rFonts w:cs="Times New Roman"/>
                <w:sz w:val="20"/>
                <w:szCs w:val="20"/>
              </w:rPr>
            </w:pPr>
            <w:r w:rsidRPr="00DC30EE">
              <w:rPr>
                <w:rFonts w:cs="Times New Roman"/>
                <w:sz w:val="20"/>
                <w:szCs w:val="20"/>
              </w:rPr>
              <w:t>Over-estimation/ over-reporting of physical activity behaviour is well recognised (</w:t>
            </w:r>
            <w:r w:rsidR="002A6F80" w:rsidRPr="002A6F80">
              <w:rPr>
                <w:rFonts w:cs="Times New Roman"/>
                <w:sz w:val="20"/>
                <w:szCs w:val="20"/>
              </w:rPr>
              <w:t>4</w:t>
            </w:r>
            <w:r w:rsidRPr="00DC30EE">
              <w:rPr>
                <w:rFonts w:cs="Times New Roman"/>
                <w:sz w:val="20"/>
                <w:szCs w:val="20"/>
              </w:rPr>
              <w:t>). As such, we considered it better to continue to be potentially over-inclusive of higher physical activity levels when these may often be over-estimated, rather than exclude those who may potentially benefit.</w:t>
            </w:r>
          </w:p>
        </w:tc>
      </w:tr>
      <w:tr w:rsidR="00DC30EE" w:rsidRPr="00DC30EE" w14:paraId="0D2F518A" w14:textId="77777777" w:rsidTr="003C3FFF">
        <w:tc>
          <w:tcPr>
            <w:tcW w:w="3261" w:type="dxa"/>
          </w:tcPr>
          <w:p w14:paraId="2E8FB7CE" w14:textId="77777777" w:rsidR="00DC30EE" w:rsidRPr="00DC30EE" w:rsidRDefault="00DC30EE" w:rsidP="00DC30EE">
            <w:pPr>
              <w:spacing w:before="0" w:after="0"/>
              <w:rPr>
                <w:rFonts w:cs="Times New Roman"/>
                <w:sz w:val="20"/>
                <w:szCs w:val="20"/>
              </w:rPr>
            </w:pPr>
            <w:r w:rsidRPr="00DC30EE">
              <w:rPr>
                <w:rFonts w:cs="Times New Roman"/>
                <w:sz w:val="20"/>
                <w:szCs w:val="20"/>
              </w:rPr>
              <w:t>Baddeley verbal reasoning task to determine eligibility for either the ‘lower cognitive score’ or ‘higher cognitive score’ trial</w:t>
            </w:r>
          </w:p>
        </w:tc>
        <w:tc>
          <w:tcPr>
            <w:tcW w:w="3543" w:type="dxa"/>
          </w:tcPr>
          <w:p w14:paraId="5A8B1B06" w14:textId="77777777" w:rsidR="00DC30EE" w:rsidRPr="00DC30EE" w:rsidRDefault="00DC30EE" w:rsidP="00DC30EE">
            <w:pPr>
              <w:spacing w:before="0" w:after="0"/>
              <w:rPr>
                <w:rFonts w:cs="Times New Roman"/>
                <w:sz w:val="20"/>
                <w:szCs w:val="20"/>
              </w:rPr>
            </w:pPr>
            <w:r w:rsidRPr="00DC30EE">
              <w:rPr>
                <w:rFonts w:cs="Times New Roman"/>
                <w:sz w:val="20"/>
                <w:szCs w:val="20"/>
              </w:rPr>
              <w:t>Online message presented to individuals meeting the criteria for ‘lower cognitive score’ trial designed to inform them that whilst their score on this occasion was slightly below the average that this should not, on its own, be cause for alarm and that there may be many other reasons for this.</w:t>
            </w:r>
          </w:p>
          <w:p w14:paraId="25989012" w14:textId="77777777" w:rsidR="00DC30EE" w:rsidRPr="00DC30EE" w:rsidRDefault="00DC30EE" w:rsidP="00DC30EE">
            <w:pPr>
              <w:spacing w:before="0" w:after="0"/>
              <w:rPr>
                <w:rFonts w:cs="Times New Roman"/>
                <w:sz w:val="20"/>
                <w:szCs w:val="20"/>
              </w:rPr>
            </w:pPr>
          </w:p>
          <w:p w14:paraId="68DBC2AD" w14:textId="77777777" w:rsidR="00DC30EE" w:rsidRPr="00DC30EE" w:rsidRDefault="00DC30EE" w:rsidP="00DC30EE">
            <w:pPr>
              <w:spacing w:before="0" w:after="0"/>
              <w:rPr>
                <w:rFonts w:cs="Times New Roman"/>
                <w:sz w:val="20"/>
                <w:szCs w:val="20"/>
              </w:rPr>
            </w:pPr>
            <w:r w:rsidRPr="00DC30EE">
              <w:rPr>
                <w:rFonts w:cs="Times New Roman"/>
                <w:sz w:val="20"/>
                <w:szCs w:val="20"/>
              </w:rPr>
              <w:t xml:space="preserve">Despite this message being carefully developed and piloted, with PPI contributors and participants, feedback from qualitative process interviews and email correspondence from participants indicated that this message was frequently experienced as demotivating, patronising and even slightly concerning. </w:t>
            </w:r>
          </w:p>
        </w:tc>
        <w:tc>
          <w:tcPr>
            <w:tcW w:w="3686" w:type="dxa"/>
          </w:tcPr>
          <w:p w14:paraId="51C85345" w14:textId="77777777" w:rsidR="00DC30EE" w:rsidRPr="00DC30EE" w:rsidRDefault="00DC30EE" w:rsidP="00DC30EE">
            <w:pPr>
              <w:spacing w:before="0" w:after="0"/>
              <w:rPr>
                <w:rFonts w:cs="Times New Roman"/>
                <w:sz w:val="20"/>
                <w:szCs w:val="20"/>
              </w:rPr>
            </w:pPr>
            <w:r w:rsidRPr="00DC30EE">
              <w:rPr>
                <w:rFonts w:cs="Times New Roman"/>
                <w:sz w:val="20"/>
                <w:szCs w:val="20"/>
              </w:rPr>
              <w:t xml:space="preserve">We took the decision to remove this message; those eligible for the ‘lower cognitive score’ trial </w:t>
            </w:r>
            <w:proofErr w:type="gramStart"/>
            <w:r w:rsidRPr="00DC30EE">
              <w:rPr>
                <w:rFonts w:cs="Times New Roman"/>
                <w:sz w:val="20"/>
                <w:szCs w:val="20"/>
              </w:rPr>
              <w:t>are</w:t>
            </w:r>
            <w:proofErr w:type="gramEnd"/>
            <w:r w:rsidRPr="00DC30EE">
              <w:rPr>
                <w:rFonts w:cs="Times New Roman"/>
                <w:sz w:val="20"/>
                <w:szCs w:val="20"/>
              </w:rPr>
              <w:t xml:space="preserve"> no longer informed about their relative lower score on the initial cognitive assessment. However, messages remain throughout the intervention content encouraging individuals to report any ongoing concerns about their cognitive performance to their GP.</w:t>
            </w:r>
          </w:p>
        </w:tc>
      </w:tr>
    </w:tbl>
    <w:p w14:paraId="6B57DBF2" w14:textId="77777777" w:rsidR="00DC30EE" w:rsidRPr="00DC30EE" w:rsidRDefault="00DC30EE" w:rsidP="00DC30EE">
      <w:pPr>
        <w:spacing w:before="0" w:after="160" w:line="259" w:lineRule="auto"/>
        <w:rPr>
          <w:rFonts w:eastAsia="Calibri" w:cs="Times New Roman"/>
          <w:bCs/>
          <w:sz w:val="22"/>
          <w:lang w:val="en-GB"/>
        </w:rPr>
      </w:pPr>
    </w:p>
    <w:p w14:paraId="63BF522A" w14:textId="77777777" w:rsidR="002A6F80" w:rsidRPr="002A6F80" w:rsidRDefault="002A6F80" w:rsidP="002A6F80">
      <w:pPr>
        <w:pStyle w:val="ListParagraph"/>
        <w:numPr>
          <w:ilvl w:val="0"/>
          <w:numId w:val="25"/>
        </w:numPr>
        <w:spacing w:before="240"/>
        <w:rPr>
          <w:sz w:val="20"/>
          <w:szCs w:val="20"/>
        </w:rPr>
      </w:pPr>
      <w:r w:rsidRPr="002A6F80">
        <w:rPr>
          <w:noProof/>
          <w:sz w:val="20"/>
          <w:szCs w:val="20"/>
        </w:rPr>
        <w:t>Shephard R. Godin leisure-time exercise questionnaire. Med Sci Sports Exerc. 1997;29(6):S36-S8.</w:t>
      </w:r>
    </w:p>
    <w:p w14:paraId="249DB153" w14:textId="29433FD0" w:rsidR="00DC30EE" w:rsidRPr="002A6F80" w:rsidRDefault="00DC30EE" w:rsidP="002A6F80">
      <w:pPr>
        <w:pStyle w:val="ListParagraph"/>
        <w:numPr>
          <w:ilvl w:val="0"/>
          <w:numId w:val="25"/>
        </w:numPr>
        <w:spacing w:before="0" w:after="160" w:line="259" w:lineRule="auto"/>
        <w:rPr>
          <w:rFonts w:eastAsia="Calibri"/>
          <w:bCs/>
          <w:sz w:val="20"/>
          <w:szCs w:val="20"/>
          <w:lang w:val="en-GB"/>
        </w:rPr>
      </w:pPr>
      <w:r w:rsidRPr="002A6F80">
        <w:rPr>
          <w:rFonts w:eastAsia="Calibri"/>
          <w:bCs/>
          <w:sz w:val="20"/>
          <w:szCs w:val="20"/>
          <w:lang w:val="en-GB"/>
        </w:rPr>
        <w:t xml:space="preserve">Cooper, A. J. M., </w:t>
      </w:r>
      <w:proofErr w:type="spellStart"/>
      <w:r w:rsidRPr="002A6F80">
        <w:rPr>
          <w:rFonts w:eastAsia="Calibri"/>
          <w:bCs/>
          <w:sz w:val="20"/>
          <w:szCs w:val="20"/>
          <w:lang w:val="en-GB"/>
        </w:rPr>
        <w:t>Dearnley</w:t>
      </w:r>
      <w:proofErr w:type="spellEnd"/>
      <w:r w:rsidRPr="002A6F80">
        <w:rPr>
          <w:rFonts w:eastAsia="Calibri"/>
          <w:bCs/>
          <w:sz w:val="20"/>
          <w:szCs w:val="20"/>
          <w:lang w:val="en-GB"/>
        </w:rPr>
        <w:t xml:space="preserve">, K., Williams, K. M., Sharp, S. J., van </w:t>
      </w:r>
      <w:proofErr w:type="spellStart"/>
      <w:r w:rsidRPr="002A6F80">
        <w:rPr>
          <w:rFonts w:eastAsia="Calibri"/>
          <w:bCs/>
          <w:sz w:val="20"/>
          <w:szCs w:val="20"/>
          <w:lang w:val="en-GB"/>
        </w:rPr>
        <w:t>Sluijs</w:t>
      </w:r>
      <w:proofErr w:type="spellEnd"/>
      <w:r w:rsidRPr="002A6F80">
        <w:rPr>
          <w:rFonts w:eastAsia="Calibri"/>
          <w:bCs/>
          <w:sz w:val="20"/>
          <w:szCs w:val="20"/>
          <w:lang w:val="en-GB"/>
        </w:rPr>
        <w:t>, E. M. F., Brage, S., Sutton, S., &amp; Griffin, S. J. Protocol for Get Moving: a randomised controlled trial to assess the effectiveness of three minimal contact interventions to promote fitness and physical activity in working adults. BMC public health</w:t>
      </w:r>
      <w:r w:rsidR="002A6F80">
        <w:rPr>
          <w:rFonts w:eastAsia="Calibri"/>
          <w:bCs/>
          <w:sz w:val="20"/>
          <w:szCs w:val="20"/>
          <w:lang w:val="en-GB"/>
        </w:rPr>
        <w:t>. 2015;</w:t>
      </w:r>
      <w:r w:rsidRPr="002A6F80">
        <w:rPr>
          <w:rFonts w:eastAsia="Calibri"/>
          <w:bCs/>
          <w:sz w:val="20"/>
          <w:szCs w:val="20"/>
          <w:lang w:val="en-GB"/>
        </w:rPr>
        <w:t xml:space="preserve"> 15(1), 296. </w:t>
      </w:r>
      <w:hyperlink r:id="rId8" w:history="1">
        <w:r w:rsidRPr="002A6F80">
          <w:rPr>
            <w:rFonts w:eastAsia="Calibri"/>
            <w:bCs/>
            <w:color w:val="0563C1"/>
            <w:sz w:val="20"/>
            <w:szCs w:val="20"/>
            <w:u w:val="single"/>
            <w:lang w:val="en-GB"/>
          </w:rPr>
          <w:t>https://doi.org/10.1186/s12889-015-1654-0</w:t>
        </w:r>
      </w:hyperlink>
    </w:p>
    <w:p w14:paraId="5DB0BA71" w14:textId="2F39EE52" w:rsidR="002A6F80" w:rsidRPr="002A6F80" w:rsidRDefault="002A6F80" w:rsidP="002A6F80">
      <w:pPr>
        <w:pStyle w:val="ListParagraph"/>
        <w:numPr>
          <w:ilvl w:val="0"/>
          <w:numId w:val="25"/>
        </w:numPr>
        <w:spacing w:before="0" w:after="160" w:line="259" w:lineRule="auto"/>
        <w:rPr>
          <w:rFonts w:eastAsia="Calibri"/>
          <w:bCs/>
          <w:sz w:val="20"/>
          <w:szCs w:val="20"/>
          <w:lang w:val="en-GB"/>
        </w:rPr>
      </w:pPr>
      <w:r w:rsidRPr="002A6F80">
        <w:rPr>
          <w:noProof/>
          <w:sz w:val="20"/>
          <w:szCs w:val="20"/>
        </w:rPr>
        <w:t>Hurtig-Wennlof A, Hagstromer M, Olsson LA. The International Physical Activity Questionnaire modified for the elderly: aspects of validity and feasibility. Public health nutrition. 2010;13(11):1847-54.</w:t>
      </w:r>
    </w:p>
    <w:p w14:paraId="50A891E5" w14:textId="7CCA9CD4" w:rsidR="00DC30EE" w:rsidRPr="00C3282E" w:rsidRDefault="00DC30EE" w:rsidP="002A6F80">
      <w:pPr>
        <w:pStyle w:val="ListParagraph"/>
        <w:numPr>
          <w:ilvl w:val="0"/>
          <w:numId w:val="25"/>
        </w:numPr>
        <w:spacing w:before="0" w:after="160" w:line="259" w:lineRule="auto"/>
        <w:rPr>
          <w:rFonts w:eastAsia="Calibri"/>
          <w:bCs/>
          <w:sz w:val="20"/>
          <w:szCs w:val="20"/>
          <w:lang w:val="en-GB"/>
        </w:rPr>
      </w:pPr>
      <w:r w:rsidRPr="002A6F80">
        <w:rPr>
          <w:rFonts w:eastAsia="Calibri"/>
          <w:bCs/>
          <w:sz w:val="20"/>
          <w:szCs w:val="20"/>
          <w:lang w:val="en-GB"/>
        </w:rPr>
        <w:lastRenderedPageBreak/>
        <w:t xml:space="preserve">Falck, R. S., McDonald, S. M., Beets, M. W., </w:t>
      </w:r>
      <w:proofErr w:type="spellStart"/>
      <w:r w:rsidRPr="002A6F80">
        <w:rPr>
          <w:rFonts w:eastAsia="Calibri"/>
          <w:bCs/>
          <w:sz w:val="20"/>
          <w:szCs w:val="20"/>
          <w:lang w:val="en-GB"/>
        </w:rPr>
        <w:t>Brazendale</w:t>
      </w:r>
      <w:proofErr w:type="spellEnd"/>
      <w:r w:rsidRPr="002A6F80">
        <w:rPr>
          <w:rFonts w:eastAsia="Calibri"/>
          <w:bCs/>
          <w:sz w:val="20"/>
          <w:szCs w:val="20"/>
          <w:lang w:val="en-GB"/>
        </w:rPr>
        <w:t>, K., &amp; Liu-Ambrose, T. Measurement of physical activity in older adult interventions: a systematic review. Br J Sports Med</w:t>
      </w:r>
      <w:r w:rsidR="002A6F80">
        <w:rPr>
          <w:rFonts w:eastAsia="Calibri"/>
          <w:bCs/>
          <w:sz w:val="20"/>
          <w:szCs w:val="20"/>
          <w:lang w:val="en-GB"/>
        </w:rPr>
        <w:t>. 2016;</w:t>
      </w:r>
      <w:r w:rsidRPr="002A6F80">
        <w:rPr>
          <w:rFonts w:eastAsia="Calibri"/>
          <w:bCs/>
          <w:sz w:val="20"/>
          <w:szCs w:val="20"/>
          <w:lang w:val="en-GB"/>
        </w:rPr>
        <w:t xml:space="preserve"> 50(8), 464-470. </w:t>
      </w:r>
      <w:hyperlink r:id="rId9" w:history="1">
        <w:r w:rsidRPr="002A6F80">
          <w:rPr>
            <w:rFonts w:eastAsia="Calibri"/>
            <w:bCs/>
            <w:color w:val="0563C1"/>
            <w:sz w:val="20"/>
            <w:szCs w:val="20"/>
            <w:u w:val="single"/>
            <w:lang w:val="en-GB"/>
          </w:rPr>
          <w:t>https://doi.org/10.1136/bjsports-2014-094413</w:t>
        </w:r>
      </w:hyperlink>
    </w:p>
    <w:p w14:paraId="03EF7E09" w14:textId="559431E8" w:rsidR="00C3282E" w:rsidRDefault="00DD7B4B" w:rsidP="00C3282E">
      <w:pPr>
        <w:spacing w:before="0" w:after="160" w:line="259" w:lineRule="auto"/>
        <w:rPr>
          <w:rFonts w:eastAsia="Calibri"/>
          <w:b/>
          <w:szCs w:val="24"/>
          <w:lang w:val="en-GB"/>
        </w:rPr>
      </w:pPr>
      <w:r w:rsidRPr="00DB2BC0">
        <w:rPr>
          <w:rFonts w:eastAsia="Calibri"/>
          <w:b/>
          <w:szCs w:val="24"/>
          <w:lang w:val="en-GB"/>
        </w:rPr>
        <w:t>Supplementary</w:t>
      </w:r>
      <w:r w:rsidR="00DB2BC0" w:rsidRPr="00DB2BC0">
        <w:rPr>
          <w:rFonts w:eastAsia="Calibri"/>
          <w:b/>
          <w:szCs w:val="24"/>
          <w:lang w:val="en-GB"/>
        </w:rPr>
        <w:t xml:space="preserve"> table 7 – Main Trial Power Calculations</w:t>
      </w:r>
    </w:p>
    <w:tbl>
      <w:tblPr>
        <w:tblStyle w:val="TableGrid2"/>
        <w:tblW w:w="5000" w:type="pct"/>
        <w:tblLook w:val="04A0" w:firstRow="1" w:lastRow="0" w:firstColumn="1" w:lastColumn="0" w:noHBand="0" w:noVBand="1"/>
      </w:tblPr>
      <w:tblGrid>
        <w:gridCol w:w="1991"/>
        <w:gridCol w:w="350"/>
        <w:gridCol w:w="2340"/>
        <w:gridCol w:w="842"/>
        <w:gridCol w:w="574"/>
        <w:gridCol w:w="1416"/>
        <w:gridCol w:w="1072"/>
        <w:gridCol w:w="344"/>
        <w:gridCol w:w="838"/>
      </w:tblGrid>
      <w:tr w:rsidR="00DB2BC0" w:rsidRPr="00C3282E" w14:paraId="4F6FDCD5" w14:textId="77777777" w:rsidTr="00DB2BC0">
        <w:trPr>
          <w:trHeight w:val="1605"/>
        </w:trPr>
        <w:tc>
          <w:tcPr>
            <w:tcW w:w="2396" w:type="pct"/>
            <w:gridSpan w:val="3"/>
            <w:shd w:val="clear" w:color="auto" w:fill="808080"/>
          </w:tcPr>
          <w:p w14:paraId="03384F05" w14:textId="4E24FD52" w:rsidR="00DB2BC0" w:rsidRPr="00D31CAB" w:rsidRDefault="00D31CAB" w:rsidP="00D31CAB">
            <w:pPr>
              <w:pStyle w:val="ListParagraph"/>
              <w:numPr>
                <w:ilvl w:val="0"/>
                <w:numId w:val="32"/>
              </w:numPr>
              <w:spacing w:before="0" w:after="160" w:line="259" w:lineRule="auto"/>
              <w:rPr>
                <w:rFonts w:eastAsia="Calibri"/>
                <w:b/>
                <w:bCs/>
                <w:sz w:val="22"/>
              </w:rPr>
            </w:pPr>
            <w:r>
              <w:rPr>
                <w:rFonts w:eastAsia="Calibri"/>
                <w:b/>
                <w:bCs/>
                <w:sz w:val="22"/>
              </w:rPr>
              <w:t xml:space="preserve">Lower </w:t>
            </w:r>
            <w:r w:rsidR="00DB2BC0" w:rsidRPr="00D31CAB">
              <w:rPr>
                <w:rFonts w:eastAsia="Calibri"/>
                <w:b/>
                <w:bCs/>
                <w:sz w:val="22"/>
              </w:rPr>
              <w:t xml:space="preserve">Cognitive </w:t>
            </w:r>
            <w:r>
              <w:rPr>
                <w:rFonts w:eastAsia="Calibri"/>
                <w:b/>
                <w:bCs/>
                <w:sz w:val="22"/>
              </w:rPr>
              <w:t xml:space="preserve">Score </w:t>
            </w:r>
            <w:r w:rsidR="00DB2BC0" w:rsidRPr="00D31CAB">
              <w:rPr>
                <w:rFonts w:eastAsia="Calibri"/>
                <w:b/>
                <w:bCs/>
                <w:sz w:val="22"/>
              </w:rPr>
              <w:t xml:space="preserve">trial </w:t>
            </w:r>
          </w:p>
        </w:tc>
        <w:tc>
          <w:tcPr>
            <w:tcW w:w="725" w:type="pct"/>
            <w:gridSpan w:val="2"/>
            <w:shd w:val="clear" w:color="auto" w:fill="808080"/>
          </w:tcPr>
          <w:p w14:paraId="223C33B5"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Number of MCI/AACD participants per trial arm required</w:t>
            </w:r>
          </w:p>
        </w:tc>
        <w:tc>
          <w:tcPr>
            <w:tcW w:w="725" w:type="pct"/>
            <w:shd w:val="clear" w:color="auto" w:fill="808080"/>
          </w:tcPr>
          <w:p w14:paraId="7A9865C5"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 xml:space="preserve">Total number of MCI /AACD participants required </w:t>
            </w:r>
          </w:p>
          <w:p w14:paraId="43851E31" w14:textId="77777777" w:rsidR="00DB2BC0" w:rsidRPr="00C3282E" w:rsidRDefault="00DB2BC0" w:rsidP="008433A9">
            <w:pPr>
              <w:spacing w:before="0" w:after="160" w:line="259" w:lineRule="auto"/>
              <w:jc w:val="center"/>
              <w:rPr>
                <w:rFonts w:eastAsia="Calibri" w:cs="Times New Roman"/>
                <w:b/>
                <w:bCs/>
                <w:sz w:val="22"/>
              </w:rPr>
            </w:pPr>
          </w:p>
        </w:tc>
        <w:tc>
          <w:tcPr>
            <w:tcW w:w="725" w:type="pct"/>
            <w:gridSpan w:val="2"/>
            <w:shd w:val="clear" w:color="auto" w:fill="808080"/>
          </w:tcPr>
          <w:p w14:paraId="64E41FBB"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 xml:space="preserve">Total number of participants per trial arm </w:t>
            </w:r>
          </w:p>
        </w:tc>
        <w:tc>
          <w:tcPr>
            <w:tcW w:w="429" w:type="pct"/>
            <w:shd w:val="clear" w:color="auto" w:fill="808080"/>
          </w:tcPr>
          <w:p w14:paraId="1EA23249"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Total</w:t>
            </w:r>
          </w:p>
        </w:tc>
      </w:tr>
      <w:tr w:rsidR="00DB2BC0" w:rsidRPr="00C3282E" w14:paraId="730B0B04" w14:textId="77777777" w:rsidTr="008433A9">
        <w:tc>
          <w:tcPr>
            <w:tcW w:w="1198" w:type="pct"/>
            <w:gridSpan w:val="2"/>
            <w:vMerge w:val="restart"/>
          </w:tcPr>
          <w:p w14:paraId="1177A7B5" w14:textId="77777777" w:rsidR="00DB2BC0" w:rsidRPr="00C3282E" w:rsidRDefault="00DB2BC0" w:rsidP="008433A9">
            <w:pPr>
              <w:spacing w:before="0" w:after="160" w:line="259" w:lineRule="auto"/>
              <w:jc w:val="center"/>
              <w:rPr>
                <w:rFonts w:eastAsia="Calibri" w:cs="Times New Roman"/>
                <w:b/>
                <w:bCs/>
                <w:sz w:val="22"/>
              </w:rPr>
            </w:pPr>
          </w:p>
          <w:p w14:paraId="36697371" w14:textId="77777777" w:rsidR="00DB2BC0" w:rsidRPr="00C3282E" w:rsidRDefault="00DB2BC0" w:rsidP="008433A9">
            <w:pPr>
              <w:spacing w:before="0" w:after="160" w:line="259" w:lineRule="auto"/>
              <w:jc w:val="center"/>
              <w:rPr>
                <w:rFonts w:eastAsia="Calibri" w:cs="Times New Roman"/>
                <w:b/>
                <w:bCs/>
                <w:sz w:val="22"/>
              </w:rPr>
            </w:pPr>
          </w:p>
          <w:p w14:paraId="067E81BB" w14:textId="77777777" w:rsidR="00DB2BC0" w:rsidRPr="00C3282E" w:rsidRDefault="00DB2BC0" w:rsidP="008433A9">
            <w:pPr>
              <w:spacing w:before="0" w:after="160" w:line="259" w:lineRule="auto"/>
              <w:jc w:val="center"/>
              <w:rPr>
                <w:rFonts w:eastAsia="Calibri" w:cs="Times New Roman"/>
                <w:b/>
                <w:bCs/>
                <w:sz w:val="22"/>
              </w:rPr>
            </w:pPr>
          </w:p>
          <w:p w14:paraId="30A4F4BB" w14:textId="77777777" w:rsidR="00DB2BC0" w:rsidRPr="00C3282E" w:rsidRDefault="00DB2BC0" w:rsidP="0069663D">
            <w:pPr>
              <w:spacing w:before="0" w:after="160" w:line="259" w:lineRule="auto"/>
              <w:rPr>
                <w:rFonts w:eastAsia="Calibri" w:cs="Times New Roman"/>
                <w:b/>
                <w:bCs/>
                <w:sz w:val="22"/>
              </w:rPr>
            </w:pPr>
          </w:p>
          <w:p w14:paraId="434D8319"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Primary outcome measures</w:t>
            </w:r>
          </w:p>
        </w:tc>
        <w:tc>
          <w:tcPr>
            <w:tcW w:w="1198" w:type="pct"/>
          </w:tcPr>
          <w:p w14:paraId="0FAB35C5"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 xml:space="preserve">Cognitive Decline – Baddeley Verbal reasoning </w:t>
            </w:r>
            <w:r w:rsidRPr="00C3282E">
              <w:rPr>
                <w:rFonts w:eastAsia="Calibri" w:cs="Times New Roman"/>
                <w:sz w:val="22"/>
              </w:rPr>
              <w:t>(alpha = 0.025, 80% power to detect standardised effect of 0.15)</w:t>
            </w:r>
          </w:p>
          <w:p w14:paraId="363A7852" w14:textId="77777777" w:rsidR="00DB2BC0" w:rsidRPr="00C3282E" w:rsidRDefault="00DB2BC0" w:rsidP="008433A9">
            <w:pPr>
              <w:spacing w:before="0" w:after="160" w:line="259" w:lineRule="auto"/>
              <w:rPr>
                <w:rFonts w:eastAsia="Calibri" w:cs="Times New Roman"/>
                <w:sz w:val="22"/>
              </w:rPr>
            </w:pPr>
          </w:p>
        </w:tc>
        <w:tc>
          <w:tcPr>
            <w:tcW w:w="725" w:type="pct"/>
            <w:gridSpan w:val="2"/>
          </w:tcPr>
          <w:p w14:paraId="7C26ACA4"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847 of each</w:t>
            </w:r>
          </w:p>
        </w:tc>
        <w:tc>
          <w:tcPr>
            <w:tcW w:w="725" w:type="pct"/>
          </w:tcPr>
          <w:p w14:paraId="72B9FB06"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2541 of each</w:t>
            </w:r>
          </w:p>
          <w:p w14:paraId="63E0014D" w14:textId="77777777" w:rsidR="00DB2BC0" w:rsidRPr="00C3282E" w:rsidRDefault="00DB2BC0" w:rsidP="008433A9">
            <w:pPr>
              <w:spacing w:before="0" w:after="160" w:line="259" w:lineRule="auto"/>
              <w:jc w:val="center"/>
              <w:rPr>
                <w:rFonts w:eastAsia="Calibri" w:cs="Times New Roman"/>
                <w:sz w:val="22"/>
              </w:rPr>
            </w:pPr>
          </w:p>
        </w:tc>
        <w:tc>
          <w:tcPr>
            <w:tcW w:w="725" w:type="pct"/>
            <w:gridSpan w:val="2"/>
          </w:tcPr>
          <w:p w14:paraId="239EC502"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1694</w:t>
            </w:r>
          </w:p>
        </w:tc>
        <w:tc>
          <w:tcPr>
            <w:tcW w:w="429" w:type="pct"/>
          </w:tcPr>
          <w:p w14:paraId="1CF8B5FF"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5082</w:t>
            </w:r>
          </w:p>
          <w:p w14:paraId="0C6AAA11" w14:textId="77777777" w:rsidR="00DB2BC0" w:rsidRPr="00C3282E" w:rsidRDefault="00DB2BC0" w:rsidP="008433A9">
            <w:pPr>
              <w:spacing w:before="0" w:after="160" w:line="259" w:lineRule="auto"/>
              <w:jc w:val="center"/>
              <w:rPr>
                <w:rFonts w:eastAsia="Calibri" w:cs="Times New Roman"/>
                <w:sz w:val="22"/>
              </w:rPr>
            </w:pPr>
          </w:p>
        </w:tc>
      </w:tr>
      <w:tr w:rsidR="00DB2BC0" w:rsidRPr="00C3282E" w14:paraId="4127FB8A" w14:textId="77777777" w:rsidTr="008433A9">
        <w:tc>
          <w:tcPr>
            <w:tcW w:w="1198" w:type="pct"/>
            <w:gridSpan w:val="2"/>
            <w:vMerge/>
          </w:tcPr>
          <w:p w14:paraId="09B2852D" w14:textId="77777777" w:rsidR="00DB2BC0" w:rsidRPr="00C3282E" w:rsidRDefault="00DB2BC0" w:rsidP="008433A9">
            <w:pPr>
              <w:spacing w:before="0" w:after="160" w:line="259" w:lineRule="auto"/>
              <w:rPr>
                <w:rFonts w:eastAsia="Calibri" w:cs="Times New Roman"/>
                <w:b/>
                <w:bCs/>
                <w:sz w:val="22"/>
              </w:rPr>
            </w:pPr>
          </w:p>
        </w:tc>
        <w:tc>
          <w:tcPr>
            <w:tcW w:w="1198" w:type="pct"/>
          </w:tcPr>
          <w:p w14:paraId="20ABD868"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Progression to Dementia at 5 years</w:t>
            </w:r>
          </w:p>
          <w:p w14:paraId="7B99C513"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sz w:val="22"/>
              </w:rPr>
              <w:t>(Assuming 5% progression rate – alpha = 0.05, 80% power to detect 5% diff after 5 years)</w:t>
            </w:r>
          </w:p>
        </w:tc>
        <w:tc>
          <w:tcPr>
            <w:tcW w:w="725" w:type="pct"/>
            <w:gridSpan w:val="2"/>
          </w:tcPr>
          <w:p w14:paraId="552A6C0D"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1094 of each</w:t>
            </w:r>
          </w:p>
        </w:tc>
        <w:tc>
          <w:tcPr>
            <w:tcW w:w="725" w:type="pct"/>
          </w:tcPr>
          <w:p w14:paraId="57801C31"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3282 of each</w:t>
            </w:r>
          </w:p>
        </w:tc>
        <w:tc>
          <w:tcPr>
            <w:tcW w:w="725" w:type="pct"/>
            <w:gridSpan w:val="2"/>
          </w:tcPr>
          <w:p w14:paraId="68C66C19"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2188</w:t>
            </w:r>
          </w:p>
        </w:tc>
        <w:tc>
          <w:tcPr>
            <w:tcW w:w="429" w:type="pct"/>
          </w:tcPr>
          <w:p w14:paraId="1F2DF54B"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6564</w:t>
            </w:r>
          </w:p>
        </w:tc>
      </w:tr>
      <w:tr w:rsidR="00DB2BC0" w:rsidRPr="00C3282E" w14:paraId="5FB61BCE" w14:textId="77777777" w:rsidTr="008433A9">
        <w:tc>
          <w:tcPr>
            <w:tcW w:w="5000" w:type="pct"/>
            <w:gridSpan w:val="9"/>
          </w:tcPr>
          <w:p w14:paraId="35E9A6F0"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b/>
                <w:bCs/>
                <w:sz w:val="22"/>
              </w:rPr>
              <w:t xml:space="preserve">For 1 Year Follow-up </w:t>
            </w:r>
          </w:p>
        </w:tc>
      </w:tr>
      <w:tr w:rsidR="00DB2BC0" w:rsidRPr="00C3282E" w14:paraId="6E54B63B" w14:textId="77777777" w:rsidTr="008433A9">
        <w:tc>
          <w:tcPr>
            <w:tcW w:w="2396" w:type="pct"/>
            <w:gridSpan w:val="3"/>
          </w:tcPr>
          <w:p w14:paraId="685586C6"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Baddeley verbal reasoning - assuming 70% follow-up</w:t>
            </w:r>
          </w:p>
        </w:tc>
        <w:tc>
          <w:tcPr>
            <w:tcW w:w="725" w:type="pct"/>
            <w:gridSpan w:val="2"/>
          </w:tcPr>
          <w:p w14:paraId="34204B13"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1210 of each</w:t>
            </w:r>
          </w:p>
        </w:tc>
        <w:tc>
          <w:tcPr>
            <w:tcW w:w="725" w:type="pct"/>
          </w:tcPr>
          <w:p w14:paraId="55ECD604"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3630 of each</w:t>
            </w:r>
          </w:p>
          <w:p w14:paraId="79DB478B" w14:textId="77777777" w:rsidR="00DB2BC0" w:rsidRPr="00C3282E" w:rsidRDefault="00DB2BC0" w:rsidP="008433A9">
            <w:pPr>
              <w:spacing w:before="0" w:after="160" w:line="259" w:lineRule="auto"/>
              <w:jc w:val="center"/>
              <w:rPr>
                <w:rFonts w:eastAsia="Calibri" w:cs="Times New Roman"/>
                <w:sz w:val="22"/>
              </w:rPr>
            </w:pPr>
          </w:p>
        </w:tc>
        <w:tc>
          <w:tcPr>
            <w:tcW w:w="725" w:type="pct"/>
            <w:gridSpan w:val="2"/>
          </w:tcPr>
          <w:p w14:paraId="6C549581"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2420</w:t>
            </w:r>
          </w:p>
        </w:tc>
        <w:tc>
          <w:tcPr>
            <w:tcW w:w="429" w:type="pct"/>
          </w:tcPr>
          <w:p w14:paraId="03F8795E"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7260</w:t>
            </w:r>
          </w:p>
        </w:tc>
      </w:tr>
      <w:tr w:rsidR="00DB2BC0" w:rsidRPr="00C3282E" w14:paraId="21AC04E6" w14:textId="77777777" w:rsidTr="008433A9">
        <w:tc>
          <w:tcPr>
            <w:tcW w:w="5000" w:type="pct"/>
            <w:gridSpan w:val="9"/>
          </w:tcPr>
          <w:p w14:paraId="42DFE048"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For 5 Year Follow-up</w:t>
            </w:r>
          </w:p>
        </w:tc>
      </w:tr>
      <w:tr w:rsidR="00DB2BC0" w:rsidRPr="00C3282E" w14:paraId="45529E00" w14:textId="77777777" w:rsidTr="008433A9">
        <w:tc>
          <w:tcPr>
            <w:tcW w:w="2396" w:type="pct"/>
            <w:gridSpan w:val="3"/>
          </w:tcPr>
          <w:p w14:paraId="5F449DC1"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 xml:space="preserve">Baddeley Verbal reasoning – assuming 60% follow up </w:t>
            </w:r>
          </w:p>
        </w:tc>
        <w:tc>
          <w:tcPr>
            <w:tcW w:w="725" w:type="pct"/>
            <w:gridSpan w:val="2"/>
          </w:tcPr>
          <w:p w14:paraId="6664E9C6"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1412 of each</w:t>
            </w:r>
          </w:p>
        </w:tc>
        <w:tc>
          <w:tcPr>
            <w:tcW w:w="725" w:type="pct"/>
          </w:tcPr>
          <w:p w14:paraId="48694A03"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4235 of each</w:t>
            </w:r>
          </w:p>
        </w:tc>
        <w:tc>
          <w:tcPr>
            <w:tcW w:w="725" w:type="pct"/>
            <w:gridSpan w:val="2"/>
          </w:tcPr>
          <w:p w14:paraId="0A494350"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2824</w:t>
            </w:r>
          </w:p>
        </w:tc>
        <w:tc>
          <w:tcPr>
            <w:tcW w:w="429" w:type="pct"/>
          </w:tcPr>
          <w:p w14:paraId="37A80EF5"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8470</w:t>
            </w:r>
          </w:p>
        </w:tc>
      </w:tr>
      <w:tr w:rsidR="00DB2BC0" w:rsidRPr="00C3282E" w14:paraId="32120620" w14:textId="77777777" w:rsidTr="008433A9">
        <w:tc>
          <w:tcPr>
            <w:tcW w:w="2396" w:type="pct"/>
            <w:gridSpan w:val="3"/>
          </w:tcPr>
          <w:p w14:paraId="0D844D68"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Progression to dementia – assuming 60% follow-up</w:t>
            </w:r>
          </w:p>
          <w:p w14:paraId="279A355F" w14:textId="77777777" w:rsidR="00DB2BC0" w:rsidRPr="00C3282E" w:rsidRDefault="00DB2BC0" w:rsidP="008433A9">
            <w:pPr>
              <w:spacing w:before="0" w:after="160" w:line="259" w:lineRule="auto"/>
              <w:rPr>
                <w:rFonts w:eastAsia="Calibri" w:cs="Times New Roman"/>
                <w:b/>
                <w:bCs/>
                <w:sz w:val="22"/>
              </w:rPr>
            </w:pPr>
          </w:p>
        </w:tc>
        <w:tc>
          <w:tcPr>
            <w:tcW w:w="725" w:type="pct"/>
            <w:gridSpan w:val="2"/>
          </w:tcPr>
          <w:p w14:paraId="61FE45E4"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1823</w:t>
            </w:r>
          </w:p>
          <w:p w14:paraId="72CC277F"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 xml:space="preserve"> of each</w:t>
            </w:r>
          </w:p>
        </w:tc>
        <w:tc>
          <w:tcPr>
            <w:tcW w:w="725" w:type="pct"/>
          </w:tcPr>
          <w:p w14:paraId="1D143404"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5470 of each</w:t>
            </w:r>
          </w:p>
        </w:tc>
        <w:tc>
          <w:tcPr>
            <w:tcW w:w="725" w:type="pct"/>
            <w:gridSpan w:val="2"/>
          </w:tcPr>
          <w:p w14:paraId="2B1C411D"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3647</w:t>
            </w:r>
          </w:p>
        </w:tc>
        <w:tc>
          <w:tcPr>
            <w:tcW w:w="429" w:type="pct"/>
          </w:tcPr>
          <w:p w14:paraId="75FAD032"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10940</w:t>
            </w:r>
          </w:p>
        </w:tc>
      </w:tr>
      <w:tr w:rsidR="00DB2BC0" w:rsidRPr="00C3282E" w14:paraId="7F948156" w14:textId="77777777" w:rsidTr="008433A9">
        <w:tc>
          <w:tcPr>
            <w:tcW w:w="2827" w:type="pct"/>
            <w:gridSpan w:val="4"/>
            <w:shd w:val="clear" w:color="auto" w:fill="808080"/>
          </w:tcPr>
          <w:p w14:paraId="7881CC1E" w14:textId="269922B2" w:rsidR="00DB2BC0" w:rsidRPr="00D31CAB" w:rsidRDefault="00D31CAB" w:rsidP="00D31CAB">
            <w:pPr>
              <w:pStyle w:val="ListParagraph"/>
              <w:numPr>
                <w:ilvl w:val="0"/>
                <w:numId w:val="32"/>
              </w:numPr>
              <w:spacing w:before="0" w:after="160" w:line="259" w:lineRule="auto"/>
              <w:rPr>
                <w:rFonts w:eastAsia="Calibri"/>
                <w:b/>
                <w:bCs/>
                <w:sz w:val="22"/>
              </w:rPr>
            </w:pPr>
            <w:r>
              <w:rPr>
                <w:rFonts w:eastAsia="Calibri"/>
                <w:b/>
                <w:bCs/>
                <w:sz w:val="22"/>
              </w:rPr>
              <w:t xml:space="preserve">Higher Cognitive Score </w:t>
            </w:r>
            <w:r w:rsidR="00DB2BC0" w:rsidRPr="00D31CAB">
              <w:rPr>
                <w:rFonts w:eastAsia="Calibri"/>
                <w:b/>
                <w:bCs/>
                <w:sz w:val="22"/>
              </w:rPr>
              <w:t xml:space="preserve">trial </w:t>
            </w:r>
          </w:p>
          <w:p w14:paraId="26809A94" w14:textId="77777777" w:rsidR="00DB2BC0" w:rsidRPr="00C3282E" w:rsidRDefault="00DB2BC0" w:rsidP="008433A9">
            <w:pPr>
              <w:spacing w:before="0" w:after="160" w:line="259" w:lineRule="auto"/>
              <w:rPr>
                <w:rFonts w:eastAsia="Calibri" w:cs="Times New Roman"/>
                <w:b/>
                <w:bCs/>
                <w:sz w:val="22"/>
              </w:rPr>
            </w:pPr>
          </w:p>
          <w:p w14:paraId="2EB6E706" w14:textId="77777777" w:rsidR="00DB2BC0" w:rsidRPr="00C3282E" w:rsidRDefault="00DB2BC0" w:rsidP="008433A9">
            <w:pPr>
              <w:spacing w:before="0" w:after="160" w:line="259" w:lineRule="auto"/>
              <w:rPr>
                <w:rFonts w:eastAsia="Calibri" w:cs="Times New Roman"/>
                <w:b/>
                <w:bCs/>
                <w:sz w:val="22"/>
              </w:rPr>
            </w:pPr>
          </w:p>
        </w:tc>
        <w:tc>
          <w:tcPr>
            <w:tcW w:w="1568" w:type="pct"/>
            <w:gridSpan w:val="3"/>
            <w:shd w:val="clear" w:color="auto" w:fill="808080"/>
          </w:tcPr>
          <w:p w14:paraId="39C9A10E"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 xml:space="preserve">Total number of participants per trial arm </w:t>
            </w:r>
          </w:p>
        </w:tc>
        <w:tc>
          <w:tcPr>
            <w:tcW w:w="605" w:type="pct"/>
            <w:gridSpan w:val="2"/>
            <w:shd w:val="clear" w:color="auto" w:fill="808080"/>
          </w:tcPr>
          <w:p w14:paraId="073461B1"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Total</w:t>
            </w:r>
          </w:p>
        </w:tc>
      </w:tr>
      <w:tr w:rsidR="00DB2BC0" w:rsidRPr="00C3282E" w14:paraId="0AF18D0A" w14:textId="77777777" w:rsidTr="008433A9">
        <w:trPr>
          <w:trHeight w:val="1317"/>
        </w:trPr>
        <w:tc>
          <w:tcPr>
            <w:tcW w:w="1019" w:type="pct"/>
          </w:tcPr>
          <w:p w14:paraId="7F32CFBA" w14:textId="77777777" w:rsidR="00DB2BC0" w:rsidRPr="00C3282E" w:rsidRDefault="00DB2BC0" w:rsidP="008433A9">
            <w:pPr>
              <w:spacing w:before="0" w:after="160" w:line="259" w:lineRule="auto"/>
              <w:jc w:val="center"/>
              <w:rPr>
                <w:rFonts w:eastAsia="Calibri" w:cs="Times New Roman"/>
                <w:b/>
                <w:bCs/>
                <w:sz w:val="22"/>
              </w:rPr>
            </w:pPr>
          </w:p>
          <w:p w14:paraId="5B580CC7" w14:textId="77777777" w:rsidR="00DB2BC0" w:rsidRPr="00C3282E" w:rsidRDefault="00DB2BC0" w:rsidP="008433A9">
            <w:pPr>
              <w:spacing w:before="0" w:after="160" w:line="259" w:lineRule="auto"/>
              <w:jc w:val="center"/>
              <w:rPr>
                <w:rFonts w:eastAsia="Calibri" w:cs="Times New Roman"/>
                <w:b/>
                <w:bCs/>
                <w:sz w:val="22"/>
              </w:rPr>
            </w:pPr>
            <w:r w:rsidRPr="00C3282E">
              <w:rPr>
                <w:rFonts w:eastAsia="Calibri" w:cs="Times New Roman"/>
                <w:b/>
                <w:bCs/>
                <w:sz w:val="22"/>
              </w:rPr>
              <w:t>Primary outcome measure</w:t>
            </w:r>
          </w:p>
        </w:tc>
        <w:tc>
          <w:tcPr>
            <w:tcW w:w="1808" w:type="pct"/>
            <w:gridSpan w:val="3"/>
          </w:tcPr>
          <w:p w14:paraId="5BEF1205"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 xml:space="preserve">Cognitive Decline – Baddeley Verbal reasoning </w:t>
            </w:r>
            <w:r w:rsidRPr="00C3282E">
              <w:rPr>
                <w:rFonts w:eastAsia="Calibri" w:cs="Times New Roman"/>
                <w:sz w:val="22"/>
              </w:rPr>
              <w:t>(alpha = 0.05, 90% power to detect standardised mean difference of 0.1 in Baddeley)</w:t>
            </w:r>
          </w:p>
        </w:tc>
        <w:tc>
          <w:tcPr>
            <w:tcW w:w="1568" w:type="pct"/>
            <w:gridSpan w:val="3"/>
          </w:tcPr>
          <w:p w14:paraId="7D9340F3"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2103</w:t>
            </w:r>
          </w:p>
        </w:tc>
        <w:tc>
          <w:tcPr>
            <w:tcW w:w="605" w:type="pct"/>
            <w:gridSpan w:val="2"/>
          </w:tcPr>
          <w:p w14:paraId="152FA324"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6309</w:t>
            </w:r>
          </w:p>
          <w:p w14:paraId="5F924F1A" w14:textId="77777777" w:rsidR="00DB2BC0" w:rsidRPr="00C3282E" w:rsidRDefault="00DB2BC0" w:rsidP="008433A9">
            <w:pPr>
              <w:spacing w:before="0" w:after="160" w:line="259" w:lineRule="auto"/>
              <w:jc w:val="center"/>
              <w:rPr>
                <w:rFonts w:eastAsia="Calibri" w:cs="Times New Roman"/>
                <w:sz w:val="22"/>
              </w:rPr>
            </w:pPr>
          </w:p>
        </w:tc>
      </w:tr>
      <w:tr w:rsidR="00DB2BC0" w:rsidRPr="00C3282E" w14:paraId="286FD829" w14:textId="77777777" w:rsidTr="008433A9">
        <w:tc>
          <w:tcPr>
            <w:tcW w:w="5000" w:type="pct"/>
            <w:gridSpan w:val="9"/>
          </w:tcPr>
          <w:p w14:paraId="6FBC5E05"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b/>
                <w:bCs/>
                <w:sz w:val="22"/>
              </w:rPr>
              <w:t>For 1 Year Follow-up</w:t>
            </w:r>
          </w:p>
        </w:tc>
      </w:tr>
      <w:tr w:rsidR="00DB2BC0" w:rsidRPr="00C3282E" w14:paraId="20B818EC" w14:textId="77777777" w:rsidTr="008433A9">
        <w:tc>
          <w:tcPr>
            <w:tcW w:w="2827" w:type="pct"/>
            <w:gridSpan w:val="4"/>
          </w:tcPr>
          <w:p w14:paraId="65C45790"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Baddeley verbal reasoning - assuming 70% follow-up</w:t>
            </w:r>
          </w:p>
        </w:tc>
        <w:tc>
          <w:tcPr>
            <w:tcW w:w="1568" w:type="pct"/>
            <w:gridSpan w:val="3"/>
          </w:tcPr>
          <w:p w14:paraId="386011C5"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3005</w:t>
            </w:r>
          </w:p>
        </w:tc>
        <w:tc>
          <w:tcPr>
            <w:tcW w:w="605" w:type="pct"/>
            <w:gridSpan w:val="2"/>
          </w:tcPr>
          <w:p w14:paraId="58967FF7"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9013</w:t>
            </w:r>
          </w:p>
        </w:tc>
      </w:tr>
      <w:tr w:rsidR="00DB2BC0" w:rsidRPr="00C3282E" w14:paraId="250B37F9" w14:textId="77777777" w:rsidTr="008433A9">
        <w:tc>
          <w:tcPr>
            <w:tcW w:w="5000" w:type="pct"/>
            <w:gridSpan w:val="9"/>
          </w:tcPr>
          <w:p w14:paraId="51A0E8AE"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b/>
                <w:bCs/>
                <w:sz w:val="22"/>
              </w:rPr>
              <w:t>For 5 Year Follow-up</w:t>
            </w:r>
          </w:p>
        </w:tc>
      </w:tr>
      <w:tr w:rsidR="00DB2BC0" w:rsidRPr="00C3282E" w14:paraId="4373A8B4" w14:textId="77777777" w:rsidTr="008433A9">
        <w:tc>
          <w:tcPr>
            <w:tcW w:w="2827" w:type="pct"/>
            <w:gridSpan w:val="4"/>
          </w:tcPr>
          <w:p w14:paraId="3A6F205A" w14:textId="77777777" w:rsidR="00DB2BC0" w:rsidRPr="00C3282E" w:rsidRDefault="00DB2BC0" w:rsidP="008433A9">
            <w:pPr>
              <w:spacing w:before="0" w:after="160" w:line="259" w:lineRule="auto"/>
              <w:rPr>
                <w:rFonts w:eastAsia="Calibri" w:cs="Times New Roman"/>
                <w:b/>
                <w:bCs/>
                <w:sz w:val="22"/>
              </w:rPr>
            </w:pPr>
            <w:r w:rsidRPr="00C3282E">
              <w:rPr>
                <w:rFonts w:eastAsia="Calibri" w:cs="Times New Roman"/>
                <w:b/>
                <w:bCs/>
                <w:sz w:val="22"/>
              </w:rPr>
              <w:t xml:space="preserve">Baddeley Verbal reasoning – assuming 60% follow up </w:t>
            </w:r>
          </w:p>
        </w:tc>
        <w:tc>
          <w:tcPr>
            <w:tcW w:w="1568" w:type="pct"/>
            <w:gridSpan w:val="3"/>
          </w:tcPr>
          <w:p w14:paraId="5438EED1"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3505</w:t>
            </w:r>
          </w:p>
        </w:tc>
        <w:tc>
          <w:tcPr>
            <w:tcW w:w="605" w:type="pct"/>
            <w:gridSpan w:val="2"/>
          </w:tcPr>
          <w:p w14:paraId="272EA4C4" w14:textId="77777777" w:rsidR="00DB2BC0" w:rsidRPr="00C3282E" w:rsidRDefault="00DB2BC0" w:rsidP="008433A9">
            <w:pPr>
              <w:spacing w:before="0" w:after="160" w:line="259" w:lineRule="auto"/>
              <w:jc w:val="center"/>
              <w:rPr>
                <w:rFonts w:eastAsia="Calibri" w:cs="Times New Roman"/>
                <w:sz w:val="22"/>
              </w:rPr>
            </w:pPr>
            <w:r w:rsidRPr="00C3282E">
              <w:rPr>
                <w:rFonts w:eastAsia="Calibri" w:cs="Times New Roman"/>
                <w:sz w:val="22"/>
              </w:rPr>
              <w:t>10515</w:t>
            </w:r>
          </w:p>
        </w:tc>
      </w:tr>
    </w:tbl>
    <w:p w14:paraId="314B650D" w14:textId="4DED0973" w:rsidR="00DB2BC0" w:rsidRDefault="00DB2BC0" w:rsidP="00C3282E">
      <w:pPr>
        <w:spacing w:before="0" w:after="160" w:line="259" w:lineRule="auto"/>
        <w:rPr>
          <w:rFonts w:eastAsia="Calibri"/>
          <w:b/>
          <w:szCs w:val="24"/>
          <w:lang w:val="en-GB"/>
        </w:rPr>
      </w:pPr>
    </w:p>
    <w:p w14:paraId="5AFB0A12" w14:textId="29D1BB43" w:rsidR="00DB2BC0" w:rsidRPr="00DB2BC0" w:rsidRDefault="00B01137" w:rsidP="00C3282E">
      <w:pPr>
        <w:spacing w:before="0" w:after="160" w:line="259" w:lineRule="auto"/>
        <w:rPr>
          <w:rFonts w:eastAsia="Calibri"/>
          <w:b/>
          <w:szCs w:val="24"/>
          <w:lang w:val="en-GB"/>
        </w:rPr>
      </w:pPr>
      <w:r>
        <w:rPr>
          <w:rFonts w:eastAsia="Calibri"/>
          <w:b/>
          <w:szCs w:val="24"/>
          <w:lang w:val="en-GB"/>
        </w:rPr>
        <w:t>Explanatory notes:</w:t>
      </w:r>
    </w:p>
    <w:p w14:paraId="6D677EF1" w14:textId="6AA84D83" w:rsidR="00C3282E" w:rsidRDefault="002B67A1" w:rsidP="002B67A1">
      <w:pPr>
        <w:pStyle w:val="ListParagraph"/>
        <w:keepNext/>
        <w:keepLines/>
        <w:numPr>
          <w:ilvl w:val="0"/>
          <w:numId w:val="27"/>
        </w:numPr>
        <w:spacing w:before="160" w:after="120" w:line="259" w:lineRule="auto"/>
        <w:outlineLvl w:val="3"/>
        <w:rPr>
          <w:rFonts w:eastAsia="SimSun"/>
          <w:b/>
          <w:bCs/>
          <w:i/>
          <w:iCs/>
          <w:sz w:val="22"/>
          <w:lang w:val="en-GB"/>
        </w:rPr>
      </w:pPr>
      <w:r w:rsidRPr="002B67A1">
        <w:rPr>
          <w:rFonts w:eastAsia="SimSun"/>
          <w:b/>
          <w:bCs/>
          <w:i/>
          <w:iCs/>
          <w:sz w:val="22"/>
          <w:lang w:val="en-GB"/>
        </w:rPr>
        <w:t xml:space="preserve">Lower </w:t>
      </w:r>
      <w:r w:rsidR="00C3282E" w:rsidRPr="002B67A1">
        <w:rPr>
          <w:rFonts w:eastAsia="SimSun"/>
          <w:b/>
          <w:bCs/>
          <w:i/>
          <w:iCs/>
          <w:sz w:val="22"/>
          <w:lang w:val="en-GB"/>
        </w:rPr>
        <w:t xml:space="preserve">Cognitive </w:t>
      </w:r>
      <w:r w:rsidRPr="002B67A1">
        <w:rPr>
          <w:rFonts w:eastAsia="SimSun"/>
          <w:b/>
          <w:bCs/>
          <w:i/>
          <w:iCs/>
          <w:sz w:val="22"/>
          <w:lang w:val="en-GB"/>
        </w:rPr>
        <w:t>Score</w:t>
      </w:r>
      <w:r w:rsidR="00C3282E" w:rsidRPr="002B67A1">
        <w:rPr>
          <w:rFonts w:eastAsia="SimSun"/>
          <w:b/>
          <w:bCs/>
          <w:i/>
          <w:iCs/>
          <w:sz w:val="22"/>
          <w:lang w:val="en-GB"/>
        </w:rPr>
        <w:t xml:space="preserve"> trial</w:t>
      </w:r>
    </w:p>
    <w:p w14:paraId="55B2952C" w14:textId="77777777" w:rsidR="002B67A1" w:rsidRPr="002B67A1" w:rsidRDefault="002B67A1" w:rsidP="002B67A1">
      <w:pPr>
        <w:pStyle w:val="ListParagraph"/>
        <w:keepNext/>
        <w:keepLines/>
        <w:numPr>
          <w:ilvl w:val="0"/>
          <w:numId w:val="0"/>
        </w:numPr>
        <w:spacing w:before="160" w:after="120" w:line="259" w:lineRule="auto"/>
        <w:ind w:left="720"/>
        <w:outlineLvl w:val="3"/>
        <w:rPr>
          <w:rFonts w:eastAsia="SimSun"/>
          <w:b/>
          <w:bCs/>
          <w:i/>
          <w:iCs/>
          <w:sz w:val="22"/>
          <w:lang w:val="en-GB"/>
        </w:rPr>
      </w:pPr>
    </w:p>
    <w:p w14:paraId="367DDBA9" w14:textId="4A097B31" w:rsidR="00C3282E" w:rsidRPr="002B67A1" w:rsidRDefault="00C3282E" w:rsidP="002B67A1">
      <w:pPr>
        <w:pStyle w:val="ListParagraph"/>
        <w:numPr>
          <w:ilvl w:val="0"/>
          <w:numId w:val="28"/>
        </w:numPr>
        <w:spacing w:before="0" w:after="160" w:line="360" w:lineRule="auto"/>
        <w:rPr>
          <w:rFonts w:eastAsia="Calibri"/>
          <w:b/>
          <w:bCs/>
          <w:sz w:val="22"/>
          <w:szCs w:val="20"/>
          <w:lang w:val="en-GB"/>
        </w:rPr>
      </w:pPr>
      <w:r w:rsidRPr="002B67A1">
        <w:rPr>
          <w:rFonts w:eastAsia="Calibri"/>
          <w:b/>
          <w:bCs/>
          <w:sz w:val="22"/>
          <w:szCs w:val="20"/>
          <w:lang w:val="en-GB"/>
        </w:rPr>
        <w:t>Baddeley reasoning test (Primary outcome)</w:t>
      </w:r>
    </w:p>
    <w:p w14:paraId="1560C2D5" w14:textId="77777777" w:rsidR="00C3282E" w:rsidRPr="00C3282E" w:rsidRDefault="00C3282E" w:rsidP="00C3282E">
      <w:pPr>
        <w:spacing w:before="0" w:after="160" w:line="360" w:lineRule="auto"/>
        <w:rPr>
          <w:rFonts w:eastAsia="Calibri" w:cs="Times New Roman"/>
          <w:sz w:val="22"/>
          <w:szCs w:val="20"/>
          <w:lang w:val="en-GB"/>
        </w:rPr>
      </w:pPr>
      <w:r w:rsidRPr="00C3282E">
        <w:rPr>
          <w:rFonts w:eastAsia="Calibri" w:cs="Times New Roman"/>
          <w:sz w:val="22"/>
          <w:szCs w:val="20"/>
          <w:lang w:val="en-GB"/>
        </w:rPr>
        <w:t xml:space="preserve">For the primary outcome of cognitive </w:t>
      </w:r>
      <w:proofErr w:type="gramStart"/>
      <w:r w:rsidRPr="00C3282E">
        <w:rPr>
          <w:rFonts w:eastAsia="Calibri" w:cs="Times New Roman"/>
          <w:sz w:val="22"/>
          <w:szCs w:val="20"/>
          <w:lang w:val="en-GB"/>
        </w:rPr>
        <w:t>decline</w:t>
      </w:r>
      <w:proofErr w:type="gramEnd"/>
      <w:r w:rsidRPr="00C3282E">
        <w:rPr>
          <w:rFonts w:eastAsia="Calibri" w:cs="Times New Roman"/>
          <w:sz w:val="22"/>
          <w:szCs w:val="20"/>
          <w:lang w:val="en-GB"/>
        </w:rPr>
        <w:t xml:space="preserve"> we assume an alpha of 0.025 and 80% power to detect a standardised effect of 0.15. This requires 847 per group for the MCI subgroup and the same again for the AACD subgroup – 2541 of each in total.  </w:t>
      </w:r>
    </w:p>
    <w:p w14:paraId="0EB90A5D" w14:textId="2EC83FFE" w:rsidR="00C3282E" w:rsidRPr="002B67A1" w:rsidRDefault="00C3282E" w:rsidP="002B67A1">
      <w:pPr>
        <w:pStyle w:val="ListParagraph"/>
        <w:numPr>
          <w:ilvl w:val="0"/>
          <w:numId w:val="29"/>
        </w:numPr>
        <w:spacing w:before="0" w:after="160" w:line="360" w:lineRule="auto"/>
        <w:rPr>
          <w:rFonts w:eastAsia="Calibri"/>
          <w:sz w:val="22"/>
          <w:szCs w:val="20"/>
          <w:u w:val="single"/>
          <w:lang w:val="en-GB"/>
        </w:rPr>
      </w:pPr>
      <w:r w:rsidRPr="002B67A1">
        <w:rPr>
          <w:rFonts w:eastAsia="Calibri"/>
          <w:sz w:val="22"/>
          <w:szCs w:val="20"/>
          <w:u w:val="single"/>
          <w:lang w:val="en-GB"/>
        </w:rPr>
        <w:t xml:space="preserve">For primary outcome at one-year follow-up: </w:t>
      </w:r>
    </w:p>
    <w:p w14:paraId="6BCF5A9D" w14:textId="77777777" w:rsidR="00C3282E" w:rsidRPr="00C3282E" w:rsidRDefault="00C3282E" w:rsidP="00C3282E">
      <w:pPr>
        <w:spacing w:before="0" w:after="160" w:line="360" w:lineRule="auto"/>
        <w:rPr>
          <w:rFonts w:eastAsia="Calibri" w:cs="Times New Roman"/>
          <w:sz w:val="22"/>
          <w:szCs w:val="20"/>
          <w:lang w:val="en-GB"/>
        </w:rPr>
      </w:pPr>
      <w:proofErr w:type="gramStart"/>
      <w:r w:rsidRPr="00C3282E">
        <w:rPr>
          <w:rFonts w:eastAsia="Calibri" w:cs="Times New Roman"/>
          <w:sz w:val="22"/>
          <w:szCs w:val="20"/>
          <w:lang w:val="en-GB"/>
        </w:rPr>
        <w:t>Assuming that</w:t>
      </w:r>
      <w:proofErr w:type="gramEnd"/>
      <w:r w:rsidRPr="00C3282E">
        <w:rPr>
          <w:rFonts w:eastAsia="Calibri" w:cs="Times New Roman"/>
          <w:sz w:val="22"/>
          <w:szCs w:val="20"/>
          <w:lang w:val="en-GB"/>
        </w:rPr>
        <w:t xml:space="preserve"> 70% will be available to provide follow-up at 1 year, we will need 3630 participants with MCI and the same with AACD, or 7260 in total.</w:t>
      </w:r>
    </w:p>
    <w:p w14:paraId="0CD42828" w14:textId="533ADF98" w:rsidR="00C3282E" w:rsidRPr="002B67A1" w:rsidRDefault="00C3282E" w:rsidP="002B67A1">
      <w:pPr>
        <w:pStyle w:val="ListParagraph"/>
        <w:numPr>
          <w:ilvl w:val="0"/>
          <w:numId w:val="29"/>
        </w:numPr>
        <w:spacing w:before="0" w:after="160" w:line="360" w:lineRule="auto"/>
        <w:rPr>
          <w:rFonts w:eastAsia="Calibri"/>
          <w:sz w:val="22"/>
          <w:szCs w:val="20"/>
          <w:u w:val="single"/>
          <w:lang w:val="en-GB"/>
        </w:rPr>
      </w:pPr>
      <w:r w:rsidRPr="002B67A1">
        <w:rPr>
          <w:rFonts w:eastAsia="Calibri"/>
          <w:sz w:val="22"/>
          <w:szCs w:val="20"/>
          <w:u w:val="single"/>
          <w:lang w:val="en-GB"/>
        </w:rPr>
        <w:t>For primary outcome at five-year follow-up:</w:t>
      </w:r>
    </w:p>
    <w:p w14:paraId="42154865" w14:textId="77777777" w:rsidR="00C3282E" w:rsidRPr="00C3282E" w:rsidRDefault="00C3282E" w:rsidP="00C3282E">
      <w:pPr>
        <w:spacing w:before="0" w:after="160" w:line="360" w:lineRule="auto"/>
        <w:rPr>
          <w:rFonts w:eastAsia="Calibri" w:cs="Times New Roman"/>
          <w:sz w:val="22"/>
          <w:szCs w:val="20"/>
          <w:lang w:val="en-GB"/>
        </w:rPr>
      </w:pPr>
      <w:proofErr w:type="gramStart"/>
      <w:r w:rsidRPr="00C3282E">
        <w:rPr>
          <w:rFonts w:eastAsia="Calibri" w:cs="Times New Roman"/>
          <w:sz w:val="22"/>
          <w:szCs w:val="20"/>
          <w:lang w:val="en-GB"/>
        </w:rPr>
        <w:t>Assuming that</w:t>
      </w:r>
      <w:proofErr w:type="gramEnd"/>
      <w:r w:rsidRPr="00C3282E">
        <w:rPr>
          <w:rFonts w:eastAsia="Calibri" w:cs="Times New Roman"/>
          <w:sz w:val="22"/>
          <w:szCs w:val="20"/>
          <w:lang w:val="en-GB"/>
        </w:rPr>
        <w:t xml:space="preserve"> 60% will be available to provide follow-up within 5 years, this rises to 4235 participants with MCI and the same with AACD per group or 8470 in total.</w:t>
      </w:r>
    </w:p>
    <w:p w14:paraId="45871791" w14:textId="486BCA7C" w:rsidR="00C3282E" w:rsidRPr="002B67A1" w:rsidRDefault="00C3282E" w:rsidP="002B67A1">
      <w:pPr>
        <w:pStyle w:val="ListParagraph"/>
        <w:numPr>
          <w:ilvl w:val="0"/>
          <w:numId w:val="28"/>
        </w:numPr>
        <w:spacing w:before="0" w:after="160" w:line="360" w:lineRule="auto"/>
        <w:rPr>
          <w:rFonts w:eastAsia="Calibri"/>
          <w:b/>
          <w:bCs/>
          <w:sz w:val="22"/>
          <w:szCs w:val="20"/>
          <w:lang w:val="en-GB"/>
        </w:rPr>
      </w:pPr>
      <w:r w:rsidRPr="002B67A1">
        <w:rPr>
          <w:rFonts w:eastAsia="Calibri"/>
          <w:b/>
          <w:bCs/>
          <w:sz w:val="22"/>
          <w:szCs w:val="20"/>
          <w:lang w:val="en-GB"/>
        </w:rPr>
        <w:t>Progression to dementia</w:t>
      </w:r>
    </w:p>
    <w:p w14:paraId="22B59504" w14:textId="08DDCCCB" w:rsidR="00875D80" w:rsidRDefault="00C3282E" w:rsidP="00875D80">
      <w:pPr>
        <w:spacing w:before="0" w:after="160" w:line="360" w:lineRule="auto"/>
        <w:rPr>
          <w:rFonts w:eastAsia="Calibri" w:cs="Times New Roman"/>
          <w:sz w:val="22"/>
          <w:szCs w:val="20"/>
          <w:lang w:val="en-GB"/>
        </w:rPr>
      </w:pPr>
      <w:r w:rsidRPr="00C3282E">
        <w:rPr>
          <w:rFonts w:eastAsia="Calibri" w:cs="Times New Roman"/>
          <w:sz w:val="22"/>
          <w:szCs w:val="20"/>
          <w:lang w:val="en-GB"/>
        </w:rPr>
        <w:t xml:space="preserve">Although the reduction in cognitive decline as assessed using the Baddeley reasoning test is the primary outcome at one-year, the limiting factor in the sample size calculation for those with cognitive impairment is the progression to dementia at five-years. We assume a 5% annual progression rate to dementia among those who are cognitively impaired. With alpha 0.05 and 80% power, we aim to detect a difference of 5% after 5 years (20% intervention and 25% control) in those diagnosed with dementia.  This means we would need 1094 in each of the MCI and AACD groups or a total of 2188.  </w:t>
      </w:r>
      <w:proofErr w:type="gramStart"/>
      <w:r w:rsidRPr="00C3282E">
        <w:rPr>
          <w:rFonts w:eastAsia="Calibri" w:cs="Times New Roman"/>
          <w:sz w:val="22"/>
          <w:szCs w:val="20"/>
          <w:lang w:val="en-GB"/>
        </w:rPr>
        <w:t>Assuming that</w:t>
      </w:r>
      <w:proofErr w:type="gramEnd"/>
      <w:r w:rsidRPr="00C3282E">
        <w:rPr>
          <w:rFonts w:eastAsia="Calibri" w:cs="Times New Roman"/>
          <w:sz w:val="22"/>
          <w:szCs w:val="20"/>
          <w:lang w:val="en-GB"/>
        </w:rPr>
        <w:t xml:space="preserve"> 60% will be available to provide follow up in 5 years requires 3647 in each of the 3 study groups or 10940 in total. </w:t>
      </w:r>
    </w:p>
    <w:p w14:paraId="40063407" w14:textId="77777777" w:rsidR="00001468" w:rsidRDefault="00001468" w:rsidP="00875D80">
      <w:pPr>
        <w:spacing w:before="0" w:after="160" w:line="360" w:lineRule="auto"/>
        <w:rPr>
          <w:rFonts w:eastAsia="Calibri" w:cs="Times New Roman"/>
          <w:sz w:val="22"/>
          <w:szCs w:val="20"/>
          <w:lang w:val="en-GB"/>
        </w:rPr>
      </w:pPr>
    </w:p>
    <w:p w14:paraId="16CB1493" w14:textId="5716DE2B" w:rsidR="00C3282E" w:rsidRPr="00875D80" w:rsidRDefault="00875D80" w:rsidP="00875D80">
      <w:pPr>
        <w:pStyle w:val="ListParagraph"/>
        <w:numPr>
          <w:ilvl w:val="0"/>
          <w:numId w:val="27"/>
        </w:numPr>
        <w:spacing w:before="0" w:after="160" w:line="360" w:lineRule="auto"/>
        <w:rPr>
          <w:rFonts w:eastAsia="Calibri"/>
          <w:sz w:val="22"/>
          <w:szCs w:val="20"/>
          <w:lang w:val="en-GB"/>
        </w:rPr>
      </w:pPr>
      <w:r>
        <w:rPr>
          <w:rFonts w:eastAsia="SimSun"/>
          <w:b/>
          <w:bCs/>
          <w:i/>
          <w:iCs/>
          <w:sz w:val="22"/>
          <w:lang w:val="en-GB"/>
        </w:rPr>
        <w:lastRenderedPageBreak/>
        <w:t xml:space="preserve">Higher </w:t>
      </w:r>
      <w:r w:rsidR="00612FBA">
        <w:rPr>
          <w:rFonts w:eastAsia="SimSun"/>
          <w:b/>
          <w:bCs/>
          <w:i/>
          <w:iCs/>
          <w:sz w:val="22"/>
          <w:lang w:val="en-GB"/>
        </w:rPr>
        <w:t>C</w:t>
      </w:r>
      <w:r>
        <w:rPr>
          <w:rFonts w:eastAsia="SimSun"/>
          <w:b/>
          <w:bCs/>
          <w:i/>
          <w:iCs/>
          <w:sz w:val="22"/>
          <w:lang w:val="en-GB"/>
        </w:rPr>
        <w:t xml:space="preserve">ognitive </w:t>
      </w:r>
      <w:r w:rsidR="00612FBA">
        <w:rPr>
          <w:rFonts w:eastAsia="SimSun"/>
          <w:b/>
          <w:bCs/>
          <w:i/>
          <w:iCs/>
          <w:sz w:val="22"/>
          <w:lang w:val="en-GB"/>
        </w:rPr>
        <w:t>S</w:t>
      </w:r>
      <w:r>
        <w:rPr>
          <w:rFonts w:eastAsia="SimSun"/>
          <w:b/>
          <w:bCs/>
          <w:i/>
          <w:iCs/>
          <w:sz w:val="22"/>
          <w:lang w:val="en-GB"/>
        </w:rPr>
        <w:t>core</w:t>
      </w:r>
      <w:r w:rsidR="00C3282E" w:rsidRPr="00875D80">
        <w:rPr>
          <w:rFonts w:eastAsia="SimSun"/>
          <w:b/>
          <w:bCs/>
          <w:i/>
          <w:iCs/>
          <w:sz w:val="22"/>
          <w:lang w:val="en-GB"/>
        </w:rPr>
        <w:t xml:space="preserve"> trial</w:t>
      </w:r>
    </w:p>
    <w:p w14:paraId="07E0FF2E" w14:textId="77777777" w:rsidR="00C3282E" w:rsidRPr="00C3282E" w:rsidRDefault="00C3282E" w:rsidP="00C3282E">
      <w:pPr>
        <w:spacing w:before="0" w:after="160" w:line="360" w:lineRule="auto"/>
        <w:rPr>
          <w:rFonts w:eastAsia="Calibri" w:cs="Times New Roman"/>
          <w:b/>
          <w:bCs/>
          <w:sz w:val="22"/>
          <w:szCs w:val="20"/>
          <w:lang w:val="en-GB"/>
        </w:rPr>
      </w:pPr>
      <w:r w:rsidRPr="00C3282E">
        <w:rPr>
          <w:rFonts w:eastAsia="Calibri" w:cs="Times New Roman"/>
          <w:b/>
          <w:bCs/>
          <w:sz w:val="22"/>
          <w:szCs w:val="20"/>
          <w:lang w:val="en-GB"/>
        </w:rPr>
        <w:t>Baddeley reasoning test (Primary  outcome)</w:t>
      </w:r>
    </w:p>
    <w:p w14:paraId="5DAA4EE4" w14:textId="77777777" w:rsidR="00C3282E" w:rsidRPr="00C3282E" w:rsidRDefault="00C3282E" w:rsidP="00C3282E">
      <w:pPr>
        <w:spacing w:before="0" w:after="160" w:line="360" w:lineRule="auto"/>
        <w:rPr>
          <w:rFonts w:eastAsia="Calibri" w:cs="Times New Roman"/>
          <w:sz w:val="22"/>
          <w:szCs w:val="20"/>
          <w:lang w:val="en-GB"/>
        </w:rPr>
      </w:pPr>
      <w:r w:rsidRPr="00C3282E">
        <w:rPr>
          <w:rFonts w:eastAsia="Calibri" w:cs="Times New Roman"/>
          <w:sz w:val="22"/>
          <w:szCs w:val="20"/>
          <w:lang w:val="en-GB"/>
        </w:rPr>
        <w:t xml:space="preserve">We assume few of those who have no cognitive impairment at baseline will develop dementia, and that we might find a smaller effect of the intervention. For the primary outcome of cognitive </w:t>
      </w:r>
      <w:proofErr w:type="gramStart"/>
      <w:r w:rsidRPr="00C3282E">
        <w:rPr>
          <w:rFonts w:eastAsia="Calibri" w:cs="Times New Roman"/>
          <w:sz w:val="22"/>
          <w:szCs w:val="20"/>
          <w:lang w:val="en-GB"/>
        </w:rPr>
        <w:t>decline</w:t>
      </w:r>
      <w:proofErr w:type="gramEnd"/>
      <w:r w:rsidRPr="00C3282E">
        <w:rPr>
          <w:rFonts w:eastAsia="Calibri" w:cs="Times New Roman"/>
          <w:sz w:val="22"/>
          <w:szCs w:val="20"/>
          <w:lang w:val="en-GB"/>
        </w:rPr>
        <w:t xml:space="preserve"> we assume an alpha of 0.05 and 90% power to detect a standardised mean difference of 0.1 in the Baddeley. This requires 2103 per group.  </w:t>
      </w:r>
    </w:p>
    <w:p w14:paraId="69A17018" w14:textId="35DBC8F8" w:rsidR="00C3282E" w:rsidRPr="006B46F4" w:rsidRDefault="00C3282E" w:rsidP="006B46F4">
      <w:pPr>
        <w:pStyle w:val="ListParagraph"/>
        <w:numPr>
          <w:ilvl w:val="0"/>
          <w:numId w:val="30"/>
        </w:numPr>
        <w:spacing w:before="0" w:after="160" w:line="360" w:lineRule="auto"/>
        <w:rPr>
          <w:rFonts w:eastAsia="Calibri"/>
          <w:sz w:val="22"/>
          <w:szCs w:val="20"/>
          <w:u w:val="single"/>
          <w:lang w:val="en-GB"/>
        </w:rPr>
      </w:pPr>
      <w:r w:rsidRPr="006B46F4">
        <w:rPr>
          <w:rFonts w:eastAsia="Calibri"/>
          <w:sz w:val="22"/>
          <w:szCs w:val="20"/>
          <w:u w:val="single"/>
          <w:lang w:val="en-GB"/>
        </w:rPr>
        <w:t xml:space="preserve">For primary outcome at one-year follow-up: </w:t>
      </w:r>
    </w:p>
    <w:p w14:paraId="71563ECE" w14:textId="77777777" w:rsidR="00C3282E" w:rsidRPr="00C3282E" w:rsidRDefault="00C3282E" w:rsidP="00C3282E">
      <w:pPr>
        <w:spacing w:before="0" w:after="160" w:line="360" w:lineRule="auto"/>
        <w:rPr>
          <w:rFonts w:eastAsia="Calibri" w:cs="Times New Roman"/>
          <w:sz w:val="22"/>
          <w:szCs w:val="20"/>
          <w:lang w:val="en-GB"/>
        </w:rPr>
      </w:pPr>
      <w:proofErr w:type="gramStart"/>
      <w:r w:rsidRPr="00C3282E">
        <w:rPr>
          <w:rFonts w:eastAsia="Calibri" w:cs="Times New Roman"/>
          <w:sz w:val="22"/>
          <w:szCs w:val="20"/>
          <w:lang w:val="en-GB"/>
        </w:rPr>
        <w:t>Assuming that</w:t>
      </w:r>
      <w:proofErr w:type="gramEnd"/>
      <w:r w:rsidRPr="00C3282E">
        <w:rPr>
          <w:rFonts w:eastAsia="Calibri" w:cs="Times New Roman"/>
          <w:sz w:val="22"/>
          <w:szCs w:val="20"/>
          <w:lang w:val="en-GB"/>
        </w:rPr>
        <w:t xml:space="preserve"> 70% will be available to provide follow-up at 1 year, we will need 3004 per group, or 9013 in total.</w:t>
      </w:r>
    </w:p>
    <w:p w14:paraId="14B448DE" w14:textId="7360B42F" w:rsidR="00C3282E" w:rsidRPr="006B46F4" w:rsidRDefault="00C3282E" w:rsidP="006B46F4">
      <w:pPr>
        <w:pStyle w:val="ListParagraph"/>
        <w:numPr>
          <w:ilvl w:val="0"/>
          <w:numId w:val="30"/>
        </w:numPr>
        <w:spacing w:before="0" w:after="160" w:line="360" w:lineRule="auto"/>
        <w:rPr>
          <w:rFonts w:eastAsia="Calibri"/>
          <w:sz w:val="22"/>
          <w:szCs w:val="20"/>
          <w:u w:val="single"/>
          <w:lang w:val="en-GB"/>
        </w:rPr>
      </w:pPr>
      <w:r w:rsidRPr="006B46F4">
        <w:rPr>
          <w:rFonts w:eastAsia="Calibri"/>
          <w:sz w:val="22"/>
          <w:szCs w:val="20"/>
          <w:u w:val="single"/>
          <w:lang w:val="en-GB"/>
        </w:rPr>
        <w:t>For primary outcome at five-year follow-up:</w:t>
      </w:r>
    </w:p>
    <w:p w14:paraId="4843EAE9" w14:textId="2EA8D6C0" w:rsidR="00221767" w:rsidRDefault="00C3282E" w:rsidP="00C3282E">
      <w:pPr>
        <w:spacing w:before="0" w:after="160" w:line="360" w:lineRule="auto"/>
        <w:rPr>
          <w:rFonts w:eastAsia="Calibri" w:cs="Times New Roman"/>
          <w:sz w:val="22"/>
          <w:szCs w:val="20"/>
          <w:lang w:val="en-GB"/>
        </w:rPr>
      </w:pPr>
      <w:proofErr w:type="gramStart"/>
      <w:r w:rsidRPr="00C3282E">
        <w:rPr>
          <w:rFonts w:eastAsia="Calibri" w:cs="Times New Roman"/>
          <w:sz w:val="22"/>
          <w:szCs w:val="20"/>
          <w:lang w:val="en-GB"/>
        </w:rPr>
        <w:t>Assuming that</w:t>
      </w:r>
      <w:proofErr w:type="gramEnd"/>
      <w:r w:rsidRPr="00C3282E">
        <w:rPr>
          <w:rFonts w:eastAsia="Calibri" w:cs="Times New Roman"/>
          <w:sz w:val="22"/>
          <w:szCs w:val="20"/>
          <w:lang w:val="en-GB"/>
        </w:rPr>
        <w:t xml:space="preserve"> 60% will be available to provide follow-up within 5 years, that rises to 3505 per group or 10,515 in total.</w:t>
      </w:r>
    </w:p>
    <w:p w14:paraId="1E435E57" w14:textId="77777777" w:rsidR="00221767" w:rsidRPr="00C3282E" w:rsidRDefault="00221767" w:rsidP="00C3282E">
      <w:pPr>
        <w:spacing w:before="0" w:after="160" w:line="360" w:lineRule="auto"/>
        <w:rPr>
          <w:rFonts w:eastAsia="Calibri" w:cs="Times New Roman"/>
          <w:sz w:val="22"/>
          <w:szCs w:val="20"/>
          <w:lang w:val="en-GB"/>
        </w:rPr>
      </w:pPr>
    </w:p>
    <w:p w14:paraId="642FEB46" w14:textId="64AF85B4" w:rsidR="00C7208F" w:rsidRDefault="00C3282E" w:rsidP="00C7208F">
      <w:pPr>
        <w:autoSpaceDE w:val="0"/>
        <w:autoSpaceDN w:val="0"/>
        <w:adjustRightInd w:val="0"/>
        <w:spacing w:before="0" w:after="0" w:line="360" w:lineRule="auto"/>
        <w:contextualSpacing/>
        <w:rPr>
          <w:rFonts w:eastAsia="Calibri" w:cs="Times New Roman"/>
          <w:sz w:val="22"/>
          <w:szCs w:val="20"/>
          <w:lang w:val="en-GB"/>
        </w:rPr>
      </w:pPr>
      <w:r w:rsidRPr="00C3282E">
        <w:rPr>
          <w:rFonts w:eastAsia="Calibri" w:cs="Times New Roman"/>
          <w:sz w:val="22"/>
          <w:szCs w:val="20"/>
          <w:lang w:val="en-GB"/>
        </w:rPr>
        <w:t xml:space="preserve">Therefore, </w:t>
      </w:r>
      <w:proofErr w:type="gramStart"/>
      <w:r w:rsidRPr="00C3282E">
        <w:rPr>
          <w:rFonts w:eastAsia="Calibri" w:cs="Times New Roman"/>
          <w:sz w:val="22"/>
          <w:szCs w:val="20"/>
          <w:lang w:val="en-GB"/>
        </w:rPr>
        <w:t>in order to</w:t>
      </w:r>
      <w:proofErr w:type="gramEnd"/>
      <w:r w:rsidRPr="00C3282E">
        <w:rPr>
          <w:rFonts w:eastAsia="Calibri" w:cs="Times New Roman"/>
          <w:sz w:val="22"/>
          <w:szCs w:val="20"/>
          <w:lang w:val="en-GB"/>
        </w:rPr>
        <w:t xml:space="preserve"> be powered to detect an effect at </w:t>
      </w:r>
      <w:r w:rsidR="00C7208F" w:rsidRPr="00C3282E">
        <w:rPr>
          <w:rFonts w:eastAsia="Calibri" w:cs="Times New Roman"/>
          <w:sz w:val="22"/>
          <w:szCs w:val="20"/>
          <w:lang w:val="en-GB"/>
        </w:rPr>
        <w:t>5-year</w:t>
      </w:r>
      <w:r w:rsidRPr="00C3282E">
        <w:rPr>
          <w:rFonts w:eastAsia="Calibri" w:cs="Times New Roman"/>
          <w:sz w:val="22"/>
          <w:szCs w:val="20"/>
          <w:lang w:val="en-GB"/>
        </w:rPr>
        <w:t xml:space="preserve"> follow-up: </w:t>
      </w:r>
    </w:p>
    <w:p w14:paraId="0211A273" w14:textId="44CC1434" w:rsidR="00C3282E" w:rsidRPr="00C7208F" w:rsidRDefault="00C3282E" w:rsidP="00C7208F">
      <w:pPr>
        <w:pStyle w:val="ListParagraph"/>
        <w:numPr>
          <w:ilvl w:val="0"/>
          <w:numId w:val="31"/>
        </w:numPr>
        <w:autoSpaceDE w:val="0"/>
        <w:autoSpaceDN w:val="0"/>
        <w:adjustRightInd w:val="0"/>
        <w:spacing w:before="0" w:after="0" w:line="360" w:lineRule="auto"/>
        <w:rPr>
          <w:rFonts w:eastAsia="SimSun"/>
          <w:sz w:val="22"/>
          <w:lang w:val="en-GB" w:eastAsia="zh-CN"/>
        </w:rPr>
      </w:pPr>
      <w:r w:rsidRPr="00C7208F">
        <w:rPr>
          <w:rFonts w:eastAsia="SimSun"/>
          <w:sz w:val="22"/>
          <w:lang w:val="en-GB" w:eastAsia="zh-CN"/>
        </w:rPr>
        <w:t xml:space="preserve">In patients </w:t>
      </w:r>
      <w:r w:rsidRPr="00C7208F">
        <w:rPr>
          <w:rFonts w:eastAsia="SimSun"/>
          <w:sz w:val="22"/>
          <w:u w:val="single"/>
          <w:lang w:val="en-GB" w:eastAsia="zh-CN"/>
        </w:rPr>
        <w:t>with</w:t>
      </w:r>
      <w:r w:rsidRPr="00C7208F">
        <w:rPr>
          <w:rFonts w:eastAsia="SimSun"/>
          <w:sz w:val="22"/>
          <w:lang w:val="en-GB" w:eastAsia="zh-CN"/>
        </w:rPr>
        <w:t xml:space="preserve"> cognitive </w:t>
      </w:r>
      <w:proofErr w:type="gramStart"/>
      <w:r w:rsidRPr="00C7208F">
        <w:rPr>
          <w:rFonts w:eastAsia="SimSun"/>
          <w:sz w:val="22"/>
          <w:lang w:val="en-GB" w:eastAsia="zh-CN"/>
        </w:rPr>
        <w:t>decline</w:t>
      </w:r>
      <w:proofErr w:type="gramEnd"/>
      <w:r w:rsidRPr="00C7208F">
        <w:rPr>
          <w:rFonts w:eastAsia="SimSun"/>
          <w:sz w:val="22"/>
          <w:lang w:val="en-GB" w:eastAsia="zh-CN"/>
        </w:rPr>
        <w:t xml:space="preserve"> we will recruit a minimum of 3647 patients to each of the three study groups (10,940 total); there will be a mixture of patients with MCI and AACD. </w:t>
      </w:r>
    </w:p>
    <w:p w14:paraId="7991CF52" w14:textId="77777777" w:rsidR="00C3282E" w:rsidRPr="00C3282E" w:rsidRDefault="00C3282E" w:rsidP="00C3282E">
      <w:pPr>
        <w:numPr>
          <w:ilvl w:val="0"/>
          <w:numId w:val="26"/>
        </w:numPr>
        <w:autoSpaceDE w:val="0"/>
        <w:autoSpaceDN w:val="0"/>
        <w:adjustRightInd w:val="0"/>
        <w:spacing w:before="0" w:after="0" w:line="360" w:lineRule="auto"/>
        <w:contextualSpacing/>
        <w:rPr>
          <w:rFonts w:eastAsia="SimSun" w:cs="Times New Roman"/>
          <w:sz w:val="22"/>
          <w:lang w:val="en-GB" w:eastAsia="zh-CN"/>
        </w:rPr>
      </w:pPr>
      <w:r w:rsidRPr="00C3282E">
        <w:rPr>
          <w:rFonts w:eastAsia="SimSun" w:cs="Times New Roman"/>
          <w:sz w:val="22"/>
          <w:lang w:val="en-GB" w:eastAsia="zh-CN"/>
        </w:rPr>
        <w:t xml:space="preserve">In patients </w:t>
      </w:r>
      <w:r w:rsidRPr="00C3282E">
        <w:rPr>
          <w:rFonts w:eastAsia="SimSun" w:cs="Times New Roman"/>
          <w:sz w:val="22"/>
          <w:u w:val="single"/>
          <w:lang w:val="en-GB" w:eastAsia="zh-CN"/>
        </w:rPr>
        <w:t>without</w:t>
      </w:r>
      <w:r w:rsidRPr="00C3282E">
        <w:rPr>
          <w:rFonts w:eastAsia="SimSun" w:cs="Times New Roman"/>
          <w:sz w:val="22"/>
          <w:lang w:val="en-GB" w:eastAsia="zh-CN"/>
        </w:rPr>
        <w:t xml:space="preserve"> cognitive </w:t>
      </w:r>
      <w:proofErr w:type="gramStart"/>
      <w:r w:rsidRPr="00C3282E">
        <w:rPr>
          <w:rFonts w:eastAsia="SimSun" w:cs="Times New Roman"/>
          <w:sz w:val="22"/>
          <w:lang w:val="en-GB" w:eastAsia="zh-CN"/>
        </w:rPr>
        <w:t>decline</w:t>
      </w:r>
      <w:proofErr w:type="gramEnd"/>
      <w:r w:rsidRPr="00C3282E">
        <w:rPr>
          <w:rFonts w:eastAsia="SimSun" w:cs="Times New Roman"/>
          <w:sz w:val="22"/>
          <w:lang w:val="en-GB" w:eastAsia="zh-CN"/>
        </w:rPr>
        <w:t xml:space="preserve"> we will recruit a minimum of 3505 patients to each of the three study groups (10,515 total). </w:t>
      </w:r>
    </w:p>
    <w:p w14:paraId="69CB69CF" w14:textId="77777777" w:rsidR="00C3282E" w:rsidRPr="00C3282E" w:rsidRDefault="00C3282E" w:rsidP="00C3282E">
      <w:pPr>
        <w:autoSpaceDE w:val="0"/>
        <w:autoSpaceDN w:val="0"/>
        <w:adjustRightInd w:val="0"/>
        <w:spacing w:before="0" w:after="0" w:line="360" w:lineRule="auto"/>
        <w:ind w:left="720"/>
        <w:contextualSpacing/>
        <w:rPr>
          <w:rFonts w:eastAsia="SimSun" w:cs="Times New Roman"/>
          <w:sz w:val="22"/>
          <w:highlight w:val="yellow"/>
          <w:lang w:val="en-GB" w:eastAsia="zh-CN"/>
        </w:rPr>
      </w:pPr>
    </w:p>
    <w:p w14:paraId="29E55FD3" w14:textId="363512B5" w:rsidR="00C3282E" w:rsidRPr="00E948A8" w:rsidRDefault="00C3282E" w:rsidP="00E948A8">
      <w:pPr>
        <w:spacing w:before="0" w:after="160" w:line="360" w:lineRule="auto"/>
        <w:rPr>
          <w:rFonts w:eastAsia="Calibri" w:cs="Times New Roman"/>
          <w:sz w:val="22"/>
          <w:lang w:val="en-GB"/>
        </w:rPr>
      </w:pPr>
      <w:r w:rsidRPr="00C3282E">
        <w:rPr>
          <w:rFonts w:eastAsia="Calibri" w:cs="Times New Roman"/>
          <w:sz w:val="22"/>
          <w:lang w:val="en-GB"/>
        </w:rPr>
        <w:t>This means our total sample size across both trials will be a minimum of 21,455 participants in the trials.</w:t>
      </w:r>
    </w:p>
    <w:sectPr w:rsidR="00C3282E" w:rsidRPr="00E948A8"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907D4"/>
    <w:multiLevelType w:val="hybridMultilevel"/>
    <w:tmpl w:val="3DD0E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FD1"/>
    <w:multiLevelType w:val="hybridMultilevel"/>
    <w:tmpl w:val="8B363B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614E22"/>
    <w:multiLevelType w:val="hybridMultilevel"/>
    <w:tmpl w:val="7E642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5E4E61"/>
    <w:multiLevelType w:val="multilevel"/>
    <w:tmpl w:val="5608D052"/>
    <w:lvl w:ilvl="0">
      <w:start w:val="1"/>
      <w:numFmt w:val="decimal"/>
      <w:lvlText w:val="%1"/>
      <w:lvlJc w:val="left"/>
      <w:pPr>
        <w:ind w:left="375" w:hanging="375"/>
      </w:pPr>
      <w:rPr>
        <w:rFonts w:hint="default"/>
      </w:rPr>
    </w:lvl>
    <w:lvl w:ilvl="1">
      <w:start w:val="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5F490B"/>
    <w:multiLevelType w:val="hybridMultilevel"/>
    <w:tmpl w:val="1576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E865E0"/>
    <w:multiLevelType w:val="hybridMultilevel"/>
    <w:tmpl w:val="3ACC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1D178D"/>
    <w:multiLevelType w:val="hybridMultilevel"/>
    <w:tmpl w:val="FAE031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B92DF3"/>
    <w:multiLevelType w:val="hybridMultilevel"/>
    <w:tmpl w:val="3718E19C"/>
    <w:lvl w:ilvl="0" w:tplc="5538AE3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5D1FF2"/>
    <w:multiLevelType w:val="hybridMultilevel"/>
    <w:tmpl w:val="74321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4B1E33"/>
    <w:multiLevelType w:val="hybridMultilevel"/>
    <w:tmpl w:val="8E5259C2"/>
    <w:lvl w:ilvl="0" w:tplc="DC9253B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61B9F"/>
    <w:multiLevelType w:val="hybridMultilevel"/>
    <w:tmpl w:val="FE0E0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7578B"/>
    <w:multiLevelType w:val="hybridMultilevel"/>
    <w:tmpl w:val="37181C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9" w15:restartNumberingAfterBreak="0">
    <w:nsid w:val="6CF002EF"/>
    <w:multiLevelType w:val="hybridMultilevel"/>
    <w:tmpl w:val="41108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9"/>
  </w:num>
  <w:num w:numId="21">
    <w:abstractNumId w:val="12"/>
  </w:num>
  <w:num w:numId="22">
    <w:abstractNumId w:val="8"/>
  </w:num>
  <w:num w:numId="23">
    <w:abstractNumId w:val="10"/>
  </w:num>
  <w:num w:numId="24">
    <w:abstractNumId w:val="7"/>
  </w:num>
  <w:num w:numId="25">
    <w:abstractNumId w:val="15"/>
  </w:num>
  <w:num w:numId="26">
    <w:abstractNumId w:val="9"/>
  </w:num>
  <w:num w:numId="27">
    <w:abstractNumId w:val="3"/>
  </w:num>
  <w:num w:numId="28">
    <w:abstractNumId w:val="17"/>
  </w:num>
  <w:num w:numId="29">
    <w:abstractNumId w:val="13"/>
  </w:num>
  <w:num w:numId="30">
    <w:abstractNumId w:val="11"/>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1468"/>
    <w:rsid w:val="0001436A"/>
    <w:rsid w:val="00034304"/>
    <w:rsid w:val="00035434"/>
    <w:rsid w:val="00052A14"/>
    <w:rsid w:val="00077D53"/>
    <w:rsid w:val="00105FD9"/>
    <w:rsid w:val="00117666"/>
    <w:rsid w:val="001549D3"/>
    <w:rsid w:val="00160065"/>
    <w:rsid w:val="00177D84"/>
    <w:rsid w:val="0020261D"/>
    <w:rsid w:val="00221767"/>
    <w:rsid w:val="00267D18"/>
    <w:rsid w:val="0027153E"/>
    <w:rsid w:val="00274347"/>
    <w:rsid w:val="002868E2"/>
    <w:rsid w:val="002869C3"/>
    <w:rsid w:val="002936E4"/>
    <w:rsid w:val="002A6F80"/>
    <w:rsid w:val="002B4A57"/>
    <w:rsid w:val="002B67A1"/>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12FBA"/>
    <w:rsid w:val="006375C7"/>
    <w:rsid w:val="00654E8F"/>
    <w:rsid w:val="00660D05"/>
    <w:rsid w:val="006820B1"/>
    <w:rsid w:val="0069663D"/>
    <w:rsid w:val="006B46F4"/>
    <w:rsid w:val="006B7D14"/>
    <w:rsid w:val="00701727"/>
    <w:rsid w:val="0070566C"/>
    <w:rsid w:val="00714C50"/>
    <w:rsid w:val="00725A7D"/>
    <w:rsid w:val="007501BE"/>
    <w:rsid w:val="00790BB3"/>
    <w:rsid w:val="007C206C"/>
    <w:rsid w:val="00817DD6"/>
    <w:rsid w:val="0083759F"/>
    <w:rsid w:val="00855B31"/>
    <w:rsid w:val="00875D80"/>
    <w:rsid w:val="00885156"/>
    <w:rsid w:val="009151AA"/>
    <w:rsid w:val="0093429D"/>
    <w:rsid w:val="00943573"/>
    <w:rsid w:val="00964134"/>
    <w:rsid w:val="00966042"/>
    <w:rsid w:val="00970F7D"/>
    <w:rsid w:val="00994A3D"/>
    <w:rsid w:val="009C2B12"/>
    <w:rsid w:val="00A174D9"/>
    <w:rsid w:val="00AA4D24"/>
    <w:rsid w:val="00AB6715"/>
    <w:rsid w:val="00B01137"/>
    <w:rsid w:val="00B1671E"/>
    <w:rsid w:val="00B25EB8"/>
    <w:rsid w:val="00B37F4D"/>
    <w:rsid w:val="00C3282E"/>
    <w:rsid w:val="00C52A7B"/>
    <w:rsid w:val="00C56BAF"/>
    <w:rsid w:val="00C679AA"/>
    <w:rsid w:val="00C7208F"/>
    <w:rsid w:val="00C75972"/>
    <w:rsid w:val="00CD066B"/>
    <w:rsid w:val="00CE4FEE"/>
    <w:rsid w:val="00D060CF"/>
    <w:rsid w:val="00D31CAB"/>
    <w:rsid w:val="00D708FD"/>
    <w:rsid w:val="00DB2BC0"/>
    <w:rsid w:val="00DB59C3"/>
    <w:rsid w:val="00DC259A"/>
    <w:rsid w:val="00DC30EE"/>
    <w:rsid w:val="00DD7B4B"/>
    <w:rsid w:val="00DE23E8"/>
    <w:rsid w:val="00E52377"/>
    <w:rsid w:val="00E537AD"/>
    <w:rsid w:val="00E64E17"/>
    <w:rsid w:val="00E866C9"/>
    <w:rsid w:val="00E948A8"/>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DC30EE"/>
    <w:pPr>
      <w:spacing w:after="0" w:line="240" w:lineRule="auto"/>
    </w:pPr>
    <w:rPr>
      <w:rFonts w:eastAsia="DengXi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282E"/>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9-015-1654-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36/bjsports-2014-09441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7</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Rosie Essery</cp:lastModifiedBy>
  <cp:revision>2</cp:revision>
  <cp:lastPrinted>2013-10-03T12:51:00Z</cp:lastPrinted>
  <dcterms:created xsi:type="dcterms:W3CDTF">2022-08-02T12:41:00Z</dcterms:created>
  <dcterms:modified xsi:type="dcterms:W3CDTF">2022-08-02T12:41:00Z</dcterms:modified>
</cp:coreProperties>
</file>