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87ED" w14:textId="4FA50EF7" w:rsidR="00D60921" w:rsidRPr="00BF0753" w:rsidRDefault="00D60921" w:rsidP="00BF0753">
      <w:pPr>
        <w:pStyle w:val="ListParagraph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bookmarkStart w:id="0" w:name="_Hlk111213680"/>
      <w:bookmarkStart w:id="1" w:name="_Hlk111133727"/>
      <w:bookmarkEnd w:id="0"/>
      <w:r w:rsidRPr="00BF0753">
        <w:rPr>
          <w:rFonts w:ascii="Times New Roman" w:eastAsia="Times New Roman" w:hAnsi="Times New Roman" w:cs="Times New Roman"/>
          <w:b/>
          <w:bCs/>
          <w:u w:val="single"/>
        </w:rPr>
        <w:t>Supplementary File – 4</w:t>
      </w:r>
    </w:p>
    <w:p w14:paraId="3D8D75D3" w14:textId="77777777" w:rsidR="00D60921" w:rsidRPr="00BF0753" w:rsidRDefault="00D60921" w:rsidP="00BF0753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76EDFA9D" w14:textId="77777777" w:rsidR="00D60921" w:rsidRPr="00BF0753" w:rsidRDefault="00D60921" w:rsidP="00BF0753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bookmarkStart w:id="2" w:name="_Hlk101265155"/>
      <w:r w:rsidRPr="00BF0753">
        <w:rPr>
          <w:rFonts w:ascii="Times New Roman" w:hAnsi="Times New Roman" w:cs="Times New Roman"/>
          <w:b/>
          <w:bCs/>
        </w:rPr>
        <w:t xml:space="preserve">Identification and Characterization of Extracellular Vesicles from Red Cells Infected with </w:t>
      </w:r>
      <w:r w:rsidRPr="00BF0753">
        <w:rPr>
          <w:rFonts w:ascii="Times New Roman" w:hAnsi="Times New Roman" w:cs="Times New Roman"/>
          <w:b/>
          <w:bCs/>
          <w:i/>
          <w:iCs/>
        </w:rPr>
        <w:t xml:space="preserve">Babesia </w:t>
      </w:r>
      <w:proofErr w:type="spellStart"/>
      <w:r w:rsidRPr="00BF0753">
        <w:rPr>
          <w:rFonts w:ascii="Times New Roman" w:hAnsi="Times New Roman" w:cs="Times New Roman"/>
          <w:b/>
          <w:bCs/>
          <w:i/>
          <w:iCs/>
        </w:rPr>
        <w:t>divergens</w:t>
      </w:r>
      <w:proofErr w:type="spellEnd"/>
      <w:r w:rsidRPr="00BF0753">
        <w:rPr>
          <w:rFonts w:ascii="Times New Roman" w:hAnsi="Times New Roman" w:cs="Times New Roman"/>
          <w:b/>
          <w:bCs/>
        </w:rPr>
        <w:t xml:space="preserve"> and </w:t>
      </w:r>
      <w:r w:rsidRPr="00BF0753">
        <w:rPr>
          <w:rFonts w:ascii="Times New Roman" w:hAnsi="Times New Roman" w:cs="Times New Roman"/>
          <w:b/>
          <w:bCs/>
          <w:i/>
          <w:iCs/>
        </w:rPr>
        <w:t xml:space="preserve">Babesia </w:t>
      </w:r>
      <w:proofErr w:type="spellStart"/>
      <w:r w:rsidRPr="00BF0753">
        <w:rPr>
          <w:rFonts w:ascii="Times New Roman" w:hAnsi="Times New Roman" w:cs="Times New Roman"/>
          <w:b/>
          <w:bCs/>
          <w:i/>
          <w:iCs/>
        </w:rPr>
        <w:t>microti</w:t>
      </w:r>
      <w:bookmarkEnd w:id="2"/>
      <w:proofErr w:type="spellEnd"/>
    </w:p>
    <w:p w14:paraId="22B44682" w14:textId="77777777" w:rsidR="00D60921" w:rsidRPr="00BF0753" w:rsidRDefault="00D60921" w:rsidP="00BF0753">
      <w:pPr>
        <w:spacing w:line="276" w:lineRule="auto"/>
        <w:jc w:val="both"/>
        <w:rPr>
          <w:rFonts w:ascii="Times New Roman" w:hAnsi="Times New Roman" w:cs="Times New Roman"/>
          <w:vertAlign w:val="superscript"/>
        </w:rPr>
      </w:pPr>
      <w:r w:rsidRPr="00BF0753">
        <w:rPr>
          <w:rFonts w:ascii="Times New Roman" w:hAnsi="Times New Roman" w:cs="Times New Roman"/>
        </w:rPr>
        <w:t xml:space="preserve">Divya Beri </w:t>
      </w:r>
      <w:r w:rsidRPr="00BF0753">
        <w:rPr>
          <w:rFonts w:ascii="Times New Roman" w:hAnsi="Times New Roman" w:cs="Times New Roman"/>
          <w:vertAlign w:val="superscript"/>
        </w:rPr>
        <w:t>1</w:t>
      </w:r>
      <w:r w:rsidRPr="00BF0753">
        <w:rPr>
          <w:rFonts w:ascii="Times New Roman" w:hAnsi="Times New Roman" w:cs="Times New Roman"/>
        </w:rPr>
        <w:t xml:space="preserve">, </w:t>
      </w:r>
      <w:proofErr w:type="spellStart"/>
      <w:r w:rsidRPr="00BF0753">
        <w:rPr>
          <w:rFonts w:ascii="Times New Roman" w:hAnsi="Times New Roman" w:cs="Times New Roman"/>
        </w:rPr>
        <w:t>Marilis</w:t>
      </w:r>
      <w:proofErr w:type="spellEnd"/>
      <w:r w:rsidRPr="00BF0753">
        <w:rPr>
          <w:rFonts w:ascii="Times New Roman" w:hAnsi="Times New Roman" w:cs="Times New Roman"/>
        </w:rPr>
        <w:t xml:space="preserve"> Rodriguez </w:t>
      </w:r>
      <w:r w:rsidRPr="00BF0753">
        <w:rPr>
          <w:rFonts w:ascii="Times New Roman" w:hAnsi="Times New Roman" w:cs="Times New Roman"/>
          <w:vertAlign w:val="superscript"/>
        </w:rPr>
        <w:t>1</w:t>
      </w:r>
      <w:r w:rsidRPr="00BF0753">
        <w:rPr>
          <w:rFonts w:ascii="Times New Roman" w:hAnsi="Times New Roman" w:cs="Times New Roman"/>
        </w:rPr>
        <w:t xml:space="preserve">, Manpreet Singh </w:t>
      </w:r>
      <w:r w:rsidRPr="00BF0753">
        <w:rPr>
          <w:rFonts w:ascii="Times New Roman" w:hAnsi="Times New Roman" w:cs="Times New Roman"/>
          <w:vertAlign w:val="superscript"/>
        </w:rPr>
        <w:t>1</w:t>
      </w:r>
      <w:r w:rsidRPr="00BF0753">
        <w:rPr>
          <w:rFonts w:ascii="Times New Roman" w:hAnsi="Times New Roman" w:cs="Times New Roman"/>
        </w:rPr>
        <w:t xml:space="preserve">, </w:t>
      </w:r>
      <w:proofErr w:type="spellStart"/>
      <w:r w:rsidRPr="00BF0753">
        <w:rPr>
          <w:rFonts w:ascii="Times New Roman" w:hAnsi="Times New Roman" w:cs="Times New Roman"/>
        </w:rPr>
        <w:t>Yunfeng</w:t>
      </w:r>
      <w:proofErr w:type="spellEnd"/>
      <w:r w:rsidRPr="00BF0753">
        <w:rPr>
          <w:rFonts w:ascii="Times New Roman" w:hAnsi="Times New Roman" w:cs="Times New Roman"/>
        </w:rPr>
        <w:t xml:space="preserve"> Liu </w:t>
      </w:r>
      <w:r w:rsidRPr="00BF0753">
        <w:rPr>
          <w:rFonts w:ascii="Times New Roman" w:hAnsi="Times New Roman" w:cs="Times New Roman"/>
          <w:vertAlign w:val="superscript"/>
        </w:rPr>
        <w:t>2</w:t>
      </w:r>
      <w:r w:rsidRPr="00BF0753">
        <w:rPr>
          <w:rFonts w:ascii="Times New Roman" w:hAnsi="Times New Roman" w:cs="Times New Roman"/>
        </w:rPr>
        <w:t xml:space="preserve">, Giselle </w:t>
      </w:r>
      <w:proofErr w:type="spellStart"/>
      <w:r w:rsidRPr="00BF0753">
        <w:rPr>
          <w:rFonts w:ascii="Times New Roman" w:hAnsi="Times New Roman" w:cs="Times New Roman"/>
        </w:rPr>
        <w:t>Rasquinha</w:t>
      </w:r>
      <w:proofErr w:type="spellEnd"/>
      <w:r w:rsidRPr="00BF0753">
        <w:rPr>
          <w:rFonts w:ascii="Times New Roman" w:hAnsi="Times New Roman" w:cs="Times New Roman"/>
        </w:rPr>
        <w:t xml:space="preserve"> </w:t>
      </w:r>
      <w:r w:rsidRPr="00BF0753">
        <w:rPr>
          <w:rFonts w:ascii="Times New Roman" w:hAnsi="Times New Roman" w:cs="Times New Roman"/>
          <w:vertAlign w:val="superscript"/>
        </w:rPr>
        <w:t>3</w:t>
      </w:r>
      <w:r w:rsidRPr="00BF0753">
        <w:rPr>
          <w:rFonts w:ascii="Times New Roman" w:hAnsi="Times New Roman" w:cs="Times New Roman"/>
        </w:rPr>
        <w:t xml:space="preserve">, </w:t>
      </w:r>
      <w:proofErr w:type="spellStart"/>
      <w:r w:rsidRPr="00BF0753">
        <w:rPr>
          <w:rFonts w:ascii="Times New Roman" w:hAnsi="Times New Roman" w:cs="Times New Roman"/>
        </w:rPr>
        <w:t>Xiuli</w:t>
      </w:r>
      <w:proofErr w:type="spellEnd"/>
      <w:r w:rsidRPr="00BF0753">
        <w:rPr>
          <w:rFonts w:ascii="Times New Roman" w:hAnsi="Times New Roman" w:cs="Times New Roman"/>
        </w:rPr>
        <w:t xml:space="preserve"> </w:t>
      </w:r>
      <w:proofErr w:type="gramStart"/>
      <w:r w:rsidRPr="00BF0753">
        <w:rPr>
          <w:rFonts w:ascii="Times New Roman" w:hAnsi="Times New Roman" w:cs="Times New Roman"/>
        </w:rPr>
        <w:t>An</w:t>
      </w:r>
      <w:proofErr w:type="gramEnd"/>
      <w:r w:rsidRPr="00BF0753">
        <w:rPr>
          <w:rFonts w:ascii="Times New Roman" w:hAnsi="Times New Roman" w:cs="Times New Roman"/>
        </w:rPr>
        <w:t xml:space="preserve"> </w:t>
      </w:r>
      <w:r w:rsidRPr="00BF0753">
        <w:rPr>
          <w:rFonts w:ascii="Times New Roman" w:hAnsi="Times New Roman" w:cs="Times New Roman"/>
          <w:vertAlign w:val="superscript"/>
        </w:rPr>
        <w:t>4</w:t>
      </w:r>
      <w:r w:rsidRPr="00BF0753">
        <w:rPr>
          <w:rFonts w:ascii="Times New Roman" w:hAnsi="Times New Roman" w:cs="Times New Roman"/>
        </w:rPr>
        <w:t xml:space="preserve">, Karina </w:t>
      </w:r>
      <w:proofErr w:type="spellStart"/>
      <w:r w:rsidRPr="00BF0753">
        <w:rPr>
          <w:rFonts w:ascii="Times New Roman" w:hAnsi="Times New Roman" w:cs="Times New Roman"/>
        </w:rPr>
        <w:t>Yazdanbakhsh</w:t>
      </w:r>
      <w:proofErr w:type="spellEnd"/>
      <w:r w:rsidRPr="00BF0753">
        <w:rPr>
          <w:rFonts w:ascii="Times New Roman" w:hAnsi="Times New Roman" w:cs="Times New Roman"/>
        </w:rPr>
        <w:t xml:space="preserve"> </w:t>
      </w:r>
      <w:r w:rsidRPr="00BF0753">
        <w:rPr>
          <w:rFonts w:ascii="Times New Roman" w:hAnsi="Times New Roman" w:cs="Times New Roman"/>
          <w:vertAlign w:val="superscript"/>
        </w:rPr>
        <w:t>2</w:t>
      </w:r>
      <w:r w:rsidRPr="00BF0753">
        <w:rPr>
          <w:rFonts w:ascii="Times New Roman" w:hAnsi="Times New Roman" w:cs="Times New Roman"/>
        </w:rPr>
        <w:t xml:space="preserve"> and Cheryl A. Lobo </w:t>
      </w:r>
      <w:r w:rsidRPr="00BF0753">
        <w:rPr>
          <w:rFonts w:ascii="Times New Roman" w:hAnsi="Times New Roman" w:cs="Times New Roman"/>
          <w:vertAlign w:val="superscript"/>
        </w:rPr>
        <w:t>1*</w:t>
      </w:r>
    </w:p>
    <w:p w14:paraId="7901AB3C" w14:textId="77777777" w:rsidR="00D60921" w:rsidRPr="00BF0753" w:rsidRDefault="00D60921" w:rsidP="00BF075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F0753">
        <w:rPr>
          <w:rFonts w:ascii="Times New Roman" w:hAnsi="Times New Roman" w:cs="Times New Roman"/>
          <w:bCs/>
          <w:vertAlign w:val="superscript"/>
        </w:rPr>
        <w:t xml:space="preserve">1 </w:t>
      </w:r>
      <w:r w:rsidRPr="00BF0753">
        <w:rPr>
          <w:rFonts w:ascii="Times New Roman" w:hAnsi="Times New Roman" w:cs="Times New Roman"/>
        </w:rPr>
        <w:t>Department of Blood-Borne Parasites</w:t>
      </w:r>
    </w:p>
    <w:p w14:paraId="50131DF9" w14:textId="77777777" w:rsidR="00D60921" w:rsidRPr="00BF0753" w:rsidRDefault="00D60921" w:rsidP="00BF075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F0753">
        <w:rPr>
          <w:rFonts w:ascii="Times New Roman" w:hAnsi="Times New Roman" w:cs="Times New Roman"/>
          <w:vertAlign w:val="superscript"/>
        </w:rPr>
        <w:t xml:space="preserve">2 </w:t>
      </w:r>
      <w:r w:rsidRPr="00BF0753">
        <w:rPr>
          <w:rFonts w:ascii="Times New Roman" w:hAnsi="Times New Roman" w:cs="Times New Roman"/>
        </w:rPr>
        <w:t>Department of Complement Biology</w:t>
      </w:r>
    </w:p>
    <w:p w14:paraId="0871B8FF" w14:textId="77777777" w:rsidR="00D60921" w:rsidRPr="00BF0753" w:rsidRDefault="00D60921" w:rsidP="00BF0753">
      <w:pPr>
        <w:spacing w:after="0" w:line="276" w:lineRule="auto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BF0753">
        <w:rPr>
          <w:rFonts w:ascii="Times New Roman" w:hAnsi="Times New Roman" w:cs="Times New Roman"/>
          <w:color w:val="202124"/>
          <w:shd w:val="clear" w:color="auto" w:fill="FFFFFF"/>
          <w:vertAlign w:val="superscript"/>
        </w:rPr>
        <w:t>4</w:t>
      </w:r>
      <w:r w:rsidRPr="00BF0753">
        <w:rPr>
          <w:rFonts w:ascii="Times New Roman" w:hAnsi="Times New Roman" w:cs="Times New Roman"/>
          <w:color w:val="202124"/>
          <w:shd w:val="clear" w:color="auto" w:fill="FFFFFF"/>
        </w:rPr>
        <w:t xml:space="preserve">Department of Membrane Biology, </w:t>
      </w:r>
    </w:p>
    <w:p w14:paraId="0DD2B275" w14:textId="77777777" w:rsidR="00D60921" w:rsidRPr="00BF0753" w:rsidRDefault="00D60921" w:rsidP="00BF075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F0753">
        <w:rPr>
          <w:rFonts w:ascii="Times New Roman" w:hAnsi="Times New Roman" w:cs="Times New Roman"/>
        </w:rPr>
        <w:t>Lindsley F. Kimball Research Institute, New York Blood Center, New York, New York,</w:t>
      </w:r>
    </w:p>
    <w:p w14:paraId="6714DF3C" w14:textId="77777777" w:rsidR="00D60921" w:rsidRPr="00BF0753" w:rsidRDefault="00D60921" w:rsidP="00BF0753">
      <w:pPr>
        <w:spacing w:after="0" w:line="276" w:lineRule="auto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BF0753">
        <w:rPr>
          <w:rFonts w:ascii="Times New Roman" w:hAnsi="Times New Roman" w:cs="Times New Roman"/>
          <w:vertAlign w:val="superscript"/>
        </w:rPr>
        <w:t>3</w:t>
      </w:r>
      <w:r w:rsidRPr="00BF0753">
        <w:rPr>
          <w:rFonts w:ascii="Times New Roman" w:hAnsi="Times New Roman" w:cs="Times New Roman"/>
        </w:rPr>
        <w:t xml:space="preserve">Georgetown University, </w:t>
      </w:r>
      <w:r w:rsidRPr="00BF0753">
        <w:rPr>
          <w:rFonts w:ascii="Times New Roman" w:hAnsi="Times New Roman" w:cs="Times New Roman"/>
          <w:color w:val="202124"/>
          <w:shd w:val="clear" w:color="auto" w:fill="FFFFFF"/>
        </w:rPr>
        <w:t xml:space="preserve">3700 O St NW, Washington, DC </w:t>
      </w:r>
    </w:p>
    <w:p w14:paraId="26C4EB7F" w14:textId="77777777" w:rsidR="00D60921" w:rsidRPr="00BF0753" w:rsidRDefault="00D60921" w:rsidP="00BF075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F0753">
        <w:rPr>
          <w:rFonts w:ascii="Times New Roman" w:hAnsi="Times New Roman" w:cs="Times New Roman"/>
          <w:b/>
          <w:bCs/>
        </w:rPr>
        <w:t>*Corresponding author:</w:t>
      </w:r>
    </w:p>
    <w:p w14:paraId="6B8B33C9" w14:textId="77777777" w:rsidR="00D60921" w:rsidRPr="00BF0753" w:rsidRDefault="00C03DC2" w:rsidP="00BF0753">
      <w:pPr>
        <w:spacing w:after="0" w:line="276" w:lineRule="auto"/>
        <w:jc w:val="both"/>
        <w:rPr>
          <w:rFonts w:ascii="Times New Roman" w:hAnsi="Times New Roman" w:cs="Times New Roman"/>
        </w:rPr>
      </w:pPr>
      <w:hyperlink r:id="rId5" w:history="1">
        <w:r w:rsidR="00D60921" w:rsidRPr="00BF0753">
          <w:rPr>
            <w:rStyle w:val="Hyperlink"/>
            <w:rFonts w:ascii="Times New Roman" w:hAnsi="Times New Roman" w:cs="Times New Roman"/>
          </w:rPr>
          <w:t>CLobo@Nybc.org</w:t>
        </w:r>
      </w:hyperlink>
    </w:p>
    <w:p w14:paraId="564E9F41" w14:textId="77777777" w:rsidR="00D60921" w:rsidRPr="00BF0753" w:rsidRDefault="00D60921" w:rsidP="00BF07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BF0753">
        <w:rPr>
          <w:rFonts w:ascii="Times New Roman" w:hAnsi="Times New Roman" w:cs="Times New Roman"/>
        </w:rPr>
        <w:t>Tel: 212-570-3415</w:t>
      </w:r>
    </w:p>
    <w:p w14:paraId="2140568F" w14:textId="77777777" w:rsidR="00D60921" w:rsidRPr="00BF0753" w:rsidRDefault="00D60921" w:rsidP="00BF0753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3C68B244" w14:textId="77777777" w:rsidR="00D60921" w:rsidRPr="00BF0753" w:rsidRDefault="00D60921" w:rsidP="00BF075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BF0753">
        <w:rPr>
          <w:rFonts w:ascii="Times New Roman" w:hAnsi="Times New Roman" w:cs="Times New Roman"/>
          <w:b/>
          <w:bCs/>
          <w:u w:val="single"/>
        </w:rPr>
        <w:br w:type="page"/>
      </w:r>
    </w:p>
    <w:p w14:paraId="175EFBE4" w14:textId="31F211BA" w:rsidR="001A6472" w:rsidRDefault="001A6472" w:rsidP="001A6472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Flow cytometry-based confirmation of identity of EVs purified by ultracentrifugation</w:t>
      </w:r>
    </w:p>
    <w:p w14:paraId="2E9ED361" w14:textId="187C81B8" w:rsidR="001A6472" w:rsidRPr="001A6472" w:rsidRDefault="001A6472" w:rsidP="001A64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Flow cytometry was used to verify the purity of EVs post ultracentrifugation using classical markers CD9 and CD81. The following reagents were used for the assay.</w:t>
      </w:r>
    </w:p>
    <w:p w14:paraId="59899D66" w14:textId="46110E50" w:rsidR="00D60921" w:rsidRPr="00BF0753" w:rsidRDefault="00D60921" w:rsidP="00BF075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BF0753">
        <w:rPr>
          <w:rFonts w:ascii="Times New Roman" w:hAnsi="Times New Roman" w:cs="Times New Roman"/>
          <w:b/>
          <w:bCs/>
          <w:u w:val="single"/>
        </w:rPr>
        <w:t>Capture antibodies</w:t>
      </w:r>
    </w:p>
    <w:p w14:paraId="0F6836D6" w14:textId="0FD036D1" w:rsidR="00D60921" w:rsidRPr="00BF0753" w:rsidRDefault="00D60921" w:rsidP="00BF07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0753">
        <w:rPr>
          <w:rFonts w:ascii="Times New Roman" w:hAnsi="Times New Roman" w:cs="Times New Roman"/>
        </w:rPr>
        <w:t>CD9 (</w:t>
      </w:r>
      <w:r w:rsidRPr="0064427F">
        <w:rPr>
          <w:rFonts w:ascii="Times New Roman" w:hAnsi="Times New Roman" w:cs="Times New Roman"/>
        </w:rPr>
        <w:t>https://www.thermofisher.com/order/catalog/product/10620D</w:t>
      </w:r>
      <w:r w:rsidRPr="00BF0753">
        <w:rPr>
          <w:rFonts w:ascii="Times New Roman" w:hAnsi="Times New Roman" w:cs="Times New Roman"/>
        </w:rPr>
        <w:t>)</w:t>
      </w:r>
    </w:p>
    <w:p w14:paraId="740A78B5" w14:textId="6B267E6F" w:rsidR="00D60921" w:rsidRPr="00BF0753" w:rsidRDefault="00D60921" w:rsidP="00BF07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0753">
        <w:rPr>
          <w:rFonts w:ascii="Times New Roman" w:hAnsi="Times New Roman" w:cs="Times New Roman"/>
        </w:rPr>
        <w:t>CD81(https://www.thermofisher.com/order/catalog/product/10622D)</w:t>
      </w:r>
    </w:p>
    <w:p w14:paraId="50C5BCAD" w14:textId="3AD883A0" w:rsidR="00D60921" w:rsidRPr="00BF0753" w:rsidRDefault="00D60921" w:rsidP="00BF0753">
      <w:pPr>
        <w:jc w:val="both"/>
        <w:rPr>
          <w:rFonts w:ascii="Times New Roman" w:hAnsi="Times New Roman" w:cs="Times New Roman"/>
        </w:rPr>
      </w:pPr>
      <w:r w:rsidRPr="00BF0753">
        <w:rPr>
          <w:rFonts w:ascii="Times New Roman" w:hAnsi="Times New Roman" w:cs="Times New Roman"/>
          <w:b/>
          <w:bCs/>
          <w:u w:val="single"/>
        </w:rPr>
        <w:t>Detection antibodies linked to PE fluorophore</w:t>
      </w:r>
    </w:p>
    <w:p w14:paraId="4CE41BAD" w14:textId="77777777" w:rsidR="00D60921" w:rsidRPr="00BF0753" w:rsidRDefault="00D60921" w:rsidP="00BF075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F0753">
        <w:rPr>
          <w:rFonts w:ascii="Times New Roman" w:hAnsi="Times New Roman" w:cs="Times New Roman"/>
        </w:rPr>
        <w:t>CD9 (https://www.citeab.com/antibodies/2413810-555372-bd-pharmingen-pe-mouse-anti-human-cd9)</w:t>
      </w:r>
    </w:p>
    <w:p w14:paraId="6606AC17" w14:textId="5F33B3CB" w:rsidR="00D60921" w:rsidRDefault="00D60921" w:rsidP="00BF075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F0753">
        <w:rPr>
          <w:rFonts w:ascii="Times New Roman" w:hAnsi="Times New Roman" w:cs="Times New Roman"/>
        </w:rPr>
        <w:t xml:space="preserve">CD81 (https://www.citeab.com/antibodies/2412825-555676-bd-pharmingen-pe-mouse-anti-human-cd81) </w:t>
      </w:r>
    </w:p>
    <w:p w14:paraId="5D855C18" w14:textId="58C3D7CD" w:rsidR="00C67A2B" w:rsidRDefault="00C67A2B" w:rsidP="00C67A2B">
      <w:pPr>
        <w:pStyle w:val="ListParagraph"/>
        <w:jc w:val="both"/>
        <w:rPr>
          <w:rFonts w:ascii="Times New Roman" w:hAnsi="Times New Roman" w:cs="Times New Roman"/>
        </w:rPr>
      </w:pPr>
    </w:p>
    <w:p w14:paraId="2AE85BD5" w14:textId="0D9D8A08" w:rsidR="00DE77B2" w:rsidRPr="00BF0753" w:rsidRDefault="00C67A2B" w:rsidP="00DE77B2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4C24EFD" wp14:editId="04F8F5A5">
            <wp:simplePos x="0" y="0"/>
            <wp:positionH relativeFrom="margin">
              <wp:posOffset>-757555</wp:posOffset>
            </wp:positionH>
            <wp:positionV relativeFrom="paragraph">
              <wp:posOffset>181610</wp:posOffset>
            </wp:positionV>
            <wp:extent cx="7477125" cy="3176905"/>
            <wp:effectExtent l="19050" t="19050" r="28575" b="2349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31769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EFD51" w14:textId="7D890BFB" w:rsidR="00D60921" w:rsidRPr="00BF0753" w:rsidRDefault="00D60921" w:rsidP="00DE77B2">
      <w:pPr>
        <w:pStyle w:val="ListParagraph"/>
        <w:ind w:left="0"/>
        <w:jc w:val="both"/>
        <w:rPr>
          <w:rFonts w:ascii="Times New Roman" w:hAnsi="Times New Roman" w:cs="Times New Roman"/>
        </w:rPr>
      </w:pPr>
    </w:p>
    <w:bookmarkEnd w:id="1"/>
    <w:p w14:paraId="2D77B4C9" w14:textId="074BF37E" w:rsidR="00BF0753" w:rsidRPr="00BF0753" w:rsidRDefault="00BF0753" w:rsidP="00BF0753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14:paraId="53D7FCE9" w14:textId="278BA9FD" w:rsidR="00BF0753" w:rsidRDefault="00BF0753" w:rsidP="00BF0753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64427F">
        <w:rPr>
          <w:rFonts w:ascii="Times New Roman" w:hAnsi="Times New Roman" w:cs="Times New Roman"/>
          <w:b/>
          <w:bCs/>
        </w:rPr>
        <w:t xml:space="preserve">Supplementary Fig. 1: </w:t>
      </w:r>
      <w:r w:rsidR="00FB3EE8" w:rsidRPr="0064427F">
        <w:rPr>
          <w:rFonts w:ascii="Times New Roman" w:hAnsi="Times New Roman" w:cs="Times New Roman"/>
          <w:b/>
          <w:bCs/>
        </w:rPr>
        <w:t>Flow cytometry-based c</w:t>
      </w:r>
      <w:r w:rsidRPr="0064427F">
        <w:rPr>
          <w:rFonts w:ascii="Times New Roman" w:hAnsi="Times New Roman" w:cs="Times New Roman"/>
          <w:b/>
          <w:bCs/>
        </w:rPr>
        <w:t>onfirmation of identity of EVs purified by ultracentrifugation</w:t>
      </w:r>
      <w:r w:rsidR="00FB3EE8" w:rsidRPr="0064427F">
        <w:rPr>
          <w:rFonts w:ascii="Times New Roman" w:hAnsi="Times New Roman" w:cs="Times New Roman"/>
          <w:b/>
          <w:bCs/>
        </w:rPr>
        <w:t xml:space="preserve"> using classical markers</w:t>
      </w:r>
      <w:r w:rsidRPr="0064427F">
        <w:rPr>
          <w:rFonts w:ascii="Times New Roman" w:hAnsi="Times New Roman" w:cs="Times New Roman"/>
          <w:b/>
          <w:bCs/>
        </w:rPr>
        <w:t>.</w:t>
      </w:r>
      <w:r w:rsidRPr="00BF07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 described under Methods, magnetic beads coated with CD9 or CD81</w:t>
      </w:r>
      <w:r w:rsidR="00FB3EE8">
        <w:rPr>
          <w:rFonts w:ascii="Times New Roman" w:hAnsi="Times New Roman" w:cs="Times New Roman"/>
        </w:rPr>
        <w:t xml:space="preserve"> (capture antibodies) were used and incubated with EVs followed by staining with CD9 or CD81 detection antibodies</w:t>
      </w:r>
      <w:r w:rsidR="00E33D3A">
        <w:rPr>
          <w:rFonts w:ascii="Times New Roman" w:hAnsi="Times New Roman" w:cs="Times New Roman"/>
        </w:rPr>
        <w:t xml:space="preserve"> conjugated with fluorophore PE</w:t>
      </w:r>
      <w:r w:rsidR="00FB3EE8">
        <w:rPr>
          <w:rFonts w:ascii="Times New Roman" w:hAnsi="Times New Roman" w:cs="Times New Roman"/>
        </w:rPr>
        <w:t xml:space="preserve">. (a) and (b) show the controls used in the experiment and </w:t>
      </w:r>
      <w:r w:rsidR="00E33D3A">
        <w:rPr>
          <w:rFonts w:ascii="Times New Roman" w:hAnsi="Times New Roman" w:cs="Times New Roman"/>
        </w:rPr>
        <w:t xml:space="preserve">were used for appropriate gating. (c) shows the PE positivity using CD9 detection antibody and shows &gt; </w:t>
      </w:r>
      <w:r w:rsidR="0064427F">
        <w:rPr>
          <w:rFonts w:ascii="Times New Roman" w:hAnsi="Times New Roman" w:cs="Times New Roman"/>
        </w:rPr>
        <w:t>70</w:t>
      </w:r>
      <w:r w:rsidR="00E33D3A">
        <w:rPr>
          <w:rFonts w:ascii="Times New Roman" w:hAnsi="Times New Roman" w:cs="Times New Roman"/>
        </w:rPr>
        <w:t xml:space="preserve">% </w:t>
      </w:r>
      <w:r w:rsidR="0064427F">
        <w:rPr>
          <w:rFonts w:ascii="Times New Roman" w:hAnsi="Times New Roman" w:cs="Times New Roman"/>
        </w:rPr>
        <w:t>events were PE+ (n = 2 for each capture antibody). (d) shows the PE positivity using CD81 detection antibody and shows &gt; 60% events were PE+ (n = 2 for each capture antibody).</w:t>
      </w:r>
    </w:p>
    <w:p w14:paraId="3405132C" w14:textId="41BD44AB" w:rsidR="003A70D3" w:rsidRDefault="003A70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5002B1E" w14:textId="55409A08" w:rsidR="003A70D3" w:rsidRDefault="00D7644C" w:rsidP="00D7644C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u w:val="single"/>
        </w:rPr>
      </w:pPr>
      <w:r w:rsidRPr="00D7644C">
        <w:rPr>
          <w:rFonts w:ascii="Times New Roman" w:hAnsi="Times New Roman" w:cs="Times New Roman"/>
          <w:b/>
          <w:bCs/>
          <w:u w:val="single"/>
        </w:rPr>
        <w:lastRenderedPageBreak/>
        <w:t>Gating strategy for experiments involving internalization of CFSE-labelled EVs in RBCs</w:t>
      </w:r>
    </w:p>
    <w:p w14:paraId="6B84EBDD" w14:textId="148C1DE3" w:rsidR="00D7644C" w:rsidRDefault="00D7644C" w:rsidP="00D7644C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14:paraId="07CFC084" w14:textId="5C38F85B" w:rsidR="00D7644C" w:rsidRDefault="00D7644C" w:rsidP="00D7644C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was the gating strategy used</w:t>
      </w:r>
      <w:r w:rsidR="00E13B10">
        <w:rPr>
          <w:rFonts w:ascii="Times New Roman" w:hAnsi="Times New Roman" w:cs="Times New Roman"/>
        </w:rPr>
        <w:t xml:space="preserve"> in IDEAS™ software provided by </w:t>
      </w:r>
      <w:proofErr w:type="spellStart"/>
      <w:r w:rsidR="00E13B10">
        <w:rPr>
          <w:rFonts w:ascii="Times New Roman" w:hAnsi="Times New Roman" w:cs="Times New Roman"/>
        </w:rPr>
        <w:t>Amnis</w:t>
      </w:r>
      <w:proofErr w:type="spellEnd"/>
      <w:r w:rsidR="00E13B10">
        <w:rPr>
          <w:rFonts w:ascii="Times New Roman" w:hAnsi="Times New Roman" w:cs="Times New Roman"/>
        </w:rPr>
        <w:t xml:space="preserve"> </w:t>
      </w:r>
      <w:proofErr w:type="spellStart"/>
      <w:r w:rsidR="00E13B10">
        <w:rPr>
          <w:rFonts w:ascii="Times New Roman" w:hAnsi="Times New Roman" w:cs="Times New Roman"/>
        </w:rPr>
        <w:t>Imagestream</w:t>
      </w:r>
      <w:proofErr w:type="spellEnd"/>
      <w:r w:rsidR="00E13B10">
        <w:rPr>
          <w:rFonts w:ascii="Times New Roman" w:hAnsi="Times New Roman" w:cs="Times New Roman"/>
        </w:rPr>
        <w:t xml:space="preserve">. (Please also refer to Methods, Results section </w:t>
      </w:r>
      <w:proofErr w:type="gramStart"/>
      <w:r w:rsidR="00E13B10">
        <w:rPr>
          <w:rFonts w:ascii="Times New Roman" w:hAnsi="Times New Roman" w:cs="Times New Roman"/>
        </w:rPr>
        <w:t>2</w:t>
      </w:r>
      <w:proofErr w:type="gramEnd"/>
      <w:r w:rsidR="00E13B10">
        <w:rPr>
          <w:rFonts w:ascii="Times New Roman" w:hAnsi="Times New Roman" w:cs="Times New Roman"/>
        </w:rPr>
        <w:t xml:space="preserve"> and Fig. 3)</w:t>
      </w:r>
      <w:r w:rsidR="00013171">
        <w:rPr>
          <w:rFonts w:ascii="Times New Roman" w:hAnsi="Times New Roman" w:cs="Times New Roman"/>
        </w:rPr>
        <w:t>.</w:t>
      </w:r>
    </w:p>
    <w:p w14:paraId="109CB0B4" w14:textId="77777777" w:rsidR="00013171" w:rsidRDefault="00013171" w:rsidP="00D7644C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14:paraId="7A557A2C" w14:textId="2A0604F2" w:rsidR="00E13B10" w:rsidRDefault="00013171" w:rsidP="00D7644C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513F282" wp14:editId="00545E22">
            <wp:extent cx="6262882" cy="4550401"/>
            <wp:effectExtent l="19050" t="19050" r="24130" b="222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292" cy="45615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E592DF5" w14:textId="77777777" w:rsidR="00765DDC" w:rsidRDefault="00765DDC" w:rsidP="00D7644C">
      <w:pPr>
        <w:pStyle w:val="ListParagraph"/>
        <w:ind w:left="0"/>
        <w:jc w:val="both"/>
        <w:rPr>
          <w:rFonts w:ascii="Times New Roman" w:hAnsi="Times New Roman" w:cs="Times New Roman"/>
          <w:b/>
          <w:bCs/>
        </w:rPr>
      </w:pPr>
    </w:p>
    <w:p w14:paraId="7C65DD95" w14:textId="77777777" w:rsidR="00765DDC" w:rsidRDefault="00765DDC" w:rsidP="00D7644C">
      <w:pPr>
        <w:pStyle w:val="ListParagraph"/>
        <w:ind w:left="0"/>
        <w:jc w:val="both"/>
        <w:rPr>
          <w:rFonts w:ascii="Times New Roman" w:hAnsi="Times New Roman" w:cs="Times New Roman"/>
          <w:b/>
          <w:bCs/>
        </w:rPr>
      </w:pPr>
    </w:p>
    <w:p w14:paraId="69AC45BA" w14:textId="3E451C92" w:rsidR="00E13B10" w:rsidRPr="00D7644C" w:rsidRDefault="00E13B10" w:rsidP="00D7644C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8A2998">
        <w:rPr>
          <w:rFonts w:ascii="Times New Roman" w:hAnsi="Times New Roman" w:cs="Times New Roman"/>
          <w:b/>
          <w:bCs/>
        </w:rPr>
        <w:t xml:space="preserve">Supplementary Fig. 2: Gating strategy used for demonstrating internalization of CFSE-labelled EVs in RBCs infected with B. </w:t>
      </w:r>
      <w:proofErr w:type="spellStart"/>
      <w:r w:rsidRPr="008A2998">
        <w:rPr>
          <w:rFonts w:ascii="Times New Roman" w:hAnsi="Times New Roman" w:cs="Times New Roman"/>
          <w:b/>
          <w:bCs/>
        </w:rPr>
        <w:t>divergens</w:t>
      </w:r>
      <w:proofErr w:type="spellEnd"/>
      <w:r w:rsidRPr="008A2998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(a) Using Gradient RMS of Ch01 (BF), cells in focus </w:t>
      </w:r>
      <w:proofErr w:type="gramStart"/>
      <w:r>
        <w:rPr>
          <w:rFonts w:ascii="Times New Roman" w:hAnsi="Times New Roman" w:cs="Times New Roman"/>
        </w:rPr>
        <w:t>( &gt;</w:t>
      </w:r>
      <w:proofErr w:type="gramEnd"/>
      <w:r w:rsidR="00D036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50 on X-Axis) were gated. (b) </w:t>
      </w:r>
      <w:r w:rsidR="00D03627">
        <w:rPr>
          <w:rFonts w:ascii="Times New Roman" w:hAnsi="Times New Roman" w:cs="Times New Roman"/>
        </w:rPr>
        <w:t>In focus cells were further gated for Singlets. All doublets and cells with aspect ration &lt; 0.5 were excluded from analysis. (c) Singlets were further gated for the red cell marker Band3-APC. (d) Band3 positive cells were separated on basis of Hoechst (HO) signal into HO+ (</w:t>
      </w:r>
      <w:r w:rsidR="008A2998">
        <w:rPr>
          <w:rFonts w:ascii="Times New Roman" w:hAnsi="Times New Roman" w:cs="Times New Roman"/>
        </w:rPr>
        <w:t xml:space="preserve">gated </w:t>
      </w:r>
      <w:proofErr w:type="spellStart"/>
      <w:r w:rsidR="008A2998">
        <w:rPr>
          <w:rFonts w:ascii="Times New Roman" w:hAnsi="Times New Roman" w:cs="Times New Roman"/>
        </w:rPr>
        <w:t>iRBCs</w:t>
      </w:r>
      <w:proofErr w:type="spellEnd"/>
      <w:r w:rsidR="008A2998">
        <w:rPr>
          <w:rFonts w:ascii="Times New Roman" w:hAnsi="Times New Roman" w:cs="Times New Roman"/>
        </w:rPr>
        <w:t xml:space="preserve">) and HO- (gated </w:t>
      </w:r>
      <w:proofErr w:type="spellStart"/>
      <w:r w:rsidR="008A2998">
        <w:rPr>
          <w:rFonts w:ascii="Times New Roman" w:hAnsi="Times New Roman" w:cs="Times New Roman"/>
        </w:rPr>
        <w:t>uRBCs</w:t>
      </w:r>
      <w:proofErr w:type="spellEnd"/>
      <w:r w:rsidR="008A2998">
        <w:rPr>
          <w:rFonts w:ascii="Times New Roman" w:hAnsi="Times New Roman" w:cs="Times New Roman"/>
        </w:rPr>
        <w:t xml:space="preserve">). (e) CFSE+ </w:t>
      </w:r>
      <w:r w:rsidR="00013171">
        <w:rPr>
          <w:rFonts w:ascii="Times New Roman" w:hAnsi="Times New Roman" w:cs="Times New Roman"/>
        </w:rPr>
        <w:t xml:space="preserve">cells were gated in </w:t>
      </w:r>
      <w:proofErr w:type="spellStart"/>
      <w:r w:rsidR="00013171">
        <w:rPr>
          <w:rFonts w:ascii="Times New Roman" w:hAnsi="Times New Roman" w:cs="Times New Roman"/>
        </w:rPr>
        <w:t>iRBCs</w:t>
      </w:r>
      <w:proofErr w:type="spellEnd"/>
      <w:r w:rsidR="007D2119">
        <w:rPr>
          <w:rFonts w:ascii="Times New Roman" w:hAnsi="Times New Roman" w:cs="Times New Roman"/>
        </w:rPr>
        <w:t xml:space="preserve"> parent gate</w:t>
      </w:r>
      <w:r w:rsidR="00013171">
        <w:rPr>
          <w:rFonts w:ascii="Times New Roman" w:hAnsi="Times New Roman" w:cs="Times New Roman"/>
        </w:rPr>
        <w:t xml:space="preserve">. (f) Internalization wizard </w:t>
      </w:r>
      <w:r w:rsidR="007D2119">
        <w:rPr>
          <w:rFonts w:ascii="Times New Roman" w:hAnsi="Times New Roman" w:cs="Times New Roman"/>
        </w:rPr>
        <w:t>of IDEAS™ software was used to identify Band3+, HO+ (</w:t>
      </w:r>
      <w:proofErr w:type="spellStart"/>
      <w:r w:rsidR="007D2119">
        <w:rPr>
          <w:rFonts w:ascii="Times New Roman" w:hAnsi="Times New Roman" w:cs="Times New Roman"/>
        </w:rPr>
        <w:t>iRBCs</w:t>
      </w:r>
      <w:proofErr w:type="spellEnd"/>
      <w:r w:rsidR="007D2119">
        <w:rPr>
          <w:rFonts w:ascii="Times New Roman" w:hAnsi="Times New Roman" w:cs="Times New Roman"/>
        </w:rPr>
        <w:t xml:space="preserve">) with internalized CFSE labelled EVs. (g) CFSE+ cells were gated in </w:t>
      </w:r>
      <w:proofErr w:type="spellStart"/>
      <w:r w:rsidR="007D2119">
        <w:rPr>
          <w:rFonts w:ascii="Times New Roman" w:hAnsi="Times New Roman" w:cs="Times New Roman"/>
        </w:rPr>
        <w:t>uRBCs</w:t>
      </w:r>
      <w:proofErr w:type="spellEnd"/>
      <w:r w:rsidR="007D2119">
        <w:rPr>
          <w:rFonts w:ascii="Times New Roman" w:hAnsi="Times New Roman" w:cs="Times New Roman"/>
        </w:rPr>
        <w:t xml:space="preserve"> parent gate. (f) Internalization wizard of IDEAS™ software was used to identify Band3+, HO- (</w:t>
      </w:r>
      <w:proofErr w:type="spellStart"/>
      <w:r w:rsidR="007D2119">
        <w:rPr>
          <w:rFonts w:ascii="Times New Roman" w:hAnsi="Times New Roman" w:cs="Times New Roman"/>
        </w:rPr>
        <w:t>uRBCs</w:t>
      </w:r>
      <w:proofErr w:type="spellEnd"/>
      <w:r w:rsidR="007D2119">
        <w:rPr>
          <w:rFonts w:ascii="Times New Roman" w:hAnsi="Times New Roman" w:cs="Times New Roman"/>
        </w:rPr>
        <w:t>) with internalized CFSE labelled EVs.</w:t>
      </w:r>
    </w:p>
    <w:sectPr w:rsidR="00E13B10" w:rsidRPr="00D76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D4EB5"/>
    <w:multiLevelType w:val="hybridMultilevel"/>
    <w:tmpl w:val="A1B08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F6DF9"/>
    <w:multiLevelType w:val="hybridMultilevel"/>
    <w:tmpl w:val="C99CF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21"/>
    <w:rsid w:val="00013171"/>
    <w:rsid w:val="001A6472"/>
    <w:rsid w:val="003A70D3"/>
    <w:rsid w:val="00500236"/>
    <w:rsid w:val="00574ECE"/>
    <w:rsid w:val="00597F40"/>
    <w:rsid w:val="0064427F"/>
    <w:rsid w:val="00765DDC"/>
    <w:rsid w:val="007D2119"/>
    <w:rsid w:val="00831D3B"/>
    <w:rsid w:val="008A2998"/>
    <w:rsid w:val="008C1027"/>
    <w:rsid w:val="00B26ABF"/>
    <w:rsid w:val="00BF0753"/>
    <w:rsid w:val="00C4115A"/>
    <w:rsid w:val="00C67A2B"/>
    <w:rsid w:val="00D03627"/>
    <w:rsid w:val="00D60921"/>
    <w:rsid w:val="00D7644C"/>
    <w:rsid w:val="00DE77B2"/>
    <w:rsid w:val="00E13B10"/>
    <w:rsid w:val="00E33D3A"/>
    <w:rsid w:val="00E77083"/>
    <w:rsid w:val="00FB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FFD549"/>
  <w15:chartTrackingRefBased/>
  <w15:docId w15:val="{DE5E94BB-998B-4EE8-8659-49EF6E45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92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9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9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Lobo@Nybc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Beri, Divya</dc:creator>
  <cp:keywords/>
  <dc:description/>
  <cp:lastModifiedBy>Beri, Divya</cp:lastModifiedBy>
  <cp:revision>2</cp:revision>
  <dcterms:created xsi:type="dcterms:W3CDTF">2022-08-24T17:32:00Z</dcterms:created>
  <dcterms:modified xsi:type="dcterms:W3CDTF">2022-08-24T17:32:00Z</dcterms:modified>
</cp:coreProperties>
</file>