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7EFE4" w14:textId="5820F2A6" w:rsidR="00377CCE" w:rsidRPr="00377CCE" w:rsidRDefault="00377CCE" w:rsidP="00377CCE">
      <w:pPr>
        <w:pStyle w:val="Heading4"/>
        <w:rPr>
          <w:b/>
          <w:bCs w:val="0"/>
        </w:rPr>
      </w:pPr>
      <w:r w:rsidRPr="00377CCE">
        <w:rPr>
          <w:b/>
          <w:bCs w:val="0"/>
        </w:rPr>
        <w:t>Principal component analysis</w:t>
      </w:r>
      <w:r>
        <w:rPr>
          <w:b/>
          <w:bCs w:val="0"/>
        </w:rPr>
        <w:t xml:space="preserve"> (PCA)</w:t>
      </w:r>
    </w:p>
    <w:p w14:paraId="72AABA5E" w14:textId="444FEC4A" w:rsidR="00377CCE" w:rsidRDefault="00377CCE" w:rsidP="00377CCE">
      <w:pPr>
        <w:pStyle w:val="text"/>
        <w:spacing w:line="360" w:lineRule="auto"/>
      </w:pPr>
      <w:r w:rsidRPr="00377CCE">
        <w:t xml:space="preserve">Principal Component Analysis (PCA) is a typical feature extraction method. PCA was used for the entire spatial-spectral dimension data of each apple. Each PC component was made through a linear transformation. The transformation vector (W) was calculated based on a covariance matrix of the spectrum data. The detailed process is explained below in several steps. </w:t>
      </w:r>
    </w:p>
    <w:p w14:paraId="3C160042" w14:textId="77777777" w:rsidR="00377CCE" w:rsidRPr="00377CCE" w:rsidRDefault="00377CCE" w:rsidP="00377CCE">
      <w:pPr>
        <w:pStyle w:val="text"/>
        <w:spacing w:line="360" w:lineRule="auto"/>
      </w:pPr>
    </w:p>
    <w:p w14:paraId="1ABC9F5D" w14:textId="68F90FD2" w:rsidR="00377CCE" w:rsidRPr="00377CCE" w:rsidRDefault="00377CCE" w:rsidP="00377CCE">
      <w:pPr>
        <w:pStyle w:val="text"/>
        <w:spacing w:line="360" w:lineRule="auto"/>
      </w:pPr>
      <w:r w:rsidRPr="00377CCE">
        <w:t xml:space="preserve">First Step: the mean value </w:t>
      </w:r>
      <m:oMath>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x</m:t>
            </m:r>
          </m:sub>
        </m:sSub>
        <m:r>
          <w:rPr>
            <w:rFonts w:ascii="Cambria Math" w:hAnsi="Cambria Math"/>
          </w:rPr>
          <m:t>)</m:t>
        </m:r>
      </m:oMath>
      <w:r w:rsidRPr="00377CCE">
        <w:t xml:space="preserve"> and covariance </w:t>
      </w:r>
      <m:oMath>
        <m:d>
          <m:dPr>
            <m:ctrlPr>
              <w:rPr>
                <w:rFonts w:ascii="Cambria Math" w:hAnsi="Cambria Math"/>
              </w:rPr>
            </m:ctrlPr>
          </m:dPr>
          <m:e>
            <m:sSub>
              <m:sSubPr>
                <m:ctrlPr>
                  <w:rPr>
                    <w:rFonts w:ascii="Cambria Math" w:hAnsi="Cambria Math"/>
                    <w:i/>
                  </w:rPr>
                </m:ctrlPr>
              </m:sSubPr>
              <m:e>
                <m:r>
                  <m:rPr>
                    <m:sty m:val="p"/>
                  </m:rPr>
                  <w:rPr>
                    <w:rFonts w:ascii="Cambria Math" w:hAnsi="Cambria Math"/>
                  </w:rPr>
                  <m:t>Σ</m:t>
                </m:r>
              </m:e>
              <m:sub>
                <m:r>
                  <w:rPr>
                    <w:rFonts w:ascii="Cambria Math" w:hAnsi="Cambria Math"/>
                  </w:rPr>
                  <m:t>x</m:t>
                </m:r>
              </m:sub>
            </m:sSub>
            <m:ctrlPr>
              <w:rPr>
                <w:rFonts w:ascii="Cambria Math" w:hAnsi="Cambria Math"/>
                <w:i/>
              </w:rPr>
            </m:ctrlPr>
          </m:e>
        </m:d>
      </m:oMath>
      <w:r w:rsidRPr="00377CCE">
        <w:t xml:space="preserve"> of X feature matrix are calculated.</w:t>
      </w:r>
    </w:p>
    <w:p w14:paraId="513A65F6" w14:textId="77777777" w:rsidR="00377CCE" w:rsidRPr="00377CCE" w:rsidRDefault="00830059" w:rsidP="00377CCE">
      <w:pPr>
        <w:pStyle w:val="text"/>
        <w:spacing w:line="360" w:lineRule="auto"/>
      </w:pPr>
      <m:oMathPara>
        <m:oMath>
          <m:sSub>
            <m:sSubPr>
              <m:ctrlPr>
                <w:rPr>
                  <w:rFonts w:ascii="Cambria Math" w:hAnsi="Cambria Math"/>
                </w:rPr>
              </m:ctrlPr>
            </m:sSubPr>
            <m:e>
              <m:r>
                <w:rPr>
                  <w:rFonts w:ascii="Cambria Math" w:hAnsi="Cambria Math"/>
                </w:rPr>
                <m:t>u</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oMath>
      </m:oMathPara>
    </w:p>
    <w:p w14:paraId="48666A87" w14:textId="77777777" w:rsidR="00377CCE" w:rsidRPr="00377CCE" w:rsidRDefault="00830059" w:rsidP="00377CCE">
      <w:pPr>
        <w:pStyle w:val="text"/>
        <w:spacing w:line="360" w:lineRule="auto"/>
      </w:pPr>
      <m:oMathPara>
        <m:oMath>
          <m:sSub>
            <m:sSubPr>
              <m:ctrlPr>
                <w:rPr>
                  <w:rFonts w:ascii="Cambria Math" w:hAnsi="Cambria Math"/>
                  <w:i/>
                </w:rPr>
              </m:ctrlPr>
            </m:sSubPr>
            <m:e>
              <m:r>
                <m:rPr>
                  <m:sty m:val="p"/>
                </m:rPr>
                <w:rPr>
                  <w:rFonts w:ascii="Cambria Math" w:hAnsi="Cambria Math"/>
                </w:rPr>
                <m:t>Σ</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x</m:t>
                      </m:r>
                    </m:sub>
                  </m:sSub>
                </m:e>
              </m:d>
              <m:d>
                <m:dPr>
                  <m:ctrlPr>
                    <w:rPr>
                      <w:rFonts w:ascii="Cambria Math" w:hAnsi="Cambria Math"/>
                      <w:i/>
                    </w:rPr>
                  </m:ctrlPr>
                </m:dPr>
                <m:e>
                  <m:r>
                    <w:rPr>
                      <w:rFonts w:ascii="Cambria Math" w:hAnsi="Cambria Math"/>
                    </w:rPr>
                    <m:t>X</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x</m:t>
                      </m:r>
                    </m:sub>
                  </m:sSub>
                </m:e>
              </m:d>
            </m:e>
            <m:sup>
              <m:r>
                <w:rPr>
                  <w:rFonts w:ascii="Cambria Math" w:hAnsi="Cambria Math"/>
                </w:rPr>
                <m:t>T</m:t>
              </m:r>
            </m:sup>
          </m:sSup>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sSup>
            <m:sSupPr>
              <m:ctrlPr>
                <w:rPr>
                  <w:rFonts w:ascii="Cambria Math" w:hAnsi="Cambria Math"/>
                  <w:i/>
                </w:rPr>
              </m:ctrlPr>
            </m:sSupPr>
            <m:e>
              <m:r>
                <w:rPr>
                  <w:rFonts w:ascii="Cambria Math" w:hAnsi="Cambria Math"/>
                </w:rPr>
                <m:t>1</m:t>
              </m:r>
            </m:e>
            <m:sup>
              <m:r>
                <w:rPr>
                  <w:rFonts w:ascii="Cambria Math" w:hAnsi="Cambria Math"/>
                </w:rPr>
                <m:t>T</m:t>
              </m:r>
            </m:sup>
          </m:sSup>
        </m:oMath>
      </m:oMathPara>
    </w:p>
    <w:p w14:paraId="1C11A6EB" w14:textId="78C6CE91" w:rsidR="00377CCE" w:rsidRPr="00377CCE" w:rsidRDefault="00377CCE" w:rsidP="00377CCE">
      <w:pPr>
        <w:pStyle w:val="text"/>
        <w:spacing w:line="360" w:lineRule="auto"/>
      </w:pPr>
      <w:r w:rsidRPr="00377CCE">
        <w:t xml:space="preserve">Where 1 is an n dimension column vector such that every component of the vector has a value of one. </w:t>
      </w:r>
    </w:p>
    <w:p w14:paraId="6C3D5218" w14:textId="77777777" w:rsidR="00377CCE" w:rsidRPr="00377CCE" w:rsidRDefault="00377CCE" w:rsidP="00377CCE">
      <w:pPr>
        <w:pStyle w:val="text"/>
        <w:spacing w:line="360" w:lineRule="auto"/>
      </w:pPr>
    </w:p>
    <w:p w14:paraId="078362ED" w14:textId="2EE5B5E1" w:rsidR="00377CCE" w:rsidRPr="00377CCE" w:rsidRDefault="00377CCE" w:rsidP="00377CCE">
      <w:pPr>
        <w:pStyle w:val="text"/>
        <w:spacing w:line="360" w:lineRule="auto"/>
      </w:pPr>
      <w:r w:rsidRPr="00377CCE">
        <w:t>Second Step: Eigenvectors</w:t>
      </w:r>
      <m:oMath>
        <m:r>
          <w:rPr>
            <w:rFonts w:ascii="Cambria Math" w:hAnsi="Cambria Math"/>
          </w:rPr>
          <m:t xml:space="preserve"> (U)</m:t>
        </m:r>
      </m:oMath>
      <w:r w:rsidRPr="00377CCE">
        <w:t xml:space="preserve"> of </w:t>
      </w:r>
      <m:oMath>
        <m:sSub>
          <m:sSubPr>
            <m:ctrlPr>
              <w:rPr>
                <w:rFonts w:ascii="Cambria Math" w:hAnsi="Cambria Math"/>
                <w:i/>
              </w:rPr>
            </m:ctrlPr>
          </m:sSubPr>
          <m:e>
            <m:r>
              <m:rPr>
                <m:sty m:val="p"/>
              </m:rPr>
              <w:rPr>
                <w:rFonts w:ascii="Cambria Math" w:hAnsi="Cambria Math"/>
              </w:rPr>
              <m:t>Σ</m:t>
            </m:r>
          </m:e>
          <m:sub>
            <m:r>
              <w:rPr>
                <w:rFonts w:ascii="Cambria Math" w:hAnsi="Cambria Math"/>
              </w:rPr>
              <m:t>x</m:t>
            </m:r>
          </m:sub>
        </m:sSub>
      </m:oMath>
      <w:r w:rsidR="0064266D">
        <w:t xml:space="preserve">, </w:t>
      </w:r>
      <w:r w:rsidRPr="00377CCE">
        <w:t xml:space="preserve">and diagonal matrix </w:t>
      </w:r>
      <m:oMath>
        <m:r>
          <m:rPr>
            <m:sty m:val="p"/>
          </m:rPr>
          <w:rPr>
            <w:rFonts w:ascii="Cambria Math" w:hAnsi="Cambria Math"/>
          </w:rPr>
          <m:t>(</m:t>
        </m:r>
        <m:r>
          <w:rPr>
            <w:rFonts w:ascii="Cambria Math" w:hAnsi="Cambria Math"/>
          </w:rPr>
          <m:t>Λ)</m:t>
        </m:r>
      </m:oMath>
      <w:r w:rsidRPr="00377CCE">
        <w:t xml:space="preserve"> of </w:t>
      </w:r>
      <m:oMath>
        <m:sSub>
          <m:sSubPr>
            <m:ctrlPr>
              <w:rPr>
                <w:rFonts w:ascii="Cambria Math" w:hAnsi="Cambria Math"/>
                <w:i/>
              </w:rPr>
            </m:ctrlPr>
          </m:sSubPr>
          <m:e>
            <m:r>
              <m:rPr>
                <m:sty m:val="p"/>
              </m:rPr>
              <w:rPr>
                <w:rFonts w:ascii="Cambria Math" w:hAnsi="Cambria Math"/>
              </w:rPr>
              <m:t>Σ</m:t>
            </m:r>
          </m:e>
          <m:sub>
            <m:r>
              <w:rPr>
                <w:rFonts w:ascii="Cambria Math" w:hAnsi="Cambria Math"/>
              </w:rPr>
              <m:t>x</m:t>
            </m:r>
          </m:sub>
        </m:sSub>
      </m:oMath>
      <w:r w:rsidRPr="00377CCE">
        <w:t xml:space="preserve"> whose diagonal elements are the eigenvalues corresponding to each eigenvector</w:t>
      </w:r>
      <w:r w:rsidR="0064266D">
        <w:t>,</w:t>
      </w:r>
      <w:r w:rsidRPr="00377CCE">
        <w:t xml:space="preserve"> are calculated. </w:t>
      </w:r>
    </w:p>
    <w:p w14:paraId="5676C97B" w14:textId="77777777" w:rsidR="00377CCE" w:rsidRPr="00377CCE" w:rsidRDefault="00830059" w:rsidP="00377CCE">
      <w:pPr>
        <w:pStyle w:val="text"/>
        <w:spacing w:line="360" w:lineRule="auto"/>
      </w:pPr>
      <m:oMathPara>
        <m:oMath>
          <m:sSub>
            <m:sSubPr>
              <m:ctrlPr>
                <w:rPr>
                  <w:rFonts w:ascii="Cambria Math" w:hAnsi="Cambria Math"/>
                </w:rPr>
              </m:ctrlPr>
            </m:sSubPr>
            <m:e>
              <m:r>
                <m:rPr>
                  <m:sty m:val="p"/>
                </m:rPr>
                <w:rPr>
                  <w:rFonts w:ascii="Cambria Math" w:hAnsi="Cambria Math"/>
                </w:rPr>
                <m:t>Σ</m:t>
              </m:r>
            </m:e>
            <m:sub>
              <m:r>
                <w:rPr>
                  <w:rFonts w:ascii="Cambria Math" w:hAnsi="Cambria Math"/>
                </w:rPr>
                <m:t>x</m:t>
              </m:r>
            </m:sub>
          </m:sSub>
          <m:r>
            <w:rPr>
              <w:rFonts w:ascii="Cambria Math" w:hAnsi="Cambria Math"/>
            </w:rPr>
            <m:t>=</m:t>
          </m:r>
          <m:r>
            <w:rPr>
              <w:rFonts w:ascii="Cambria Math" w:hAnsi="Cambria Math"/>
            </w:rPr>
            <m:t>U</m:t>
          </m:r>
          <m:r>
            <m:rPr>
              <m:sty m:val="p"/>
            </m:rPr>
            <w:rPr>
              <w:rFonts w:ascii="Cambria Math" w:hAnsi="Cambria Math"/>
            </w:rPr>
            <m:t>Λ</m:t>
          </m:r>
          <m:sSup>
            <m:sSupPr>
              <m:ctrlPr>
                <w:rPr>
                  <w:rFonts w:ascii="Cambria Math" w:hAnsi="Cambria Math"/>
                  <w:i/>
                </w:rPr>
              </m:ctrlPr>
            </m:sSupPr>
            <m:e>
              <m:r>
                <w:rPr>
                  <w:rFonts w:ascii="Cambria Math" w:hAnsi="Cambria Math"/>
                </w:rPr>
                <m:t>U</m:t>
              </m:r>
            </m:e>
            <m:sup>
              <m:r>
                <w:rPr>
                  <w:rFonts w:ascii="Cambria Math" w:hAnsi="Cambria Math"/>
                </w:rPr>
                <m:t>T</m:t>
              </m:r>
            </m:sup>
          </m:s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m:t>
                  </m:r>
                </m:sub>
              </m:sSub>
            </m:e>
          </m:d>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λ</m:t>
                        </m:r>
                      </m:e>
                      <m:sub>
                        <m:r>
                          <w:rPr>
                            <w:rFonts w:ascii="Cambria Math" w:hAnsi="Cambria Math"/>
                          </w:rPr>
                          <m:t>1</m:t>
                        </m:r>
                      </m:sub>
                    </m:sSub>
                  </m:e>
                  <m:e>
                    <m:r>
                      <w:rPr>
                        <w:rFonts w:ascii="Cambria Math" w:hAnsi="Cambria Math"/>
                      </w:rPr>
                      <m:t>0</m:t>
                    </m:r>
                  </m:e>
                  <m:e>
                    <m:r>
                      <w:rPr>
                        <w:rFonts w:ascii="Cambria Math" w:hAnsi="Cambria Math"/>
                      </w:rPr>
                      <m:t>…</m:t>
                    </m:r>
                  </m:e>
                  <m:e>
                    <m:r>
                      <w:rPr>
                        <w:rFonts w:ascii="Cambria Math" w:hAnsi="Cambria Math"/>
                      </w:rPr>
                      <m:t>0</m:t>
                    </m:r>
                    <m:ctrlPr>
                      <w:rPr>
                        <w:rFonts w:ascii="Cambria Math" w:eastAsia="Cambria Math" w:hAnsi="Cambria Math"/>
                        <w:i/>
                      </w:rPr>
                    </m:ctrlPr>
                  </m:e>
                </m:mr>
                <m:mr>
                  <m:e>
                    <m:r>
                      <w:rPr>
                        <w:rFonts w:ascii="Cambria Math" w:eastAsia="Cambria Math" w:hAnsi="Cambria Math"/>
                      </w:rPr>
                      <m:t>0</m:t>
                    </m:r>
                  </m:e>
                  <m:e>
                    <m:sSub>
                      <m:sSubPr>
                        <m:ctrlPr>
                          <w:rPr>
                            <w:rFonts w:ascii="Cambria Math" w:hAnsi="Cambria Math"/>
                            <w:i/>
                          </w:rPr>
                        </m:ctrlPr>
                      </m:sSubPr>
                      <m:e>
                        <m:r>
                          <w:rPr>
                            <w:rFonts w:ascii="Cambria Math" w:hAnsi="Cambria Math"/>
                          </w:rPr>
                          <m:t>λ</m:t>
                        </m:r>
                      </m:e>
                      <m:sub>
                        <m:r>
                          <w:rPr>
                            <w:rFonts w:ascii="Cambria Math" w:hAnsi="Cambria Math"/>
                          </w:rPr>
                          <m:t>2</m:t>
                        </m:r>
                      </m:sub>
                    </m:sSub>
                  </m:e>
                  <m:e>
                    <m:r>
                      <w:rPr>
                        <w:rFonts w:ascii="Cambria Math" w:hAnsi="Cambria Math"/>
                      </w:rPr>
                      <m:t>…</m:t>
                    </m:r>
                  </m:e>
                  <m:e>
                    <m:r>
                      <w:rPr>
                        <w:rFonts w:ascii="Cambria Math" w:hAnsi="Cambria Math"/>
                      </w:rPr>
                      <m:t>0</m:t>
                    </m:r>
                    <m:ctrlPr>
                      <w:rPr>
                        <w:rFonts w:ascii="Cambria Math" w:eastAsia="Cambria Math" w:hAnsi="Cambria Math"/>
                        <w:i/>
                      </w:rPr>
                    </m:ctrlPr>
                  </m:e>
                </m:mr>
                <m:mr>
                  <m:e>
                    <m:r>
                      <w:rPr>
                        <w:rFonts w:ascii="Cambria Math" w:eastAsia="Cambria Math" w:hAnsi="Cambria Math"/>
                      </w:rPr>
                      <m:t>⋮</m:t>
                    </m:r>
                  </m:e>
                  <m:e>
                    <m:r>
                      <w:rPr>
                        <w:rFonts w:ascii="Cambria Math" w:eastAsia="Cambria Math" w:hAnsi="Cambria Math"/>
                      </w:rPr>
                      <m:t>⋮</m:t>
                    </m:r>
                  </m:e>
                  <m:e>
                    <m:r>
                      <w:rPr>
                        <w:rFonts w:ascii="Cambria Math" w:hAnsi="Cambria Math"/>
                      </w:rPr>
                      <m:t>…</m:t>
                    </m:r>
                    <m:ctrlPr>
                      <w:rPr>
                        <w:rFonts w:ascii="Cambria Math" w:eastAsia="Cambria Math" w:hAnsi="Cambria Math"/>
                        <w:i/>
                      </w:rPr>
                    </m:ctrlPr>
                  </m:e>
                  <m:e>
                    <m:r>
                      <w:rPr>
                        <w:rFonts w:ascii="Cambria Math" w:eastAsia="Cambria Math" w:hAnsi="Cambria Math"/>
                      </w:rPr>
                      <m:t>⋮</m:t>
                    </m:r>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hAnsi="Cambria Math"/>
                      </w:rPr>
                      <m:t>…</m:t>
                    </m:r>
                    <m:ctrlPr>
                      <w:rPr>
                        <w:rFonts w:ascii="Cambria Math" w:eastAsia="Cambria Math" w:hAnsi="Cambria Math"/>
                        <w:i/>
                      </w:rPr>
                    </m:ctrlPr>
                  </m:e>
                  <m:e>
                    <m:sSub>
                      <m:sSubPr>
                        <m:ctrlPr>
                          <w:rPr>
                            <w:rFonts w:ascii="Cambria Math" w:hAnsi="Cambria Math"/>
                            <w:i/>
                          </w:rPr>
                        </m:ctrlPr>
                      </m:sSubPr>
                      <m:e>
                        <m:r>
                          <w:rPr>
                            <w:rFonts w:ascii="Cambria Math" w:hAnsi="Cambria Math"/>
                          </w:rPr>
                          <m:t>λ</m:t>
                        </m:r>
                      </m:e>
                      <m:sub>
                        <m:r>
                          <w:rPr>
                            <w:rFonts w:ascii="Cambria Math" w:hAnsi="Cambria Math"/>
                          </w:rPr>
                          <m:t>n</m:t>
                        </m:r>
                      </m:sub>
                    </m:sSub>
                  </m:e>
                </m:mr>
              </m:m>
            </m:e>
          </m:d>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m:t>
                      </m:r>
                    </m:sub>
                  </m:sSub>
                </m:e>
              </m:d>
            </m:e>
            <m:sup>
              <m:r>
                <w:rPr>
                  <w:rFonts w:ascii="Cambria Math" w:hAnsi="Cambria Math"/>
                </w:rPr>
                <m:t>T</m:t>
              </m:r>
            </m:sup>
          </m:sSup>
          <m:r>
            <w:rPr>
              <w:rFonts w:ascii="Cambria Math" w:hAnsi="Cambria Math"/>
            </w:rPr>
            <m:t xml:space="preserve"> </m:t>
          </m:r>
        </m:oMath>
      </m:oMathPara>
    </w:p>
    <w:p w14:paraId="261C540B" w14:textId="77777777" w:rsidR="00377CCE" w:rsidRPr="00377CCE" w:rsidRDefault="00377CCE" w:rsidP="00377CCE">
      <w:pPr>
        <w:pStyle w:val="text"/>
        <w:spacing w:line="360" w:lineRule="auto"/>
      </w:pPr>
      <w:r w:rsidRPr="00377CCE">
        <w:t>Third Step: m number of eigenvalues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m</m:t>
                </m:r>
              </m:sub>
            </m:sSub>
          </m:e>
        </m:d>
      </m:oMath>
      <w:r w:rsidRPr="00377CCE">
        <w:t>) are selected in order from the largest to smallest eigenvalue.</w:t>
      </w:r>
    </w:p>
    <w:p w14:paraId="27D0F41A" w14:textId="77777777" w:rsidR="00377CCE" w:rsidRPr="00377CCE" w:rsidRDefault="00377CCE" w:rsidP="00377CCE">
      <w:pPr>
        <w:pStyle w:val="text"/>
        <w:spacing w:line="360" w:lineRule="auto"/>
      </w:pPr>
      <w:r w:rsidRPr="00377CCE">
        <w:t xml:space="preserve">Fourth Step: a transformation matrix (W) that is a column vector is generated by (equivalent to) the eigenvector which corresponds to the selected eigenvalue. </w:t>
      </w:r>
    </w:p>
    <w:p w14:paraId="16315593" w14:textId="77777777" w:rsidR="00377CCE" w:rsidRPr="00377CCE" w:rsidRDefault="00377CCE" w:rsidP="00377CCE">
      <w:pPr>
        <w:pStyle w:val="text"/>
        <w:spacing w:line="360" w:lineRule="auto"/>
      </w:pPr>
      <m:oMathPara>
        <m:oMath>
          <m:r>
            <m:rPr>
              <m:sty m:val="p"/>
            </m:rPr>
            <w:rPr>
              <w:rFonts w:ascii="Cambria Math" w:hAnsi="Cambria Math"/>
            </w:rPr>
            <m:t>w=</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u</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m</m:t>
                  </m:r>
                </m:sub>
              </m:sSub>
            </m:e>
          </m:d>
        </m:oMath>
      </m:oMathPara>
    </w:p>
    <w:p w14:paraId="7DACB0DB" w14:textId="77777777" w:rsidR="00377CCE" w:rsidRPr="00377CCE" w:rsidRDefault="00377CCE" w:rsidP="00377CCE">
      <w:pPr>
        <w:pStyle w:val="text"/>
        <w:spacing w:line="360" w:lineRule="auto"/>
      </w:pPr>
    </w:p>
    <w:p w14:paraId="6509B432" w14:textId="77777777" w:rsidR="00377CCE" w:rsidRPr="00377CCE" w:rsidRDefault="00377CCE" w:rsidP="00377CCE">
      <w:pPr>
        <w:pStyle w:val="text"/>
        <w:spacing w:line="360" w:lineRule="auto"/>
      </w:pPr>
    </w:p>
    <w:p w14:paraId="4052DF12" w14:textId="3D7F56D9" w:rsidR="00377CCE" w:rsidRPr="00377CCE" w:rsidRDefault="00377CCE" w:rsidP="00377CCE">
      <w:pPr>
        <w:pStyle w:val="text"/>
        <w:spacing w:line="360" w:lineRule="auto"/>
      </w:pPr>
      <w:r w:rsidRPr="00377CCE">
        <w:t xml:space="preserve">Fifth Step: new feature matrix (Y) is </w:t>
      </w:r>
      <w:proofErr w:type="gramStart"/>
      <w:r w:rsidRPr="00377CCE">
        <w:t>obtain</w:t>
      </w:r>
      <w:proofErr w:type="gramEnd"/>
      <w:r w:rsidRPr="00377CCE">
        <w:t xml:space="preserve"> by multiplying the transform of W with </w:t>
      </w:r>
      <w:r w:rsidR="0064266D">
        <w:t>X.</w:t>
      </w:r>
    </w:p>
    <w:p w14:paraId="46448783" w14:textId="77777777" w:rsidR="00377CCE" w:rsidRPr="00377CCE" w:rsidRDefault="00377CCE" w:rsidP="00377CCE">
      <w:pPr>
        <w:pStyle w:val="text"/>
        <w:spacing w:line="360" w:lineRule="auto"/>
      </w:pPr>
      <m:oMathPara>
        <m:oMath>
          <m:r>
            <m:rPr>
              <m:sty m:val="p"/>
            </m:rPr>
            <w:rPr>
              <w:rFonts w:ascii="Cambria Math" w:hAnsi="Cambria Math"/>
            </w:rPr>
            <m:t>Y=</m:t>
          </m:r>
          <m:sSup>
            <m:sSupPr>
              <m:ctrlPr>
                <w:rPr>
                  <w:rFonts w:ascii="Cambria Math" w:hAnsi="Cambria Math"/>
                </w:rPr>
              </m:ctrlPr>
            </m:sSupPr>
            <m:e>
              <m:r>
                <m:rPr>
                  <m:sty m:val="p"/>
                </m:rPr>
                <w:rPr>
                  <w:rFonts w:ascii="Cambria Math" w:hAnsi="Cambria Math"/>
                </w:rPr>
                <m:t>W</m:t>
              </m:r>
            </m:e>
            <m:sup>
              <m:r>
                <w:rPr>
                  <w:rFonts w:ascii="Cambria Math" w:hAnsi="Cambria Math"/>
                </w:rPr>
                <m:t>T</m:t>
              </m:r>
            </m:sup>
          </m:sSup>
          <m:r>
            <w:rPr>
              <w:rFonts w:ascii="Cambria Math" w:hAnsi="Cambria Math"/>
            </w:rPr>
            <m:t>X</m:t>
          </m:r>
        </m:oMath>
      </m:oMathPara>
    </w:p>
    <w:p w14:paraId="3FBB2A17" w14:textId="77777777" w:rsidR="00377CCE" w:rsidRDefault="00377CCE" w:rsidP="00377CCE">
      <w:pPr>
        <w:pStyle w:val="text"/>
        <w:spacing w:line="360" w:lineRule="auto"/>
      </w:pPr>
      <w:r w:rsidRPr="00377CCE">
        <w:t xml:space="preserve"> </w:t>
      </w:r>
    </w:p>
    <w:p w14:paraId="6AFB71CA" w14:textId="77777777" w:rsidR="00377CCE" w:rsidRDefault="00377CCE" w:rsidP="00377CCE">
      <w:pPr>
        <w:pStyle w:val="text"/>
        <w:spacing w:line="360" w:lineRule="auto"/>
      </w:pPr>
    </w:p>
    <w:p w14:paraId="43014E84" w14:textId="00EE8487" w:rsidR="00377CCE" w:rsidRPr="00377CCE" w:rsidRDefault="00377CCE" w:rsidP="00377CCE">
      <w:pPr>
        <w:pStyle w:val="text"/>
        <w:spacing w:line="360" w:lineRule="auto"/>
      </w:pPr>
      <w:r w:rsidRPr="00377CCE">
        <w:rPr>
          <w:b/>
          <w:bCs/>
        </w:rPr>
        <w:lastRenderedPageBreak/>
        <w:t>Support vector machine</w:t>
      </w:r>
      <w:r w:rsidR="00B8102D">
        <w:rPr>
          <w:b/>
          <w:bCs/>
        </w:rPr>
        <w:t xml:space="preserve"> (SVM)</w:t>
      </w:r>
    </w:p>
    <w:p w14:paraId="242DEB35" w14:textId="4FB2DA1B" w:rsidR="00377CCE" w:rsidRPr="00377CCE" w:rsidRDefault="00377CCE" w:rsidP="00377CCE">
      <w:pPr>
        <w:pStyle w:val="text"/>
        <w:spacing w:line="360" w:lineRule="auto"/>
      </w:pPr>
      <w:r w:rsidRPr="00377CCE">
        <w:t xml:space="preserve">The </w:t>
      </w:r>
      <w:proofErr w:type="gramStart"/>
      <w:r w:rsidRPr="00377CCE">
        <w:t>ultimate aim</w:t>
      </w:r>
      <w:proofErr w:type="gramEnd"/>
      <w:r w:rsidRPr="00377CCE">
        <w:t xml:space="preserve"> of this study was to identify the optimal key-wavelengths for a classification model that will discriminate between sound and bruised surfaces of an apple. Therefore, a support vector machine (SVM) multivariate analysis-based classification model was considered in this study. SVM has been widely used in many areas including optical character recognition and object recognition,</w:t>
      </w:r>
      <w:r w:rsidRPr="00377CCE">
        <w:rPr>
          <w:color w:val="FF0000"/>
        </w:rPr>
        <w:t xml:space="preserve"> </w:t>
      </w:r>
      <w:r w:rsidRPr="00377CCE">
        <w:t>since it is a promising non-parametric and non-linear classification technique</w:t>
      </w:r>
      <w:r w:rsidR="0000583E">
        <w:t xml:space="preserve"> </w:t>
      </w:r>
      <w:r w:rsidR="0000583E">
        <w:fldChar w:fldCharType="begin" w:fldLock="1"/>
      </w:r>
      <w:r w:rsidR="00454D0D">
        <w:instrText>ADDIN CSL_CITATION {"citationItems":[{"id":"ITEM-1","itemData":{"DOI":"10.2139/ssrn.1424949","ISSN":"1556-5068","abstract":"This paper introduces a statistical technique, Support Vector Machines (SVM), which is considered by the Deutsche Bundesbank as an alternative for company rating. A special attention is paid to the features of the SVM which provide a higher accuracy of company classification into solvent and insolvent. The advantages and disadvantages of the method are discussed. The comparison of the SVM with more traditional approaches such as logistic regression (Logit) and discriminant analysis (DA) is made on the Deutsche Bundesbank data of annual income statements and balance sheets of German companies. The out-of-sample accuracy tests confirm that the SVM outperforms both DA and Logit on bootstrapped samples.","author":[{"dropping-particle":"","family":"Auria","given":"Laura","non-dropping-particle":"","parse-names":false,"suffix":""},{"dropping-particle":"","family":"Moro","given":"R. A.","non-dropping-particle":"","parse-names":false,"suffix":""}],"container-title":"Ssrn","id":"ITEM-1","issue":"August","issued":{"date-parts":[["2009"]]},"title":"Support Vector Machines (SVM) as a Technique for Solvency Analysis","type":"article-journal"},"uris":["http://www.mendeley.com/documents/?uuid=a06ded7f-7208-4022-8acd-27e85996a49c"]},{"id":"ITEM-2","itemData":{"DOI":"10.1111/sms.12977","ISBN":"0818672404","ISSN":"09057188","PMID":"28921747","abstract":"The tutorial starts with an overview of the concepts of VC dimension and structural risk minimization. We then describe linear Support Vector Machines (SVMs) for separable and non-separable data, working through a non-trivial example in detail. We describe a mechanical analogy, and discuss when SVM solutions are unique and when they are global. We describe how support vector training can be practically implemented, and discuss in detail the kernel mapping technique which is used to construct SVM solutions which are nonlinear in the data. We show how Support Vector machines can have very large (even infinite) VC dimension by computing the VC dimension for homogeneous polynomial and Gaussian radial basis function kernels. While very high VC dimension would normally bode ill for generalization performance, and while at present there exists no theory which shows that good generalization performance is guaranteed for SVMs, there are several arguments which support the observed high accuracy of SVMs, which we review. Results of some experiments which were inspired by these arguments are also presented. We give numerous examples and proofs of most of the key theorems. There is new material, and I hope that the reader will find that even old material is cast in a fresh light.","author":[{"dropping-particle":"","family":"Baumann","given":"S.","non-dropping-particle":"","parse-names":false,"suffix":""},{"dropping-particle":"","family":"Groß","given":"S.","non-dropping-particle":"","parse-names":false,"suffix":""},{"dropping-particle":"","family":"Voigt","given":"L.","non-dropping-particle":"","parse-names":false,"suffix":""},{"dropping-particle":"","family":"Ullrich","given":"A.","non-dropping-particle":"","parse-names":false,"suffix":""},{"dropping-particle":"","family":"Weymar","given":"F.","non-dropping-particle":"","parse-names":false,"suffix":""},{"dropping-particle":"","family":"Schwaneberg","given":"T.","non-dropping-particle":"","parse-names":false,"suffix":""},{"dropping-particle":"","family":"Dörr","given":"M.","non-dropping-particle":"","parse-names":false,"suffix":""},{"dropping-particle":"","family":"Meyer","given":"C.","non-dropping-particle":"","parse-names":false,"suffix":""},{"dropping-particle":"","family":"John","given":"U.","non-dropping-particle":"","parse-names":false,"suffix":""},{"dropping-particle":"","family":"Ulbricht","given":"S.","non-dropping-particle":"","parse-names":false,"suffix":""}],"container-title":"Scandinavian Journal of Medicine &amp; Science in Sports","id":"ITEM-2","issue":"3","issued":{"date-parts":[["2018","3"]]},"page":"1056-1063","title":"Pitfalls in accelerometer-based measurement of physical activity: The presence of reactivity in an adult population","type":"article-journal","volume":"28"},"uris":["http://www.mendeley.com/documents/?uuid=deab966b-3fc3-48fe-8a88-8f95d2d54601"]},{"id":"ITEM-3","itemData":{"DOI":"10.1007/BF00994018","ISBN":"0885-6125","ISSN":"08856125","PMID":"19549084","author":[{"dropping-particle":"","family":"Saitta","given":"Lorenza","non-dropping-particle":"","parse-names":false,"suffix":""}],"id":"ITEM-3","issued":{"date-parts":[["1995"]]},"page":"273-297","title":"Support-Vector Networks  SVM.pdf","type":"article-journal","volume":"297"},"uris":["http://www.mendeley.com/documents/?uuid=041fc05a-24d3-49f9-bf1c-ccb50151c6a2"]}],"mendeley":{"formattedCitation":"(Auria &amp; Moro, 2009; Baumann et al., 2018; Saitta, 1995)","plainTextFormattedCitation":"(Auria &amp; Moro, 2009; Baumann et al., 2018; Saitta, 1995)","previouslyFormattedCitation":"(Auria &amp; Moro, 2008; Baumann et al., 2018; Cortes &amp; Vapnik, 1995)"},"properties":{"noteIndex":0},"schema":"https://github.com/citation-style-language/schema/raw/master/csl-citation.json"}</w:instrText>
      </w:r>
      <w:r w:rsidR="0000583E">
        <w:fldChar w:fldCharType="separate"/>
      </w:r>
      <w:r w:rsidR="00454D0D" w:rsidRPr="00454D0D">
        <w:rPr>
          <w:noProof/>
        </w:rPr>
        <w:t>(Auria &amp; Moro, 2009; Baumann et al., 2018; Saitta, 1995)</w:t>
      </w:r>
      <w:r w:rsidR="0000583E">
        <w:fldChar w:fldCharType="end"/>
      </w:r>
      <w:r w:rsidRPr="00377CCE">
        <w:t>. The SVM finds the best hyperplane, known as decision boundary, in feature dimensional space. The best hyperplane has good separation</w:t>
      </w:r>
      <w:r w:rsidR="00AD4FD9">
        <w:t xml:space="preserve"> and</w:t>
      </w:r>
      <w:r w:rsidR="00AD4FD9" w:rsidRPr="00377CCE">
        <w:t xml:space="preserve"> </w:t>
      </w:r>
      <w:r w:rsidRPr="00377CCE">
        <w:t xml:space="preserve">has the largest margin between groups, as the largest margin has a lower generalization error </w:t>
      </w:r>
      <w:r w:rsidR="0000583E">
        <w:fldChar w:fldCharType="begin" w:fldLock="1"/>
      </w:r>
      <w:r w:rsidR="0000583E">
        <w:instrText>ADDIN CSL_CITATION {"citationItems":[{"id":"ITEM-1","itemData":{"DOI":"10.1016/j.jfoodeng.2015.11.024","ISSN":"02608774","abstract":"Lamb muscle discrimination is important for the meat industry due to the different pricing of each type of muscle. In this paper, we combine hyperspectral imaging, operating in the wavelength range 380-1028 nm, with several machine learning algorithms to deal automatically with the classification of lamb muscles. More specifically, we study the discrimination of four different lamb muscles, namely, Longissimus dorsi, Psoas major, Semimembranosus and Semitendinosus from thirty lambs of Churra Galega Mirandesa breed. The objective of the paper is to determine the best method for muscle classification. In the experimental study we report an analysis of the performance of seven classifiers. We study their behavior when they are applied over the original data as well as over the data pre-processed using Principal Component Analysis (PCA) to reduce the dimensionality of the problem. The seven classifiers used to differentiate the muscle types are two Artificial Neural Networks, namely the linear Least Mean Squares (LMS) classifier and the Multilayer Perceptron with Scaled Conjugate Gradient (MLP-SCG), two Support Vector Machines (SVM), namely the ν SVM and the SVM trained with Sequential Minimal Optimization (SMO), the Logistic Regression (LR), the Center Based Nearest Neighbor classifier and the Linear Discriminant Analysis. The best result, determined using a leave-one-animal-out scheme, is provided by the linear LMS classifier using the original data, since it correctly classifies 96.67% of the samples. The LR, the MLP-SCG using original data and the SVM trained with SMO on data preprocessed with PCA are also suitable techniques to tackle the lamb muscle classification problem.","author":[{"dropping-particle":"","family":"Sanz","given":"Jose Antonio","non-dropping-particle":"","parse-names":false,"suffix":""},{"dropping-particle":"","family":"Fernandes","given":"Armando M.","non-dropping-particle":"","parse-names":false,"suffix":""},{"dropping-particle":"","family":"Barrenechea","given":"Edurne","non-dropping-particle":"","parse-names":false,"suffix":""},{"dropping-particle":"","family":"Silva","given":"Severiano","non-dropping-particle":"","parse-names":false,"suffix":""},{"dropping-particle":"","family":"Santos","given":"Virginia","non-dropping-particle":"","parse-names":false,"suffix":""},{"dropping-particle":"","family":"Gonçalves","given":"Norberto","non-dropping-particle":"","parse-names":false,"suffix":""},{"dropping-particle":"","family":"Paternain","given":"Daniel","non-dropping-particle":"","parse-names":false,"suffix":""},{"dropping-particle":"","family":"Jurio","given":"Aranzazu","non-dropping-particle":"","parse-names":false,"suffix":""},{"dropping-particle":"","family":"Melo-Pinto","given":"Pedro","non-dropping-particle":"","parse-names":false,"suffix":""}],"container-title":"Journal of Food Engineering","id":"ITEM-1","issued":{"date-parts":[["2016","4"]]},"note":"From Duplicate 2 (Lamb muscle discrimination using hyperspectral imaging: Comparison of various machine learning algorithms - Sanz, Jose Antonio; Fernandes, Armando M.; Barrenechea, Edurne; Silva, Severiano; Santos, Virginia; Gonçalves, Norberto; Paternain, Daniel; Jurio, Aranzazu; Melo-Pinto, Pedro)\n\nSVM - v-SVM, SMO\nLogistic regression\nCentre NN\nLDA","page":"92-100","publisher":"Elsevier Ltd","title":"Lamb muscle discrimination using hyperspectral imaging: Comparison of various machine learning algorithms","type":"article-journal","volume":"174"},"uris":["http://www.mendeley.com/documents/?uuid=75de410c-0b79-44ec-b722-d4de0acc4840"]}],"mendeley":{"formattedCitation":"(Sanz et al., 2016)","plainTextFormattedCitation":"(Sanz et al., 2016)","previouslyFormattedCitation":"(Sanz et al., 2016)"},"properties":{"noteIndex":0},"schema":"https://github.com/citation-style-language/schema/raw/master/csl-citation.json"}</w:instrText>
      </w:r>
      <w:r w:rsidR="0000583E">
        <w:fldChar w:fldCharType="separate"/>
      </w:r>
      <w:r w:rsidR="0000583E" w:rsidRPr="0000583E">
        <w:rPr>
          <w:noProof/>
        </w:rPr>
        <w:t>(Sanz et al., 2016)</w:t>
      </w:r>
      <w:r w:rsidR="0000583E">
        <w:fldChar w:fldCharType="end"/>
      </w:r>
      <w:r w:rsidRPr="00377CCE">
        <w:t xml:space="preserve">. The SVM with a slack variable identifies the linear decision boundary depending on the value of C (slack variable). This decision boundary has </w:t>
      </w:r>
      <w:r w:rsidR="0064266D">
        <w:t xml:space="preserve">a </w:t>
      </w:r>
      <w:r w:rsidRPr="00377CCE">
        <w:t>feature dimension that is one less than the original data. For example, if the original data has two dimensions, the decision boundary has a line (one dimension) called the decision boundary or hyperplane. In contrast to SVM with a slack variable, the non-linear SVM with a kernel function identifies a hyperplane in a higher dimensional feature space by using mapping methods. This paper used a Radial basis function (RBF) kernel which was expand</w:t>
      </w:r>
      <w:r w:rsidR="00A2344D">
        <w:rPr>
          <w:lang w:eastAsia="ko-KR"/>
        </w:rPr>
        <w:t>ed</w:t>
      </w:r>
      <w:r w:rsidRPr="00377CCE">
        <w:t xml:space="preserve"> by equation 3 since it is very flexible and build up fast </w:t>
      </w:r>
      <w:r w:rsidR="0000583E">
        <w:fldChar w:fldCharType="begin" w:fldLock="1"/>
      </w:r>
      <w:r w:rsidR="00454D0D">
        <w:instrText>ADDIN CSL_CITATION {"citationItems":[{"id":"ITEM-1","itemData":{"DOI":"10.1016/j.meatsci.2017.09.016","ISSN":"03091740","abstract":"In recent years, fraud detection has become a major priority for food authorities, as fraudulent practices can have various economic and safety consequences. This work explores ways of identifying frozen-then-thawed minced beef labeled as fresh in a rapid, large-scale and cost-effective way. For this reason, freshly-ground beef was purchased from seven separate shops at different times, divided in fifteen portions and placed in Petri dishes. Multi-spectral images and FTIR spectra of the first five were immediately acquired while the remaining were frozen (− 20 °C) and stored for 7 and 32 days (5 samples for each time interval). Samples were thawed and subsequently subjected to similar data acquisition. In total, 105 multispectral images and FTIR spectra were collected which were further analyzed using partial least-squares discriminant analysis and support vector machines. Two meat batches (30 samples) were reserved for independent validation and the remaining five batches were divided in training and test set (75 samples). Results showed 100% overall correct classification for test and external validation MSI data, while FTIR data yielded 93.3 and 96.7% overall correct classification for FTIR test set and external validation set respectively.","author":[{"dropping-particle":"","family":"Ropodi","given":"Athina I.","non-dropping-particle":"","parse-names":false,"suffix":""},{"dropping-particle":"","family":"Panagou","given":"Efstathios Z.","non-dropping-particle":"","parse-names":false,"suffix":""},{"dropping-particle":"","family":"Nychas","given":"George John E.","non-dropping-particle":"","parse-names":false,"suffix":""}],"container-title":"Meat Science","id":"ITEM-1","issue":"September 2017","issued":{"date-parts":[["2018"]]},"note":"From Duplicate 2 (Rapid detection of frozen-then-thawed minced beef using multispectral imaging and Fourier transform infrared spectroscopy - Ropodi, Athina I.; Panagou, Efstathios Z.; Nychas, George John E.)\n\nPLS-DA\nSVM(Linear kernel C)\n","page":"142-147","publisher":"Elsevier","title":"Rapid detection of frozen-then-thawed minced beef using multispectral imaging and Fourier transform infrared spectroscopy","type":"article-journal","volume":"135"},"uris":["http://www.mendeley.com/documents/?uuid=d0714304-1349-47d1-815a-e1344ba9815c"]},{"id":"ITEM-2","itemData":{"DOI":"10.2139/ssrn.1424949","ISSN":"1556-5068","abstract":"This paper introduces a statistical technique, Support Vector Machines (SVM), which is considered by the Deutsche Bundesbank as an alternative for company rating. A special attention is paid to the features of the SVM which provide a higher accuracy of company classification into solvent and insolvent. The advantages and disadvantages of the method are discussed. The comparison of the SVM with more traditional approaches such as logistic regression (Logit) and discriminant analysis (DA) is made on the Deutsche Bundesbank data of annual income statements and balance sheets of German companies. The out-of-sample accuracy tests confirm that the SVM outperforms both DA and Logit on bootstrapped samples.","author":[{"dropping-particle":"","family":"Auria","given":"Laura","non-dropping-particle":"","parse-names":false,"suffix":""},{"dropping-particle":"","family":"Moro","given":"R. A.","non-dropping-particle":"","parse-names":false,"suffix":""}],"container-title":"Ssrn","id":"ITEM-2","issue":"August","issued":{"date-parts":[["2009"]]},"title":"Support Vector Machines (SVM) as a Technique for Solvency Analysis","type":"article-journal"},"uris":["http://www.mendeley.com/documents/?uuid=a06ded7f-7208-4022-8acd-27e85996a49c"]}],"mendeley":{"formattedCitation":"(Auria &amp; Moro, 2009; Ropodi, Panagou, &amp; Nychas, 2018)","plainTextFormattedCitation":"(Auria &amp; Moro, 2009; Ropodi, Panagou, &amp; Nychas, 2018)","previouslyFormattedCitation":"(Auria &amp; Moro, 2008; Ropodi, Panagou, &amp; Nychas, 2018)"},"properties":{"noteIndex":0},"schema":"https://github.com/citation-style-language/schema/raw/master/csl-citation.json"}</w:instrText>
      </w:r>
      <w:r w:rsidR="0000583E">
        <w:fldChar w:fldCharType="separate"/>
      </w:r>
      <w:r w:rsidR="00454D0D" w:rsidRPr="00454D0D">
        <w:rPr>
          <w:noProof/>
        </w:rPr>
        <w:t>(Auria &amp; Moro, 2009; Ropodi, Panagou, &amp; Nychas, 2018)</w:t>
      </w:r>
      <w:r w:rsidR="0000583E">
        <w:fldChar w:fldCharType="end"/>
      </w:r>
      <w:r w:rsidRPr="00377CCE">
        <w:t xml:space="preserve">. </w:t>
      </w:r>
    </w:p>
    <w:p w14:paraId="10A50E26" w14:textId="77777777" w:rsidR="00377CCE" w:rsidRPr="00377CCE" w:rsidRDefault="00377CCE" w:rsidP="00377CCE">
      <w:pPr>
        <w:pStyle w:val="text"/>
        <w:spacing w:line="360" w:lineRule="auto"/>
        <w:jc w:val="right"/>
      </w:pPr>
      <m:oMath>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e>
        </m:d>
        <m:r>
          <m:rPr>
            <m:sty m:val="p"/>
          </m:rPr>
          <w:rPr>
            <w:rFonts w:ascii="Cambria Math" w:hAnsi="Cambria Math"/>
          </w:rPr>
          <m:t>=</m:t>
        </m:r>
        <m:sSup>
          <m:sSupPr>
            <m:ctrlPr>
              <w:rPr>
                <w:rFonts w:ascii="Cambria Math" w:hAnsi="Cambria Math"/>
              </w:rPr>
            </m:ctrlPr>
          </m:sSupPr>
          <m:e>
            <m:r>
              <w:rPr>
                <w:rFonts w:ascii="Cambria Math" w:hAnsi="Cambria Math"/>
              </w:rPr>
              <m:t>e</m:t>
            </m:r>
          </m:e>
          <m: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sup>
                <m:r>
                  <w:rPr>
                    <w:rFonts w:ascii="Cambria Math" w:hAnsi="Cambria Math"/>
                  </w:rPr>
                  <m:t>T</m:t>
                </m:r>
              </m:sup>
            </m:sSup>
            <m:sSup>
              <m:sSupPr>
                <m:ctrlPr>
                  <w:rPr>
                    <w:rFonts w:ascii="Cambria Math" w:hAnsi="Cambria Math"/>
                  </w:rPr>
                </m:ctrlPr>
              </m:sSupPr>
              <m:e>
                <m:r>
                  <w:rPr>
                    <w:rFonts w:ascii="Cambria Math" w:hAnsi="Cambria Math"/>
                  </w:rPr>
                  <m:t>γ</m:t>
                </m:r>
              </m:e>
              <m:sup>
                <m:r>
                  <m:rPr>
                    <m:sty m:val="p"/>
                  </m:rPr>
                  <w:rPr>
                    <w:rFonts w:ascii="Cambria Math" w:hAnsi="Cambria Math"/>
                  </w:rPr>
                  <m:t>-2</m:t>
                </m:r>
              </m:sup>
            </m:sSup>
            <m:nary>
              <m:naryPr>
                <m:chr m:val="∑"/>
                <m:limLoc m:val="subSup"/>
                <m:ctrlPr>
                  <w:rPr>
                    <w:rFonts w:ascii="Cambria Math" w:hAnsi="Cambria Math"/>
                  </w:rPr>
                </m:ctrlPr>
              </m:naryPr>
              <m:sub/>
              <m:sup>
                <m:r>
                  <m:rPr>
                    <m:sty m:val="p"/>
                  </m:rPr>
                  <w:rPr>
                    <w:rFonts w:ascii="Cambria Math" w:hAnsi="Cambria Math"/>
                  </w:rPr>
                  <m:t>-1</m:t>
                </m:r>
              </m:sup>
              <m:e>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)/2</m:t>
                </m:r>
              </m:e>
            </m:nary>
          </m:sup>
        </m:sSup>
      </m:oMath>
      <w:r w:rsidRPr="00377CCE">
        <w:t xml:space="preserve">                                    (3)</w:t>
      </w:r>
    </w:p>
    <w:p w14:paraId="5D7BC568" w14:textId="77777777" w:rsidR="00881FE7" w:rsidRDefault="00377CCE" w:rsidP="00881FE7">
      <w:pPr>
        <w:pStyle w:val="text"/>
        <w:spacing w:line="360" w:lineRule="auto"/>
      </w:pPr>
      <w:r w:rsidRPr="00377CCE">
        <w:t xml:space="preserve">where Σ is the variance-covariance matrix of all training sets and γ is only parameter which is chosen by user. The kernel size of RBF is controlled by the value of γ. </w:t>
      </w:r>
      <w:proofErr w:type="gramStart"/>
      <w:r w:rsidRPr="00377CCE">
        <w:t>All of</w:t>
      </w:r>
      <w:proofErr w:type="gramEnd"/>
      <w:r w:rsidRPr="00377CCE">
        <w:t xml:space="preserve"> the parameters related to SVM methods are optimized through grid search methods. </w:t>
      </w:r>
    </w:p>
    <w:p w14:paraId="733A8FC3" w14:textId="77777777" w:rsidR="00881FE7" w:rsidRDefault="00881FE7" w:rsidP="00881FE7">
      <w:pPr>
        <w:pStyle w:val="text"/>
        <w:spacing w:line="360" w:lineRule="auto"/>
      </w:pPr>
    </w:p>
    <w:p w14:paraId="20045ACD" w14:textId="77777777" w:rsidR="00881FE7" w:rsidRDefault="00881FE7" w:rsidP="00881FE7">
      <w:pPr>
        <w:pStyle w:val="text"/>
        <w:spacing w:line="360" w:lineRule="auto"/>
      </w:pPr>
    </w:p>
    <w:p w14:paraId="35E0F270" w14:textId="28AA156A" w:rsidR="00377CCE" w:rsidRPr="00881FE7" w:rsidRDefault="00377CCE" w:rsidP="00881FE7">
      <w:pPr>
        <w:tabs>
          <w:tab w:val="left" w:pos="360"/>
          <w:tab w:val="left" w:pos="720"/>
          <w:tab w:val="left" w:pos="1080"/>
          <w:tab w:val="left" w:pos="1440"/>
          <w:tab w:val="left" w:pos="1800"/>
          <w:tab w:val="left" w:pos="2160"/>
          <w:tab w:val="left" w:pos="2880"/>
          <w:tab w:val="left" w:pos="3600"/>
          <w:tab w:val="left" w:pos="4320"/>
        </w:tabs>
        <w:spacing w:line="360" w:lineRule="auto"/>
        <w:ind w:firstLine="360"/>
        <w:jc w:val="both"/>
        <w:rPr>
          <w:rFonts w:ascii="Times New Roman" w:eastAsia="TimesNewRomanPSMT" w:hAnsi="Times New Roman" w:cs="Times New Roman"/>
          <w:b/>
          <w:bCs/>
          <w:color w:val="000000"/>
          <w:sz w:val="24"/>
          <w:szCs w:val="24"/>
        </w:rPr>
      </w:pPr>
      <w:r w:rsidRPr="00881FE7">
        <w:rPr>
          <w:rFonts w:ascii="Times New Roman" w:eastAsia="TimesNewRomanPSMT" w:hAnsi="Times New Roman" w:cs="Times New Roman"/>
          <w:b/>
          <w:bCs/>
          <w:color w:val="000000"/>
          <w:sz w:val="24"/>
          <w:szCs w:val="24"/>
        </w:rPr>
        <w:t>Discriminant analysis</w:t>
      </w:r>
    </w:p>
    <w:p w14:paraId="73DD1BA6" w14:textId="6829DF4E" w:rsidR="00B8102D" w:rsidRDefault="0064266D" w:rsidP="00B8102D">
      <w:pPr>
        <w:pStyle w:val="text"/>
        <w:spacing w:line="360" w:lineRule="auto"/>
      </w:pPr>
      <w:r>
        <w:t>Linear</w:t>
      </w:r>
      <w:r w:rsidR="00377CCE" w:rsidRPr="00377CCE">
        <w:t xml:space="preserve"> discriminant analysis (LDA) and quadratic discriminant analysis (QDA) methods were considered as classifiers. LDA and QDA are simple and intuitive. LDA develops </w:t>
      </w:r>
      <w:r w:rsidR="007A0743">
        <w:t>a</w:t>
      </w:r>
      <w:r w:rsidR="007A0743" w:rsidRPr="00377CCE">
        <w:t xml:space="preserve"> </w:t>
      </w:r>
      <w:r w:rsidR="00377CCE" w:rsidRPr="00377CCE">
        <w:t xml:space="preserve">model that minimizes </w:t>
      </w:r>
      <w:r w:rsidR="007A0743">
        <w:t xml:space="preserve">the </w:t>
      </w:r>
      <w:r w:rsidR="00377CCE" w:rsidRPr="00377CCE">
        <w:t xml:space="preserve">within-group variance while maximizing the between-group variance </w:t>
      </w:r>
      <w:r w:rsidR="00A06DB2">
        <w:fldChar w:fldCharType="begin" w:fldLock="1"/>
      </w:r>
      <w:r w:rsidR="008D7CDC">
        <w:instrText>ADDIN CSL_CITATION {"citationItems":[{"id":"ITEM-1","itemData":{"DOI":"10.1016/j.snb.2017.08.036","ISSN":"09254005","abstract":"Knowledge of the viability status of seeds before sowing is important to farmers (for yield prediction) and to seed companies (for seed warrant determination). However, a diversity of factors collaborate to reduce or completely render seeds non-viable both during pre- and post-harvest operations. Many methods have been employed to detect seed viability, but perhaps one of the promising is hyperspectral imaging. This is because of its high speed and ability to non-destructively detect the internal conditions of seeds, making it the perfect solution especially for industrial sorting applications. This study was conducted to determine suitable classification model(s) for classifying corn seeds based on their viability using hyperspectral imaging. For this study, 600 corn samples were selected, and half of them treated using microwave heat treatment while the rest were kept as the control group. Hyperspectral imaging data from all the samples were then collected using a shortwave infrared hyperspectral camera with a range of 1000–2500 nm. Three classification models, linear discriminant analysis (LDA), partial least squares discriminant analysis (PLS-DA), and support vector machines (SVM), coupled with some pre-processing methods, were tested to determine the most suitable among them. The SVM model resulted in the highest spectral classification of up to 100%, which is 5% better than the previous research PLS based method. The model also produced flawless classification images, suggesting that hyperspectral imaging can be used to accurately classify corn based on viability. In summary, the results of this study serve as a major step towards development of a fast and non-destructive large-scale hyperspectral-based sorting system for corn viability determination.","author":[{"dropping-particle":"","family":"Wakholi","given":"Collins","non-dropping-particle":"","parse-names":false,"suffix":""},{"dropping-particle":"","family":"Kandpal","given":"Lalit Mohan","non-dropping-particle":"","parse-names":false,"suffix":""},{"dropping-particle":"","family":"Lee","given":"Hoonsoo","non-dropping-particle":"","parse-names":false,"suffix":""},{"dropping-particle":"","family":"Bae","given":"Hyungjin","non-dropping-particle":"","parse-names":false,"suffix":""},{"dropping-particle":"","family":"Park","given":"Eunsoo","non-dropping-particle":"","parse-names":false,"suffix":""},{"dropping-particle":"","family":"Kim","given":"Moon S.","non-dropping-particle":"","parse-names":false,"suffix":""},{"dropping-particle":"","family":"Mo","given":"Changyeun","non-dropping-particle":"","parse-names":false,"suffix":""},{"dropping-particle":"","family":"Lee","given":"Wang Hee","non-dropping-particle":"","parse-names":false,"suffix":""},{"dropping-particle":"","family":"Cho","given":"Byoung Kwan","non-dropping-particle":"","parse-names":false,"suffix":""}],"container-title":"Sensors and Actuators, B: Chemical","id":"ITEM-1","issued":{"date-parts":[["2018"]]},"note":"From Duplicate 2 (Rapid assessment of corn seed viability using short wave infrared line-scan hyperspectral imaging and chemometrics - Wakholi, Collins; Kandpal, Lalit Mohan; Lee, Hoonsoo; Bae, Hyungjin; Park, Eunsoo; Kim, Moon S.; Mo, Changyeun; Lee, Wang Hee; Cho, Byoung Kwan)\n\nPLS-DA\nLDA\nSVM(RBF)\n10-fold k-fold-cross-validation","page":"498-507","publisher":"Elsevier B.V.","title":"Rapid assessment of corn seed viability using short wave infrared line-scan hyperspectral imaging and chemometrics","type":"article-journal","volume":"255"},"uris":["http://www.mendeley.com/documents/?uuid=25740362-c384-4515-b140-26dd7ac9f888"]},{"id":"ITEM-2","itemData":{"DOI":"10.1016/j.jfoodeng.2018.01.009","ISSN":"02608774","abstract":"Hyperspectral imaging (1000–2500 nm) was used for rapid prediction of moisture and total lipid content in intact green coffee beans on a single bean basis. Arabica and Robusta samples from several growing locations were scanned using a “push-broom” system. Hypercubes were segmented to select single beans, and average spectra were measured for each bean. Partial Least Squares regression was used to build quantitative prediction models on single beans (n = 320–350). The models exhibite</w:instrText>
      </w:r>
      <w:r w:rsidR="008D7CDC">
        <w:rPr>
          <w:rFonts w:hint="eastAsia"/>
        </w:rPr>
        <w:instrText xml:space="preserve">d good performance and acceptable prediction errors of </w:instrText>
      </w:r>
      <w:r w:rsidR="008D7CDC">
        <w:rPr>
          <w:rFonts w:hint="eastAsia"/>
        </w:rPr>
        <w:instrText>∼</w:instrText>
      </w:r>
      <w:r w:rsidR="008D7CDC">
        <w:rPr>
          <w:rFonts w:hint="eastAsia"/>
        </w:rPr>
        <w:instrText xml:space="preserve">0.28% for moisture and </w:instrText>
      </w:r>
      <w:r w:rsidR="008D7CDC">
        <w:rPr>
          <w:rFonts w:hint="eastAsia"/>
        </w:rPr>
        <w:instrText>∼</w:instrText>
      </w:r>
      <w:r w:rsidR="008D7CDC">
        <w:rPr>
          <w:rFonts w:hint="eastAsia"/>
        </w:rPr>
        <w:instrText>0.89% for lipids. This study represents the first time that HSI-based quantitative prediction models have been developed for coffee, and specifically green coffee beans. In ad</w:instrText>
      </w:r>
      <w:r w:rsidR="008D7CDC">
        <w:instrText>dition, this is the first attempt to build such models using single intact coffee beans. The composition variability between beans was studied, and fat and moisture distribution were visualized within individual coffee beans. This rapid, non-destructive approach could have important applications for research laboratories, breeding programmes, and for rapid screening for industry.","author":[{"dropping-particle":"","family":"Caporaso","given":"Nicola","non-dropping-particle":"","parse-names":false,"suffix":""},{"dropping-particle":"","family":"Whitworth","given":"Martin B.","non-dropping-particle":"","parse-names":false,"suffix":""},{"dropping-particle":"","family":"Grebby","given":"Stephen","non-dropping-particle":"","parse-names":false,"suffix":""},{"dropping-particle":"","family":"Fisk","given":"Ian D.","non-dropping-particle":"","parse-names":false,"suffix":""}],"container-title":"Journal of Food Engineering","id":"ITEM-2","issued":{"date-parts":[["2018","6"]]},"note":"From Duplicate 1 (Rapid prediction of single green coffee bean moisture and lipid content by hyperspectral imaging - Caporaso, Nicola; Whitworth, Martin B.; Grebby, Stephen; Fisk, Ian D.)\n\nPLSR\nLDA\nC-SVC SVM (10 random segments)","page":"18-29","publisher":"Elsevier Ltd","title":"Rapid prediction of single green coffee bean moisture and lipid content by hyperspectral imaging","type":"article-journal","volume":"227"},"uris":["http://www.mendeley.com/documents/?uuid=598c635e-4f87-43ed-b5d0-88d3efebecc5"]},{"id":"ITEM-3","itemData":{"DOI":"10.1016/j.jfoodeng.2015.11.024","ISSN":"02608774","abstract":"Lamb muscle discrimination is important for the meat industry due to the different pricing of each type of muscle. In this paper, we combine hyperspectral imaging, operating in the wavelength range 380-1028 nm, with several machine learning algorithms to deal automatically with the classification of lamb muscles. More specifically, we study the discrimination of four different lamb muscles, namely, Longissimus dorsi, Psoas major, Semimembranosus and Semitendinosus from thirty lambs of Churra Galega Mirandesa breed. The objective of the paper is to determine the best method for muscle classification. In the experimental study we report an analysis of the performance of seven classifiers. We study their behavior when they are applied over the original data as well as over the data pre-processed using Principal Component Analysis (PCA) to reduce the dimensionality of the problem. The seven classifiers used to differentiate the muscle types are two Artificial Neural Networks, namely the linear Least Mean Squares (LMS) classifier and the Multilayer Perceptron with Scaled Conjugate Gradient (MLP-SCG), two Support Vector Machines (SVM), namely the ν SVM and the SVM trained with Sequential Minimal Optimization (SMO), the Logistic Regression (LR), the Center Based Nearest Neighbor classifier and the Linear Discriminant Analysis. The best result, determined using a leave-one-animal-out scheme, is provided by the linear LMS classifier using the original data, since it correctly classifies 96.67% of the samples. The LR, the MLP-SCG using original data and the SVM trained with SMO on data preprocessed with PCA are also suitable techniques to tackle the lamb muscle classification problem.","author":[{"dropping-particle":"","family":"Sanz","given":"Jose Antonio","non-dropping-particle":"","parse-names":false,"suffix":""},{"dropping-particle":"","family":"Fernandes","given":"Armando M.","non-dropping-particle":"","parse-names":false,"suffix":""},{"dropping-particle":"","family":"Barrenechea","given":"Edurne","non-dropping-particle":"","parse-names":false,"suffix":""},{"dropping-particle":"","family":"Silva","given":"Severiano","non-dropping-particle":"","parse-names":false,"suffix":""},{"dropping-particle":"","family":"Santos","given":"Virginia","non-dropping-particle":"","parse-names":false,"suffix":""},{"dropping-particle":"","family":"Gonçalves","given":"Norberto","non-dropping-particle":"","parse-names":false,"suffix":""},{"dropping-particle":"","family":"Paternain","given":"Daniel","non-dropping-particle":"","parse-names":false,"suffix":""},{"dropping-particle":"","family":"Jurio","given":"Aranzazu","non-dropping-particle":"","parse-names":false,"suffix":""},{"dropping-particle":"","family":"Melo-Pinto","given":"Pedro","non-dropping-particle":"","parse-names":false,"suffix":""}],"container-title":"Journal of Food Engineering","id":"ITEM-3","issued":{"date-parts":[["2016","4"]]},"note":"From Duplicate 2 (Lamb muscle discrimination using hyperspectral imaging: Comparison of various machine learning algorithms - Sanz, Jose Antonio; Fernandes, Armando M.; Barrenechea, Edurne; Silva, Severiano; Santos, Virginia; Gonçalves, Norberto; Paternain, Daniel; Jurio, Aranzazu; Melo-Pinto, Pedro)\n\nSVM - v-SVM, SMO\nLogistic regression\nCentre NN\nLDA","page":"92-100","publisher":"Elsevier Ltd","title":"Lamb muscle discrimination using hyperspectral imaging: Comparison of various machine learning algorithms","type":"article-journal","volume":"174"},"uris":["http://www.mendeley.com/documents/?uuid=75de410c-0b79-44ec-b722-d4de0acc4840"]}],"mendeley":{"formattedCitation":"(Caporaso, Whitworth, Grebby, &amp; Fisk, 2018; Sanz et al., 2016; Wakholi et al., 2018)","plainTextFormattedCitation":"(Caporaso, Whitworth, Grebby, &amp; Fisk, 2018; Sanz et al., 2016; Wakholi et al., 2018)","previouslyFormattedCitation":"(Caporaso, Whitworth, Grebby, &amp; Fisk, 2018; Sanz et al., 2016; Wakholi et al., 2018)"},"properties":{"noteIndex":0},"schema":"https://github.com/citation-style-language/schema/raw/master/csl-citation.json"}</w:instrText>
      </w:r>
      <w:r w:rsidR="00A06DB2">
        <w:fldChar w:fldCharType="separate"/>
      </w:r>
      <w:r w:rsidR="008D7CDC" w:rsidRPr="008D7CDC">
        <w:rPr>
          <w:noProof/>
        </w:rPr>
        <w:t>(Caporaso, Whitworth, Grebby, &amp; Fisk, 2018; Sanz et al., 2016; Wakholi et al., 2018)</w:t>
      </w:r>
      <w:r w:rsidR="00A06DB2">
        <w:fldChar w:fldCharType="end"/>
      </w:r>
      <w:r w:rsidR="00377CCE" w:rsidRPr="00377CCE">
        <w:t xml:space="preserve">. QDA is close to LDA, except a covariance matrix must be estimated for each group. In this case, a decision boundary between groups is a quadratic surface. However, if the training data set does not follow a Gaussian distribution, </w:t>
      </w:r>
      <w:r>
        <w:t xml:space="preserve">then </w:t>
      </w:r>
      <w:r w:rsidR="00377CCE" w:rsidRPr="00377CCE">
        <w:t xml:space="preserve">LDA and QDA </w:t>
      </w:r>
      <w:r>
        <w:t xml:space="preserve">will </w:t>
      </w:r>
      <w:r w:rsidR="00377CCE" w:rsidRPr="00377CCE">
        <w:t>lead to erroneous results since these methods are based on the concept of Bayes’ theorem</w:t>
      </w:r>
      <w:r w:rsidR="00A06DB2">
        <w:t xml:space="preserve"> </w:t>
      </w:r>
      <w:r w:rsidR="00A06DB2">
        <w:fldChar w:fldCharType="begin" w:fldLock="1"/>
      </w:r>
      <w:r w:rsidR="00A06DB2">
        <w:instrText>ADDIN CSL_CITATION {"citationItems":[{"id":"ITEM-1","itemData":{"DOI":"10.1016/j.snb.2017.08.036","ISSN":"09254005","abstract":"Knowledge of the viability status of seeds before sowing is important to farmers (for yield prediction) and to seed companies (for seed warrant determination). However, a diversity of factors collaborate to reduce or completely render seeds non-viable both during pre- and post-harvest operations. Many methods have been employed to detect seed viability, but perhaps one of the promising is hyperspectral imaging. This is because of its high speed and ability to non-destructively detect the internal conditions of seeds, making it the perfect solution especially for industrial sorting applications. This study was conducted to determine suitable classification model(s) for classifying corn seeds based on their viability using hyperspectral imaging. For this study, 600 corn samples were selected, and half of them treated using microwave heat treatment while the rest were kept as the control group. Hyperspectral imaging data from all the samples were then collected using a shortwave infrared hyperspectral camera with a range of 1000–2500 nm. Three classification models, linear discriminant analysis (LDA), partial least squares discriminant analysis (PLS-DA), and support vector machines (SVM), coupled with some pre-processing methods, were tested to determine the most suitable among them. The SVM model resulted in the highest spectral classification of up to 100%, which is 5% better than the previous research PLS based method. The model also produced flawless classification images, suggesting that hyperspectral imaging can be used to accurately classify corn based on viability. In summary, the results of this study serve as a major step towards development of a fast and non-destructive large-scale hyperspectral-based sorting system for corn viability determination.","author":[{"dropping-particle":"","family":"Wakholi","given":"Collins","non-dropping-particle":"","parse-names":false,"suffix":""},{"dropping-particle":"","family":"Kandpal","given":"Lalit Mohan","non-dropping-particle":"","parse-names":false,"suffix":""},{"dropping-particle":"","family":"Lee","given":"Hoonsoo","non-dropping-particle":"","parse-names":false,"suffix":""},{"dropping-particle":"","family":"Bae","given":"Hyungjin","non-dropping-particle":"","parse-names":false,"suffix":""},{"dropping-particle":"","family":"Park","given":"Eunsoo","non-dropping-particle":"","parse-names":false,"suffix":""},{"dropping-particle":"","family":"Kim","given":"Moon S.","non-dropping-particle":"","parse-names":false,"suffix":""},{"dropping-particle":"","family":"Mo","given":"Changyeun","non-dropping-particle":"","parse-names":false,"suffix":""},{"dropping-particle":"","family":"Lee","given":"Wang Hee","non-dropping-particle":"","parse-names":false,"suffix":""},{"dropping-particle":"","family":"Cho","given":"Byoung Kwan","non-dropping-particle":"","parse-names":false,"suffix":""}],"container-title":"Sensors and Actuators, B: Chemical","id":"ITEM-1","issued":{"date-parts":[["2018"]]},"note":"From Duplicate 2 (Rapid assessment of corn seed viability using short wave infrared line-scan hyperspectral imaging and chemometrics - Wakholi, Collins; Kandpal, Lalit Mohan; Lee, Hoonsoo; Bae, Hyungjin; Park, Eunsoo; Kim, Moon S.; Mo, Changyeun; Lee, Wang Hee; Cho, Byoung Kwan)\n\nPLS-DA\nLDA\nSVM(RBF)\n10-fold k-fold-cross-validation","page":"498-507","publisher":"Elsevier B.V.","title":"Rapid assessment of corn seed viability using short wave infrared line-scan hyperspectral imaging and chemometrics","type":"article-journal","volume":"255"},"uris":["http://www.mendeley.com/documents/?uuid=25740362-c384-4515-b140-26dd7ac9f888"]}],"mendeley":{"formattedCitation":"(Wakholi et al., 2018)","plainTextFormattedCitation":"(Wakholi et al., 2018)","previouslyFormattedCitation":"(Wakholi et al., 2018)"},"properties":{"noteIndex":0},"schema":"https://github.com/citation-style-language/schema/raw/master/csl-citation.json"}</w:instrText>
      </w:r>
      <w:r w:rsidR="00A06DB2">
        <w:fldChar w:fldCharType="separate"/>
      </w:r>
      <w:r w:rsidR="00A06DB2" w:rsidRPr="00A06DB2">
        <w:rPr>
          <w:noProof/>
        </w:rPr>
        <w:t>(Wakholi et al., 2018)</w:t>
      </w:r>
      <w:r w:rsidR="00A06DB2">
        <w:fldChar w:fldCharType="end"/>
      </w:r>
      <w:r w:rsidR="00377CCE" w:rsidRPr="00377CCE">
        <w:t>. Because of the effectiveness of these two techniques, numerous studies have used these methods in many fields. In agricultural fields, these methods have been used in pattern recognition and classification problems.</w:t>
      </w:r>
    </w:p>
    <w:p w14:paraId="0567389F" w14:textId="77777777" w:rsidR="00ED1413" w:rsidRDefault="00ED1413" w:rsidP="00B8102D">
      <w:pPr>
        <w:pStyle w:val="text"/>
        <w:spacing w:line="360" w:lineRule="auto"/>
      </w:pPr>
    </w:p>
    <w:p w14:paraId="2763AAFB" w14:textId="645B2029" w:rsidR="00377CCE" w:rsidRPr="00B8102D" w:rsidRDefault="00377CCE" w:rsidP="00B8102D">
      <w:pPr>
        <w:tabs>
          <w:tab w:val="left" w:pos="360"/>
          <w:tab w:val="left" w:pos="720"/>
          <w:tab w:val="left" w:pos="1080"/>
          <w:tab w:val="left" w:pos="1440"/>
          <w:tab w:val="left" w:pos="1800"/>
          <w:tab w:val="left" w:pos="2160"/>
          <w:tab w:val="left" w:pos="2880"/>
          <w:tab w:val="left" w:pos="3600"/>
          <w:tab w:val="left" w:pos="4320"/>
        </w:tabs>
        <w:spacing w:line="360" w:lineRule="auto"/>
        <w:ind w:firstLine="360"/>
        <w:jc w:val="both"/>
        <w:rPr>
          <w:rFonts w:ascii="Times New Roman" w:eastAsia="TimesNewRomanPSMT" w:hAnsi="Times New Roman" w:cs="Times New Roman"/>
          <w:b/>
          <w:bCs/>
          <w:color w:val="000000"/>
          <w:sz w:val="24"/>
          <w:szCs w:val="24"/>
        </w:rPr>
      </w:pPr>
      <w:r w:rsidRPr="00B8102D">
        <w:rPr>
          <w:rFonts w:ascii="Times New Roman" w:eastAsia="TimesNewRomanPSMT" w:hAnsi="Times New Roman" w:cs="Times New Roman"/>
          <w:b/>
          <w:bCs/>
          <w:color w:val="000000"/>
          <w:sz w:val="24"/>
          <w:szCs w:val="24"/>
        </w:rPr>
        <w:t xml:space="preserve">Sequence </w:t>
      </w:r>
      <w:r w:rsidR="005E5E53">
        <w:rPr>
          <w:rFonts w:ascii="Times New Roman" w:eastAsia="TimesNewRomanPSMT" w:hAnsi="Times New Roman" w:cs="Times New Roman"/>
          <w:b/>
          <w:bCs/>
          <w:color w:val="000000"/>
          <w:sz w:val="24"/>
          <w:szCs w:val="24"/>
        </w:rPr>
        <w:t>forward selection</w:t>
      </w:r>
      <w:r w:rsidR="005E5E53" w:rsidRPr="00B8102D">
        <w:rPr>
          <w:rFonts w:ascii="Times New Roman" w:eastAsia="TimesNewRomanPSMT" w:hAnsi="Times New Roman" w:cs="Times New Roman"/>
          <w:b/>
          <w:bCs/>
          <w:color w:val="000000"/>
          <w:sz w:val="24"/>
          <w:szCs w:val="24"/>
        </w:rPr>
        <w:t xml:space="preserve"> </w:t>
      </w:r>
      <w:r w:rsidR="00B8102D" w:rsidRPr="00B8102D">
        <w:rPr>
          <w:rFonts w:ascii="Times New Roman" w:eastAsia="TimesNewRomanPSMT" w:hAnsi="Times New Roman" w:cs="Times New Roman"/>
          <w:b/>
          <w:bCs/>
          <w:color w:val="000000"/>
          <w:sz w:val="24"/>
          <w:szCs w:val="24"/>
        </w:rPr>
        <w:t>(SFS)</w:t>
      </w:r>
    </w:p>
    <w:p w14:paraId="35A3150F" w14:textId="7F8D76E3" w:rsidR="00377CCE" w:rsidRPr="00377CCE" w:rsidRDefault="00377CCE" w:rsidP="00377CCE">
      <w:pPr>
        <w:pStyle w:val="text"/>
        <w:spacing w:line="360" w:lineRule="auto"/>
      </w:pPr>
      <w:r w:rsidRPr="00377CCE">
        <w:t xml:space="preserve">In this study, SFS with classifiers was applied to the calibration set to select the optimal variables for building a discriminative model to classify sound and bruised regions on apples. The approach starts with an empty set. During </w:t>
      </w:r>
      <w:r w:rsidR="00C45C65">
        <w:t>step one,</w:t>
      </w:r>
      <w:r w:rsidRPr="00377CCE">
        <w:t xml:space="preserve"> all the variables that have not yet been selected are considered for selection, and their impact on the evaluation score are recorded. At the end of </w:t>
      </w:r>
      <w:r w:rsidR="00C45C65" w:rsidRPr="00377CCE">
        <w:t>th</w:t>
      </w:r>
      <w:r w:rsidR="00C45C65">
        <w:t>is</w:t>
      </w:r>
      <w:r w:rsidR="00C45C65" w:rsidRPr="00377CCE">
        <w:t xml:space="preserve"> </w:t>
      </w:r>
      <w:r w:rsidRPr="00377CCE">
        <w:t>step, the variables resulting in the best score are included in the set. Then a new step is started, and the remaining variables are considered. This process is repeated until a prespecified number of variables has been included in the set</w:t>
      </w:r>
      <w:r w:rsidR="00A06DB2">
        <w:t xml:space="preserve"> </w:t>
      </w:r>
      <w:r w:rsidR="00A06DB2">
        <w:fldChar w:fldCharType="begin" w:fldLock="1"/>
      </w:r>
      <w:r w:rsidR="008D7CDC">
        <w:instrText>ADDIN CSL_CITATION {"citationItems":[{"id":"ITEM-1","itemData":{"DOI":"10.1016/j.compag.2016.10.001","ISSN":"01681699","abstract":"Computer vision based systems address the need for fast, reliable and non-destructive methods for food quality assessment which is traditionally done by manual inspection techniques that are costly, time-consuming, and high labor intensive. A recent advancement in these systems is the use of hyperspectral imaging (HSI) which can exploit reflectance or transmittance characteristics in a wide range with narrow bands, to achieve improved classification for accurate quality control. In this study, a HSI based computer vision system based on reflectance characteristics is proposed for assessment of dried figs which are economically important for rural development and yet prone to mold infection. By extracting the features as the average intensity of the fig regions at each spectral band, the proposed HSI system employs sequential floating forward selection with commonly used classifiers (support vector machines and Bayes classifiers), to precisely find contaminated dried figs for their pneumatic removal from the production line. The proposed HSI system can achieve an accuracy of 99.3% based on the most discriminative twenty-seven spectral bands. It also produces an acceptable accuracy of 93% by using only four bands. A preliminary lab-based prototype can control the figs and then pneumatically remove the detected contaminated ones. The throughput of this prototype is seven figs per minute when the full spectrum of 784 bands is evaluated by a single processing line. When only the most discriminative four bands are considered, the throughput improves to seven figs per second using four processing lines on the conveyor belt, which makes it promising for an operational detection system. In addition to reflectance mode, it is shown by an experimental setting that the transmittance characteristics can help identify dried figs with internal contamination when the contamination have no detectable affect on the outer fig surface.","author":[{"dropping-particle":"","family":"Ortaç","given":"Gizem","non-dropping-particle":"","parse-names":false,"suffix":""},{"dropping-particle":"","family":"Bilgi","given":"Ahmet Seçkin","non-dropping-particle":"","parse-names":false,"suffix":""},{"dropping-particle":"","family":"Taşdemir","given":"Kadim","non-dropping-particle":"","parse-names":false,"suffix":""},{"dropping-particle":"","family":"Kalkan","given":"Habil","non-dropping-particle":"","parse-names":false,"suffix":""}],"container-title":"Computers and Electronics in Agriculture","id":"ITEM-1","issue":"3","issued":{"date-parts":[["2016","11"]]},"note":"From Duplicate 2 (A hyperspectral imaging based control system for quality assessment of dried figs - Ortaç, Gizem; Bilgi, Ahmet Seçkin; Taşdemir, Kadim; Kalkan, Habil)\n\nfeature selection\nSequential floating forward selection (SFS base)\nPLS\nPCA\nSPA\n\nclassifier\nSVC\nKNNC\nLDC\nQDC\nLOGLC","page":"38-47","title":"A hyperspectral imaging based control system for quality assessment of dried figs","type":"article-journal","volume":"130"},"uris":["http://www.mendeley.com/documents/?uuid=0600cae0-bc30-4a9a-beef-ae355a8188e5"]},{"id":"ITEM-2","itemData":{"DOI":"10.1016/j.biosystemseng.2014.03.009","ISBN":"1537-5110","ISSN":"15375110","abstract":"Mango fruit are sensitive and can easily develop brown spots after suffering mechanical stress during postharvest handling, transport and marketing. The manual inspection of this fruit used today cannot detect the damage in very early stages of maturity and to date no automatic tool capable of such detection has been developed, since current systems based on machine vision only detect very visible damage. The application of hyperspectral imaging to the postharvest quality inspection of fruit is relatively recent and research is still underway to find a method of estimating internal properties or detecting invisible damage. This work describes a new system to evaluate mechanically induced damage in the pericarp of 'Manila' mangos at different stages of ripeness based on the analysis of hyperspectral images. Images of damaged and intact areas of mangos were acquired in the range 650-1100nm using a hyperspectral computer vision system and then analysed to select the most discriminating wavelengths for distinguishing and classifying the two zones. Eleven feature-selection methods were used and compared to determine the wavelengths, while another five classification methods were used to segment the resulting multispectral images and classify the skin of the mangos as sound or damaged. A 97.9% rate of correct classification of pixels was achieved on the third day after the damage had been caused using k-Nearest Neighbours and the whole spectra and the figure dropped to 91.4% when only the most discriminant bands were used. © 2014 IAgrE.","author":[{"dropping-particle":"","family":"Vélez Rivera","given":"Nayeli","non-dropping-particle":"","parse-names":false,"suffix":""},{"dropping-particle":"","family":"Gómez-Sanchis","given":"Juan","non-dropping-particle":"","parse-names":false,"suffix":""},{"dropping-particle":"","family":"Chanona-Pérez","given":"Jorge","non-dropping-particle":"","parse-names":false,"suffix":""},{"dropping-particle":"","family":"Carrasco","given":"Juan José","non-dropping-particle":"","parse-names":false,"suffix":""},{"dropping-particle":"","family":"Millán-Giraldo","given":"Mónica","non-dropping-particle":"","parse-names":false,"suffix":""},{"dropping-particle":"","family":"Lorente","given":"Delia","non-dropping-particle":"","parse-names":false,"suffix":""},{"dropping-particle":"","family":"Cubero","given":"Sergio","non-dropping-particle":"","parse-names":false,"suffix":""},{"dropping-particle":"","family":"Blasco","given":"José","non-dropping-particle":"","parse-names":false,"suffix":""}],"container-title":"Biosystems Engineering","id":"ITEM-2","issued":{"date-parts":[["2014","6"]]},"note":"From Duplicate 1 (Early detection of mechanical damage in mango using NIR hyperspectral images and machine learning - Vélez Rivera, Nayeli; Gómez-Sanchis, Juan; Chanona-Pérez, Jorge; Carrasco, Juan José; Millán-Giraldo, Mónica; Lorente, Delia; Cubero, Sergio; Blasco, José)\n\nfeature selction\nCFC, Chis, fisher score, GIA, IG, mRMR, ReliefF\nSFS, SLR, Stepwi</w:instrText>
      </w:r>
      <w:r w:rsidR="008D7CDC">
        <w:rPr>
          <w:rFonts w:hint="eastAsia"/>
        </w:rPr>
        <w:instrText xml:space="preserve">se, Student's T-test\n\nClassifier\nLDA, KNN, NBC, DT, ELM, </w:instrText>
      </w:r>
      <w:r w:rsidR="008D7CDC">
        <w:rPr>
          <w:rFonts w:hint="eastAsia"/>
        </w:rPr>
        <w:instrText>있지만</w:instrText>
      </w:r>
      <w:r w:rsidR="008D7CDC">
        <w:rPr>
          <w:rFonts w:hint="eastAsia"/>
        </w:rPr>
        <w:instrText>\n</w:instrText>
      </w:r>
      <w:r w:rsidR="008D7CDC">
        <w:rPr>
          <w:rFonts w:hint="eastAsia"/>
        </w:rPr>
        <w:instrText>여기서는</w:instrText>
      </w:r>
      <w:r w:rsidR="008D7CDC">
        <w:rPr>
          <w:rFonts w:hint="eastAsia"/>
        </w:rPr>
        <w:instrText xml:space="preserve"> k-NN,</w:instrText>
      </w:r>
      <w:r w:rsidR="008D7CDC">
        <w:rPr>
          <w:rFonts w:hint="eastAsia"/>
        </w:rPr>
        <w:instrText>사용</w:instrText>
      </w:r>
      <w:r w:rsidR="008D7CDC">
        <w:rPr>
          <w:rFonts w:hint="eastAsia"/>
        </w:rPr>
        <w:instrText>","page":"91-98","title":"Early detection of mechanical damage in mango using NIR hyperspectral images and machine learning","type":"article-journal","volume":"122"},"uris":["htt</w:instrText>
      </w:r>
      <w:r w:rsidR="008D7CDC">
        <w:instrText>p://www.mendeley.com/documents/?uuid=2c655dca-56ea-41eb-b9f7-799232e90c4b"]},{"id":"ITEM-3","itemData":{"DOI":"10.1016/j.postharvbio.2015.09.027","ISBN":"0925-5214","ISSN":"09255214","abstract":"Chilling injury, as a physiological disorder in cucumbers, occurs after the fruit has been subjected to low temperatures. It is thus desirable to detect chilling injury at early stages and/or remove chilling injured cucumbers during sorting and grading. This research was aimed to apply hyperspectral imaging technique, combined with feature selection methods and supervised classification algorithms, to detect chilling injury in cucumbers. Hyperspectral reflectance (500-675. nm) and transmittance (675-1000. nm) images for normal and chilling injured cucumbers were acquired, using an in-house developed online hyperspectral imaging system. Three feature selection methods including mutual information feature selection (MIFS), max-relevance min-redundancy (MRMR), and sequential forward selection (SFS) were used and compared for optimal wavebands selection. Supervised classifications with naïve Bayes (NB), support vector machine (SVM), and k-nearest neighbor (KNN) were then implemented for the two-class (i.e., normal and chilling) and three-class (i.e., normal, lightly chilling, and severely chilling) classifications based on the spectral and image analysis at selected two-band ratios. It was found that the majority of the optimal wavebands selected by MIFS, MRMR, and SFS for both two-class and three-class classifications were from the spectral transmittance images in the short-near infrared region. The SFS feature selection method together with the SVM classifier resulted in the best overall classification accuracy of 100%, and the overall accuracy of 90.5% for the three-class classification, based on the spectral analysis. The classification results based on the textural features (first-order statistics and second-order statistics features) extracted from the optimal two-band ratio images were comparable to those achieved using the spectral features, with the best overall accuracies of 100% and 91.6% for the two-class and the three class classifications, respectively. These results demonstrated the potential of hyperspectral imaging technique for online detection of chilling injury in cucumbers.","author":[{"dropping-particle":"","family":"Cen","given":"Haiyan","non-dropping-particle":"","parse-names":false,"suffix":""},{"dropping-particle":"","family":"Lu","given":"Renfu","non-dropping-particle":"","parse-names":false,"suffix":""},{"dropping-particle":"","family":"Zhu","given":"Qibing","non-dropping-particle":"","parse-names":false,"suffix":""},{"dropping-particle":"","family":"Mendoza","given":"Fernando","non-dropping-particle":"","parse-names":false,"suffix":""}],"container-title":"Postharvest Biology and Technology","id":"ITEM-3","issued":{"date-parts":[["2016","1"]]},"note":"From Duplicate 2 (Nondestructive detection of chilling injury in cucumber fruit using hyperspectral imaging with feature selection and supervised classification - Cen, Haiyan; Lu, Renfu; Zhu, Qibing; Mendoza, Fernando)\n\nfeature selection - SFS\n\nclassifier\nnaive bayes\nsvm\nKNN","page":"352-361","publisher":"Elsevier B.V.","title":"Nondestructive detection of chilling injury in cucumber fruit using hyperspectral imaging with feature selection and supervised classification","type":"article-journal","volume":"111"},"uris":["http://www.mendeley.com/documents/?uuid=58fca4d3-2d27-43f4-a202-087937bf90dd"]}],"mendeley":{"formattedCitation":"(Cen, Lu, Zhu, &amp; Mendoza, 2016; Ortaç, Bilgi, Taşdemir, &amp; Kalkan, 2016; Vélez Rivera et al., 2014)","plainTextFormattedCitation":"(Cen, Lu, Zhu, &amp; Mendoza, 2016; Ortaç, Bilgi, Taşdemir, &amp; Kalkan, 2016; Vélez Rivera et al., 2014)","previouslyFormattedCitation":"(Cen, Lu, Zhu, &amp; Mendoza, 2016; Ortaç, Bilgi, Taşdemir, &amp; Kalkan, 2016; Vélez Rivera et al., 2014)"},"properties":{"noteIndex":0},"schema":"https://github.com/citation-style-language/schema/raw/master/csl-citation.json"}</w:instrText>
      </w:r>
      <w:r w:rsidR="00A06DB2">
        <w:fldChar w:fldCharType="separate"/>
      </w:r>
      <w:r w:rsidR="008D7CDC" w:rsidRPr="008D7CDC">
        <w:rPr>
          <w:noProof/>
        </w:rPr>
        <w:t>(Cen, Lu, Zhu, &amp; Mendoza, 2016; Ortaç, Bilgi, Taşdemir, &amp; Kalkan, 2016; Vélez Rivera et al., 2014)</w:t>
      </w:r>
      <w:r w:rsidR="00A06DB2">
        <w:fldChar w:fldCharType="end"/>
      </w:r>
      <w:r w:rsidRPr="00377CCE">
        <w:t xml:space="preserve">. In this study, the hyperspectral imaging data has one hundred features. </w:t>
      </w:r>
      <w:r w:rsidR="00C45C65">
        <w:t xml:space="preserve">A long time would be required </w:t>
      </w:r>
      <w:r w:rsidRPr="00377CCE">
        <w:t>to conduct classification training, since SFS methods should consider all possible combinations with cross-validation method. SFS method was applied to pre-selected key wavelengths only</w:t>
      </w:r>
      <w:r w:rsidR="00C45C65">
        <w:t>,</w:t>
      </w:r>
      <w:r w:rsidRPr="00377CCE">
        <w:t xml:space="preserve"> </w:t>
      </w:r>
      <w:proofErr w:type="gramStart"/>
      <w:r w:rsidRPr="00377CCE">
        <w:t>in order to</w:t>
      </w:r>
      <w:proofErr w:type="gramEnd"/>
      <w:r w:rsidRPr="00377CCE">
        <w:t xml:space="preserve"> reduce the workload and complexity.</w:t>
      </w:r>
    </w:p>
    <w:p w14:paraId="581767EA" w14:textId="301D55C8" w:rsidR="008B2E36" w:rsidRDefault="00143046" w:rsidP="008B2E36">
      <w:pPr>
        <w:pStyle w:val="Caption"/>
        <w:keepNext/>
      </w:pPr>
      <w:r>
        <w:rPr>
          <w:noProof/>
        </w:rPr>
        <w:drawing>
          <wp:inline distT="0" distB="0" distL="0" distR="0" wp14:anchorId="0AC012F2" wp14:editId="11B38C62">
            <wp:extent cx="5932805" cy="4529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805" cy="4529455"/>
                    </a:xfrm>
                    <a:prstGeom prst="rect">
                      <a:avLst/>
                    </a:prstGeom>
                    <a:noFill/>
                    <a:ln>
                      <a:noFill/>
                    </a:ln>
                  </pic:spPr>
                </pic:pic>
              </a:graphicData>
            </a:graphic>
          </wp:inline>
        </w:drawing>
      </w:r>
    </w:p>
    <w:p w14:paraId="04DF5548" w14:textId="0184C4B5" w:rsidR="00F4728A" w:rsidRDefault="008B2E36" w:rsidP="00222A13">
      <w:pPr>
        <w:pStyle w:val="Caption"/>
      </w:pPr>
      <w:r>
        <w:t xml:space="preserve">Supplementary figure </w:t>
      </w:r>
      <w:r w:rsidR="00830059">
        <w:fldChar w:fldCharType="begin"/>
      </w:r>
      <w:r w:rsidR="00830059">
        <w:instrText xml:space="preserve"> SEQ Supplementary_figure \* ARABIC </w:instrText>
      </w:r>
      <w:r w:rsidR="00830059">
        <w:fldChar w:fldCharType="separate"/>
      </w:r>
      <w:r w:rsidR="00222A13">
        <w:rPr>
          <w:noProof/>
        </w:rPr>
        <w:t>1</w:t>
      </w:r>
      <w:r w:rsidR="00830059">
        <w:rPr>
          <w:noProof/>
        </w:rPr>
        <w:fldChar w:fldCharType="end"/>
      </w:r>
      <w:r>
        <w:t>.</w:t>
      </w:r>
      <w:bookmarkStart w:id="0" w:name="_Toc15316669"/>
      <w:r>
        <w:rPr>
          <w:rFonts w:eastAsia="TimesNewRomanPSMT"/>
          <w:color w:val="000000"/>
          <w:szCs w:val="24"/>
        </w:rPr>
        <w:t xml:space="preserve"> </w:t>
      </w:r>
      <w:bookmarkStart w:id="1" w:name="_Toc10396913"/>
      <w:r w:rsidR="00F4728A" w:rsidRPr="00827751">
        <w:t xml:space="preserve">First </w:t>
      </w:r>
      <w:r w:rsidR="00F4728A" w:rsidRPr="00222A13">
        <w:t>through</w:t>
      </w:r>
      <w:r w:rsidR="00F4728A" w:rsidRPr="00827751">
        <w:t xml:space="preserve"> fourth PC images gained by using the entire spectral range from 400 to 1000 nm of the hyperspectral image data. The displayed PC images are for </w:t>
      </w:r>
      <w:r w:rsidR="00C45C65">
        <w:t>one sound (unbruised) apple and three apples subjected to low-, medium-, or high-impact bruising</w:t>
      </w:r>
      <w:r w:rsidR="00F4728A" w:rsidRPr="00827751">
        <w:t>.</w:t>
      </w:r>
      <w:bookmarkEnd w:id="0"/>
      <w:bookmarkEnd w:id="1"/>
    </w:p>
    <w:p w14:paraId="7F43C0E9" w14:textId="654CA1C7" w:rsidR="0082533A" w:rsidRDefault="0082533A" w:rsidP="0082533A"/>
    <w:p w14:paraId="5B9A3C88" w14:textId="77777777" w:rsidR="00F418DA" w:rsidRDefault="0082533A" w:rsidP="00F418DA">
      <w:pPr>
        <w:pStyle w:val="Caption"/>
        <w:keepNext/>
      </w:pPr>
      <w:r w:rsidRPr="007D4B9F">
        <w:rPr>
          <w:noProof/>
        </w:rPr>
        <w:drawing>
          <wp:inline distT="0" distB="0" distL="0" distR="0" wp14:anchorId="117ED6F7" wp14:editId="4A097727">
            <wp:extent cx="5476875" cy="3114675"/>
            <wp:effectExtent l="0" t="0" r="9525" b="9525"/>
            <wp:docPr id="31" name="Picture 31"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3114675"/>
                    </a:xfrm>
                    <a:prstGeom prst="rect">
                      <a:avLst/>
                    </a:prstGeom>
                    <a:noFill/>
                    <a:ln>
                      <a:noFill/>
                    </a:ln>
                  </pic:spPr>
                </pic:pic>
              </a:graphicData>
            </a:graphic>
          </wp:inline>
        </w:drawing>
      </w:r>
    </w:p>
    <w:p w14:paraId="52F80FB1" w14:textId="2597B284" w:rsidR="0082533A" w:rsidRDefault="00F418DA" w:rsidP="00222A13">
      <w:pPr>
        <w:pStyle w:val="Caption"/>
      </w:pPr>
      <w:r>
        <w:t xml:space="preserve">Supplementary figure </w:t>
      </w:r>
      <w:r w:rsidR="00830059">
        <w:fldChar w:fldCharType="begin"/>
      </w:r>
      <w:r w:rsidR="00830059">
        <w:instrText xml:space="preserve"> SEQ Supplementary_figure \* ARABIC </w:instrText>
      </w:r>
      <w:r w:rsidR="00830059">
        <w:fldChar w:fldCharType="separate"/>
      </w:r>
      <w:r w:rsidR="00222A13">
        <w:rPr>
          <w:noProof/>
        </w:rPr>
        <w:t>2</w:t>
      </w:r>
      <w:r w:rsidR="00830059">
        <w:rPr>
          <w:noProof/>
        </w:rPr>
        <w:fldChar w:fldCharType="end"/>
      </w:r>
      <w:bookmarkStart w:id="2" w:name="_Toc15316668"/>
      <w:r w:rsidR="00BE54AD">
        <w:t>.</w:t>
      </w:r>
      <w:r w:rsidR="0082533A">
        <w:t xml:space="preserve"> </w:t>
      </w:r>
      <w:bookmarkStart w:id="3" w:name="_Toc10396912"/>
      <w:r w:rsidR="0082533A">
        <w:t xml:space="preserve">Column chart showing the share of each component in explaining the data variance (left y-axis), </w:t>
      </w:r>
      <w:r w:rsidR="0082533A" w:rsidRPr="00222A13">
        <w:t>and</w:t>
      </w:r>
      <w:r w:rsidR="0082533A">
        <w:t xml:space="preserve"> line plot indicating the portion of the total variance (right y-axis) that is explained by </w:t>
      </w:r>
      <w:r w:rsidR="0082533A">
        <w:rPr>
          <w:i/>
        </w:rPr>
        <w:t>n</w:t>
      </w:r>
      <w:r w:rsidR="0082533A">
        <w:t xml:space="preserve"> PCs.</w:t>
      </w:r>
      <w:bookmarkEnd w:id="2"/>
    </w:p>
    <w:bookmarkEnd w:id="3"/>
    <w:p w14:paraId="47E7484D" w14:textId="3311F333" w:rsidR="0082533A" w:rsidRDefault="0082533A" w:rsidP="0082533A"/>
    <w:p w14:paraId="52ABC417" w14:textId="228E9B05" w:rsidR="007B7C02" w:rsidRDefault="007B7C02">
      <w:pPr>
        <w:widowControl/>
        <w:autoSpaceDE/>
        <w:autoSpaceDN/>
        <w:adjustRightInd/>
        <w:spacing w:after="160" w:line="259" w:lineRule="auto"/>
      </w:pPr>
      <w:r>
        <w:br w:type="page"/>
      </w:r>
    </w:p>
    <w:p w14:paraId="3ED079EB" w14:textId="17C7C7B0" w:rsidR="00F418DA" w:rsidRDefault="00F418DA" w:rsidP="00222A13">
      <w:pPr>
        <w:pStyle w:val="Caption"/>
      </w:pPr>
      <w:r>
        <w:t xml:space="preserve">Supplementary table </w:t>
      </w:r>
      <w:r w:rsidR="00830059">
        <w:fldChar w:fldCharType="begin"/>
      </w:r>
      <w:r w:rsidR="00830059">
        <w:instrText xml:space="preserve"> SEQ Supplementary_table \* ARABIC </w:instrText>
      </w:r>
      <w:r w:rsidR="00830059">
        <w:fldChar w:fldCharType="separate"/>
      </w:r>
      <w:r>
        <w:rPr>
          <w:noProof/>
        </w:rPr>
        <w:t>1</w:t>
      </w:r>
      <w:r w:rsidR="00830059">
        <w:rPr>
          <w:noProof/>
        </w:rPr>
        <w:fldChar w:fldCharType="end"/>
      </w:r>
      <w:r>
        <w:t xml:space="preserve">. </w:t>
      </w:r>
      <w:r w:rsidRPr="00222A13">
        <w:t>Dominant</w:t>
      </w:r>
      <w:r>
        <w:t xml:space="preserve"> </w:t>
      </w:r>
      <w:r w:rsidRPr="008872F2">
        <w:t>wavelengths</w:t>
      </w:r>
      <w:r>
        <w:t xml:space="preserve"> for each of the first four PCs as determined by the valleys and peaks in the weighting </w:t>
      </w:r>
      <w:r w:rsidRPr="00222A13">
        <w:t>coefficients</w:t>
      </w:r>
      <w: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01"/>
        <w:gridCol w:w="7339"/>
      </w:tblGrid>
      <w:tr w:rsidR="007B7C02" w14:paraId="146B02CE" w14:textId="77777777" w:rsidTr="00D02684">
        <w:tc>
          <w:tcPr>
            <w:tcW w:w="1301" w:type="dxa"/>
            <w:vAlign w:val="center"/>
          </w:tcPr>
          <w:p w14:paraId="750AF52A"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p>
        </w:tc>
        <w:tc>
          <w:tcPr>
            <w:tcW w:w="7339" w:type="dxa"/>
            <w:vAlign w:val="center"/>
          </w:tcPr>
          <w:p w14:paraId="406C439F"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sidRPr="00C94F42">
              <w:rPr>
                <w:rFonts w:ascii="Times New Roman" w:eastAsia="Times New Roman" w:hAnsi="Times New Roman"/>
                <w:bCs/>
                <w:color w:val="000000"/>
                <w:lang w:eastAsia="id-ID"/>
              </w:rPr>
              <w:t>Dominant wavelengths</w:t>
            </w:r>
            <w:r>
              <w:rPr>
                <w:rFonts w:ascii="Times New Roman" w:eastAsia="Times New Roman" w:hAnsi="Times New Roman"/>
                <w:bCs/>
                <w:color w:val="000000"/>
                <w:lang w:eastAsia="id-ID"/>
              </w:rPr>
              <w:t xml:space="preserve"> (nm)</w:t>
            </w:r>
          </w:p>
        </w:tc>
      </w:tr>
      <w:tr w:rsidR="007B7C02" w14:paraId="0BA31DBF" w14:textId="77777777" w:rsidTr="00D02684">
        <w:tc>
          <w:tcPr>
            <w:tcW w:w="1301" w:type="dxa"/>
            <w:vAlign w:val="center"/>
          </w:tcPr>
          <w:p w14:paraId="68575CB8"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sidRPr="00C94F42">
              <w:rPr>
                <w:rFonts w:ascii="Times New Roman" w:eastAsia="Times New Roman" w:hAnsi="Times New Roman"/>
                <w:bCs/>
                <w:color w:val="000000"/>
                <w:lang w:eastAsia="id-ID"/>
              </w:rPr>
              <w:t>PC1</w:t>
            </w:r>
          </w:p>
        </w:tc>
        <w:tc>
          <w:tcPr>
            <w:tcW w:w="7339" w:type="dxa"/>
            <w:vAlign w:val="center"/>
          </w:tcPr>
          <w:p w14:paraId="7A8CEE69"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sidRPr="00C94F42">
              <w:rPr>
                <w:rFonts w:ascii="Times New Roman" w:eastAsia="Times New Roman" w:hAnsi="Times New Roman"/>
                <w:bCs/>
                <w:color w:val="000000"/>
                <w:lang w:eastAsia="id-ID"/>
              </w:rPr>
              <w:t>486.8</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611.3</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625.7</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678.4</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735.9</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750.2</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774.2</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802.9</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841.2</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855.6</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980.1</w:t>
            </w:r>
          </w:p>
        </w:tc>
      </w:tr>
      <w:tr w:rsidR="007B7C02" w14:paraId="30139794" w14:textId="77777777" w:rsidTr="00D02684">
        <w:tc>
          <w:tcPr>
            <w:tcW w:w="1301" w:type="dxa"/>
            <w:vAlign w:val="center"/>
          </w:tcPr>
          <w:p w14:paraId="0BB8D592"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sidRPr="00C94F42">
              <w:rPr>
                <w:rFonts w:ascii="Times New Roman" w:eastAsia="Times New Roman" w:hAnsi="Times New Roman"/>
                <w:bCs/>
                <w:color w:val="000000"/>
                <w:lang w:eastAsia="id-ID"/>
              </w:rPr>
              <w:t>PC2</w:t>
            </w:r>
          </w:p>
        </w:tc>
        <w:tc>
          <w:tcPr>
            <w:tcW w:w="7339" w:type="dxa"/>
            <w:vAlign w:val="center"/>
          </w:tcPr>
          <w:p w14:paraId="4CE609D2"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Pr>
                <w:rFonts w:ascii="Times New Roman" w:eastAsia="Times New Roman" w:hAnsi="Times New Roman"/>
                <w:bCs/>
                <w:color w:val="000000"/>
                <w:lang w:eastAsia="id-ID"/>
              </w:rPr>
              <w:t>472.4, 486.8, 606.5, 620.9, 635.3, 649.6, 678.4, 692.8, 755.0, 774.2, 812.5, 841.2, 874.8</w:t>
            </w:r>
          </w:p>
        </w:tc>
      </w:tr>
      <w:tr w:rsidR="007B7C02" w14:paraId="449DD889" w14:textId="77777777" w:rsidTr="00D02684">
        <w:tc>
          <w:tcPr>
            <w:tcW w:w="1301" w:type="dxa"/>
            <w:vAlign w:val="center"/>
          </w:tcPr>
          <w:p w14:paraId="7AAADDE2"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sidRPr="00C94F42">
              <w:rPr>
                <w:rFonts w:ascii="Times New Roman" w:eastAsia="Times New Roman" w:hAnsi="Times New Roman"/>
                <w:bCs/>
                <w:color w:val="000000"/>
                <w:lang w:eastAsia="id-ID"/>
              </w:rPr>
              <w:t>PC3</w:t>
            </w:r>
          </w:p>
        </w:tc>
        <w:tc>
          <w:tcPr>
            <w:tcW w:w="7339" w:type="dxa"/>
            <w:vAlign w:val="center"/>
          </w:tcPr>
          <w:p w14:paraId="080F0E22"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Pr>
                <w:rFonts w:ascii="Times New Roman" w:eastAsia="Times New Roman" w:hAnsi="Times New Roman"/>
                <w:bCs/>
                <w:color w:val="000000"/>
                <w:lang w:eastAsia="id-ID"/>
              </w:rPr>
              <w:t>424.5, 438.9, 462.8, 477.2, 553.9, 668.8, 683.2, 735.9, 755.0, 774.2, 812.5, 841.2, 893.9, 961.0, 989.7</w:t>
            </w:r>
          </w:p>
        </w:tc>
      </w:tr>
      <w:tr w:rsidR="007B7C02" w14:paraId="7E756BAB" w14:textId="77777777" w:rsidTr="00D02684">
        <w:tc>
          <w:tcPr>
            <w:tcW w:w="1301" w:type="dxa"/>
            <w:vAlign w:val="center"/>
          </w:tcPr>
          <w:p w14:paraId="7688E3B9"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sidRPr="00C94F42">
              <w:rPr>
                <w:rFonts w:ascii="Times New Roman" w:eastAsia="Times New Roman" w:hAnsi="Times New Roman"/>
                <w:bCs/>
                <w:color w:val="000000"/>
                <w:lang w:eastAsia="id-ID"/>
              </w:rPr>
              <w:t>PC4</w:t>
            </w:r>
          </w:p>
        </w:tc>
        <w:tc>
          <w:tcPr>
            <w:tcW w:w="7339" w:type="dxa"/>
            <w:vAlign w:val="center"/>
          </w:tcPr>
          <w:p w14:paraId="7C9515E2"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Pr>
                <w:rFonts w:ascii="Times New Roman" w:eastAsia="Times New Roman" w:hAnsi="Times New Roman"/>
                <w:bCs/>
                <w:color w:val="000000"/>
                <w:lang w:eastAsia="id-ID"/>
              </w:rPr>
              <w:t>491.6, 606.5, 625.7, 635.3, 678.4, 711.9, 980.1</w:t>
            </w:r>
          </w:p>
        </w:tc>
      </w:tr>
      <w:tr w:rsidR="007B7C02" w14:paraId="2E32CEAB" w14:textId="77777777" w:rsidTr="00D02684">
        <w:tc>
          <w:tcPr>
            <w:tcW w:w="1301" w:type="dxa"/>
            <w:vAlign w:val="center"/>
          </w:tcPr>
          <w:p w14:paraId="79B086F7" w14:textId="77777777" w:rsidR="007B7C02" w:rsidRDefault="007B7C02" w:rsidP="00D02684">
            <w:pPr>
              <w:ind w:firstLine="85"/>
              <w:contextualSpacing/>
              <w:jc w:val="center"/>
              <w:rPr>
                <w:rFonts w:ascii="Times New Roman" w:eastAsia="Times New Roman" w:hAnsi="Times New Roman"/>
                <w:bCs/>
                <w:color w:val="000000"/>
                <w:lang w:eastAsia="id-ID"/>
              </w:rPr>
            </w:pPr>
            <w:r w:rsidRPr="00C94F42">
              <w:rPr>
                <w:rFonts w:ascii="Times New Roman" w:eastAsia="Times New Roman" w:hAnsi="Times New Roman"/>
                <w:bCs/>
                <w:color w:val="000000"/>
                <w:lang w:eastAsia="id-ID"/>
              </w:rPr>
              <w:t>Pre-selected</w:t>
            </w:r>
          </w:p>
          <w:p w14:paraId="043697B6" w14:textId="77777777" w:rsidR="007B7C02" w:rsidRPr="00C94F42" w:rsidRDefault="007B7C02" w:rsidP="00D02684">
            <w:pPr>
              <w:ind w:firstLine="85"/>
              <w:contextualSpacing/>
              <w:jc w:val="center"/>
              <w:rPr>
                <w:rFonts w:ascii="Times New Roman" w:eastAsia="Times New Roman" w:hAnsi="Times New Roman"/>
                <w:bCs/>
                <w:color w:val="000000"/>
                <w:lang w:eastAsia="id-ID"/>
              </w:rPr>
            </w:pPr>
            <w:r w:rsidRPr="00C94F42">
              <w:rPr>
                <w:rFonts w:ascii="Times New Roman" w:eastAsia="Times New Roman" w:hAnsi="Times New Roman"/>
                <w:bCs/>
                <w:color w:val="000000"/>
                <w:lang w:eastAsia="id-ID"/>
              </w:rPr>
              <w:t>wavelengths</w:t>
            </w:r>
          </w:p>
        </w:tc>
        <w:tc>
          <w:tcPr>
            <w:tcW w:w="7339" w:type="dxa"/>
            <w:vAlign w:val="center"/>
          </w:tcPr>
          <w:p w14:paraId="3D66DCD6" w14:textId="77777777" w:rsidR="007B7C02" w:rsidRPr="00C94F42" w:rsidRDefault="007B7C02" w:rsidP="00D02684">
            <w:pPr>
              <w:keepNext/>
              <w:ind w:firstLine="85"/>
              <w:contextualSpacing/>
              <w:jc w:val="center"/>
              <w:rPr>
                <w:rFonts w:ascii="Times New Roman" w:eastAsia="Times New Roman" w:hAnsi="Times New Roman"/>
                <w:bCs/>
                <w:color w:val="000000"/>
                <w:lang w:eastAsia="id-ID"/>
              </w:rPr>
            </w:pPr>
            <w:r w:rsidRPr="00C94F42">
              <w:rPr>
                <w:rFonts w:ascii="Times New Roman" w:eastAsia="Times New Roman" w:hAnsi="Times New Roman"/>
                <w:bCs/>
                <w:color w:val="000000"/>
                <w:lang w:eastAsia="id-ID"/>
              </w:rPr>
              <w:t>424.5</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438.9</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462.8</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472.4</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477.2</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486.8</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491.6</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553.9</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606.5</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611.3</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620.9</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625.7</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635.3</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649.6</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668.8</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678.4</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683.2</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692.8</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711.9</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735.9</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750.2</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755</w:t>
            </w:r>
            <w:r>
              <w:rPr>
                <w:rFonts w:ascii="Times New Roman" w:eastAsia="Times New Roman" w:hAnsi="Times New Roman"/>
                <w:bCs/>
                <w:color w:val="000000"/>
                <w:lang w:eastAsia="id-ID"/>
              </w:rPr>
              <w:t xml:space="preserve">.0, </w:t>
            </w:r>
            <w:r w:rsidRPr="00C94F42">
              <w:rPr>
                <w:rFonts w:ascii="Times New Roman" w:eastAsia="Times New Roman" w:hAnsi="Times New Roman"/>
                <w:bCs/>
                <w:color w:val="000000"/>
                <w:lang w:eastAsia="id-ID"/>
              </w:rPr>
              <w:t>774.2</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802.9</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812.5</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841.2</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855.6</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874.8</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893.9</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961</w:t>
            </w:r>
            <w:r>
              <w:rPr>
                <w:rFonts w:ascii="Times New Roman" w:eastAsia="Times New Roman" w:hAnsi="Times New Roman"/>
                <w:bCs/>
                <w:color w:val="000000"/>
                <w:lang w:eastAsia="id-ID"/>
              </w:rPr>
              <w:t xml:space="preserve">.0, </w:t>
            </w:r>
            <w:r w:rsidRPr="00C94F42">
              <w:rPr>
                <w:rFonts w:ascii="Times New Roman" w:eastAsia="Times New Roman" w:hAnsi="Times New Roman"/>
                <w:bCs/>
                <w:color w:val="000000"/>
                <w:lang w:eastAsia="id-ID"/>
              </w:rPr>
              <w:t>980.1</w:t>
            </w:r>
            <w:r>
              <w:rPr>
                <w:rFonts w:ascii="Times New Roman" w:eastAsia="Times New Roman" w:hAnsi="Times New Roman"/>
                <w:bCs/>
                <w:color w:val="000000"/>
                <w:lang w:eastAsia="id-ID"/>
              </w:rPr>
              <w:t xml:space="preserve">, </w:t>
            </w:r>
            <w:r w:rsidRPr="00C94F42">
              <w:rPr>
                <w:rFonts w:ascii="Times New Roman" w:eastAsia="Times New Roman" w:hAnsi="Times New Roman"/>
                <w:bCs/>
                <w:color w:val="000000"/>
                <w:lang w:eastAsia="id-ID"/>
              </w:rPr>
              <w:t>989.7</w:t>
            </w:r>
          </w:p>
        </w:tc>
      </w:tr>
    </w:tbl>
    <w:p w14:paraId="53DDE189" w14:textId="77777777" w:rsidR="007B7C02" w:rsidRPr="0082533A" w:rsidRDefault="007B7C02" w:rsidP="0082533A"/>
    <w:p w14:paraId="3AC463F8" w14:textId="503C3E08" w:rsidR="0082533A" w:rsidRDefault="0082533A" w:rsidP="0082533A"/>
    <w:p w14:paraId="322494FF" w14:textId="4074B72E" w:rsidR="00CB576E" w:rsidRDefault="00CB576E" w:rsidP="0082533A"/>
    <w:p w14:paraId="458FC66A" w14:textId="77777777" w:rsidR="00222A13" w:rsidRDefault="00CB576E" w:rsidP="00222A13">
      <w:pPr>
        <w:pStyle w:val="Caption"/>
        <w:keepNext/>
        <w:jc w:val="center"/>
      </w:pPr>
      <w:r>
        <w:rPr>
          <w:noProof/>
        </w:rPr>
        <w:drawing>
          <wp:inline distT="0" distB="0" distL="0" distR="0" wp14:anchorId="38AAC8C0" wp14:editId="0AE433BD">
            <wp:extent cx="4572000" cy="3474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4599" t="6194" r="5560" b="5174"/>
                    <a:stretch>
                      <a:fillRect/>
                    </a:stretch>
                  </pic:blipFill>
                  <pic:spPr bwMode="auto">
                    <a:xfrm>
                      <a:off x="0" y="0"/>
                      <a:ext cx="4572000" cy="3474720"/>
                    </a:xfrm>
                    <a:prstGeom prst="rect">
                      <a:avLst/>
                    </a:prstGeom>
                    <a:noFill/>
                    <a:ln>
                      <a:noFill/>
                    </a:ln>
                  </pic:spPr>
                </pic:pic>
              </a:graphicData>
            </a:graphic>
          </wp:inline>
        </w:drawing>
      </w:r>
    </w:p>
    <w:p w14:paraId="07A526AC" w14:textId="4D167B3A" w:rsidR="00CB576E" w:rsidRDefault="00222A13" w:rsidP="00222A13">
      <w:pPr>
        <w:pStyle w:val="Caption"/>
        <w:rPr>
          <w:bCs/>
        </w:rPr>
      </w:pPr>
      <w:r>
        <w:t xml:space="preserve">Supplementary figure </w:t>
      </w:r>
      <w:r w:rsidR="00830059">
        <w:fldChar w:fldCharType="begin"/>
      </w:r>
      <w:r w:rsidR="00830059">
        <w:instrText xml:space="preserve"> SEQ Supplementary_figure \* ARABIC </w:instrText>
      </w:r>
      <w:r w:rsidR="00830059">
        <w:fldChar w:fldCharType="separate"/>
      </w:r>
      <w:r>
        <w:rPr>
          <w:noProof/>
        </w:rPr>
        <w:t>3</w:t>
      </w:r>
      <w:r w:rsidR="00830059">
        <w:rPr>
          <w:noProof/>
        </w:rPr>
        <w:fldChar w:fldCharType="end"/>
      </w:r>
      <w:r>
        <w:t>.</w:t>
      </w:r>
      <w:bookmarkStart w:id="4" w:name="_Toc15316683"/>
      <w:r w:rsidR="00CB576E">
        <w:t xml:space="preserve"> Classification resultant images for QDA with combination #9.</w:t>
      </w:r>
      <w:bookmarkEnd w:id="4"/>
      <w:r w:rsidR="00CB576E">
        <w:t xml:space="preserve"> </w:t>
      </w:r>
      <w:r w:rsidR="00CB576E">
        <w:br w:type="page"/>
      </w:r>
    </w:p>
    <w:p w14:paraId="104412F9" w14:textId="4F697733" w:rsidR="00222A13" w:rsidRDefault="00247EC6" w:rsidP="00222A13">
      <w:pPr>
        <w:pStyle w:val="Caption"/>
        <w:keepNext/>
        <w:jc w:val="center"/>
      </w:pPr>
      <w:r>
        <w:rPr>
          <w:noProof/>
        </w:rPr>
        <w:drawing>
          <wp:inline distT="0" distB="0" distL="0" distR="0" wp14:anchorId="207BAB89" wp14:editId="5AE67104">
            <wp:extent cx="4663440" cy="3474720"/>
            <wp:effectExtent l="0" t="0" r="381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3440" cy="3474720"/>
                    </a:xfrm>
                    <a:prstGeom prst="rect">
                      <a:avLst/>
                    </a:prstGeom>
                    <a:noFill/>
                    <a:ln>
                      <a:noFill/>
                    </a:ln>
                  </pic:spPr>
                </pic:pic>
              </a:graphicData>
            </a:graphic>
          </wp:inline>
        </w:drawing>
      </w:r>
    </w:p>
    <w:p w14:paraId="750003DD" w14:textId="4743E0E9" w:rsidR="00CB576E" w:rsidRDefault="00222A13" w:rsidP="00222A13">
      <w:pPr>
        <w:pStyle w:val="Caption"/>
      </w:pPr>
      <w:r w:rsidRPr="00222A13">
        <w:t>Supplementary</w:t>
      </w:r>
      <w:r>
        <w:t xml:space="preserve"> figure </w:t>
      </w:r>
      <w:r w:rsidR="00830059">
        <w:fldChar w:fldCharType="begin"/>
      </w:r>
      <w:r w:rsidR="00830059">
        <w:instrText xml:space="preserve"> SEQ Supplementary_figure \* ARABIC </w:instrText>
      </w:r>
      <w:r w:rsidR="00830059">
        <w:fldChar w:fldCharType="separate"/>
      </w:r>
      <w:r>
        <w:rPr>
          <w:noProof/>
        </w:rPr>
        <w:t>4</w:t>
      </w:r>
      <w:r w:rsidR="00830059">
        <w:rPr>
          <w:noProof/>
        </w:rPr>
        <w:fldChar w:fldCharType="end"/>
      </w:r>
      <w:bookmarkStart w:id="5" w:name="_Toc15316684"/>
      <w:r w:rsidR="00CB576E">
        <w:t xml:space="preserve">.  Classification </w:t>
      </w:r>
      <w:r w:rsidR="00CB576E" w:rsidRPr="00885826">
        <w:t>resultant</w:t>
      </w:r>
      <w:r w:rsidR="00CB576E">
        <w:t xml:space="preserve"> images for SVM with combination #12.</w:t>
      </w:r>
      <w:bookmarkEnd w:id="5"/>
    </w:p>
    <w:p w14:paraId="1CA13B56" w14:textId="77777777" w:rsidR="00CB576E" w:rsidRPr="000C7E02" w:rsidRDefault="00CB576E" w:rsidP="00CB576E"/>
    <w:p w14:paraId="1EF68D1A" w14:textId="77777777" w:rsidR="00222A13" w:rsidRDefault="00CB576E" w:rsidP="00222A13">
      <w:pPr>
        <w:pStyle w:val="Caption"/>
        <w:keepNext/>
        <w:jc w:val="center"/>
      </w:pPr>
      <w:r>
        <w:rPr>
          <w:noProof/>
        </w:rPr>
        <w:drawing>
          <wp:inline distT="0" distB="0" distL="0" distR="0" wp14:anchorId="100693D2" wp14:editId="67619130">
            <wp:extent cx="4663440" cy="34747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4518" t="6075" r="3827" b="5063"/>
                    <a:stretch>
                      <a:fillRect/>
                    </a:stretch>
                  </pic:blipFill>
                  <pic:spPr bwMode="auto">
                    <a:xfrm>
                      <a:off x="0" y="0"/>
                      <a:ext cx="4663440" cy="3474720"/>
                    </a:xfrm>
                    <a:prstGeom prst="rect">
                      <a:avLst/>
                    </a:prstGeom>
                    <a:noFill/>
                    <a:ln>
                      <a:noFill/>
                    </a:ln>
                  </pic:spPr>
                </pic:pic>
              </a:graphicData>
            </a:graphic>
          </wp:inline>
        </w:drawing>
      </w:r>
    </w:p>
    <w:p w14:paraId="06D75DBD" w14:textId="1A0206B0" w:rsidR="00BB7FD2" w:rsidRDefault="00222A13" w:rsidP="00821258">
      <w:pPr>
        <w:pStyle w:val="Caption"/>
      </w:pPr>
      <w:r>
        <w:t xml:space="preserve">Supplementary figure </w:t>
      </w:r>
      <w:r w:rsidR="00830059">
        <w:fldChar w:fldCharType="begin"/>
      </w:r>
      <w:r w:rsidR="00830059">
        <w:instrText xml:space="preserve"> SEQ Supplementary_figure \* ARABIC </w:instrText>
      </w:r>
      <w:r w:rsidR="00830059">
        <w:fldChar w:fldCharType="separate"/>
      </w:r>
      <w:r>
        <w:rPr>
          <w:noProof/>
        </w:rPr>
        <w:t>5</w:t>
      </w:r>
      <w:r w:rsidR="00830059">
        <w:rPr>
          <w:noProof/>
        </w:rPr>
        <w:fldChar w:fldCharType="end"/>
      </w:r>
      <w:bookmarkStart w:id="6" w:name="_Toc15316685"/>
      <w:r>
        <w:t>.</w:t>
      </w:r>
      <w:r w:rsidR="00CB576E">
        <w:t xml:space="preserve"> </w:t>
      </w:r>
      <w:r w:rsidR="00CB576E">
        <w:rPr>
          <w:rFonts w:asciiTheme="minorHAnsi" w:eastAsia="Batang" w:hAnsiTheme="minorHAnsi" w:cstheme="minorBidi"/>
          <w:iCs w:val="0"/>
          <w:sz w:val="20"/>
        </w:rPr>
        <w:t xml:space="preserve"> </w:t>
      </w:r>
      <w:r w:rsidR="00CB576E">
        <w:t>Classification resultant images for SVM-RBF with combination #6.</w:t>
      </w:r>
      <w:bookmarkEnd w:id="6"/>
    </w:p>
    <w:p w14:paraId="1B07CF46" w14:textId="77777777" w:rsidR="008D7CDC" w:rsidRDefault="008D7CDC" w:rsidP="008D7CDC">
      <w:pPr>
        <w:tabs>
          <w:tab w:val="left" w:pos="360"/>
          <w:tab w:val="left" w:pos="720"/>
          <w:tab w:val="left" w:pos="1080"/>
          <w:tab w:val="left" w:pos="1440"/>
          <w:tab w:val="left" w:pos="1800"/>
          <w:tab w:val="left" w:pos="2160"/>
          <w:tab w:val="left" w:pos="2880"/>
          <w:tab w:val="left" w:pos="3600"/>
          <w:tab w:val="left" w:pos="4320"/>
        </w:tabs>
        <w:spacing w:line="360" w:lineRule="auto"/>
        <w:jc w:val="both"/>
        <w:rPr>
          <w:rFonts w:ascii="Times New Roman" w:eastAsia="TimesNewRomanPSMT" w:hAnsi="Times New Roman" w:cs="Times New Roman"/>
          <w:b/>
          <w:bCs/>
          <w:color w:val="000000"/>
          <w:sz w:val="24"/>
          <w:szCs w:val="24"/>
        </w:rPr>
      </w:pPr>
      <w:r w:rsidRPr="008D7CDC">
        <w:rPr>
          <w:rFonts w:ascii="Times New Roman" w:eastAsia="TimesNewRomanPSMT" w:hAnsi="Times New Roman" w:cs="Times New Roman"/>
          <w:b/>
          <w:bCs/>
          <w:color w:val="000000"/>
          <w:sz w:val="24"/>
          <w:szCs w:val="24"/>
        </w:rPr>
        <w:t>Reference</w:t>
      </w:r>
      <w:r>
        <w:rPr>
          <w:rFonts w:ascii="Times New Roman" w:eastAsia="TimesNewRomanPSMT" w:hAnsi="Times New Roman" w:cs="Times New Roman"/>
          <w:b/>
          <w:bCs/>
          <w:color w:val="000000"/>
          <w:sz w:val="24"/>
          <w:szCs w:val="24"/>
        </w:rPr>
        <w:t>s</w:t>
      </w:r>
    </w:p>
    <w:p w14:paraId="1599130E" w14:textId="3392B8CE" w:rsidR="00454D0D" w:rsidRPr="00454D0D" w:rsidRDefault="008D7CDC" w:rsidP="00454D0D">
      <w:pPr>
        <w:spacing w:line="360" w:lineRule="auto"/>
        <w:ind w:left="480" w:hanging="480"/>
        <w:rPr>
          <w:rFonts w:ascii="Times New Roman" w:hAnsi="Times New Roman" w:cs="Times New Roman"/>
          <w:noProof/>
          <w:szCs w:val="24"/>
        </w:rPr>
      </w:pPr>
      <w:r w:rsidRPr="008D7CDC">
        <w:rPr>
          <w:rFonts w:ascii="Times New Roman" w:eastAsia="TimesNewRomanPSMT" w:hAnsi="Times New Roman" w:cs="Times New Roman"/>
          <w:b/>
          <w:bCs/>
          <w:color w:val="000000"/>
        </w:rPr>
        <w:t xml:space="preserve"> </w:t>
      </w:r>
      <w:r w:rsidRPr="008D7CDC">
        <w:rPr>
          <w:rFonts w:ascii="Times New Roman" w:eastAsia="TimesNewRomanPSMT" w:hAnsi="Times New Roman" w:cs="Times New Roman"/>
          <w:b/>
          <w:bCs/>
          <w:color w:val="000000"/>
        </w:rPr>
        <w:fldChar w:fldCharType="begin" w:fldLock="1"/>
      </w:r>
      <w:r w:rsidRPr="008D7CDC">
        <w:rPr>
          <w:rFonts w:ascii="Times New Roman" w:eastAsia="TimesNewRomanPSMT" w:hAnsi="Times New Roman" w:cs="Times New Roman"/>
          <w:b/>
          <w:bCs/>
          <w:color w:val="000000"/>
        </w:rPr>
        <w:instrText xml:space="preserve">ADDIN Mendeley Bibliography CSL_BIBLIOGRAPHY </w:instrText>
      </w:r>
      <w:r w:rsidRPr="008D7CDC">
        <w:rPr>
          <w:rFonts w:ascii="Times New Roman" w:eastAsia="TimesNewRomanPSMT" w:hAnsi="Times New Roman" w:cs="Times New Roman"/>
          <w:b/>
          <w:bCs/>
          <w:color w:val="000000"/>
        </w:rPr>
        <w:fldChar w:fldCharType="separate"/>
      </w:r>
      <w:r w:rsidR="00454D0D" w:rsidRPr="00454D0D">
        <w:rPr>
          <w:rFonts w:ascii="Times New Roman" w:hAnsi="Times New Roman" w:cs="Times New Roman"/>
          <w:noProof/>
          <w:szCs w:val="24"/>
        </w:rPr>
        <w:t xml:space="preserve">Auria, L., &amp; Moro, R. A. (2009). Support Vector Machines (SVM) as a Technique for Solvency Analysis. </w:t>
      </w:r>
      <w:r w:rsidR="00454D0D" w:rsidRPr="00454D0D">
        <w:rPr>
          <w:rFonts w:ascii="Times New Roman" w:hAnsi="Times New Roman" w:cs="Times New Roman"/>
          <w:i/>
          <w:iCs/>
          <w:noProof/>
          <w:szCs w:val="24"/>
        </w:rPr>
        <w:t>Ssrn</w:t>
      </w:r>
      <w:r w:rsidR="00454D0D" w:rsidRPr="00454D0D">
        <w:rPr>
          <w:rFonts w:ascii="Times New Roman" w:hAnsi="Times New Roman" w:cs="Times New Roman"/>
          <w:noProof/>
          <w:szCs w:val="24"/>
        </w:rPr>
        <w:t>, (August). https://doi.org/10.2139/ssrn.1424949</w:t>
      </w:r>
    </w:p>
    <w:p w14:paraId="2C7CB9DB" w14:textId="77777777" w:rsidR="00454D0D" w:rsidRPr="00454D0D" w:rsidRDefault="00454D0D" w:rsidP="00454D0D">
      <w:pPr>
        <w:spacing w:line="360" w:lineRule="auto"/>
        <w:ind w:left="480" w:hanging="480"/>
        <w:rPr>
          <w:rFonts w:ascii="Times New Roman" w:hAnsi="Times New Roman" w:cs="Times New Roman"/>
          <w:noProof/>
          <w:szCs w:val="24"/>
        </w:rPr>
      </w:pPr>
      <w:r w:rsidRPr="00454D0D">
        <w:rPr>
          <w:rFonts w:ascii="Times New Roman" w:hAnsi="Times New Roman" w:cs="Times New Roman"/>
          <w:noProof/>
          <w:szCs w:val="24"/>
        </w:rPr>
        <w:t xml:space="preserve">Baumann, S., Groß, S., Voigt, L., Ullrich, A., Weymar, F., Schwaneberg, T., … Ulbricht, S. (2018). Pitfalls in accelerometer-based measurement of physical activity: The presence of reactivity in an adult population. </w:t>
      </w:r>
      <w:r w:rsidRPr="00454D0D">
        <w:rPr>
          <w:rFonts w:ascii="Times New Roman" w:hAnsi="Times New Roman" w:cs="Times New Roman"/>
          <w:i/>
          <w:iCs/>
          <w:noProof/>
          <w:szCs w:val="24"/>
        </w:rPr>
        <w:t>Scandinavian Journal of Medicine &amp; Science in Sports</w:t>
      </w:r>
      <w:r w:rsidRPr="00454D0D">
        <w:rPr>
          <w:rFonts w:ascii="Times New Roman" w:hAnsi="Times New Roman" w:cs="Times New Roman"/>
          <w:noProof/>
          <w:szCs w:val="24"/>
        </w:rPr>
        <w:t xml:space="preserve">, </w:t>
      </w:r>
      <w:r w:rsidRPr="00454D0D">
        <w:rPr>
          <w:rFonts w:ascii="Times New Roman" w:hAnsi="Times New Roman" w:cs="Times New Roman"/>
          <w:i/>
          <w:iCs/>
          <w:noProof/>
          <w:szCs w:val="24"/>
        </w:rPr>
        <w:t>28</w:t>
      </w:r>
      <w:r w:rsidRPr="00454D0D">
        <w:rPr>
          <w:rFonts w:ascii="Times New Roman" w:hAnsi="Times New Roman" w:cs="Times New Roman"/>
          <w:noProof/>
          <w:szCs w:val="24"/>
        </w:rPr>
        <w:t>(3), 1056–1063. https://doi.org/10.1111/sms.12977</w:t>
      </w:r>
    </w:p>
    <w:p w14:paraId="47F2E21F" w14:textId="77777777" w:rsidR="00454D0D" w:rsidRPr="00454D0D" w:rsidRDefault="00454D0D" w:rsidP="00454D0D">
      <w:pPr>
        <w:spacing w:line="360" w:lineRule="auto"/>
        <w:ind w:left="480" w:hanging="480"/>
        <w:rPr>
          <w:rFonts w:ascii="Times New Roman" w:hAnsi="Times New Roman" w:cs="Times New Roman"/>
          <w:noProof/>
          <w:szCs w:val="24"/>
        </w:rPr>
      </w:pPr>
      <w:r w:rsidRPr="00454D0D">
        <w:rPr>
          <w:rFonts w:ascii="Times New Roman" w:hAnsi="Times New Roman" w:cs="Times New Roman"/>
          <w:noProof/>
          <w:szCs w:val="24"/>
        </w:rPr>
        <w:t xml:space="preserve">Caporaso, N., Whitworth, M. B., Grebby, S., &amp; Fisk, I. D. (2018). Rapid prediction of single green coffee bean moisture and lipid content by hyperspectral imaging. </w:t>
      </w:r>
      <w:r w:rsidRPr="00454D0D">
        <w:rPr>
          <w:rFonts w:ascii="Times New Roman" w:hAnsi="Times New Roman" w:cs="Times New Roman"/>
          <w:i/>
          <w:iCs/>
          <w:noProof/>
          <w:szCs w:val="24"/>
        </w:rPr>
        <w:t>Journal of Food Engineering</w:t>
      </w:r>
      <w:r w:rsidRPr="00454D0D">
        <w:rPr>
          <w:rFonts w:ascii="Times New Roman" w:hAnsi="Times New Roman" w:cs="Times New Roman"/>
          <w:noProof/>
          <w:szCs w:val="24"/>
        </w:rPr>
        <w:t xml:space="preserve">, </w:t>
      </w:r>
      <w:r w:rsidRPr="00454D0D">
        <w:rPr>
          <w:rFonts w:ascii="Times New Roman" w:hAnsi="Times New Roman" w:cs="Times New Roman"/>
          <w:i/>
          <w:iCs/>
          <w:noProof/>
          <w:szCs w:val="24"/>
        </w:rPr>
        <w:t>227</w:t>
      </w:r>
      <w:r w:rsidRPr="00454D0D">
        <w:rPr>
          <w:rFonts w:ascii="Times New Roman" w:hAnsi="Times New Roman" w:cs="Times New Roman"/>
          <w:noProof/>
          <w:szCs w:val="24"/>
        </w:rPr>
        <w:t>, 18–29. https://doi.org/10.1016/j.jfoodeng.2018.01.009</w:t>
      </w:r>
    </w:p>
    <w:p w14:paraId="4BD997C0" w14:textId="77777777" w:rsidR="00454D0D" w:rsidRPr="00454D0D" w:rsidRDefault="00454D0D" w:rsidP="00454D0D">
      <w:pPr>
        <w:spacing w:line="360" w:lineRule="auto"/>
        <w:ind w:left="480" w:hanging="480"/>
        <w:rPr>
          <w:rFonts w:ascii="Times New Roman" w:hAnsi="Times New Roman" w:cs="Times New Roman"/>
          <w:noProof/>
          <w:szCs w:val="24"/>
        </w:rPr>
      </w:pPr>
      <w:r w:rsidRPr="00454D0D">
        <w:rPr>
          <w:rFonts w:ascii="Times New Roman" w:hAnsi="Times New Roman" w:cs="Times New Roman"/>
          <w:noProof/>
          <w:szCs w:val="24"/>
        </w:rPr>
        <w:t xml:space="preserve">Cen, H., Lu, R., Zhu, Q., &amp; Mendoza, F. (2016). Nondestructive detection of chilling injury in cucumber fruit using hyperspectral imaging with feature selection and supervised classification. </w:t>
      </w:r>
      <w:r w:rsidRPr="00454D0D">
        <w:rPr>
          <w:rFonts w:ascii="Times New Roman" w:hAnsi="Times New Roman" w:cs="Times New Roman"/>
          <w:i/>
          <w:iCs/>
          <w:noProof/>
          <w:szCs w:val="24"/>
        </w:rPr>
        <w:t>Postharvest Biology and Technology</w:t>
      </w:r>
      <w:r w:rsidRPr="00454D0D">
        <w:rPr>
          <w:rFonts w:ascii="Times New Roman" w:hAnsi="Times New Roman" w:cs="Times New Roman"/>
          <w:noProof/>
          <w:szCs w:val="24"/>
        </w:rPr>
        <w:t xml:space="preserve">, </w:t>
      </w:r>
      <w:r w:rsidRPr="00454D0D">
        <w:rPr>
          <w:rFonts w:ascii="Times New Roman" w:hAnsi="Times New Roman" w:cs="Times New Roman"/>
          <w:i/>
          <w:iCs/>
          <w:noProof/>
          <w:szCs w:val="24"/>
        </w:rPr>
        <w:t>111</w:t>
      </w:r>
      <w:r w:rsidRPr="00454D0D">
        <w:rPr>
          <w:rFonts w:ascii="Times New Roman" w:hAnsi="Times New Roman" w:cs="Times New Roman"/>
          <w:noProof/>
          <w:szCs w:val="24"/>
        </w:rPr>
        <w:t>, 352–361. https://doi.org/10.1016/j.postharvbio.2015.09.027</w:t>
      </w:r>
    </w:p>
    <w:p w14:paraId="759F8E71" w14:textId="77777777" w:rsidR="00454D0D" w:rsidRPr="00454D0D" w:rsidRDefault="00454D0D" w:rsidP="00454D0D">
      <w:pPr>
        <w:spacing w:line="360" w:lineRule="auto"/>
        <w:ind w:left="480" w:hanging="480"/>
        <w:rPr>
          <w:rFonts w:ascii="Times New Roman" w:hAnsi="Times New Roman" w:cs="Times New Roman"/>
          <w:noProof/>
          <w:szCs w:val="24"/>
        </w:rPr>
      </w:pPr>
      <w:r w:rsidRPr="00454D0D">
        <w:rPr>
          <w:rFonts w:ascii="Times New Roman" w:hAnsi="Times New Roman" w:cs="Times New Roman"/>
          <w:noProof/>
          <w:szCs w:val="24"/>
        </w:rPr>
        <w:t xml:space="preserve">Ortaç, G., Bilgi, A. S., Taşdemir, K., &amp; Kalkan, H. (2016). A hyperspectral imaging based control system for quality assessment of dried figs. </w:t>
      </w:r>
      <w:r w:rsidRPr="00454D0D">
        <w:rPr>
          <w:rFonts w:ascii="Times New Roman" w:hAnsi="Times New Roman" w:cs="Times New Roman"/>
          <w:i/>
          <w:iCs/>
          <w:noProof/>
          <w:szCs w:val="24"/>
        </w:rPr>
        <w:t>Computers and Electronics in Agriculture</w:t>
      </w:r>
      <w:r w:rsidRPr="00454D0D">
        <w:rPr>
          <w:rFonts w:ascii="Times New Roman" w:hAnsi="Times New Roman" w:cs="Times New Roman"/>
          <w:noProof/>
          <w:szCs w:val="24"/>
        </w:rPr>
        <w:t xml:space="preserve">, </w:t>
      </w:r>
      <w:r w:rsidRPr="00454D0D">
        <w:rPr>
          <w:rFonts w:ascii="Times New Roman" w:hAnsi="Times New Roman" w:cs="Times New Roman"/>
          <w:i/>
          <w:iCs/>
          <w:noProof/>
          <w:szCs w:val="24"/>
        </w:rPr>
        <w:t>130</w:t>
      </w:r>
      <w:r w:rsidRPr="00454D0D">
        <w:rPr>
          <w:rFonts w:ascii="Times New Roman" w:hAnsi="Times New Roman" w:cs="Times New Roman"/>
          <w:noProof/>
          <w:szCs w:val="24"/>
        </w:rPr>
        <w:t>(3), 38–47. https://doi.org/10.1016/j.compag.2016.10.001</w:t>
      </w:r>
    </w:p>
    <w:p w14:paraId="05288243" w14:textId="77777777" w:rsidR="00454D0D" w:rsidRPr="00454D0D" w:rsidRDefault="00454D0D" w:rsidP="00454D0D">
      <w:pPr>
        <w:spacing w:line="360" w:lineRule="auto"/>
        <w:ind w:left="480" w:hanging="480"/>
        <w:rPr>
          <w:rFonts w:ascii="Times New Roman" w:hAnsi="Times New Roman" w:cs="Times New Roman"/>
          <w:noProof/>
          <w:szCs w:val="24"/>
        </w:rPr>
      </w:pPr>
      <w:r w:rsidRPr="00454D0D">
        <w:rPr>
          <w:rFonts w:ascii="Times New Roman" w:hAnsi="Times New Roman" w:cs="Times New Roman"/>
          <w:noProof/>
          <w:szCs w:val="24"/>
        </w:rPr>
        <w:t xml:space="preserve">Ropodi, A. I., Panagou, E. Z., &amp; Nychas, G. J. E. (2018). Rapid detection of frozen-then-thawed minced beef using multispectral imaging and Fourier transform infrared spectroscopy. </w:t>
      </w:r>
      <w:r w:rsidRPr="00454D0D">
        <w:rPr>
          <w:rFonts w:ascii="Times New Roman" w:hAnsi="Times New Roman" w:cs="Times New Roman"/>
          <w:i/>
          <w:iCs/>
          <w:noProof/>
          <w:szCs w:val="24"/>
        </w:rPr>
        <w:t>Meat Science</w:t>
      </w:r>
      <w:r w:rsidRPr="00454D0D">
        <w:rPr>
          <w:rFonts w:ascii="Times New Roman" w:hAnsi="Times New Roman" w:cs="Times New Roman"/>
          <w:noProof/>
          <w:szCs w:val="24"/>
        </w:rPr>
        <w:t xml:space="preserve">, </w:t>
      </w:r>
      <w:r w:rsidRPr="00454D0D">
        <w:rPr>
          <w:rFonts w:ascii="Times New Roman" w:hAnsi="Times New Roman" w:cs="Times New Roman"/>
          <w:i/>
          <w:iCs/>
          <w:noProof/>
          <w:szCs w:val="24"/>
        </w:rPr>
        <w:t>135</w:t>
      </w:r>
      <w:r w:rsidRPr="00454D0D">
        <w:rPr>
          <w:rFonts w:ascii="Times New Roman" w:hAnsi="Times New Roman" w:cs="Times New Roman"/>
          <w:noProof/>
          <w:szCs w:val="24"/>
        </w:rPr>
        <w:t>(September 2017), 142–147. https://doi.org/10.1016/j.meatsci.2017.09.016</w:t>
      </w:r>
    </w:p>
    <w:p w14:paraId="7E19E588" w14:textId="77777777" w:rsidR="00454D0D" w:rsidRPr="00454D0D" w:rsidRDefault="00454D0D" w:rsidP="00454D0D">
      <w:pPr>
        <w:spacing w:line="360" w:lineRule="auto"/>
        <w:ind w:left="480" w:hanging="480"/>
        <w:rPr>
          <w:rFonts w:ascii="Times New Roman" w:hAnsi="Times New Roman" w:cs="Times New Roman"/>
          <w:noProof/>
          <w:szCs w:val="24"/>
        </w:rPr>
      </w:pPr>
      <w:r w:rsidRPr="00454D0D">
        <w:rPr>
          <w:rFonts w:ascii="Times New Roman" w:hAnsi="Times New Roman" w:cs="Times New Roman"/>
          <w:noProof/>
          <w:szCs w:val="24"/>
        </w:rPr>
        <w:t xml:space="preserve">Saitta, L. (1995). Support-Vector Networks  SVM.pdf, </w:t>
      </w:r>
      <w:r w:rsidRPr="00454D0D">
        <w:rPr>
          <w:rFonts w:ascii="Times New Roman" w:hAnsi="Times New Roman" w:cs="Times New Roman"/>
          <w:i/>
          <w:iCs/>
          <w:noProof/>
          <w:szCs w:val="24"/>
        </w:rPr>
        <w:t>297</w:t>
      </w:r>
      <w:r w:rsidRPr="00454D0D">
        <w:rPr>
          <w:rFonts w:ascii="Times New Roman" w:hAnsi="Times New Roman" w:cs="Times New Roman"/>
          <w:noProof/>
          <w:szCs w:val="24"/>
        </w:rPr>
        <w:t>, 273–297. https://doi.org/10.1007/BF00994018</w:t>
      </w:r>
    </w:p>
    <w:p w14:paraId="42877E27" w14:textId="77777777" w:rsidR="00454D0D" w:rsidRPr="00454D0D" w:rsidRDefault="00454D0D" w:rsidP="00454D0D">
      <w:pPr>
        <w:spacing w:line="360" w:lineRule="auto"/>
        <w:ind w:left="480" w:hanging="480"/>
        <w:rPr>
          <w:rFonts w:ascii="Times New Roman" w:hAnsi="Times New Roman" w:cs="Times New Roman"/>
          <w:noProof/>
          <w:szCs w:val="24"/>
        </w:rPr>
      </w:pPr>
      <w:r w:rsidRPr="00454D0D">
        <w:rPr>
          <w:rFonts w:ascii="Times New Roman" w:hAnsi="Times New Roman" w:cs="Times New Roman"/>
          <w:noProof/>
          <w:szCs w:val="24"/>
        </w:rPr>
        <w:t xml:space="preserve">Sanz, J. A., Fernandes, A. M., Barrenechea, E., Silva, S., Santos, V., Gonçalves, N., … Melo-Pinto, P. (2016). Lamb muscle discrimination using hyperspectral imaging: Comparison of various machine learning algorithms. </w:t>
      </w:r>
      <w:r w:rsidRPr="00454D0D">
        <w:rPr>
          <w:rFonts w:ascii="Times New Roman" w:hAnsi="Times New Roman" w:cs="Times New Roman"/>
          <w:i/>
          <w:iCs/>
          <w:noProof/>
          <w:szCs w:val="24"/>
        </w:rPr>
        <w:t>Journal of Food Engineering</w:t>
      </w:r>
      <w:r w:rsidRPr="00454D0D">
        <w:rPr>
          <w:rFonts w:ascii="Times New Roman" w:hAnsi="Times New Roman" w:cs="Times New Roman"/>
          <w:noProof/>
          <w:szCs w:val="24"/>
        </w:rPr>
        <w:t xml:space="preserve">, </w:t>
      </w:r>
      <w:r w:rsidRPr="00454D0D">
        <w:rPr>
          <w:rFonts w:ascii="Times New Roman" w:hAnsi="Times New Roman" w:cs="Times New Roman"/>
          <w:i/>
          <w:iCs/>
          <w:noProof/>
          <w:szCs w:val="24"/>
        </w:rPr>
        <w:t>174</w:t>
      </w:r>
      <w:r w:rsidRPr="00454D0D">
        <w:rPr>
          <w:rFonts w:ascii="Times New Roman" w:hAnsi="Times New Roman" w:cs="Times New Roman"/>
          <w:noProof/>
          <w:szCs w:val="24"/>
        </w:rPr>
        <w:t>, 92–100. https://doi.org/10.1016/j.jfoodeng.2015.11.024</w:t>
      </w:r>
    </w:p>
    <w:p w14:paraId="62FF7FCC" w14:textId="77777777" w:rsidR="00454D0D" w:rsidRPr="00454D0D" w:rsidRDefault="00454D0D" w:rsidP="00454D0D">
      <w:pPr>
        <w:spacing w:line="360" w:lineRule="auto"/>
        <w:ind w:left="480" w:hanging="480"/>
        <w:rPr>
          <w:rFonts w:ascii="Times New Roman" w:hAnsi="Times New Roman" w:cs="Times New Roman"/>
          <w:noProof/>
          <w:szCs w:val="24"/>
        </w:rPr>
      </w:pPr>
      <w:r w:rsidRPr="00454D0D">
        <w:rPr>
          <w:rFonts w:ascii="Times New Roman" w:hAnsi="Times New Roman" w:cs="Times New Roman"/>
          <w:noProof/>
          <w:szCs w:val="24"/>
        </w:rPr>
        <w:t xml:space="preserve">Vélez Rivera, N., Gómez-Sanchis, J., Chanona-Pérez, J., Carrasco, J. J., Millán-Giraldo, M., Lorente, D., … Blasco, J. (2014). Early detection of mechanical damage in mango using NIR hyperspectral images and machine learning. </w:t>
      </w:r>
      <w:r w:rsidRPr="00454D0D">
        <w:rPr>
          <w:rFonts w:ascii="Times New Roman" w:hAnsi="Times New Roman" w:cs="Times New Roman"/>
          <w:i/>
          <w:iCs/>
          <w:noProof/>
          <w:szCs w:val="24"/>
        </w:rPr>
        <w:t>Biosystems Engineering</w:t>
      </w:r>
      <w:r w:rsidRPr="00454D0D">
        <w:rPr>
          <w:rFonts w:ascii="Times New Roman" w:hAnsi="Times New Roman" w:cs="Times New Roman"/>
          <w:noProof/>
          <w:szCs w:val="24"/>
        </w:rPr>
        <w:t xml:space="preserve">, </w:t>
      </w:r>
      <w:r w:rsidRPr="00454D0D">
        <w:rPr>
          <w:rFonts w:ascii="Times New Roman" w:hAnsi="Times New Roman" w:cs="Times New Roman"/>
          <w:i/>
          <w:iCs/>
          <w:noProof/>
          <w:szCs w:val="24"/>
        </w:rPr>
        <w:t>122</w:t>
      </w:r>
      <w:r w:rsidRPr="00454D0D">
        <w:rPr>
          <w:rFonts w:ascii="Times New Roman" w:hAnsi="Times New Roman" w:cs="Times New Roman"/>
          <w:noProof/>
          <w:szCs w:val="24"/>
        </w:rPr>
        <w:t>, 91–98. https://doi.org/10.1016/j.biosystemseng.2014.03.009</w:t>
      </w:r>
    </w:p>
    <w:p w14:paraId="7ED6A8F2" w14:textId="77777777" w:rsidR="00454D0D" w:rsidRPr="00454D0D" w:rsidRDefault="00454D0D" w:rsidP="00454D0D">
      <w:pPr>
        <w:spacing w:line="360" w:lineRule="auto"/>
        <w:ind w:left="480" w:hanging="480"/>
        <w:rPr>
          <w:rFonts w:ascii="Times New Roman" w:hAnsi="Times New Roman" w:cs="Times New Roman"/>
          <w:noProof/>
        </w:rPr>
      </w:pPr>
      <w:r w:rsidRPr="00454D0D">
        <w:rPr>
          <w:rFonts w:ascii="Times New Roman" w:hAnsi="Times New Roman" w:cs="Times New Roman"/>
          <w:noProof/>
          <w:szCs w:val="24"/>
        </w:rPr>
        <w:t xml:space="preserve">Wakholi, C., Kandpal, L. M., Lee, H., Bae, H., Park, E., Kim, M. S., … Cho, B. K. (2018). Rapid assessment of corn seed viability using short wave infrared line-scan hyperspectral imaging and chemometrics. </w:t>
      </w:r>
      <w:r w:rsidRPr="00454D0D">
        <w:rPr>
          <w:rFonts w:ascii="Times New Roman" w:hAnsi="Times New Roman" w:cs="Times New Roman"/>
          <w:i/>
          <w:iCs/>
          <w:noProof/>
          <w:szCs w:val="24"/>
        </w:rPr>
        <w:t>Sensors and Actuators, B: Chemical</w:t>
      </w:r>
      <w:r w:rsidRPr="00454D0D">
        <w:rPr>
          <w:rFonts w:ascii="Times New Roman" w:hAnsi="Times New Roman" w:cs="Times New Roman"/>
          <w:noProof/>
          <w:szCs w:val="24"/>
        </w:rPr>
        <w:t xml:space="preserve">, </w:t>
      </w:r>
      <w:r w:rsidRPr="00454D0D">
        <w:rPr>
          <w:rFonts w:ascii="Times New Roman" w:hAnsi="Times New Roman" w:cs="Times New Roman"/>
          <w:i/>
          <w:iCs/>
          <w:noProof/>
          <w:szCs w:val="24"/>
        </w:rPr>
        <w:t>255</w:t>
      </w:r>
      <w:r w:rsidRPr="00454D0D">
        <w:rPr>
          <w:rFonts w:ascii="Times New Roman" w:hAnsi="Times New Roman" w:cs="Times New Roman"/>
          <w:noProof/>
          <w:szCs w:val="24"/>
        </w:rPr>
        <w:t>, 498–507. https://doi.org/10.1016/j.snb.2017.08.036</w:t>
      </w:r>
    </w:p>
    <w:p w14:paraId="5AC74F59" w14:textId="196A5A4F" w:rsidR="008D7CDC" w:rsidRPr="008D7CDC" w:rsidRDefault="008D7CDC" w:rsidP="008D7CDC">
      <w:pPr>
        <w:tabs>
          <w:tab w:val="left" w:pos="360"/>
          <w:tab w:val="left" w:pos="720"/>
          <w:tab w:val="left" w:pos="1080"/>
          <w:tab w:val="left" w:pos="1440"/>
          <w:tab w:val="left" w:pos="1800"/>
          <w:tab w:val="left" w:pos="2160"/>
          <w:tab w:val="left" w:pos="2880"/>
          <w:tab w:val="left" w:pos="3600"/>
          <w:tab w:val="left" w:pos="4320"/>
        </w:tabs>
        <w:spacing w:line="360" w:lineRule="auto"/>
        <w:ind w:firstLine="360"/>
        <w:jc w:val="both"/>
        <w:rPr>
          <w:rFonts w:ascii="Times New Roman" w:eastAsia="TimesNewRomanPSMT" w:hAnsi="Times New Roman" w:cs="Times New Roman"/>
          <w:b/>
          <w:bCs/>
          <w:color w:val="000000"/>
          <w:sz w:val="24"/>
          <w:szCs w:val="24"/>
        </w:rPr>
      </w:pPr>
      <w:r w:rsidRPr="008D7CDC">
        <w:rPr>
          <w:rFonts w:ascii="Times New Roman" w:eastAsia="TimesNewRomanPSMT" w:hAnsi="Times New Roman" w:cs="Times New Roman"/>
          <w:b/>
          <w:bCs/>
          <w:color w:val="000000"/>
        </w:rPr>
        <w:fldChar w:fldCharType="end"/>
      </w:r>
    </w:p>
    <w:sectPr w:rsidR="008D7CDC" w:rsidRPr="008D7C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7F74DF"/>
    <w:multiLevelType w:val="multilevel"/>
    <w:tmpl w:val="D646D67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0NDG1MDUAUhbmpko6SsGpxcWZ+XkgBYa1APqxKzMsAAAA"/>
  </w:docVars>
  <w:rsids>
    <w:rsidRoot w:val="009C011E"/>
    <w:rsid w:val="0000583E"/>
    <w:rsid w:val="000A52B4"/>
    <w:rsid w:val="000E3A0C"/>
    <w:rsid w:val="000E634A"/>
    <w:rsid w:val="0011757D"/>
    <w:rsid w:val="00117879"/>
    <w:rsid w:val="00143046"/>
    <w:rsid w:val="00146F00"/>
    <w:rsid w:val="00201560"/>
    <w:rsid w:val="00214FDA"/>
    <w:rsid w:val="00222A13"/>
    <w:rsid w:val="00247EC6"/>
    <w:rsid w:val="002714CD"/>
    <w:rsid w:val="002A4507"/>
    <w:rsid w:val="00357EE7"/>
    <w:rsid w:val="00360F03"/>
    <w:rsid w:val="00377CCE"/>
    <w:rsid w:val="00395391"/>
    <w:rsid w:val="003B077F"/>
    <w:rsid w:val="00432460"/>
    <w:rsid w:val="00454D0D"/>
    <w:rsid w:val="00463824"/>
    <w:rsid w:val="00495C9E"/>
    <w:rsid w:val="00585735"/>
    <w:rsid w:val="005A4C6F"/>
    <w:rsid w:val="005E0354"/>
    <w:rsid w:val="005E4438"/>
    <w:rsid w:val="005E5E53"/>
    <w:rsid w:val="0064266D"/>
    <w:rsid w:val="00650A17"/>
    <w:rsid w:val="00692BE5"/>
    <w:rsid w:val="00791696"/>
    <w:rsid w:val="007A0743"/>
    <w:rsid w:val="007B7C02"/>
    <w:rsid w:val="00803201"/>
    <w:rsid w:val="0081375A"/>
    <w:rsid w:val="00821258"/>
    <w:rsid w:val="0082533A"/>
    <w:rsid w:val="00827751"/>
    <w:rsid w:val="00830059"/>
    <w:rsid w:val="00846A74"/>
    <w:rsid w:val="0085051A"/>
    <w:rsid w:val="00881FE7"/>
    <w:rsid w:val="008B2E36"/>
    <w:rsid w:val="008D2ACE"/>
    <w:rsid w:val="008D7CDC"/>
    <w:rsid w:val="009515C2"/>
    <w:rsid w:val="009C011E"/>
    <w:rsid w:val="00A06DB2"/>
    <w:rsid w:val="00A2344D"/>
    <w:rsid w:val="00AA0FF4"/>
    <w:rsid w:val="00AD4FD9"/>
    <w:rsid w:val="00B8102D"/>
    <w:rsid w:val="00BB7FD2"/>
    <w:rsid w:val="00BE54AD"/>
    <w:rsid w:val="00C02C4A"/>
    <w:rsid w:val="00C45C65"/>
    <w:rsid w:val="00C522B3"/>
    <w:rsid w:val="00C66082"/>
    <w:rsid w:val="00CB576E"/>
    <w:rsid w:val="00D244BC"/>
    <w:rsid w:val="00D47B0F"/>
    <w:rsid w:val="00D70653"/>
    <w:rsid w:val="00DA39FA"/>
    <w:rsid w:val="00E674C3"/>
    <w:rsid w:val="00ED1413"/>
    <w:rsid w:val="00EF6AEF"/>
    <w:rsid w:val="00EF7AA5"/>
    <w:rsid w:val="00F3307C"/>
    <w:rsid w:val="00F418DA"/>
    <w:rsid w:val="00F4728A"/>
    <w:rsid w:val="00F57F52"/>
    <w:rsid w:val="00F627D1"/>
    <w:rsid w:val="00F9643F"/>
    <w:rsid w:val="00FE59D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1A687"/>
  <w15:chartTrackingRefBased/>
  <w15:docId w15:val="{148C3854-12A6-4123-B1A5-6E0081024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9C011E"/>
    <w:pPr>
      <w:widowControl w:val="0"/>
      <w:autoSpaceDE w:val="0"/>
      <w:autoSpaceDN w:val="0"/>
      <w:adjustRightInd w:val="0"/>
      <w:spacing w:after="0" w:line="240" w:lineRule="auto"/>
    </w:pPr>
    <w:rPr>
      <w:rFonts w:eastAsia="Batang"/>
      <w:sz w:val="20"/>
      <w:szCs w:val="20"/>
      <w:lang w:eastAsia="en-US"/>
    </w:rPr>
  </w:style>
  <w:style w:type="paragraph" w:styleId="Heading4">
    <w:name w:val="heading 4"/>
    <w:basedOn w:val="Normal"/>
    <w:next w:val="Normal"/>
    <w:link w:val="Heading4Char"/>
    <w:qFormat/>
    <w:rsid w:val="00377CCE"/>
    <w:pPr>
      <w:keepNext/>
      <w:widowControl/>
      <w:autoSpaceDE/>
      <w:autoSpaceDN/>
      <w:adjustRightInd/>
      <w:spacing w:before="260" w:after="40" w:line="480" w:lineRule="auto"/>
      <w:outlineLvl w:val="3"/>
    </w:pPr>
    <w:rPr>
      <w:rFonts w:ascii="Times New Roman" w:eastAsia="Malgun Gothic" w:hAnsi="Times New Roman" w:cs="Times New Roman"/>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9C011E"/>
    <w:pPr>
      <w:spacing w:before="240" w:after="240"/>
    </w:pPr>
    <w:rPr>
      <w:rFonts w:ascii="Times New Roman" w:eastAsia="Times New Roman" w:hAnsi="Times New Roman" w:cs="Times New Roman"/>
      <w:iCs/>
      <w:sz w:val="24"/>
    </w:rPr>
  </w:style>
  <w:style w:type="table" w:styleId="TableGrid">
    <w:name w:val="Table Grid"/>
    <w:basedOn w:val="TableNormal"/>
    <w:uiPriority w:val="59"/>
    <w:rsid w:val="007B7C02"/>
    <w:pPr>
      <w:spacing w:after="0" w:line="240" w:lineRule="auto"/>
    </w:pPr>
    <w:rPr>
      <w:rFonts w:ascii="Calibri" w:eastAsia="Malgun Gothic"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2E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E36"/>
    <w:rPr>
      <w:rFonts w:ascii="Segoe UI" w:eastAsia="Batang" w:hAnsi="Segoe UI" w:cs="Segoe UI"/>
      <w:sz w:val="18"/>
      <w:szCs w:val="18"/>
      <w:lang w:eastAsia="en-US"/>
    </w:rPr>
  </w:style>
  <w:style w:type="character" w:customStyle="1" w:styleId="Heading4Char">
    <w:name w:val="Heading 4 Char"/>
    <w:basedOn w:val="DefaultParagraphFont"/>
    <w:link w:val="Heading4"/>
    <w:rsid w:val="00377CCE"/>
    <w:rPr>
      <w:rFonts w:ascii="Times New Roman" w:eastAsia="Malgun Gothic" w:hAnsi="Times New Roman" w:cs="Times New Roman"/>
      <w:bCs/>
      <w:sz w:val="24"/>
      <w:szCs w:val="24"/>
      <w:lang w:eastAsia="en-US"/>
    </w:rPr>
  </w:style>
  <w:style w:type="paragraph" w:customStyle="1" w:styleId="text">
    <w:name w:val="text"/>
    <w:basedOn w:val="Normal"/>
    <w:link w:val="textChar"/>
    <w:qFormat/>
    <w:rsid w:val="00377CCE"/>
    <w:pPr>
      <w:widowControl/>
      <w:autoSpaceDE/>
      <w:autoSpaceDN/>
      <w:adjustRightInd/>
      <w:spacing w:line="480" w:lineRule="auto"/>
      <w:ind w:firstLine="432"/>
      <w:jc w:val="both"/>
    </w:pPr>
    <w:rPr>
      <w:rFonts w:ascii="Times New Roman" w:eastAsia="Malgun Gothic" w:hAnsi="Times New Roman" w:cs="Times New Roman"/>
      <w:sz w:val="24"/>
      <w:szCs w:val="24"/>
    </w:rPr>
  </w:style>
  <w:style w:type="character" w:customStyle="1" w:styleId="textChar">
    <w:name w:val="text Char"/>
    <w:link w:val="text"/>
    <w:rsid w:val="00377CCE"/>
    <w:rPr>
      <w:rFonts w:ascii="Times New Roman" w:eastAsia="Malgun Gothic" w:hAnsi="Times New Roman" w:cs="Times New Roman"/>
      <w:sz w:val="24"/>
      <w:szCs w:val="24"/>
      <w:lang w:eastAsia="en-US"/>
    </w:rPr>
  </w:style>
  <w:style w:type="character" w:styleId="CommentReference">
    <w:name w:val="annotation reference"/>
    <w:basedOn w:val="DefaultParagraphFont"/>
    <w:uiPriority w:val="99"/>
    <w:semiHidden/>
    <w:unhideWhenUsed/>
    <w:rsid w:val="0064266D"/>
    <w:rPr>
      <w:sz w:val="16"/>
      <w:szCs w:val="16"/>
    </w:rPr>
  </w:style>
  <w:style w:type="paragraph" w:styleId="CommentText">
    <w:name w:val="annotation text"/>
    <w:basedOn w:val="Normal"/>
    <w:link w:val="CommentTextChar"/>
    <w:uiPriority w:val="99"/>
    <w:semiHidden/>
    <w:unhideWhenUsed/>
    <w:rsid w:val="0064266D"/>
  </w:style>
  <w:style w:type="character" w:customStyle="1" w:styleId="CommentTextChar">
    <w:name w:val="Comment Text Char"/>
    <w:basedOn w:val="DefaultParagraphFont"/>
    <w:link w:val="CommentText"/>
    <w:uiPriority w:val="99"/>
    <w:semiHidden/>
    <w:rsid w:val="0064266D"/>
    <w:rPr>
      <w:rFonts w:eastAsia="Batang"/>
      <w:sz w:val="20"/>
      <w:szCs w:val="20"/>
      <w:lang w:eastAsia="en-US"/>
    </w:rPr>
  </w:style>
  <w:style w:type="paragraph" w:styleId="CommentSubject">
    <w:name w:val="annotation subject"/>
    <w:basedOn w:val="CommentText"/>
    <w:next w:val="CommentText"/>
    <w:link w:val="CommentSubjectChar"/>
    <w:uiPriority w:val="99"/>
    <w:semiHidden/>
    <w:unhideWhenUsed/>
    <w:rsid w:val="0064266D"/>
    <w:rPr>
      <w:b/>
      <w:bCs/>
    </w:rPr>
  </w:style>
  <w:style w:type="character" w:customStyle="1" w:styleId="CommentSubjectChar">
    <w:name w:val="Comment Subject Char"/>
    <w:basedOn w:val="CommentTextChar"/>
    <w:link w:val="CommentSubject"/>
    <w:uiPriority w:val="99"/>
    <w:semiHidden/>
    <w:rsid w:val="0064266D"/>
    <w:rPr>
      <w:rFonts w:eastAsia="Batang"/>
      <w:b/>
      <w:bCs/>
      <w:sz w:val="20"/>
      <w:szCs w:val="20"/>
      <w:lang w:eastAsia="en-US"/>
    </w:rPr>
  </w:style>
  <w:style w:type="paragraph" w:styleId="Revision">
    <w:name w:val="Revision"/>
    <w:hidden/>
    <w:uiPriority w:val="99"/>
    <w:semiHidden/>
    <w:rsid w:val="00A2344D"/>
    <w:pPr>
      <w:spacing w:after="0" w:line="240" w:lineRule="auto"/>
    </w:pPr>
    <w:rPr>
      <w:rFonts w:eastAsia="Batang"/>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2D3F8-0D09-4788-A0CC-929C1FDB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7179</Words>
  <Characters>40926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Baek, Insuck - ARS</dc:creator>
  <cp:keywords/>
  <dc:description/>
  <cp:lastModifiedBy>Baek, Insuck - ARS</cp:lastModifiedBy>
  <cp:revision>9</cp:revision>
  <dcterms:created xsi:type="dcterms:W3CDTF">2022-08-07T21:47:00Z</dcterms:created>
  <dcterms:modified xsi:type="dcterms:W3CDTF">2022-08-11T13:40:00Z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http://www.zotero.org/styles/applied-sciences</vt:lpwstr>
  </property>
  <property fmtid="{D5CDD505-2E9C-101B-9397-08002B2CF9AE}" pid="5" name="Mendeley Recent Style Name 1_1">
    <vt:lpwstr>Applied Sciences</vt:lpwstr>
  </property>
  <property fmtid="{D5CDD505-2E9C-101B-9397-08002B2CF9AE}" pid="6" name="Mendeley Recent Style Id 2_1">
    <vt:lpwstr>http://www.zotero.org/styles/biosystems-engineering</vt:lpwstr>
  </property>
  <property fmtid="{D5CDD505-2E9C-101B-9397-08002B2CF9AE}" pid="7" name="Mendeley Recent Style Name 2_1">
    <vt:lpwstr>Biosystems Engineering</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http://www.zotero.org/styles/computers-and-electronics-in-agriculture</vt:lpwstr>
  </property>
  <property fmtid="{D5CDD505-2E9C-101B-9397-08002B2CF9AE}" pid="11" name="Mendeley Recent Style Name 4_1">
    <vt:lpwstr>Computers and Electronics in Agriculture</vt:lpwstr>
  </property>
  <property fmtid="{D5CDD505-2E9C-101B-9397-08002B2CF9AE}" pid="12" name="Mendeley Recent Style Id 5_1">
    <vt:lpwstr>http://www.zotero.org/styles/food-control</vt:lpwstr>
  </property>
  <property fmtid="{D5CDD505-2E9C-101B-9397-08002B2CF9AE}" pid="13" name="Mendeley Recent Style Name 5_1">
    <vt:lpwstr>Food Control</vt:lpwstr>
  </property>
  <property fmtid="{D5CDD505-2E9C-101B-9397-08002B2CF9AE}" pid="14" name="Mendeley Recent Style Id 6_1">
    <vt:lpwstr>http://www.zotero.org/styles/food-and-bioprocess-technology</vt:lpwstr>
  </property>
  <property fmtid="{D5CDD505-2E9C-101B-9397-08002B2CF9AE}" pid="15" name="Mendeley Recent Style Name 6_1">
    <vt:lpwstr>Food and Bioprocess Technology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http://www.zotero.org/styles/journal-of-food-engineering</vt:lpwstr>
  </property>
  <property fmtid="{D5CDD505-2E9C-101B-9397-08002B2CF9AE}" pid="19" name="Mendeley Recent Style Name 8_1">
    <vt:lpwstr>Journal of Food Engineering</vt:lpwstr>
  </property>
  <property fmtid="{D5CDD505-2E9C-101B-9397-08002B2CF9AE}" pid="20" name="Mendeley Recent Style Id 9_1">
    <vt:lpwstr>http://www.zotero.org/styles/journal-of-the-science-of-food-and-agriculture</vt:lpwstr>
  </property>
  <property fmtid="{D5CDD505-2E9C-101B-9397-08002B2CF9AE}" pid="21" name="Mendeley Recent Style Name 9_1">
    <vt:lpwstr>Journal of the Science of Food and Agriculture</vt:lpwstr>
  </property>
  <property fmtid="{D5CDD505-2E9C-101B-9397-08002B2CF9AE}" pid="22" name="Mendeley Document_1">
    <vt:lpwstr>True</vt:lpwstr>
  </property>
  <property fmtid="{D5CDD505-2E9C-101B-9397-08002B2CF9AE}" pid="23" name="Mendeley Unique User Id_1">
    <vt:lpwstr>449975a8-950c-3f33-841d-4a8edc16f277</vt:lpwstr>
  </property>
  <property fmtid="{D5CDD505-2E9C-101B-9397-08002B2CF9AE}" pid="24" name="Mendeley Citation Style_1">
    <vt:lpwstr>http://www.zotero.org/styles/biosystems-engineering</vt:lpwstr>
  </property>
</Properties>
</file>