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2234" w14:textId="77777777" w:rsidR="009F66D2" w:rsidRDefault="00000000">
      <w:pPr>
        <w:spacing w:beforeLines="50" w:before="156" w:afterLines="50" w:after="156"/>
        <w:rPr>
          <w:b/>
          <w:bCs/>
          <w:sz w:val="24"/>
        </w:rPr>
      </w:pPr>
      <w:r>
        <w:rPr>
          <w:b/>
          <w:bCs/>
          <w:sz w:val="24"/>
        </w:rPr>
        <w:t>Supplementary material</w:t>
      </w:r>
    </w:p>
    <w:p w14:paraId="49C21D60" w14:textId="77777777" w:rsidR="009F66D2" w:rsidRDefault="00000000">
      <w:pPr>
        <w:spacing w:beforeLines="50" w:before="156" w:afterLines="50" w:after="156"/>
        <w:rPr>
          <w:b/>
          <w:bCs/>
          <w:sz w:val="24"/>
        </w:rPr>
      </w:pPr>
      <w:r>
        <w:rPr>
          <w:b/>
          <w:bCs/>
          <w:sz w:val="24"/>
        </w:rPr>
        <w:t>Table S1 Effect of fertilization management on the SPAD value of 1</w:t>
      </w:r>
      <w:r>
        <w:rPr>
          <w:b/>
          <w:bCs/>
          <w:sz w:val="24"/>
          <w:vertAlign w:val="superscript"/>
        </w:rPr>
        <w:t>st</w:t>
      </w:r>
      <w:r>
        <w:rPr>
          <w:b/>
          <w:bCs/>
          <w:sz w:val="24"/>
        </w:rPr>
        <w:t>–4</w:t>
      </w:r>
      <w:r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leaf from the top at rice heading stage and their coefficients of variation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253"/>
        <w:gridCol w:w="552"/>
        <w:gridCol w:w="1253"/>
        <w:gridCol w:w="552"/>
        <w:gridCol w:w="1253"/>
        <w:gridCol w:w="552"/>
        <w:gridCol w:w="1360"/>
        <w:gridCol w:w="550"/>
      </w:tblGrid>
      <w:tr w:rsidR="009F66D2" w14:paraId="7E0AD7AD" w14:textId="77777777">
        <w:trPr>
          <w:trHeight w:val="270"/>
          <w:jc w:val="center"/>
        </w:trPr>
        <w:tc>
          <w:tcPr>
            <w:tcW w:w="703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EDC8B6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39C9FA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leaf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6702F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leaf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0A9849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leaf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8100DC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leaf</w:t>
            </w:r>
          </w:p>
        </w:tc>
      </w:tr>
      <w:tr w:rsidR="009F66D2" w14:paraId="6A9D7377" w14:textId="77777777">
        <w:trPr>
          <w:trHeight w:val="270"/>
          <w:jc w:val="center"/>
        </w:trPr>
        <w:tc>
          <w:tcPr>
            <w:tcW w:w="70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010D4D" w14:textId="77777777" w:rsidR="009F66D2" w:rsidRDefault="009F66D2">
            <w:pPr>
              <w:jc w:val="center"/>
              <w:rPr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67E36B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8C4C4C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CV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7EF71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898C87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CV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E10603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B07B62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CV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7A0D5C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5F4316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CV</w:t>
            </w:r>
          </w:p>
        </w:tc>
      </w:tr>
      <w:tr w:rsidR="009F66D2" w14:paraId="521F376E" w14:textId="77777777">
        <w:trPr>
          <w:trHeight w:val="270"/>
          <w:jc w:val="center"/>
        </w:trPr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637938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CF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2E1CC7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46.6±0.6 b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12EA6A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B7C278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45.6±0.6 b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AC46E4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2875BE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45.7±0.5 b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39B67E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79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1AC9A8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45.8±0.6 b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B6E941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 w:rsidR="009F66D2" w14:paraId="46DD8769" w14:textId="77777777">
        <w:trPr>
          <w:trHeight w:val="270"/>
          <w:jc w:val="center"/>
        </w:trPr>
        <w:tc>
          <w:tcPr>
            <w:tcW w:w="703" w:type="pct"/>
            <w:shd w:val="clear" w:color="auto" w:fill="auto"/>
            <w:noWrap/>
            <w:vAlign w:val="center"/>
          </w:tcPr>
          <w:p w14:paraId="129E687B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BRTI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621AF147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49.4±0.4 a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3EA70C48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298EF7AE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47.8±0.3 a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6CC099A9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33D3E53A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47.4±0.4 a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630DAD39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1EBB44AB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47.8±0.4 b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11460940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</w:tr>
      <w:tr w:rsidR="009F66D2" w14:paraId="0A1D3473" w14:textId="77777777">
        <w:trPr>
          <w:trHeight w:val="270"/>
          <w:jc w:val="center"/>
        </w:trPr>
        <w:tc>
          <w:tcPr>
            <w:tcW w:w="703" w:type="pct"/>
            <w:shd w:val="clear" w:color="auto" w:fill="auto"/>
            <w:noWrap/>
            <w:vAlign w:val="center"/>
          </w:tcPr>
          <w:p w14:paraId="3BA09299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BRTS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1A24CE0D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48.8±0.3 a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110193BB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048D1998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48.8±0.2 a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341B9996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21DFE044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47.0±0.3 a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24AB6333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5E0974D7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47.0±0.3 ab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2BD449BA" w14:textId="77777777" w:rsidR="009F66D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14:paraId="1D71C505" w14:textId="77777777" w:rsidR="009F66D2" w:rsidRDefault="00000000">
      <w:pPr>
        <w:spacing w:beforeLines="50" w:before="156" w:afterLines="50" w:after="156"/>
        <w:rPr>
          <w:sz w:val="24"/>
        </w:rPr>
      </w:pPr>
      <w:r>
        <w:rPr>
          <w:sz w:val="24"/>
        </w:rPr>
        <w:t>Note: CF: conventional fertilization; RBIT: reduced basal and increased topdressing fertilizer rate; RBITS: RBIT combined with straw incorporation. MWD: mean weight diameter. Different lowercase letters represent significant differences (</w:t>
      </w:r>
      <w:r>
        <w:rPr>
          <w:i/>
          <w:sz w:val="24"/>
        </w:rPr>
        <w:t>P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≤</w:t>
      </w:r>
      <w:r>
        <w:rPr>
          <w:rFonts w:hint="eastAsia"/>
          <w:sz w:val="24"/>
        </w:rPr>
        <w:t xml:space="preserve"> 0.05) among treatments. Data: </w:t>
      </w:r>
      <w:proofErr w:type="spellStart"/>
      <w:r>
        <w:rPr>
          <w:rFonts w:hint="eastAsia"/>
          <w:sz w:val="24"/>
        </w:rPr>
        <w:t>mean</w:t>
      </w:r>
      <w:r>
        <w:rPr>
          <w:kern w:val="0"/>
          <w:sz w:val="24"/>
        </w:rPr>
        <w:t>±</w:t>
      </w:r>
      <w:r>
        <w:rPr>
          <w:sz w:val="24"/>
        </w:rPr>
        <w:t>standard</w:t>
      </w:r>
      <w:proofErr w:type="spellEnd"/>
      <w:r>
        <w:rPr>
          <w:sz w:val="24"/>
        </w:rPr>
        <w:t xml:space="preserve"> error (SE).</w:t>
      </w:r>
      <w:r>
        <w:rPr>
          <w:sz w:val="24"/>
        </w:rPr>
        <w:br w:type="page"/>
      </w:r>
    </w:p>
    <w:p w14:paraId="30A00EDC" w14:textId="77777777" w:rsidR="009F66D2" w:rsidRDefault="009F66D2">
      <w:pPr>
        <w:spacing w:beforeLines="50" w:before="156" w:afterLines="50" w:after="156"/>
        <w:rPr>
          <w:sz w:val="24"/>
        </w:rPr>
      </w:pPr>
    </w:p>
    <w:p w14:paraId="0766D0B0" w14:textId="77777777" w:rsidR="009F66D2" w:rsidRDefault="00000000">
      <w:pPr>
        <w:spacing w:beforeLines="50" w:before="156" w:afterLines="50" w:after="156"/>
        <w:rPr>
          <w:b/>
          <w:bCs/>
          <w:sz w:val="24"/>
        </w:rPr>
      </w:pPr>
      <w:r>
        <w:rPr>
          <w:b/>
          <w:bCs/>
          <w:sz w:val="24"/>
        </w:rPr>
        <w:t>Table S2 Effect of fertilization management on photosynthesis parameters of sword leaf at rice heading stage (2017).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272"/>
        <w:gridCol w:w="2652"/>
        <w:gridCol w:w="1960"/>
      </w:tblGrid>
      <w:tr w:rsidR="009F66D2" w14:paraId="38553959" w14:textId="77777777">
        <w:trPr>
          <w:trHeight w:val="270"/>
        </w:trPr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609D59" w14:textId="77777777" w:rsidR="009F66D2" w:rsidRDefault="0000000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8115A8" w14:textId="77777777" w:rsidR="009F66D2" w:rsidRDefault="0000000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Photosynthesis rate</w:t>
            </w:r>
          </w:p>
        </w:tc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289BF6" w14:textId="77777777" w:rsidR="009F66D2" w:rsidRDefault="0000000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Stomatal conductance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3DC3F" w14:textId="77777777" w:rsidR="009F66D2" w:rsidRDefault="0000000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Transpiration rate</w:t>
            </w:r>
          </w:p>
        </w:tc>
      </w:tr>
      <w:tr w:rsidR="009F66D2" w14:paraId="6AD75CEC" w14:textId="77777777">
        <w:trPr>
          <w:trHeight w:val="270"/>
        </w:trPr>
        <w:tc>
          <w:tcPr>
            <w:tcW w:w="9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85EAB7" w14:textId="77777777" w:rsidR="009F66D2" w:rsidRDefault="0000000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CF</w:t>
            </w:r>
          </w:p>
        </w:tc>
        <w:tc>
          <w:tcPr>
            <w:tcW w:w="13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8A5117" w14:textId="77777777" w:rsidR="009F66D2" w:rsidRDefault="0000000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19.5±1.1 b</w:t>
            </w: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559454" w14:textId="77777777" w:rsidR="009F66D2" w:rsidRDefault="0000000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0.9±0.07 b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284476" w14:textId="77777777" w:rsidR="009F66D2" w:rsidRDefault="0000000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9.1±0.5 a</w:t>
            </w:r>
          </w:p>
        </w:tc>
      </w:tr>
      <w:tr w:rsidR="009F66D2" w14:paraId="34EB9DEA" w14:textId="77777777">
        <w:trPr>
          <w:trHeight w:val="270"/>
        </w:trPr>
        <w:tc>
          <w:tcPr>
            <w:tcW w:w="961" w:type="pct"/>
            <w:shd w:val="clear" w:color="auto" w:fill="auto"/>
            <w:noWrap/>
            <w:vAlign w:val="center"/>
          </w:tcPr>
          <w:p w14:paraId="6314C5E4" w14:textId="77777777" w:rsidR="009F66D2" w:rsidRDefault="0000000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BRTI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14:paraId="2EF894EB" w14:textId="77777777" w:rsidR="009F66D2" w:rsidRDefault="0000000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22.8±1.0 a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14:paraId="1175D417" w14:textId="77777777" w:rsidR="009F66D2" w:rsidRDefault="0000000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1.2±0.07 a</w:t>
            </w:r>
          </w:p>
        </w:tc>
        <w:tc>
          <w:tcPr>
            <w:tcW w:w="1150" w:type="pct"/>
            <w:shd w:val="clear" w:color="auto" w:fill="auto"/>
            <w:noWrap/>
            <w:vAlign w:val="center"/>
          </w:tcPr>
          <w:p w14:paraId="70562C3A" w14:textId="77777777" w:rsidR="009F66D2" w:rsidRDefault="0000000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10.0±0.3 a</w:t>
            </w:r>
          </w:p>
        </w:tc>
      </w:tr>
      <w:tr w:rsidR="009F66D2" w14:paraId="0DBCE1BB" w14:textId="77777777">
        <w:trPr>
          <w:trHeight w:val="270"/>
        </w:trPr>
        <w:tc>
          <w:tcPr>
            <w:tcW w:w="961" w:type="pct"/>
            <w:shd w:val="clear" w:color="auto" w:fill="auto"/>
            <w:noWrap/>
            <w:vAlign w:val="center"/>
          </w:tcPr>
          <w:p w14:paraId="4E15E2C3" w14:textId="77777777" w:rsidR="009F66D2" w:rsidRDefault="0000000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BRTS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14:paraId="38A93AFE" w14:textId="77777777" w:rsidR="009F66D2" w:rsidRDefault="0000000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23.3±0.7 a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14:paraId="4F48E82E" w14:textId="77777777" w:rsidR="009F66D2" w:rsidRDefault="0000000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1.1±0.05 a</w:t>
            </w:r>
          </w:p>
        </w:tc>
        <w:tc>
          <w:tcPr>
            <w:tcW w:w="1150" w:type="pct"/>
            <w:shd w:val="clear" w:color="auto" w:fill="auto"/>
            <w:noWrap/>
            <w:vAlign w:val="center"/>
          </w:tcPr>
          <w:p w14:paraId="3B00189C" w14:textId="77777777" w:rsidR="009F66D2" w:rsidRDefault="00000000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9.2</w:t>
            </w:r>
            <w:r>
              <w:rPr>
                <w:rFonts w:hint="eastAsia"/>
                <w:sz w:val="24"/>
              </w:rPr>
              <w:t>±</w:t>
            </w:r>
            <w:r>
              <w:rPr>
                <w:sz w:val="24"/>
              </w:rPr>
              <w:t>0.3 a</w:t>
            </w:r>
          </w:p>
        </w:tc>
      </w:tr>
    </w:tbl>
    <w:p w14:paraId="222C7A3C" w14:textId="77777777" w:rsidR="009F66D2" w:rsidRDefault="00000000">
      <w:pPr>
        <w:spacing w:beforeLines="50" w:before="156" w:afterLines="50" w:after="156"/>
        <w:rPr>
          <w:sz w:val="24"/>
        </w:rPr>
      </w:pPr>
      <w:r>
        <w:rPr>
          <w:sz w:val="24"/>
        </w:rPr>
        <w:t>Note: CF: conventional fertilization; RBIT: reduced basal and increased topdressing fertilizer rate; RBITS: RBIT combined with straw incorporation. MWD: mean weight diameter. Different lowercase letters represent significant differences (</w:t>
      </w:r>
      <w:r>
        <w:rPr>
          <w:i/>
          <w:sz w:val="24"/>
        </w:rPr>
        <w:t>P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≤</w:t>
      </w:r>
      <w:r>
        <w:rPr>
          <w:rFonts w:hint="eastAsia"/>
          <w:sz w:val="24"/>
        </w:rPr>
        <w:t xml:space="preserve"> 0.05) among treatments. Data: </w:t>
      </w:r>
      <w:proofErr w:type="spellStart"/>
      <w:r>
        <w:rPr>
          <w:rFonts w:hint="eastAsia"/>
          <w:sz w:val="24"/>
        </w:rPr>
        <w:t>mean</w:t>
      </w:r>
      <w:r>
        <w:rPr>
          <w:kern w:val="0"/>
          <w:sz w:val="24"/>
        </w:rPr>
        <w:t>±</w:t>
      </w:r>
      <w:r>
        <w:rPr>
          <w:sz w:val="24"/>
        </w:rPr>
        <w:t>standard</w:t>
      </w:r>
      <w:proofErr w:type="spellEnd"/>
      <w:r>
        <w:rPr>
          <w:sz w:val="24"/>
        </w:rPr>
        <w:t xml:space="preserve"> error (SE).</w:t>
      </w:r>
    </w:p>
    <w:p w14:paraId="1F5A0539" w14:textId="77777777" w:rsidR="009F66D2" w:rsidRDefault="009F66D2"/>
    <w:sectPr w:rsidR="009F66D2" w:rsidSect="00483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M2MGJmZDJjY2IwMjg5NjI3MWU3YzNiZWQ2MGFlMWYifQ=="/>
  </w:docVars>
  <w:rsids>
    <w:rsidRoot w:val="4C992928"/>
    <w:rsid w:val="00483CE6"/>
    <w:rsid w:val="009F66D2"/>
    <w:rsid w:val="296E3578"/>
    <w:rsid w:val="4C99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C8DFD"/>
  <w15:docId w15:val="{B264A6CC-C5A8-47EA-9B4B-12DBE980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483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执行者</dc:creator>
  <cp:lastModifiedBy>India Humphreys</cp:lastModifiedBy>
  <cp:revision>2</cp:revision>
  <dcterms:created xsi:type="dcterms:W3CDTF">2022-07-12T06:56:00Z</dcterms:created>
  <dcterms:modified xsi:type="dcterms:W3CDTF">2022-08-09T10:11:00Z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C45364D996D045498D4BDF00E12AA8A2</vt:lpwstr>
  </property>
</Properties>
</file>