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73375" w14:textId="77777777" w:rsidR="0003116C" w:rsidRDefault="00000000">
      <w:pPr>
        <w:pStyle w:val="Standard"/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54DCBA4" wp14:editId="448A528E">
            <wp:simplePos x="0" y="0"/>
            <wp:positionH relativeFrom="column">
              <wp:posOffset>719998</wp:posOffset>
            </wp:positionH>
            <wp:positionV relativeFrom="paragraph">
              <wp:posOffset>0</wp:posOffset>
            </wp:positionV>
            <wp:extent cx="4797399" cy="3559301"/>
            <wp:effectExtent l="0" t="0" r="3201" b="3049"/>
            <wp:wrapTopAndBottom/>
            <wp:docPr id="1" name="Image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97399" cy="3559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7E4E88" w14:textId="76E4054B" w:rsidR="0003116C" w:rsidRPr="009F6AF9" w:rsidRDefault="00000000">
      <w:pPr>
        <w:pStyle w:val="Standard"/>
        <w:spacing w:line="480" w:lineRule="auto"/>
        <w:rPr>
          <w:rFonts w:cs="Times New Roman"/>
        </w:rPr>
      </w:pPr>
      <w:r>
        <w:rPr>
          <w:rFonts w:cs="Times New Roman"/>
        </w:rPr>
        <w:t xml:space="preserve">Figure S1:  Caudate connectivity gradients derived using prior templates.  Medial-lateral gradient </w:t>
      </w:r>
      <w:r>
        <w:rPr>
          <w:rFonts w:cs="Times New Roman"/>
          <w:b/>
          <w:bCs/>
        </w:rPr>
        <w:t>(A)</w:t>
      </w:r>
      <w:r>
        <w:rPr>
          <w:rFonts w:cs="Times New Roman"/>
        </w:rPr>
        <w:t xml:space="preserve"> and Diagonal gradient </w:t>
      </w:r>
      <w:r>
        <w:rPr>
          <w:rFonts w:cs="Times New Roman"/>
          <w:b/>
          <w:bCs/>
        </w:rPr>
        <w:t>(B)</w:t>
      </w:r>
      <w:r>
        <w:rPr>
          <w:rFonts w:cs="Times New Roman"/>
        </w:rPr>
        <w:t>, as defined by previous empirically driven gradient discovery across the striatum (</w:t>
      </w:r>
      <w:proofErr w:type="spellStart"/>
      <w:r>
        <w:rPr>
          <w:rFonts w:cs="Times New Roman"/>
        </w:rPr>
        <w:t>O’Rawe</w:t>
      </w:r>
      <w:proofErr w:type="spellEnd"/>
      <w:r>
        <w:rPr>
          <w:rFonts w:cs="Times New Roman"/>
        </w:rPr>
        <w:t>, Ide, and Leung, 2019), demonstrate similar caudate-cortical biases as the orthogonal M-L and A-P dimensions shown in Figure 2.</w:t>
      </w:r>
      <w:r w:rsidR="00B35E0E">
        <w:rPr>
          <w:rFonts w:cs="Times New Roman"/>
        </w:rPr>
        <w:t xml:space="preserve">  Note: </w:t>
      </w:r>
      <w:r w:rsidR="009F6AF9">
        <w:rPr>
          <w:rFonts w:cs="Times New Roman"/>
        </w:rPr>
        <w:t>For both (A) and (B),</w:t>
      </w:r>
      <w:r w:rsidR="00B35E0E" w:rsidRPr="00B35E0E">
        <w:rPr>
          <w:rFonts w:cs="Times New Roman"/>
        </w:rPr>
        <w:t xml:space="preserve"> </w:t>
      </w:r>
      <w:r w:rsidR="009F6AF9">
        <w:rPr>
          <w:rFonts w:cs="Times New Roman"/>
        </w:rPr>
        <w:t xml:space="preserve">the </w:t>
      </w:r>
      <w:r w:rsidR="00345E38">
        <w:rPr>
          <w:rFonts w:cs="Times New Roman"/>
        </w:rPr>
        <w:t>image on the left</w:t>
      </w:r>
      <w:r w:rsidR="009F6AF9">
        <w:rPr>
          <w:rFonts w:cs="Times New Roman"/>
        </w:rPr>
        <w:t xml:space="preserve"> shows </w:t>
      </w:r>
      <w:r w:rsidR="00B35E0E" w:rsidRPr="00B35E0E">
        <w:rPr>
          <w:rFonts w:cs="Times New Roman"/>
        </w:rPr>
        <w:t>the</w:t>
      </w:r>
      <w:r w:rsidR="00345E38">
        <w:rPr>
          <w:rFonts w:cs="Times New Roman"/>
        </w:rPr>
        <w:t xml:space="preserve"> caudate</w:t>
      </w:r>
      <w:r w:rsidR="00B35E0E" w:rsidRPr="00B35E0E">
        <w:rPr>
          <w:rFonts w:cs="Times New Roman"/>
        </w:rPr>
        <w:t xml:space="preserve"> </w:t>
      </w:r>
      <w:r w:rsidR="009F6AF9">
        <w:rPr>
          <w:rFonts w:cs="Times New Roman"/>
        </w:rPr>
        <w:t>spatial gradient</w:t>
      </w:r>
      <w:r w:rsidR="00B35E0E" w:rsidRPr="00B35E0E">
        <w:rPr>
          <w:rFonts w:cs="Times New Roman"/>
        </w:rPr>
        <w:t xml:space="preserve"> in the right hemisphere</w:t>
      </w:r>
      <w:r w:rsidR="001F07F8">
        <w:rPr>
          <w:rFonts w:cs="Times New Roman"/>
        </w:rPr>
        <w:t xml:space="preserve"> and</w:t>
      </w:r>
      <w:r w:rsidR="00B35E0E" w:rsidRPr="00B35E0E">
        <w:rPr>
          <w:rFonts w:cs="Times New Roman"/>
        </w:rPr>
        <w:t xml:space="preserve"> the </w:t>
      </w:r>
      <w:r w:rsidR="00345E38">
        <w:rPr>
          <w:rFonts w:cs="Times New Roman"/>
        </w:rPr>
        <w:t xml:space="preserve">two images on the right </w:t>
      </w:r>
      <w:r w:rsidR="001F07F8">
        <w:rPr>
          <w:rFonts w:cs="Times New Roman"/>
        </w:rPr>
        <w:t>are</w:t>
      </w:r>
      <w:r w:rsidR="00345E38">
        <w:rPr>
          <w:rFonts w:cs="Times New Roman"/>
        </w:rPr>
        <w:t xml:space="preserve"> the </w:t>
      </w:r>
      <w:r w:rsidR="00B35E0E">
        <w:rPr>
          <w:rFonts w:cs="Times New Roman"/>
        </w:rPr>
        <w:t>corresponding</w:t>
      </w:r>
      <w:r w:rsidR="00B35E0E" w:rsidRPr="00B35E0E">
        <w:rPr>
          <w:rFonts w:cs="Times New Roman"/>
        </w:rPr>
        <w:t xml:space="preserve"> </w:t>
      </w:r>
      <w:r w:rsidR="00B35E0E">
        <w:rPr>
          <w:rFonts w:cs="Times New Roman"/>
        </w:rPr>
        <w:t>caudate-</w:t>
      </w:r>
      <w:r w:rsidR="00B35E0E" w:rsidRPr="00B35E0E">
        <w:rPr>
          <w:rFonts w:cs="Times New Roman"/>
        </w:rPr>
        <w:t xml:space="preserve">cortical </w:t>
      </w:r>
      <w:r w:rsidR="00B35E0E">
        <w:rPr>
          <w:rFonts w:cs="Times New Roman"/>
        </w:rPr>
        <w:t xml:space="preserve">connectivity </w:t>
      </w:r>
      <w:r w:rsidR="00B35E0E" w:rsidRPr="00B35E0E">
        <w:rPr>
          <w:rFonts w:cs="Times New Roman"/>
        </w:rPr>
        <w:t>map</w:t>
      </w:r>
      <w:r w:rsidR="00345E38">
        <w:rPr>
          <w:rFonts w:cs="Times New Roman"/>
        </w:rPr>
        <w:t>s</w:t>
      </w:r>
      <w:r w:rsidR="001F07F8">
        <w:rPr>
          <w:rFonts w:cs="Times New Roman"/>
        </w:rPr>
        <w:t>.</w:t>
      </w:r>
      <w:r w:rsidR="00B35E0E">
        <w:rPr>
          <w:rFonts w:cs="Times New Roman"/>
        </w:rPr>
        <w:t xml:space="preserve"> </w:t>
      </w:r>
    </w:p>
    <w:p w14:paraId="12977FA4" w14:textId="77777777" w:rsidR="0003116C" w:rsidRDefault="0003116C">
      <w:pPr>
        <w:pStyle w:val="Standard"/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59086DF3" w14:textId="77777777" w:rsidR="0003116C" w:rsidRDefault="0003116C">
      <w:pPr>
        <w:pStyle w:val="Standard"/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336EE609" w14:textId="77777777" w:rsidR="0003116C" w:rsidRDefault="0003116C">
      <w:pPr>
        <w:pStyle w:val="Standard"/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244A4551" w14:textId="77777777" w:rsidR="0003116C" w:rsidRDefault="00000000">
      <w:pPr>
        <w:pStyle w:val="Standard"/>
        <w:spacing w:line="48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098DF4B8" wp14:editId="25F1F63C">
            <wp:extent cx="5936010" cy="5936010"/>
            <wp:effectExtent l="0" t="0" r="7590" b="7590"/>
            <wp:docPr id="2" name="Picture 18" descr="C:\Users\peadongle\AppData\Local\Microsoft\Windows\INetCache\Content.Word\dkefs_weighting_matrix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36010" cy="593601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Figure S2: D-KEFS PLS loading matrix.  Brighter colors denote larger positive loadings, darker colors denote larger negative loading.  Note, positive PLS weights for Component 1 suggest a dependence on switching, composed of both verbal and visuospatial tasks, while the negative PLS weights for Component 3 seem more related to switching in the verbal domain.</w:t>
      </w:r>
    </w:p>
    <w:p w14:paraId="5052031A" w14:textId="77777777" w:rsidR="0003116C" w:rsidRDefault="0003116C">
      <w:pPr>
        <w:pStyle w:val="Standard"/>
        <w:spacing w:line="480" w:lineRule="auto"/>
        <w:rPr>
          <w:rFonts w:ascii="Times New Roman" w:hAnsi="Times New Roman"/>
          <w:sz w:val="24"/>
          <w:szCs w:val="24"/>
        </w:rPr>
      </w:pPr>
    </w:p>
    <w:sectPr w:rsidR="0003116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03F518" w14:textId="77777777" w:rsidR="00F03B0A" w:rsidRDefault="00F03B0A">
      <w:r>
        <w:separator/>
      </w:r>
    </w:p>
  </w:endnote>
  <w:endnote w:type="continuationSeparator" w:id="0">
    <w:p w14:paraId="3AD0CB7B" w14:textId="77777777" w:rsidR="00F03B0A" w:rsidRDefault="00F03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oid Sans Fallback">
    <w:charset w:val="00"/>
    <w:family w:val="auto"/>
    <w:pitch w:val="variable"/>
  </w:font>
  <w:font w:name="FreeSans">
    <w:charset w:val="00"/>
    <w:family w:val="auto"/>
    <w:pitch w:val="variable"/>
  </w:font>
  <w:font w:name="DejaVu Sans"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4A820" w14:textId="77777777" w:rsidR="00071876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82FE5" w14:textId="77777777" w:rsidR="00F03B0A" w:rsidRDefault="00F03B0A">
      <w:r>
        <w:rPr>
          <w:color w:val="000000"/>
        </w:rPr>
        <w:separator/>
      </w:r>
    </w:p>
  </w:footnote>
  <w:footnote w:type="continuationSeparator" w:id="0">
    <w:p w14:paraId="30C64E67" w14:textId="77777777" w:rsidR="00F03B0A" w:rsidRDefault="00F03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B4E2D" w14:textId="77777777" w:rsidR="00071876" w:rsidRDefault="00000000">
    <w:pPr>
      <w:pStyle w:val="Header"/>
      <w:jc w:val="right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  <w:p w14:paraId="1422EE7D" w14:textId="77777777" w:rsidR="00071876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A04136"/>
    <w:multiLevelType w:val="multilevel"/>
    <w:tmpl w:val="EE8C240A"/>
    <w:styleLink w:val="NoList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 w16cid:durableId="1809779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03116C"/>
    <w:rsid w:val="0003116C"/>
    <w:rsid w:val="001F07F8"/>
    <w:rsid w:val="002E63FB"/>
    <w:rsid w:val="00323D00"/>
    <w:rsid w:val="00345E38"/>
    <w:rsid w:val="009F2BA5"/>
    <w:rsid w:val="009F6AF9"/>
    <w:rsid w:val="00B35E0E"/>
    <w:rsid w:val="00C7789F"/>
    <w:rsid w:val="00CB6F4F"/>
    <w:rsid w:val="00F03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64B8C"/>
  <w15:docId w15:val="{2BE6AECE-5BAE-46DD-9202-F1D25BEF2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ahoma"/>
        <w:kern w:val="3"/>
        <w:sz w:val="22"/>
        <w:szCs w:val="22"/>
        <w:lang w:val="en-US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9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Times New Roman" w:eastAsia="Droid Sans Fallback" w:hAnsi="Times New Roman" w:cs="Free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">
    <w:name w:val="List"/>
    <w:basedOn w:val="Textbody"/>
    <w:rPr>
      <w:rFonts w:ascii="Times New Roman" w:eastAsia="Times New Roman" w:hAnsi="Times New Roman" w:cs="FreeSans"/>
      <w:sz w:val="24"/>
    </w:rPr>
  </w:style>
  <w:style w:type="paragraph" w:styleId="Caption">
    <w:name w:val="caption"/>
    <w:basedOn w:val="Standard"/>
    <w:pPr>
      <w:suppressLineNumbers/>
      <w:spacing w:before="120" w:after="120"/>
    </w:pPr>
    <w:rPr>
      <w:rFonts w:ascii="Times New Roman" w:eastAsia="Times New Roman" w:hAnsi="Times New Roman" w:cs="Free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ascii="Times New Roman" w:eastAsia="Times New Roman" w:hAnsi="Times New Roman" w:cs="FreeSans"/>
      <w:sz w:val="24"/>
    </w:rPr>
  </w:style>
  <w:style w:type="paragraph" w:customStyle="1" w:styleId="Standarduser">
    <w:name w:val="Standard (user)"/>
    <w:pPr>
      <w:widowControl/>
    </w:pPr>
    <w:rPr>
      <w:rFonts w:cs="DejaVu Sans"/>
      <w:color w:val="00000A"/>
    </w:rPr>
  </w:style>
  <w:style w:type="paragraph" w:styleId="BalloonText">
    <w:name w:val="Balloon Text"/>
    <w:basedOn w:val="Standard"/>
    <w:pPr>
      <w:spacing w:after="0" w:line="240" w:lineRule="auto"/>
    </w:pPr>
    <w:rPr>
      <w:rFonts w:ascii="Segoe UI" w:eastAsia="Segoe UI" w:hAnsi="Segoe UI" w:cs="Segoe UI"/>
      <w:sz w:val="18"/>
      <w:szCs w:val="18"/>
    </w:rPr>
  </w:style>
  <w:style w:type="paragraph" w:styleId="Header">
    <w:name w:val="header"/>
    <w:basedOn w:val="Standard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Standard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TableContents">
    <w:name w:val="Table Contents"/>
    <w:basedOn w:val="Standard"/>
  </w:style>
  <w:style w:type="character" w:styleId="CommentReference">
    <w:name w:val="annotation reference"/>
    <w:basedOn w:val="DefaultParagraphFont"/>
    <w:rPr>
      <w:sz w:val="16"/>
      <w:szCs w:val="16"/>
    </w:rPr>
  </w:style>
  <w:style w:type="character" w:customStyle="1" w:styleId="BalloonTextChar">
    <w:name w:val="Balloon Text Char"/>
    <w:basedOn w:val="DefaultParagraphFont"/>
    <w:rPr>
      <w:rFonts w:ascii="Segoe UI" w:eastAsia="Segoe UI" w:hAnsi="Segoe UI" w:cs="Segoe UI"/>
      <w:sz w:val="18"/>
      <w:szCs w:val="18"/>
    </w:rPr>
  </w:style>
  <w:style w:type="character" w:customStyle="1" w:styleId="HeaderChar">
    <w:name w:val="Header Char"/>
    <w:basedOn w:val="DefaultParagraphFont"/>
  </w:style>
  <w:style w:type="character" w:customStyle="1" w:styleId="FooterChar">
    <w:name w:val="Footer Char"/>
    <w:basedOn w:val="DefaultParagraphFont"/>
  </w:style>
  <w:style w:type="numbering" w:customStyle="1" w:styleId="NoList1">
    <w:name w:val="No List_1"/>
    <w:basedOn w:val="NoList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peadongle</dc:creator>
  <cp:lastModifiedBy>hc</cp:lastModifiedBy>
  <cp:revision>5</cp:revision>
  <dcterms:created xsi:type="dcterms:W3CDTF">2022-09-06T14:39:00Z</dcterms:created>
  <dcterms:modified xsi:type="dcterms:W3CDTF">2022-09-06T15:12:00Z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ZOTERO_PREF_1">
    <vt:lpwstr>&lt;data data-version="3" zotero-version="5.0.73"&gt;&lt;session id="6C7919mh"/&gt;&lt;style id="http://www.zotero.org/styles/apa" locale="en-US" hasBibliography="1" bibliographyStyleHasBeenSet="0"/&gt;&lt;prefs&gt;&lt;pref name="fieldType" value="ReferenceMark"/&gt;&lt;/prefs&gt;&lt;/data&gt;</vt:lpwstr>
  </property>
</Properties>
</file>