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CD84D" w14:textId="77777777" w:rsidR="000947B1" w:rsidRPr="001549D3" w:rsidRDefault="000947B1" w:rsidP="000947B1">
      <w:pPr>
        <w:pStyle w:val="SupplementaryMaterial"/>
        <w:jc w:val="both"/>
        <w:rPr>
          <w:b w:val="0"/>
        </w:rPr>
      </w:pPr>
      <w:r w:rsidRPr="001549D3">
        <w:t>Supplementary Material</w:t>
      </w:r>
    </w:p>
    <w:p w14:paraId="2F32B7C6" w14:textId="77777777" w:rsidR="000947B1" w:rsidRPr="00207129" w:rsidRDefault="000947B1" w:rsidP="000947B1">
      <w:pPr>
        <w:pStyle w:val="Odstavecseseznamem"/>
        <w:keepNext/>
        <w:numPr>
          <w:ilvl w:val="0"/>
          <w:numId w:val="2"/>
        </w:numPr>
        <w:jc w:val="both"/>
        <w:rPr>
          <w:b/>
          <w:bCs/>
        </w:rPr>
      </w:pPr>
      <w:r w:rsidRPr="00207129">
        <w:rPr>
          <w:b/>
          <w:bCs/>
        </w:rPr>
        <w:t xml:space="preserve">Supplementary Figures </w:t>
      </w:r>
    </w:p>
    <w:p w14:paraId="47C0EA71" w14:textId="77777777" w:rsidR="000947B1" w:rsidRPr="00FE2188" w:rsidRDefault="000947B1" w:rsidP="000947B1">
      <w:pPr>
        <w:keepNext/>
        <w:jc w:val="both"/>
        <w:rPr>
          <w:rFonts w:cs="Times New Roman"/>
          <w:b/>
          <w:bCs/>
          <w:szCs w:val="24"/>
        </w:rPr>
      </w:pPr>
      <w:r w:rsidRPr="00FE2188">
        <w:rPr>
          <w:rFonts w:cs="Times New Roman"/>
          <w:b/>
          <w:bCs/>
          <w:szCs w:val="24"/>
        </w:rPr>
        <w:t xml:space="preserve">Figure S1. Differential accumulation of photosynthetic pigments in the wild-type and </w:t>
      </w:r>
      <w:proofErr w:type="spellStart"/>
      <w:r w:rsidRPr="00FE2188">
        <w:rPr>
          <w:rFonts w:cs="Times New Roman"/>
          <w:b/>
          <w:bCs/>
          <w:i/>
          <w:iCs/>
          <w:szCs w:val="24"/>
        </w:rPr>
        <w:t>arr</w:t>
      </w:r>
      <w:proofErr w:type="spellEnd"/>
      <w:r w:rsidRPr="00FE2188">
        <w:rPr>
          <w:rFonts w:cs="Times New Roman"/>
          <w:b/>
          <w:bCs/>
          <w:szCs w:val="24"/>
        </w:rPr>
        <w:t xml:space="preserve"> mutants under control and heat stress conditions. Related to Figure 2.</w:t>
      </w:r>
    </w:p>
    <w:p w14:paraId="4EEEBDC7" w14:textId="77777777" w:rsidR="000947B1" w:rsidRPr="00FE2188" w:rsidRDefault="000947B1" w:rsidP="000947B1">
      <w:pPr>
        <w:autoSpaceDE w:val="0"/>
        <w:autoSpaceDN w:val="0"/>
        <w:adjustRightInd w:val="0"/>
        <w:spacing w:before="0" w:after="0"/>
        <w:jc w:val="both"/>
        <w:rPr>
          <w:rFonts w:cs="Times New Roman"/>
          <w:szCs w:val="24"/>
        </w:rPr>
      </w:pPr>
      <w:r w:rsidRPr="00FE2188">
        <w:rPr>
          <w:rFonts w:cs="Times New Roman"/>
          <w:szCs w:val="24"/>
        </w:rPr>
        <w:t xml:space="preserve">Histograms representing total chlorophyll content, chlorophyll a, chlorophyll b, total carotenoids, chlorophyll a and b ratio, and the ratio of total chlorophyll and carotenoid. The contents are normalized with respect to the control group of each genotype to show the relative changes. The statistical significance is shown between the WT and </w:t>
      </w:r>
      <w:proofErr w:type="spellStart"/>
      <w:r w:rsidRPr="00FE2188">
        <w:rPr>
          <w:rFonts w:cs="Times New Roman"/>
          <w:i/>
          <w:iCs/>
          <w:szCs w:val="24"/>
        </w:rPr>
        <w:t>arr</w:t>
      </w:r>
      <w:proofErr w:type="spellEnd"/>
      <w:r w:rsidRPr="00FE2188">
        <w:rPr>
          <w:rFonts w:cs="Times New Roman"/>
          <w:szCs w:val="24"/>
        </w:rPr>
        <w:t xml:space="preserve"> mutants within the same treatment group. Error bars represent ±SE (two-way ANOVA, *P-value ≤ 0.05, Bonferroni post-hoc test, n=3, 13-15 plants were taken for each biological replicate. </w:t>
      </w:r>
    </w:p>
    <w:p w14:paraId="37F35522" w14:textId="77777777" w:rsidR="000947B1" w:rsidRPr="003D16E4" w:rsidRDefault="000947B1" w:rsidP="000947B1">
      <w:pPr>
        <w:keepNext/>
        <w:jc w:val="both"/>
        <w:rPr>
          <w:rFonts w:cs="Times New Roman"/>
          <w:b/>
          <w:szCs w:val="24"/>
        </w:rPr>
      </w:pPr>
      <w:r w:rsidRPr="003D16E4">
        <w:rPr>
          <w:rFonts w:cs="Times New Roman"/>
          <w:b/>
          <w:bCs/>
          <w:szCs w:val="24"/>
        </w:rPr>
        <w:lastRenderedPageBreak/>
        <w:t>Figure S</w:t>
      </w:r>
      <w:r>
        <w:rPr>
          <w:rFonts w:cs="Times New Roman"/>
          <w:b/>
          <w:bCs/>
          <w:szCs w:val="24"/>
        </w:rPr>
        <w:t>2</w:t>
      </w:r>
      <w:r w:rsidRPr="003D16E4">
        <w:rPr>
          <w:rFonts w:cs="Times New Roman"/>
          <w:b/>
          <w:bCs/>
          <w:szCs w:val="24"/>
        </w:rPr>
        <w:t>. Overview of the proteomics dynamics following a heat</w:t>
      </w:r>
      <w:r>
        <w:rPr>
          <w:rFonts w:cs="Times New Roman"/>
          <w:b/>
          <w:bCs/>
          <w:szCs w:val="24"/>
        </w:rPr>
        <w:t>-</w:t>
      </w:r>
      <w:r w:rsidRPr="003D16E4">
        <w:rPr>
          <w:rFonts w:cs="Times New Roman"/>
          <w:b/>
          <w:bCs/>
          <w:szCs w:val="24"/>
        </w:rPr>
        <w:t>acclimatization phase. Related to Figure 4.</w:t>
      </w:r>
    </w:p>
    <w:p w14:paraId="0D15CB07" w14:textId="77777777" w:rsidR="000947B1" w:rsidRPr="00415BF1" w:rsidRDefault="000947B1" w:rsidP="000947B1">
      <w:pPr>
        <w:keepNext/>
        <w:jc w:val="both"/>
        <w:rPr>
          <w:rFonts w:cs="Times New Roman"/>
          <w:szCs w:val="24"/>
        </w:rPr>
      </w:pPr>
      <w:r w:rsidRPr="003D16E4">
        <w:rPr>
          <w:rFonts w:cs="Times New Roman"/>
          <w:bCs/>
          <w:szCs w:val="24"/>
        </w:rPr>
        <w:t>(A)</w:t>
      </w:r>
      <w:r w:rsidRPr="0089176C">
        <w:rPr>
          <w:rFonts w:cs="Times New Roman"/>
          <w:bCs/>
          <w:szCs w:val="24"/>
        </w:rPr>
        <w:t xml:space="preserve"> Enriched functional clusters of the DAPs in WT seedlings after heat-acclimatization. (B) Enriched functional clusters of the proteins showing interaction in two-way ANOVA (</w:t>
      </w:r>
      <w:r>
        <w:rPr>
          <w:rFonts w:cs="Times New Roman"/>
          <w:bCs/>
          <w:szCs w:val="24"/>
        </w:rPr>
        <w:t>genotype x treatment</w:t>
      </w:r>
      <w:r w:rsidRPr="0089176C">
        <w:rPr>
          <w:rFonts w:cs="Times New Roman"/>
          <w:bCs/>
          <w:szCs w:val="24"/>
        </w:rPr>
        <w:t>)</w:t>
      </w:r>
      <w:r>
        <w:rPr>
          <w:rFonts w:cs="Times New Roman"/>
          <w:bCs/>
          <w:szCs w:val="24"/>
        </w:rPr>
        <w:t xml:space="preserve"> </w:t>
      </w:r>
      <w:r>
        <w:rPr>
          <w:rFonts w:cs="Times New Roman"/>
          <w:szCs w:val="24"/>
        </w:rPr>
        <w:t xml:space="preserve">at </w:t>
      </w:r>
      <w:r w:rsidRPr="002C1202">
        <w:rPr>
          <w:rFonts w:cs="Times New Roman"/>
          <w:szCs w:val="24"/>
        </w:rPr>
        <w:t>P-value ≤ 0.05</w:t>
      </w:r>
      <w:r w:rsidRPr="0089176C">
        <w:rPr>
          <w:rFonts w:cs="Times New Roman"/>
          <w:bCs/>
          <w:szCs w:val="24"/>
        </w:rPr>
        <w:t xml:space="preserve">. The network visualization is done in </w:t>
      </w:r>
      <w:proofErr w:type="spellStart"/>
      <w:r w:rsidRPr="0089176C">
        <w:rPr>
          <w:rFonts w:cs="Times New Roman"/>
          <w:bCs/>
          <w:szCs w:val="24"/>
        </w:rPr>
        <w:t>Cytoscape</w:t>
      </w:r>
      <w:proofErr w:type="spellEnd"/>
      <w:r w:rsidRPr="0089176C">
        <w:rPr>
          <w:rFonts w:cs="Times New Roman"/>
          <w:bCs/>
          <w:szCs w:val="24"/>
        </w:rPr>
        <w:t xml:space="preserve"> v3.9.0 plugin </w:t>
      </w:r>
      <w:proofErr w:type="spellStart"/>
      <w:r w:rsidRPr="0089176C">
        <w:rPr>
          <w:rFonts w:cs="Times New Roman"/>
          <w:bCs/>
          <w:szCs w:val="24"/>
        </w:rPr>
        <w:t>Clugo</w:t>
      </w:r>
      <w:proofErr w:type="spellEnd"/>
      <w:r w:rsidRPr="0089176C">
        <w:rPr>
          <w:rFonts w:cs="Times New Roman"/>
          <w:bCs/>
          <w:szCs w:val="24"/>
        </w:rPr>
        <w:t xml:space="preserve">.  The nodes represent the GO terms and the size of the node represents term enrichment significance. The leading group name is based on the highest significance and only the pathways with P-value ≤ 0.05 are shown. (C) Graphical representation of the selected proteins showing interaction effect in two-way ANOVA </w:t>
      </w:r>
      <w:r>
        <w:rPr>
          <w:rFonts w:cs="Times New Roman"/>
          <w:bCs/>
          <w:szCs w:val="24"/>
        </w:rPr>
        <w:t xml:space="preserve">(genotype x treatment) </w:t>
      </w:r>
      <w:r w:rsidRPr="0022075E">
        <w:rPr>
          <w:rFonts w:cs="Times New Roman"/>
          <w:szCs w:val="24"/>
        </w:rPr>
        <w:t xml:space="preserve">[Control vs. acclimatized, genotypes </w:t>
      </w:r>
      <w:r w:rsidRPr="00415BF1">
        <w:rPr>
          <w:rFonts w:cs="Times New Roman"/>
          <w:i/>
          <w:iCs/>
          <w:szCs w:val="24"/>
        </w:rPr>
        <w:t xml:space="preserve">arr3,4,5,6,8,9 </w:t>
      </w:r>
      <w:r w:rsidRPr="0022075E">
        <w:rPr>
          <w:rFonts w:cs="Times New Roman"/>
          <w:szCs w:val="24"/>
        </w:rPr>
        <w:t>vs WT]</w:t>
      </w:r>
      <w:r w:rsidRPr="0089176C">
        <w:rPr>
          <w:rFonts w:cs="Times New Roman"/>
          <w:bCs/>
          <w:szCs w:val="24"/>
        </w:rPr>
        <w:t>. The statistically significant differences between the heat-acclimatized and control samples of each genotype are indicated by an asterisk. Treatments were performed in at least 3 biological replicates. P-value ≤ 0.05, ns not significant.</w:t>
      </w:r>
    </w:p>
    <w:p w14:paraId="181A7E92" w14:textId="77777777" w:rsidR="000947B1" w:rsidRPr="003D16E4" w:rsidRDefault="000947B1" w:rsidP="000947B1">
      <w:pPr>
        <w:keepNext/>
        <w:jc w:val="both"/>
        <w:rPr>
          <w:rFonts w:cs="Times New Roman"/>
          <w:bCs/>
          <w:szCs w:val="24"/>
        </w:rPr>
      </w:pPr>
      <w:r w:rsidRPr="003D16E4">
        <w:rPr>
          <w:rFonts w:cs="Times New Roman"/>
          <w:b/>
          <w:bCs/>
          <w:szCs w:val="24"/>
        </w:rPr>
        <w:t>Figure S</w:t>
      </w:r>
      <w:r>
        <w:rPr>
          <w:rFonts w:cs="Times New Roman"/>
          <w:b/>
          <w:bCs/>
          <w:szCs w:val="24"/>
        </w:rPr>
        <w:t>3</w:t>
      </w:r>
      <w:r w:rsidRPr="003D16E4">
        <w:rPr>
          <w:rFonts w:cs="Times New Roman"/>
          <w:b/>
          <w:bCs/>
          <w:szCs w:val="24"/>
        </w:rPr>
        <w:t xml:space="preserve">. Proteomics changes triggered by heat-acclimatization in WT and </w:t>
      </w:r>
      <w:r w:rsidRPr="003D16E4">
        <w:rPr>
          <w:rFonts w:cs="Times New Roman"/>
          <w:b/>
          <w:bCs/>
          <w:i/>
          <w:iCs/>
          <w:szCs w:val="24"/>
        </w:rPr>
        <w:t>arr5,6,8,9</w:t>
      </w:r>
      <w:r w:rsidRPr="003D16E4">
        <w:rPr>
          <w:rFonts w:cs="Times New Roman"/>
          <w:b/>
          <w:bCs/>
          <w:szCs w:val="24"/>
        </w:rPr>
        <w:t xml:space="preserve"> mutant. Related to Figure 4.</w:t>
      </w:r>
    </w:p>
    <w:p w14:paraId="4B767544" w14:textId="77777777" w:rsidR="000947B1" w:rsidRPr="003D16E4" w:rsidRDefault="000947B1" w:rsidP="000947B1">
      <w:pPr>
        <w:keepNext/>
        <w:jc w:val="both"/>
        <w:rPr>
          <w:rFonts w:cs="Times New Roman"/>
          <w:bCs/>
          <w:szCs w:val="24"/>
        </w:rPr>
      </w:pPr>
      <w:r w:rsidRPr="007F10DE">
        <w:rPr>
          <w:rFonts w:cs="Times New Roman"/>
          <w:bCs/>
          <w:szCs w:val="24"/>
        </w:rPr>
        <w:t xml:space="preserve">Heat map view of DAPs upon heat-acclimatization/mild heat treatment. Only the proteins that show statistical interaction effect in two-way ANOVA (genotype x treatment) are shown in the heat map and the letters </w:t>
      </w:r>
      <w:r>
        <w:rPr>
          <w:rFonts w:cs="Times New Roman"/>
          <w:bCs/>
          <w:szCs w:val="24"/>
        </w:rPr>
        <w:t xml:space="preserve">on the heat map </w:t>
      </w:r>
      <w:r w:rsidRPr="007F10DE">
        <w:rPr>
          <w:rFonts w:cs="Times New Roman"/>
          <w:bCs/>
          <w:szCs w:val="24"/>
        </w:rPr>
        <w:t xml:space="preserve">indicate the statistical difference in Turkey’s test. The protein identities are listed on the right. The heatmap scale indicates relative abundance. Treatments were performed in at least 3 biological replicates. The heatmap visualization and hierarchical clustering are carried out using </w:t>
      </w:r>
      <w:proofErr w:type="spellStart"/>
      <w:r w:rsidRPr="007F10DE">
        <w:rPr>
          <w:rFonts w:cs="Times New Roman"/>
          <w:bCs/>
          <w:szCs w:val="24"/>
        </w:rPr>
        <w:t>MetaboAnalyst</w:t>
      </w:r>
      <w:proofErr w:type="spellEnd"/>
      <w:r w:rsidRPr="007F10DE">
        <w:rPr>
          <w:rFonts w:cs="Times New Roman"/>
          <w:bCs/>
          <w:szCs w:val="24"/>
        </w:rPr>
        <w:t xml:space="preserve"> 5.0. </w:t>
      </w:r>
      <w:proofErr w:type="spellStart"/>
      <w:r w:rsidRPr="0089176C">
        <w:rPr>
          <w:rFonts w:cs="Times New Roman"/>
          <w:b/>
          <w:bCs/>
          <w:i/>
          <w:iCs/>
          <w:szCs w:val="24"/>
        </w:rPr>
        <w:t>arrQ</w:t>
      </w:r>
      <w:r w:rsidRPr="0089176C">
        <w:rPr>
          <w:rFonts w:cs="Times New Roman"/>
          <w:b/>
          <w:bCs/>
          <w:szCs w:val="24"/>
        </w:rPr>
        <w:t>_C</w:t>
      </w:r>
      <w:proofErr w:type="spellEnd"/>
      <w:r w:rsidRPr="0089176C">
        <w:rPr>
          <w:rFonts w:cs="Times New Roman"/>
          <w:bCs/>
          <w:szCs w:val="24"/>
        </w:rPr>
        <w:t xml:space="preserve">: </w:t>
      </w:r>
      <w:r w:rsidRPr="0089176C">
        <w:rPr>
          <w:rFonts w:cs="Times New Roman"/>
          <w:bCs/>
          <w:i/>
          <w:iCs/>
          <w:szCs w:val="24"/>
        </w:rPr>
        <w:t>arr5,6,8,9</w:t>
      </w:r>
      <w:r w:rsidRPr="0089176C">
        <w:rPr>
          <w:rFonts w:cs="Times New Roman"/>
          <w:bCs/>
          <w:szCs w:val="24"/>
        </w:rPr>
        <w:t xml:space="preserve">_Control; </w:t>
      </w:r>
      <w:proofErr w:type="spellStart"/>
      <w:r w:rsidRPr="0089176C">
        <w:rPr>
          <w:rFonts w:cs="Times New Roman"/>
          <w:b/>
          <w:bCs/>
          <w:i/>
          <w:iCs/>
          <w:szCs w:val="24"/>
        </w:rPr>
        <w:t>arrQ</w:t>
      </w:r>
      <w:r w:rsidRPr="0089176C">
        <w:rPr>
          <w:rFonts w:cs="Times New Roman"/>
          <w:b/>
          <w:bCs/>
          <w:szCs w:val="24"/>
        </w:rPr>
        <w:t>_HA</w:t>
      </w:r>
      <w:proofErr w:type="spellEnd"/>
      <w:r w:rsidRPr="0089176C">
        <w:rPr>
          <w:rFonts w:cs="Times New Roman"/>
          <w:bCs/>
          <w:szCs w:val="24"/>
        </w:rPr>
        <w:t xml:space="preserve">: </w:t>
      </w:r>
      <w:r w:rsidRPr="0089176C">
        <w:rPr>
          <w:rFonts w:cs="Times New Roman"/>
          <w:bCs/>
          <w:i/>
          <w:iCs/>
          <w:szCs w:val="24"/>
        </w:rPr>
        <w:t>arr5,6,8,9</w:t>
      </w:r>
      <w:r w:rsidRPr="0089176C">
        <w:rPr>
          <w:rFonts w:cs="Times New Roman"/>
          <w:bCs/>
          <w:szCs w:val="24"/>
        </w:rPr>
        <w:t xml:space="preserve">_Heat-acclimatized; </w:t>
      </w:r>
      <w:r w:rsidRPr="0089176C">
        <w:rPr>
          <w:rFonts w:cs="Times New Roman"/>
          <w:b/>
          <w:bCs/>
          <w:szCs w:val="24"/>
        </w:rPr>
        <w:t>WT_C</w:t>
      </w:r>
      <w:r w:rsidRPr="0089176C">
        <w:rPr>
          <w:rFonts w:cs="Times New Roman"/>
          <w:bCs/>
          <w:szCs w:val="24"/>
        </w:rPr>
        <w:t xml:space="preserve">: </w:t>
      </w:r>
      <w:proofErr w:type="spellStart"/>
      <w:r w:rsidRPr="0089176C">
        <w:rPr>
          <w:rFonts w:cs="Times New Roman"/>
          <w:bCs/>
          <w:szCs w:val="24"/>
        </w:rPr>
        <w:t>WT_Control</w:t>
      </w:r>
      <w:proofErr w:type="spellEnd"/>
      <w:r w:rsidRPr="0089176C">
        <w:rPr>
          <w:rFonts w:cs="Times New Roman"/>
          <w:bCs/>
          <w:szCs w:val="24"/>
        </w:rPr>
        <w:t xml:space="preserve">; </w:t>
      </w:r>
      <w:r w:rsidRPr="0089176C">
        <w:rPr>
          <w:rFonts w:cs="Times New Roman"/>
          <w:b/>
          <w:bCs/>
          <w:szCs w:val="24"/>
        </w:rPr>
        <w:t>WT_HA</w:t>
      </w:r>
      <w:r w:rsidRPr="0089176C">
        <w:rPr>
          <w:rFonts w:cs="Times New Roman"/>
          <w:bCs/>
          <w:szCs w:val="24"/>
        </w:rPr>
        <w:t xml:space="preserve">: </w:t>
      </w:r>
      <w:proofErr w:type="spellStart"/>
      <w:r w:rsidRPr="0089176C">
        <w:rPr>
          <w:rFonts w:cs="Times New Roman"/>
          <w:bCs/>
          <w:szCs w:val="24"/>
        </w:rPr>
        <w:t>WT_Heat</w:t>
      </w:r>
      <w:proofErr w:type="spellEnd"/>
      <w:r w:rsidRPr="0089176C">
        <w:rPr>
          <w:rFonts w:cs="Times New Roman"/>
          <w:bCs/>
          <w:szCs w:val="24"/>
        </w:rPr>
        <w:t>-acclimatized</w:t>
      </w:r>
      <w:r w:rsidRPr="003D16E4">
        <w:rPr>
          <w:rFonts w:cs="Times New Roman"/>
          <w:bCs/>
          <w:szCs w:val="24"/>
        </w:rPr>
        <w:t xml:space="preserve"> </w:t>
      </w:r>
    </w:p>
    <w:p w14:paraId="1A7D7D75" w14:textId="77777777" w:rsidR="000947B1" w:rsidRPr="003D16E4" w:rsidRDefault="000947B1" w:rsidP="000947B1">
      <w:pPr>
        <w:keepNext/>
        <w:jc w:val="both"/>
        <w:rPr>
          <w:rFonts w:cs="Times New Roman"/>
          <w:bCs/>
          <w:szCs w:val="24"/>
        </w:rPr>
      </w:pPr>
      <w:r w:rsidRPr="003D16E4">
        <w:rPr>
          <w:rFonts w:cs="Times New Roman"/>
          <w:b/>
          <w:bCs/>
          <w:szCs w:val="24"/>
        </w:rPr>
        <w:t>Figure S</w:t>
      </w:r>
      <w:r>
        <w:rPr>
          <w:rFonts w:cs="Times New Roman"/>
          <w:b/>
          <w:bCs/>
          <w:szCs w:val="24"/>
        </w:rPr>
        <w:t>4</w:t>
      </w:r>
      <w:r w:rsidRPr="003D16E4">
        <w:rPr>
          <w:rFonts w:cs="Times New Roman"/>
          <w:b/>
          <w:bCs/>
          <w:szCs w:val="24"/>
        </w:rPr>
        <w:t xml:space="preserve">. Overview of the </w:t>
      </w:r>
      <w:r>
        <w:rPr>
          <w:rFonts w:cs="Times New Roman"/>
          <w:b/>
          <w:bCs/>
          <w:szCs w:val="24"/>
        </w:rPr>
        <w:t>metabolomic</w:t>
      </w:r>
      <w:r w:rsidRPr="003D16E4">
        <w:rPr>
          <w:rFonts w:cs="Times New Roman"/>
          <w:b/>
          <w:bCs/>
          <w:szCs w:val="24"/>
        </w:rPr>
        <w:t xml:space="preserve"> response to high temperature. Related to Figure 5.</w:t>
      </w:r>
    </w:p>
    <w:p w14:paraId="5B42BD7B" w14:textId="77777777" w:rsidR="000947B1" w:rsidRDefault="000947B1" w:rsidP="000947B1">
      <w:pPr>
        <w:keepNext/>
        <w:jc w:val="both"/>
        <w:rPr>
          <w:rFonts w:cs="Times New Roman"/>
          <w:bCs/>
          <w:szCs w:val="24"/>
        </w:rPr>
      </w:pPr>
      <w:r w:rsidRPr="00CC6BC3">
        <w:rPr>
          <w:rFonts w:cs="Times New Roman"/>
          <w:bCs/>
          <w:szCs w:val="24"/>
        </w:rPr>
        <w:t xml:space="preserve">Heat map visualization of (A) polar metabolites. (B) non-polar metabolites in the WT and </w:t>
      </w:r>
      <w:proofErr w:type="spellStart"/>
      <w:r w:rsidRPr="00CC6BC3">
        <w:rPr>
          <w:rFonts w:cs="Times New Roman"/>
          <w:bCs/>
          <w:i/>
          <w:iCs/>
          <w:szCs w:val="24"/>
        </w:rPr>
        <w:t>arr</w:t>
      </w:r>
      <w:proofErr w:type="spellEnd"/>
      <w:r w:rsidRPr="00CC6BC3">
        <w:rPr>
          <w:rFonts w:cs="Times New Roman"/>
          <w:bCs/>
          <w:szCs w:val="24"/>
        </w:rPr>
        <w:t xml:space="preserve"> mutants. (Treatments: 21°C - untreated control grown at 21°C; 37°C -acclimatization at 37°C for 1 h followed by 2 h of recovery at 21°C; 45°C - heat stress at 45°C for 2.5 h; 37°C&gt;45°C -</w:t>
      </w:r>
      <w:r w:rsidRPr="009F1D91">
        <w:rPr>
          <w:rFonts w:cs="Times New Roman"/>
          <w:bCs/>
          <w:szCs w:val="24"/>
        </w:rPr>
        <w:t xml:space="preserve"> </w:t>
      </w:r>
      <w:r w:rsidRPr="00CC6BC3">
        <w:rPr>
          <w:rFonts w:cs="Times New Roman"/>
          <w:bCs/>
          <w:szCs w:val="24"/>
        </w:rPr>
        <w:t>acclimatization at 37°C for 1 h followed by 2 h of recovery at 21°C and heat stress at 45°C for 2.5 h</w:t>
      </w:r>
      <w:r>
        <w:rPr>
          <w:rFonts w:cs="Times New Roman"/>
          <w:bCs/>
          <w:szCs w:val="24"/>
        </w:rPr>
        <w:t>)</w:t>
      </w:r>
      <w:r w:rsidRPr="00CC6BC3">
        <w:rPr>
          <w:rFonts w:cs="Times New Roman"/>
          <w:bCs/>
          <w:szCs w:val="24"/>
        </w:rPr>
        <w:t>.</w:t>
      </w:r>
    </w:p>
    <w:p w14:paraId="2A6BF891" w14:textId="77777777" w:rsidR="000947B1" w:rsidRPr="00FE2188" w:rsidRDefault="000947B1" w:rsidP="000947B1">
      <w:pPr>
        <w:keepNext/>
        <w:jc w:val="both"/>
        <w:rPr>
          <w:rFonts w:cs="Times New Roman"/>
          <w:b/>
          <w:bCs/>
          <w:szCs w:val="24"/>
        </w:rPr>
      </w:pPr>
      <w:r w:rsidRPr="00FE2188">
        <w:rPr>
          <w:rFonts w:cs="Times New Roman"/>
          <w:b/>
          <w:bCs/>
          <w:szCs w:val="24"/>
        </w:rPr>
        <w:t xml:space="preserve">Figure S5. Tocopherol biosynthetic pathway genes are differentially expressed in the type-A </w:t>
      </w:r>
      <w:proofErr w:type="spellStart"/>
      <w:r w:rsidRPr="00FE2188">
        <w:rPr>
          <w:rFonts w:cs="Times New Roman"/>
          <w:b/>
          <w:bCs/>
          <w:i/>
          <w:iCs/>
          <w:szCs w:val="24"/>
        </w:rPr>
        <w:t>arr</w:t>
      </w:r>
      <w:proofErr w:type="spellEnd"/>
      <w:r w:rsidRPr="00FE2188">
        <w:rPr>
          <w:rFonts w:cs="Times New Roman"/>
          <w:b/>
          <w:bCs/>
          <w:szCs w:val="24"/>
        </w:rPr>
        <w:t xml:space="preserve"> mutant. Related to Figure 5.</w:t>
      </w:r>
    </w:p>
    <w:p w14:paraId="0B2BA733" w14:textId="77777777" w:rsidR="000947B1" w:rsidRPr="00FE2188" w:rsidRDefault="000947B1" w:rsidP="000947B1">
      <w:pPr>
        <w:keepNext/>
        <w:jc w:val="both"/>
        <w:rPr>
          <w:rFonts w:cs="Times New Roman"/>
          <w:bCs/>
          <w:szCs w:val="24"/>
        </w:rPr>
      </w:pPr>
      <w:r w:rsidRPr="00FE2188">
        <w:rPr>
          <w:rFonts w:cs="Times New Roman"/>
          <w:bCs/>
          <w:szCs w:val="24"/>
        </w:rPr>
        <w:t xml:space="preserve">Tocopherol biosynthetic pathway in Arabidopsis and its differential regulation in the type-A </w:t>
      </w:r>
      <w:proofErr w:type="spellStart"/>
      <w:r w:rsidRPr="00FE2188">
        <w:rPr>
          <w:rFonts w:cs="Times New Roman"/>
          <w:bCs/>
          <w:i/>
          <w:iCs/>
          <w:szCs w:val="24"/>
        </w:rPr>
        <w:t>arr</w:t>
      </w:r>
      <w:proofErr w:type="spellEnd"/>
      <w:r w:rsidRPr="00FE2188">
        <w:rPr>
          <w:rFonts w:cs="Times New Roman"/>
          <w:bCs/>
          <w:szCs w:val="24"/>
        </w:rPr>
        <w:t xml:space="preserve"> mutant. </w:t>
      </w:r>
      <w:r w:rsidRPr="00FE2188">
        <w:rPr>
          <w:sz w:val="23"/>
          <w:szCs w:val="23"/>
          <w:shd w:val="clear" w:color="auto" w:fill="FFFFFF"/>
        </w:rPr>
        <w:t xml:space="preserve">The relative expression levels of </w:t>
      </w:r>
      <w:r w:rsidRPr="00FE2188">
        <w:rPr>
          <w:i/>
          <w:iCs/>
          <w:sz w:val="23"/>
          <w:szCs w:val="23"/>
          <w:shd w:val="clear" w:color="auto" w:fill="FFFFFF"/>
        </w:rPr>
        <w:t>TAT1</w:t>
      </w:r>
      <w:r w:rsidRPr="00FE2188">
        <w:rPr>
          <w:sz w:val="23"/>
          <w:szCs w:val="23"/>
          <w:shd w:val="clear" w:color="auto" w:fill="FFFFFF"/>
        </w:rPr>
        <w:t>, </w:t>
      </w:r>
      <w:r w:rsidRPr="00FE2188">
        <w:rPr>
          <w:i/>
          <w:iCs/>
          <w:sz w:val="23"/>
          <w:szCs w:val="23"/>
          <w:shd w:val="clear" w:color="auto" w:fill="FFFFFF"/>
        </w:rPr>
        <w:t>HPPD</w:t>
      </w:r>
      <w:r w:rsidRPr="00FE2188">
        <w:rPr>
          <w:sz w:val="23"/>
          <w:szCs w:val="23"/>
          <w:shd w:val="clear" w:color="auto" w:fill="FFFFFF"/>
        </w:rPr>
        <w:t>, </w:t>
      </w:r>
      <w:r w:rsidRPr="00FE2188">
        <w:rPr>
          <w:i/>
          <w:iCs/>
          <w:sz w:val="23"/>
          <w:szCs w:val="23"/>
          <w:shd w:val="clear" w:color="auto" w:fill="FFFFFF"/>
        </w:rPr>
        <w:t>VTE1</w:t>
      </w:r>
      <w:r w:rsidRPr="00FE2188">
        <w:rPr>
          <w:sz w:val="23"/>
          <w:szCs w:val="23"/>
          <w:shd w:val="clear" w:color="auto" w:fill="FFFFFF"/>
        </w:rPr>
        <w:t>, </w:t>
      </w:r>
      <w:r w:rsidRPr="00FE2188">
        <w:rPr>
          <w:i/>
          <w:iCs/>
          <w:sz w:val="23"/>
          <w:szCs w:val="23"/>
          <w:shd w:val="clear" w:color="auto" w:fill="FFFFFF"/>
        </w:rPr>
        <w:t>VTE2</w:t>
      </w:r>
      <w:r w:rsidRPr="00FE2188">
        <w:rPr>
          <w:sz w:val="23"/>
          <w:szCs w:val="23"/>
          <w:shd w:val="clear" w:color="auto" w:fill="FFFFFF"/>
        </w:rPr>
        <w:t>, </w:t>
      </w:r>
      <w:r w:rsidRPr="00FE2188">
        <w:rPr>
          <w:i/>
          <w:iCs/>
          <w:sz w:val="23"/>
          <w:szCs w:val="23"/>
          <w:shd w:val="clear" w:color="auto" w:fill="FFFFFF"/>
        </w:rPr>
        <w:t>VTE3</w:t>
      </w:r>
      <w:r w:rsidRPr="00FE2188">
        <w:rPr>
          <w:sz w:val="23"/>
          <w:szCs w:val="23"/>
          <w:shd w:val="clear" w:color="auto" w:fill="FFFFFF"/>
        </w:rPr>
        <w:t>, and </w:t>
      </w:r>
      <w:r w:rsidRPr="00FE2188">
        <w:rPr>
          <w:i/>
          <w:iCs/>
          <w:sz w:val="23"/>
          <w:szCs w:val="23"/>
          <w:shd w:val="clear" w:color="auto" w:fill="FFFFFF"/>
        </w:rPr>
        <w:t>VTE4</w:t>
      </w:r>
      <w:r w:rsidRPr="00FE2188">
        <w:rPr>
          <w:sz w:val="23"/>
          <w:szCs w:val="23"/>
          <w:shd w:val="clear" w:color="auto" w:fill="FFFFFF"/>
        </w:rPr>
        <w:t xml:space="preserve"> are shown by the heat maps above the respective genes. The treatment conditions are shown on the top of the heat maps (</w:t>
      </w:r>
      <w:r w:rsidRPr="00FE2188">
        <w:rPr>
          <w:rFonts w:cs="Times New Roman"/>
          <w:bCs/>
          <w:szCs w:val="24"/>
        </w:rPr>
        <w:t xml:space="preserve">21°C - untreated control grown at 21°C; 37°C&gt;21°C -acclimatization at 37°C for 1 h followed by 2 h of recovery at 21°C; 45°C - heat stress at 45°C for 2.5 h; 37°C&gt;21°C &gt;45°C - acclimatization at 37°C for 1 h followed by 2 h of recovery at 21°C and heat stress at 45°C for 2.5 h). The </w:t>
      </w:r>
      <w:r w:rsidRPr="00FE2188">
        <w:rPr>
          <w:rFonts w:cs="Times New Roman"/>
          <w:bCs/>
          <w:i/>
          <w:iCs/>
          <w:szCs w:val="24"/>
        </w:rPr>
        <w:t>arr3,4,5,6,8,9</w:t>
      </w:r>
      <w:r w:rsidRPr="00FE2188">
        <w:rPr>
          <w:rFonts w:cs="Times New Roman"/>
          <w:bCs/>
          <w:szCs w:val="24"/>
        </w:rPr>
        <w:t xml:space="preserve"> mutant is shown as </w:t>
      </w:r>
      <w:r w:rsidRPr="00FE2188">
        <w:rPr>
          <w:rFonts w:cs="Times New Roman"/>
          <w:bCs/>
          <w:i/>
          <w:iCs/>
          <w:szCs w:val="24"/>
        </w:rPr>
        <w:t>arr</w:t>
      </w:r>
      <w:r w:rsidRPr="00FE2188">
        <w:rPr>
          <w:rFonts w:cs="Times New Roman"/>
          <w:bCs/>
          <w:szCs w:val="24"/>
        </w:rPr>
        <w:t xml:space="preserve">. The asterisk shows the statistically significant difference between the WT and </w:t>
      </w:r>
      <w:proofErr w:type="spellStart"/>
      <w:r w:rsidRPr="00FE2188">
        <w:rPr>
          <w:rFonts w:cs="Times New Roman"/>
          <w:bCs/>
          <w:i/>
          <w:iCs/>
          <w:szCs w:val="24"/>
        </w:rPr>
        <w:t>arr</w:t>
      </w:r>
      <w:proofErr w:type="spellEnd"/>
      <w:r w:rsidRPr="00FE2188">
        <w:rPr>
          <w:rFonts w:cs="Times New Roman"/>
          <w:bCs/>
          <w:szCs w:val="24"/>
        </w:rPr>
        <w:t xml:space="preserve"> in one-way ANOVA. P-value ≤ 0.05. The relative abundance of the metabolites tyrosine (L-tyrosine), α-, β-, and γ-tocopherols are shown in the heat map.</w:t>
      </w:r>
    </w:p>
    <w:p w14:paraId="24B9FECF" w14:textId="77777777" w:rsidR="000947B1" w:rsidRPr="003D16E4" w:rsidRDefault="000947B1" w:rsidP="000947B1">
      <w:pPr>
        <w:keepNext/>
        <w:jc w:val="both"/>
        <w:rPr>
          <w:rFonts w:cs="Times New Roman"/>
          <w:bCs/>
          <w:szCs w:val="24"/>
        </w:rPr>
      </w:pPr>
      <w:r w:rsidRPr="003D16E4">
        <w:rPr>
          <w:rFonts w:cs="Times New Roman"/>
          <w:b/>
          <w:bCs/>
          <w:szCs w:val="24"/>
        </w:rPr>
        <w:lastRenderedPageBreak/>
        <w:t>Figure S</w:t>
      </w:r>
      <w:r>
        <w:rPr>
          <w:rFonts w:cs="Times New Roman"/>
          <w:b/>
          <w:bCs/>
          <w:szCs w:val="24"/>
        </w:rPr>
        <w:t>6</w:t>
      </w:r>
      <w:r w:rsidRPr="003D16E4">
        <w:rPr>
          <w:rFonts w:cs="Times New Roman"/>
          <w:b/>
          <w:bCs/>
          <w:szCs w:val="24"/>
        </w:rPr>
        <w:t>. Oxidative stress response in the absence of functional type-A ARRs. Related to Figure 6.</w:t>
      </w:r>
    </w:p>
    <w:p w14:paraId="0E711648" w14:textId="77777777" w:rsidR="000947B1" w:rsidRPr="0089176C" w:rsidRDefault="000947B1" w:rsidP="000947B1">
      <w:pPr>
        <w:keepNext/>
        <w:spacing w:after="120"/>
        <w:jc w:val="both"/>
        <w:rPr>
          <w:rFonts w:cs="Times New Roman"/>
          <w:bCs/>
          <w:szCs w:val="24"/>
        </w:rPr>
      </w:pPr>
      <w:r w:rsidRPr="0089176C">
        <w:rPr>
          <w:rFonts w:cs="Times New Roman"/>
          <w:bCs/>
          <w:szCs w:val="24"/>
        </w:rPr>
        <w:t xml:space="preserve">7 DAS seedlings grown on 0.5 X MS medium were transferred to the medium containing methyl </w:t>
      </w:r>
      <w:r w:rsidRPr="005A513F">
        <w:rPr>
          <w:rFonts w:cs="Times New Roman"/>
          <w:bCs/>
          <w:sz w:val="22"/>
        </w:rPr>
        <w:t>viologen (MV) or H</w:t>
      </w:r>
      <w:r w:rsidRPr="005A513F">
        <w:rPr>
          <w:rFonts w:cs="Times New Roman"/>
          <w:bCs/>
          <w:sz w:val="22"/>
          <w:vertAlign w:val="subscript"/>
        </w:rPr>
        <w:t>2</w:t>
      </w:r>
      <w:r w:rsidRPr="005A513F">
        <w:rPr>
          <w:rFonts w:cs="Times New Roman"/>
          <w:bCs/>
          <w:sz w:val="22"/>
        </w:rPr>
        <w:t>O</w:t>
      </w:r>
      <w:r w:rsidRPr="005A513F">
        <w:rPr>
          <w:rFonts w:cs="Times New Roman"/>
          <w:bCs/>
          <w:sz w:val="22"/>
          <w:vertAlign w:val="subscript"/>
        </w:rPr>
        <w:t xml:space="preserve">2 </w:t>
      </w:r>
      <w:r w:rsidRPr="005A513F">
        <w:rPr>
          <w:rFonts w:cs="Times New Roman"/>
          <w:bCs/>
          <w:sz w:val="22"/>
        </w:rPr>
        <w:t xml:space="preserve">and allowed to grow in the same plates for 3 weeks. The images shown </w:t>
      </w:r>
      <w:r w:rsidRPr="0089176C">
        <w:rPr>
          <w:rFonts w:cs="Times New Roman"/>
          <w:bCs/>
          <w:szCs w:val="24"/>
        </w:rPr>
        <w:t>are captured</w:t>
      </w:r>
      <w:r>
        <w:rPr>
          <w:rFonts w:cs="Times New Roman"/>
          <w:bCs/>
          <w:szCs w:val="24"/>
        </w:rPr>
        <w:t xml:space="preserve"> a</w:t>
      </w:r>
      <w:r w:rsidRPr="0089176C">
        <w:rPr>
          <w:rFonts w:cs="Times New Roman"/>
          <w:bCs/>
          <w:szCs w:val="24"/>
        </w:rPr>
        <w:t>fter 1 week of the transfer to the media containing MV and H</w:t>
      </w:r>
      <w:r w:rsidRPr="0089176C">
        <w:rPr>
          <w:rFonts w:cs="Times New Roman"/>
          <w:bCs/>
          <w:szCs w:val="24"/>
          <w:vertAlign w:val="subscript"/>
        </w:rPr>
        <w:t>2</w:t>
      </w:r>
      <w:r w:rsidRPr="0089176C">
        <w:rPr>
          <w:rFonts w:cs="Times New Roman"/>
          <w:bCs/>
          <w:szCs w:val="24"/>
        </w:rPr>
        <w:t>O</w:t>
      </w:r>
      <w:r w:rsidRPr="0089176C">
        <w:rPr>
          <w:rFonts w:cs="Times New Roman"/>
          <w:bCs/>
          <w:szCs w:val="24"/>
          <w:vertAlign w:val="subscript"/>
        </w:rPr>
        <w:t>2</w:t>
      </w:r>
      <w:r w:rsidRPr="0089176C">
        <w:rPr>
          <w:rFonts w:cs="Times New Roman"/>
          <w:bCs/>
          <w:szCs w:val="24"/>
        </w:rPr>
        <w:t xml:space="preserve">. The treatments were performed in 4 biological replicates. </w:t>
      </w:r>
    </w:p>
    <w:p w14:paraId="23707BC9" w14:textId="77777777" w:rsidR="000947B1" w:rsidRDefault="000947B1" w:rsidP="000947B1">
      <w:pPr>
        <w:keepNext/>
        <w:jc w:val="both"/>
        <w:rPr>
          <w:rFonts w:cs="Times New Roman"/>
          <w:b/>
          <w:bCs/>
          <w:szCs w:val="24"/>
        </w:rPr>
      </w:pPr>
    </w:p>
    <w:p w14:paraId="2D498744" w14:textId="77777777" w:rsidR="000947B1" w:rsidRDefault="000947B1" w:rsidP="000947B1">
      <w:pPr>
        <w:keepNext/>
        <w:jc w:val="both"/>
        <w:rPr>
          <w:rFonts w:cs="Times New Roman"/>
          <w:b/>
          <w:bCs/>
          <w:szCs w:val="24"/>
        </w:rPr>
      </w:pPr>
      <w:r w:rsidRPr="003D16E4">
        <w:rPr>
          <w:rFonts w:cs="Times New Roman"/>
          <w:b/>
          <w:bCs/>
          <w:szCs w:val="24"/>
        </w:rPr>
        <w:t>2</w:t>
      </w:r>
      <w:r>
        <w:rPr>
          <w:rFonts w:cs="Times New Roman"/>
          <w:b/>
          <w:bCs/>
          <w:szCs w:val="24"/>
        </w:rPr>
        <w:t>.</w:t>
      </w:r>
      <w:r w:rsidRPr="003D16E4">
        <w:rPr>
          <w:rFonts w:cs="Times New Roman"/>
          <w:b/>
          <w:bCs/>
          <w:szCs w:val="24"/>
        </w:rPr>
        <w:tab/>
        <w:t>Supplementary Tables</w:t>
      </w:r>
    </w:p>
    <w:p w14:paraId="78D70CD9" w14:textId="77777777" w:rsidR="000947B1" w:rsidRDefault="000947B1" w:rsidP="000947B1">
      <w:pPr>
        <w:keepNext/>
        <w:jc w:val="both"/>
        <w:rPr>
          <w:rFonts w:cs="Times New Roman"/>
          <w:szCs w:val="24"/>
        </w:rPr>
      </w:pPr>
      <w:r>
        <w:rPr>
          <w:rFonts w:cs="Times New Roman"/>
          <w:b/>
          <w:bCs/>
          <w:szCs w:val="24"/>
        </w:rPr>
        <w:t>Supplementary Table S1</w:t>
      </w:r>
      <w:r>
        <w:rPr>
          <w:rFonts w:cs="Times New Roman"/>
          <w:b/>
          <w:bCs/>
          <w:szCs w:val="24"/>
        </w:rPr>
        <w:tab/>
      </w:r>
      <w:r w:rsidRPr="0022075E">
        <w:rPr>
          <w:rFonts w:cs="Times New Roman"/>
          <w:szCs w:val="24"/>
        </w:rPr>
        <w:t xml:space="preserve">DAPs in </w:t>
      </w:r>
      <w:r w:rsidRPr="0022075E">
        <w:rPr>
          <w:rFonts w:cs="Times New Roman"/>
          <w:i/>
          <w:iCs/>
          <w:szCs w:val="24"/>
        </w:rPr>
        <w:t>arr3,4,5,6,8,9</w:t>
      </w:r>
      <w:r w:rsidRPr="0022075E">
        <w:rPr>
          <w:rFonts w:cs="Times New Roman"/>
          <w:szCs w:val="24"/>
        </w:rPr>
        <w:t xml:space="preserve"> compared to WT</w:t>
      </w:r>
    </w:p>
    <w:p w14:paraId="6D14D62B" w14:textId="77777777" w:rsidR="000947B1" w:rsidRDefault="000947B1" w:rsidP="000947B1">
      <w:pPr>
        <w:keepNext/>
        <w:jc w:val="both"/>
        <w:rPr>
          <w:rFonts w:cs="Times New Roman"/>
          <w:szCs w:val="24"/>
        </w:rPr>
      </w:pPr>
      <w:r>
        <w:rPr>
          <w:rFonts w:cs="Times New Roman"/>
          <w:b/>
          <w:bCs/>
          <w:szCs w:val="24"/>
        </w:rPr>
        <w:t>Supplementary Table S2</w:t>
      </w:r>
      <w:r>
        <w:rPr>
          <w:rFonts w:cs="Times New Roman"/>
          <w:b/>
          <w:bCs/>
          <w:szCs w:val="24"/>
        </w:rPr>
        <w:tab/>
      </w:r>
      <w:r w:rsidRPr="0022075E">
        <w:rPr>
          <w:rFonts w:cs="Times New Roman"/>
          <w:szCs w:val="24"/>
        </w:rPr>
        <w:t xml:space="preserve">DAPs in </w:t>
      </w:r>
      <w:r w:rsidRPr="0022075E">
        <w:rPr>
          <w:rFonts w:cs="Times New Roman"/>
          <w:i/>
          <w:iCs/>
          <w:szCs w:val="24"/>
        </w:rPr>
        <w:t>arr5,6,8,9</w:t>
      </w:r>
      <w:r w:rsidRPr="0022075E">
        <w:rPr>
          <w:rFonts w:cs="Times New Roman"/>
          <w:szCs w:val="24"/>
        </w:rPr>
        <w:t xml:space="preserve"> compared to WT</w:t>
      </w:r>
    </w:p>
    <w:p w14:paraId="53691AD8" w14:textId="77777777" w:rsidR="000947B1" w:rsidRDefault="000947B1" w:rsidP="000947B1">
      <w:pPr>
        <w:keepNext/>
        <w:jc w:val="both"/>
        <w:rPr>
          <w:rFonts w:cs="Times New Roman"/>
          <w:szCs w:val="24"/>
        </w:rPr>
      </w:pPr>
      <w:r>
        <w:rPr>
          <w:rFonts w:cs="Times New Roman"/>
          <w:b/>
          <w:bCs/>
          <w:szCs w:val="24"/>
        </w:rPr>
        <w:t>Supplementary Table S3</w:t>
      </w:r>
      <w:r>
        <w:rPr>
          <w:rFonts w:cs="Times New Roman"/>
          <w:b/>
          <w:bCs/>
          <w:szCs w:val="24"/>
        </w:rPr>
        <w:tab/>
      </w:r>
      <w:r w:rsidRPr="0022075E">
        <w:rPr>
          <w:rFonts w:cs="Times New Roman"/>
          <w:szCs w:val="24"/>
        </w:rPr>
        <w:t>DAPs in WT after heat-acclimatization</w:t>
      </w:r>
    </w:p>
    <w:p w14:paraId="0237A79D" w14:textId="77777777" w:rsidR="000947B1" w:rsidRDefault="000947B1" w:rsidP="000947B1">
      <w:pPr>
        <w:keepNext/>
        <w:jc w:val="both"/>
        <w:rPr>
          <w:rFonts w:cs="Times New Roman"/>
          <w:szCs w:val="24"/>
        </w:rPr>
      </w:pPr>
      <w:r>
        <w:rPr>
          <w:rFonts w:cs="Times New Roman"/>
          <w:b/>
          <w:bCs/>
          <w:szCs w:val="24"/>
        </w:rPr>
        <w:t>Supplementary Table S4</w:t>
      </w:r>
      <w:r>
        <w:rPr>
          <w:rFonts w:cs="Times New Roman"/>
          <w:b/>
          <w:bCs/>
          <w:szCs w:val="24"/>
        </w:rPr>
        <w:tab/>
      </w:r>
      <w:r w:rsidRPr="0022075E">
        <w:rPr>
          <w:rFonts w:cs="Times New Roman"/>
          <w:szCs w:val="24"/>
        </w:rPr>
        <w:t xml:space="preserve">Proteins showing interaction in two-way ANOVA (genotype x treatment) [Control vs. acclimatized, genotypes </w:t>
      </w:r>
      <w:r w:rsidRPr="00415BF1">
        <w:rPr>
          <w:rFonts w:cs="Times New Roman"/>
          <w:i/>
          <w:iCs/>
          <w:szCs w:val="24"/>
        </w:rPr>
        <w:t>arr3,4,5,6,8,9</w:t>
      </w:r>
      <w:r w:rsidRPr="0022075E">
        <w:rPr>
          <w:rFonts w:cs="Times New Roman"/>
          <w:szCs w:val="24"/>
        </w:rPr>
        <w:t xml:space="preserve"> vs WT]</w:t>
      </w:r>
    </w:p>
    <w:p w14:paraId="2C25EF07" w14:textId="77777777" w:rsidR="000947B1" w:rsidRPr="00FE2188" w:rsidRDefault="000947B1" w:rsidP="000947B1">
      <w:pPr>
        <w:rPr>
          <w:rFonts w:cs="Times New Roman"/>
          <w:szCs w:val="24"/>
        </w:rPr>
      </w:pPr>
      <w:r w:rsidRPr="00FE2188">
        <w:rPr>
          <w:rFonts w:cs="Times New Roman"/>
          <w:b/>
          <w:bCs/>
          <w:szCs w:val="24"/>
        </w:rPr>
        <w:t>Supplementary Table S5</w:t>
      </w:r>
      <w:r w:rsidRPr="00FE2188">
        <w:rPr>
          <w:rFonts w:cs="Times New Roman"/>
          <w:szCs w:val="24"/>
        </w:rPr>
        <w:tab/>
        <w:t xml:space="preserve">Redox-related DAPs in </w:t>
      </w:r>
      <w:r w:rsidRPr="00FE2188">
        <w:rPr>
          <w:rFonts w:cs="Times New Roman"/>
          <w:i/>
          <w:iCs/>
          <w:szCs w:val="24"/>
        </w:rPr>
        <w:t>arr5,6,8,9</w:t>
      </w:r>
      <w:r w:rsidRPr="00FE2188">
        <w:rPr>
          <w:rFonts w:cs="Times New Roman"/>
          <w:szCs w:val="24"/>
        </w:rPr>
        <w:t xml:space="preserve"> and </w:t>
      </w:r>
      <w:r w:rsidRPr="00FE2188">
        <w:rPr>
          <w:rFonts w:cs="Times New Roman"/>
          <w:i/>
          <w:iCs/>
          <w:szCs w:val="24"/>
        </w:rPr>
        <w:t>arr3,4,5,6,8,9</w:t>
      </w:r>
      <w:r w:rsidRPr="00FE2188">
        <w:rPr>
          <w:rFonts w:cs="Times New Roman"/>
          <w:szCs w:val="24"/>
        </w:rPr>
        <w:t xml:space="preserve"> compared to WT</w:t>
      </w:r>
    </w:p>
    <w:p w14:paraId="464FB3D7" w14:textId="77777777" w:rsidR="000947B1" w:rsidRPr="00FE2188" w:rsidRDefault="000947B1" w:rsidP="000947B1">
      <w:pPr>
        <w:rPr>
          <w:rFonts w:cs="Times New Roman"/>
          <w:szCs w:val="24"/>
        </w:rPr>
      </w:pPr>
      <w:r w:rsidRPr="00FE2188">
        <w:rPr>
          <w:rFonts w:cs="Times New Roman"/>
          <w:b/>
          <w:bCs/>
          <w:szCs w:val="24"/>
        </w:rPr>
        <w:t>Supplementary Table S6</w:t>
      </w:r>
      <w:r w:rsidRPr="00FE2188">
        <w:rPr>
          <w:rFonts w:cs="Times New Roman"/>
          <w:szCs w:val="24"/>
        </w:rPr>
        <w:tab/>
        <w:t xml:space="preserve">List of primers used for </w:t>
      </w:r>
      <w:proofErr w:type="spellStart"/>
      <w:r w:rsidRPr="00FE2188">
        <w:rPr>
          <w:rFonts w:cs="Times New Roman"/>
          <w:szCs w:val="24"/>
        </w:rPr>
        <w:t>qRT</w:t>
      </w:r>
      <w:proofErr w:type="spellEnd"/>
      <w:r w:rsidRPr="00FE2188">
        <w:rPr>
          <w:rFonts w:cs="Times New Roman"/>
          <w:szCs w:val="24"/>
        </w:rPr>
        <w:t>-PCR</w:t>
      </w:r>
    </w:p>
    <w:p w14:paraId="7AB316D8" w14:textId="77777777" w:rsidR="000947B1" w:rsidRDefault="000947B1" w:rsidP="000947B1">
      <w:pPr>
        <w:rPr>
          <w:rFonts w:cs="Times New Roman"/>
          <w:color w:val="2E74B5" w:themeColor="accent5" w:themeShade="BF"/>
          <w:szCs w:val="24"/>
        </w:rPr>
      </w:pPr>
    </w:p>
    <w:p w14:paraId="742A9422" w14:textId="77777777" w:rsidR="000947B1" w:rsidRDefault="000947B1">
      <w:bookmarkStart w:id="0" w:name="_GoBack"/>
      <w:bookmarkEnd w:id="0"/>
    </w:p>
    <w:sectPr w:rsidR="000947B1" w:rsidSect="009F1D91">
      <w:head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7DD36" w14:textId="77777777" w:rsidR="00D90878" w:rsidRDefault="00D90878">
      <w:pPr>
        <w:spacing w:before="0" w:after="0"/>
      </w:pPr>
      <w:r>
        <w:separator/>
      </w:r>
    </w:p>
  </w:endnote>
  <w:endnote w:type="continuationSeparator" w:id="0">
    <w:p w14:paraId="19485C9A" w14:textId="77777777" w:rsidR="00D90878" w:rsidRDefault="00D908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等线">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C1A46" w14:textId="77777777" w:rsidR="00D90878" w:rsidRDefault="00D90878">
      <w:pPr>
        <w:spacing w:before="0" w:after="0"/>
      </w:pPr>
      <w:r>
        <w:separator/>
      </w:r>
    </w:p>
  </w:footnote>
  <w:footnote w:type="continuationSeparator" w:id="0">
    <w:p w14:paraId="3DCFB995" w14:textId="77777777" w:rsidR="00D90878" w:rsidRDefault="00D9087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05135" w14:textId="77777777" w:rsidR="009F1D91" w:rsidRDefault="00D90878">
    <w:pPr>
      <w:pStyle w:val="Zhlav"/>
    </w:pPr>
    <w:r w:rsidRPr="005A1D84">
      <w:rPr>
        <w:b/>
        <w:noProof/>
        <w:color w:val="A6A6A6" w:themeColor="background1" w:themeShade="A6"/>
      </w:rPr>
      <w:drawing>
        <wp:inline distT="0" distB="0" distL="0" distR="0" wp14:anchorId="324CC264" wp14:editId="45CA4FB8">
          <wp:extent cx="1382534" cy="497091"/>
          <wp:effectExtent l="0" t="0" r="0" b="0"/>
          <wp:docPr id="152" name="Picture 152"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305B5"/>
    <w:multiLevelType w:val="hybridMultilevel"/>
    <w:tmpl w:val="4F8C24FA"/>
    <w:lvl w:ilvl="0" w:tplc="A9DCD718">
      <w:start w:val="1"/>
      <w:numFmt w:val="bullet"/>
      <w:pStyle w:val="Odstavecseseznamem"/>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8611CCE"/>
    <w:multiLevelType w:val="hybridMultilevel"/>
    <w:tmpl w:val="F0347E20"/>
    <w:lvl w:ilvl="0" w:tplc="71EA79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B1"/>
    <w:rsid w:val="000947B1"/>
    <w:rsid w:val="00D90878"/>
    <w:rsid w:val="00FE218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zh-C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47B1"/>
    <w:pPr>
      <w:spacing w:before="120" w:after="240" w:line="240" w:lineRule="auto"/>
    </w:pPr>
    <w:rPr>
      <w:rFonts w:ascii="Times New Roman" w:eastAsiaTheme="minorHAnsi" w:hAnsi="Times New Roman"/>
      <w:sz w:val="24"/>
      <w:szCs w:val="22"/>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47B1"/>
    <w:pPr>
      <w:tabs>
        <w:tab w:val="center" w:pos="4680"/>
        <w:tab w:val="right" w:pos="9360"/>
      </w:tabs>
      <w:spacing w:after="0"/>
    </w:pPr>
  </w:style>
  <w:style w:type="character" w:customStyle="1" w:styleId="ZhlavChar">
    <w:name w:val="Záhlaví Char"/>
    <w:basedOn w:val="Standardnpsmoodstavce"/>
    <w:link w:val="Zhlav"/>
    <w:uiPriority w:val="99"/>
    <w:rsid w:val="000947B1"/>
    <w:rPr>
      <w:rFonts w:ascii="Times New Roman" w:eastAsiaTheme="minorHAnsi" w:hAnsi="Times New Roman"/>
      <w:sz w:val="24"/>
      <w:szCs w:val="22"/>
      <w:lang w:eastAsia="en-US" w:bidi="ar-SA"/>
    </w:rPr>
  </w:style>
  <w:style w:type="paragraph" w:styleId="Odstavecseseznamem">
    <w:name w:val="List Paragraph"/>
    <w:basedOn w:val="Normln"/>
    <w:uiPriority w:val="3"/>
    <w:qFormat/>
    <w:rsid w:val="000947B1"/>
    <w:pPr>
      <w:numPr>
        <w:numId w:val="1"/>
      </w:numPr>
      <w:contextualSpacing/>
    </w:pPr>
    <w:rPr>
      <w:rFonts w:eastAsia="Cambria" w:cs="Times New Roman"/>
      <w:szCs w:val="24"/>
    </w:rPr>
  </w:style>
  <w:style w:type="paragraph" w:customStyle="1" w:styleId="SupplementaryMaterial">
    <w:name w:val="Supplementary Material"/>
    <w:basedOn w:val="Nzev"/>
    <w:next w:val="Nzev"/>
    <w:qFormat/>
    <w:rsid w:val="000947B1"/>
    <w:pPr>
      <w:suppressLineNumbers/>
      <w:spacing w:before="240" w:after="120"/>
      <w:contextualSpacing w:val="0"/>
      <w:jc w:val="center"/>
    </w:pPr>
    <w:rPr>
      <w:rFonts w:ascii="Times New Roman" w:eastAsiaTheme="minorHAnsi" w:hAnsi="Times New Roman" w:cs="Times New Roman"/>
      <w:b/>
      <w:i/>
      <w:spacing w:val="0"/>
      <w:kern w:val="0"/>
      <w:sz w:val="32"/>
      <w:szCs w:val="32"/>
    </w:rPr>
  </w:style>
  <w:style w:type="paragraph" w:styleId="Nzev">
    <w:name w:val="Title"/>
    <w:basedOn w:val="Normln"/>
    <w:next w:val="Normln"/>
    <w:link w:val="NzevChar"/>
    <w:uiPriority w:val="10"/>
    <w:qFormat/>
    <w:rsid w:val="000947B1"/>
    <w:pPr>
      <w:spacing w:before="0"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947B1"/>
    <w:rPr>
      <w:rFonts w:asciiTheme="majorHAnsi" w:eastAsiaTheme="majorEastAsia" w:hAnsiTheme="majorHAnsi" w:cstheme="majorBidi"/>
      <w:spacing w:val="-10"/>
      <w:kern w:val="28"/>
      <w:sz w:val="56"/>
      <w:szCs w:val="56"/>
      <w:lang w:eastAsia="en-US" w:bidi="ar-SA"/>
    </w:rPr>
  </w:style>
  <w:style w:type="paragraph" w:styleId="Textbubliny">
    <w:name w:val="Balloon Text"/>
    <w:basedOn w:val="Normln"/>
    <w:link w:val="TextbublinyChar"/>
    <w:uiPriority w:val="99"/>
    <w:semiHidden/>
    <w:unhideWhenUsed/>
    <w:rsid w:val="00FE2188"/>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2188"/>
    <w:rPr>
      <w:rFonts w:ascii="Tahoma" w:eastAsiaTheme="minorHAnsi" w:hAnsi="Tahoma" w:cs="Tahoma"/>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zh-C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47B1"/>
    <w:pPr>
      <w:spacing w:before="120" w:after="240" w:line="240" w:lineRule="auto"/>
    </w:pPr>
    <w:rPr>
      <w:rFonts w:ascii="Times New Roman" w:eastAsiaTheme="minorHAnsi" w:hAnsi="Times New Roman"/>
      <w:sz w:val="24"/>
      <w:szCs w:val="22"/>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47B1"/>
    <w:pPr>
      <w:tabs>
        <w:tab w:val="center" w:pos="4680"/>
        <w:tab w:val="right" w:pos="9360"/>
      </w:tabs>
      <w:spacing w:after="0"/>
    </w:pPr>
  </w:style>
  <w:style w:type="character" w:customStyle="1" w:styleId="ZhlavChar">
    <w:name w:val="Záhlaví Char"/>
    <w:basedOn w:val="Standardnpsmoodstavce"/>
    <w:link w:val="Zhlav"/>
    <w:uiPriority w:val="99"/>
    <w:rsid w:val="000947B1"/>
    <w:rPr>
      <w:rFonts w:ascii="Times New Roman" w:eastAsiaTheme="minorHAnsi" w:hAnsi="Times New Roman"/>
      <w:sz w:val="24"/>
      <w:szCs w:val="22"/>
      <w:lang w:eastAsia="en-US" w:bidi="ar-SA"/>
    </w:rPr>
  </w:style>
  <w:style w:type="paragraph" w:styleId="Odstavecseseznamem">
    <w:name w:val="List Paragraph"/>
    <w:basedOn w:val="Normln"/>
    <w:uiPriority w:val="3"/>
    <w:qFormat/>
    <w:rsid w:val="000947B1"/>
    <w:pPr>
      <w:numPr>
        <w:numId w:val="1"/>
      </w:numPr>
      <w:contextualSpacing/>
    </w:pPr>
    <w:rPr>
      <w:rFonts w:eastAsia="Cambria" w:cs="Times New Roman"/>
      <w:szCs w:val="24"/>
    </w:rPr>
  </w:style>
  <w:style w:type="paragraph" w:customStyle="1" w:styleId="SupplementaryMaterial">
    <w:name w:val="Supplementary Material"/>
    <w:basedOn w:val="Nzev"/>
    <w:next w:val="Nzev"/>
    <w:qFormat/>
    <w:rsid w:val="000947B1"/>
    <w:pPr>
      <w:suppressLineNumbers/>
      <w:spacing w:before="240" w:after="120"/>
      <w:contextualSpacing w:val="0"/>
      <w:jc w:val="center"/>
    </w:pPr>
    <w:rPr>
      <w:rFonts w:ascii="Times New Roman" w:eastAsiaTheme="minorHAnsi" w:hAnsi="Times New Roman" w:cs="Times New Roman"/>
      <w:b/>
      <w:i/>
      <w:spacing w:val="0"/>
      <w:kern w:val="0"/>
      <w:sz w:val="32"/>
      <w:szCs w:val="32"/>
    </w:rPr>
  </w:style>
  <w:style w:type="paragraph" w:styleId="Nzev">
    <w:name w:val="Title"/>
    <w:basedOn w:val="Normln"/>
    <w:next w:val="Normln"/>
    <w:link w:val="NzevChar"/>
    <w:uiPriority w:val="10"/>
    <w:qFormat/>
    <w:rsid w:val="000947B1"/>
    <w:pPr>
      <w:spacing w:before="0"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947B1"/>
    <w:rPr>
      <w:rFonts w:asciiTheme="majorHAnsi" w:eastAsiaTheme="majorEastAsia" w:hAnsiTheme="majorHAnsi" w:cstheme="majorBidi"/>
      <w:spacing w:val="-10"/>
      <w:kern w:val="28"/>
      <w:sz w:val="56"/>
      <w:szCs w:val="56"/>
      <w:lang w:eastAsia="en-US" w:bidi="ar-SA"/>
    </w:rPr>
  </w:style>
  <w:style w:type="paragraph" w:styleId="Textbubliny">
    <w:name w:val="Balloon Text"/>
    <w:basedOn w:val="Normln"/>
    <w:link w:val="TextbublinyChar"/>
    <w:uiPriority w:val="99"/>
    <w:semiHidden/>
    <w:unhideWhenUsed/>
    <w:rsid w:val="00FE2188"/>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2188"/>
    <w:rPr>
      <w:rFonts w:ascii="Tahoma" w:eastAsiaTheme="minorHAnsi" w:hAnsi="Tahoma" w:cs="Tahoma"/>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 Jindal</dc:creator>
  <cp:keywords/>
  <dc:description/>
  <cp:lastModifiedBy>Břetislav Brzobohatý</cp:lastModifiedBy>
  <cp:revision>2</cp:revision>
  <dcterms:created xsi:type="dcterms:W3CDTF">2022-08-10T13:28:00Z</dcterms:created>
  <dcterms:modified xsi:type="dcterms:W3CDTF">2022-08-10T13:59:00Z</dcterms:modified>
</cp:coreProperties>
</file>