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6B575" w14:textId="03F28BD4" w:rsidR="0023230E" w:rsidRPr="00A22E68" w:rsidRDefault="00A22E6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22E68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70AEBEF4" w14:textId="77777777" w:rsidR="0023230E" w:rsidRDefault="0023230E"/>
    <w:p w14:paraId="38ADB7FC" w14:textId="5CEFA58B" w:rsidR="00B2256B" w:rsidRDefault="0023230E">
      <w:r>
        <w:rPr>
          <w:noProof/>
        </w:rPr>
        <w:drawing>
          <wp:inline distT="0" distB="0" distL="0" distR="0" wp14:anchorId="4651AF02" wp14:editId="177314B4">
            <wp:extent cx="5274310" cy="7541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18BD8" w14:textId="6E0E9523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  <w:r w:rsidRPr="00B970F2">
        <w:rPr>
          <w:rFonts w:ascii="Times New Roman" w:eastAsia="新宋体" w:hAnsi="Times New Roman" w:cs="Times New Roman" w:hint="eastAsia"/>
          <w:b/>
          <w:iCs/>
          <w:sz w:val="24"/>
          <w:szCs w:val="24"/>
        </w:rPr>
        <w:t>Figure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 xml:space="preserve"> S1. </w:t>
      </w:r>
      <w:r w:rsidRPr="00196C06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The standardization results of six categories of HCC tissue in the </w:t>
      </w:r>
      <w:r w:rsidRPr="00196C06">
        <w:rPr>
          <w:rFonts w:ascii="Times New Roman" w:eastAsia="新宋体" w:hAnsi="Times New Roman" w:cs="Times New Roman"/>
          <w:iCs/>
          <w:sz w:val="24"/>
          <w:szCs w:val="24"/>
        </w:rPr>
        <w:t>(A)</w:t>
      </w:r>
      <w:r w:rsidRPr="00196C06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Zhongshan cohort and </w:t>
      </w:r>
      <w:r w:rsidRPr="00196C06">
        <w:rPr>
          <w:rFonts w:ascii="Times New Roman" w:eastAsia="新宋体" w:hAnsi="Times New Roman" w:cs="Times New Roman"/>
          <w:iCs/>
          <w:sz w:val="24"/>
          <w:szCs w:val="24"/>
        </w:rPr>
        <w:t>(B)</w:t>
      </w:r>
      <w:r w:rsidRPr="00196C06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TCGA cohort.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(C) The visualization of classification map in the TCGA cohort.</w:t>
      </w:r>
    </w:p>
    <w:p w14:paraId="407C5E58" w14:textId="7E3C2EE8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65E06B6C" w14:textId="5C013D1B" w:rsidR="0023230E" w:rsidRDefault="0023230E" w:rsidP="0023230E">
      <w:pPr>
        <w:jc w:val="center"/>
        <w:rPr>
          <w:rFonts w:ascii="Times New Roman" w:eastAsia="新宋体" w:hAnsi="Times New Roman" w:cs="Times New Roman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D32D8E1" wp14:editId="3DE67485">
            <wp:extent cx="5003800" cy="2371306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24" cy="23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DFF4" w14:textId="34A94FD7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 xml:space="preserve">Figure S2. </w:t>
      </w:r>
      <w:r w:rsidRPr="0023230E">
        <w:rPr>
          <w:rFonts w:ascii="Times New Roman" w:eastAsia="新宋体" w:hAnsi="Times New Roman" w:cs="Times New Roman"/>
          <w:bCs/>
          <w:iCs/>
          <w:sz w:val="24"/>
          <w:szCs w:val="24"/>
        </w:rPr>
        <w:t>The LASSO-Cox analysis of recurrence-related signatures.</w:t>
      </w:r>
      <w:r w:rsidR="00303464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</w:t>
      </w:r>
      <w:r w:rsidR="00A22E68">
        <w:rPr>
          <w:rFonts w:ascii="Times New Roman" w:eastAsia="新宋体" w:hAnsi="Times New Roman" w:cs="Times New Roman"/>
          <w:bCs/>
          <w:iCs/>
          <w:sz w:val="24"/>
          <w:szCs w:val="24"/>
        </w:rPr>
        <w:t>(</w:t>
      </w:r>
      <w:r w:rsidR="00303464">
        <w:rPr>
          <w:rFonts w:ascii="Times New Roman" w:eastAsia="新宋体" w:hAnsi="Times New Roman" w:cs="Times New Roman"/>
          <w:bCs/>
          <w:iCs/>
          <w:sz w:val="24"/>
          <w:szCs w:val="24"/>
        </w:rPr>
        <w:t>A</w:t>
      </w:r>
      <w:r w:rsidR="00A22E68">
        <w:rPr>
          <w:rFonts w:ascii="Times New Roman" w:eastAsia="新宋体" w:hAnsi="Times New Roman" w:cs="Times New Roman"/>
          <w:bCs/>
          <w:iCs/>
          <w:sz w:val="24"/>
          <w:szCs w:val="24"/>
        </w:rPr>
        <w:t>)</w:t>
      </w:r>
      <w:r w:rsidR="00303464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C-indexes determine</w:t>
      </w:r>
      <w:r w:rsidR="00A22E68">
        <w:rPr>
          <w:rFonts w:ascii="Times New Roman" w:eastAsia="新宋体" w:hAnsi="Times New Roman" w:cs="Times New Roman"/>
          <w:bCs/>
          <w:iCs/>
          <w:sz w:val="24"/>
          <w:szCs w:val="24"/>
        </w:rPr>
        <w:t>s</w:t>
      </w:r>
      <w:r w:rsidR="00303464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the optimal</w:t>
      </w:r>
      <w:r w:rsidR="00303464" w:rsidRPr="00303464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λ</w:t>
      </w:r>
      <w:r w:rsidR="00303464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value. </w:t>
      </w:r>
      <w:r w:rsidR="00A22E68">
        <w:rPr>
          <w:rFonts w:ascii="Times New Roman" w:eastAsia="新宋体" w:hAnsi="Times New Roman" w:cs="Times New Roman"/>
          <w:bCs/>
          <w:iCs/>
          <w:sz w:val="24"/>
          <w:szCs w:val="24"/>
        </w:rPr>
        <w:t>(</w:t>
      </w:r>
      <w:r w:rsidR="00303464">
        <w:rPr>
          <w:rFonts w:ascii="Times New Roman" w:eastAsia="新宋体" w:hAnsi="Times New Roman" w:cs="Times New Roman"/>
          <w:bCs/>
          <w:iCs/>
          <w:sz w:val="24"/>
          <w:szCs w:val="24"/>
        </w:rPr>
        <w:t>B</w:t>
      </w:r>
      <w:r w:rsidR="00A22E68">
        <w:rPr>
          <w:rFonts w:ascii="Times New Roman" w:eastAsia="新宋体" w:hAnsi="Times New Roman" w:cs="Times New Roman"/>
          <w:bCs/>
          <w:iCs/>
          <w:sz w:val="24"/>
          <w:szCs w:val="24"/>
        </w:rPr>
        <w:t>)</w:t>
      </w:r>
      <w:r w:rsidR="00303464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</w:t>
      </w:r>
      <w:r w:rsidR="00A22E68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The </w:t>
      </w:r>
      <w:r w:rsidR="00A22E68" w:rsidRPr="00303464">
        <w:rPr>
          <w:rFonts w:ascii="Times New Roman" w:eastAsia="新宋体" w:hAnsi="Times New Roman" w:cs="Times New Roman"/>
          <w:bCs/>
          <w:iCs/>
          <w:sz w:val="24"/>
          <w:szCs w:val="24"/>
        </w:rPr>
        <w:t>λ</w:t>
      </w:r>
      <w:r w:rsidR="00A22E68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value determines the nonzero coefficients.</w:t>
      </w:r>
      <w:r w:rsidRPr="0023230E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LASSO, least absolute shrinkage and selection operator.</w:t>
      </w:r>
    </w:p>
    <w:p w14:paraId="1DB578EA" w14:textId="4D10E7CF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1C99D3B5" w14:textId="545B829F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55AEEC9F" w14:textId="32B867F4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6778CD76" w14:textId="206F0F32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5FA6B725" w14:textId="19CCF94F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678510A2" w14:textId="76DBF4E2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6F4E80BA" w14:textId="31AD5EE0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631D823A" w14:textId="7E19D684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404771ED" w14:textId="0FEA6133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2D9F9BAC" w14:textId="5F23ED86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5A036320" w14:textId="4EFEAB26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1AF8B98F" w14:textId="50DA5D6B" w:rsidR="0023230E" w:rsidRDefault="0023230E" w:rsidP="0023230E">
      <w:pPr>
        <w:jc w:val="center"/>
        <w:rPr>
          <w:rFonts w:ascii="Times New Roman" w:eastAsia="新宋体" w:hAnsi="Times New Roman" w:cs="Times New Roman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65B16382" wp14:editId="3B78648A">
            <wp:extent cx="4813300" cy="2350189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4" cy="23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5A9AA" w14:textId="14AAD12D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78276CD5" w14:textId="585BFC41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>Figure S3.</w:t>
      </w:r>
      <w:r w:rsidRPr="0023230E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The calibration curves of CS in the (A) training cohort and (B) validation cohort. CS, combined score.</w:t>
      </w:r>
    </w:p>
    <w:p w14:paraId="29C3994A" w14:textId="5BE924BA" w:rsidR="0023230E" w:rsidRDefault="0023230E"/>
    <w:p w14:paraId="1A32C89E" w14:textId="29470F18" w:rsidR="0023230E" w:rsidRDefault="0023230E"/>
    <w:p w14:paraId="261AE051" w14:textId="7E36AB08" w:rsidR="0023230E" w:rsidRDefault="0023230E"/>
    <w:p w14:paraId="124C4719" w14:textId="7B83002E" w:rsidR="008967BA" w:rsidRDefault="006121CC">
      <w:r w:rsidRPr="006121CC">
        <w:rPr>
          <w:noProof/>
        </w:rPr>
        <w:drawing>
          <wp:inline distT="0" distB="0" distL="0" distR="0" wp14:anchorId="5151C207" wp14:editId="72074A6B">
            <wp:extent cx="5274310" cy="15754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4E2EF" w14:textId="00D80E63" w:rsidR="008967BA" w:rsidRDefault="008967BA"/>
    <w:p w14:paraId="7BACACA0" w14:textId="4A139C6D" w:rsidR="008967BA" w:rsidRPr="008967BA" w:rsidRDefault="008967BA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  <w:r w:rsidRPr="008967BA">
        <w:rPr>
          <w:rFonts w:ascii="Times New Roman" w:eastAsia="新宋体" w:hAnsi="Times New Roman" w:cs="Times New Roman"/>
          <w:b/>
          <w:iCs/>
          <w:sz w:val="24"/>
          <w:szCs w:val="24"/>
        </w:rPr>
        <w:t>Figure S4.</w:t>
      </w:r>
      <w:r w:rsidRPr="008967BA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The ROC curves of novel scores for predicting 1-year RFS (A), 3-year RFS (B) and 5-year RFS (C). HS, histological score; CS, combined score; ROC, receiver operation characteristic; RFS, recurrence free survival.</w:t>
      </w:r>
    </w:p>
    <w:p w14:paraId="5CCC01E4" w14:textId="19717095" w:rsidR="008967BA" w:rsidRDefault="008967BA"/>
    <w:p w14:paraId="2FF8B50F" w14:textId="7346CB60" w:rsidR="008967BA" w:rsidRDefault="008967BA"/>
    <w:p w14:paraId="7DF51449" w14:textId="77777777" w:rsidR="008967BA" w:rsidRDefault="008967BA"/>
    <w:p w14:paraId="05DD68CF" w14:textId="1A0A8147" w:rsidR="0023230E" w:rsidRDefault="0023230E"/>
    <w:p w14:paraId="200E3D7D" w14:textId="33EA3F08" w:rsidR="0023230E" w:rsidRDefault="0023230E" w:rsidP="0023230E">
      <w:pPr>
        <w:jc w:val="center"/>
      </w:pPr>
      <w:r>
        <w:rPr>
          <w:noProof/>
        </w:rPr>
        <w:drawing>
          <wp:inline distT="0" distB="0" distL="0" distR="0" wp14:anchorId="75D3B1E3" wp14:editId="699C8013">
            <wp:extent cx="4686300" cy="3916313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89" cy="39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5114" w14:textId="49BB74A3" w:rsidR="0023230E" w:rsidRPr="00B970F2" w:rsidRDefault="0023230E" w:rsidP="0023230E">
      <w:pPr>
        <w:rPr>
          <w:b/>
        </w:rPr>
      </w:pPr>
    </w:p>
    <w:p w14:paraId="328C655A" w14:textId="50DE8DE3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  <w:r w:rsidRPr="00B970F2">
        <w:rPr>
          <w:rFonts w:ascii="Times New Roman" w:eastAsia="新宋体" w:hAnsi="Times New Roman" w:cs="Times New Roman" w:hint="eastAsia"/>
          <w:b/>
          <w:iCs/>
          <w:sz w:val="24"/>
          <w:szCs w:val="24"/>
        </w:rPr>
        <w:t>Figure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 xml:space="preserve"> S</w:t>
      </w:r>
      <w:r w:rsidR="008967BA">
        <w:rPr>
          <w:rFonts w:ascii="Times New Roman" w:eastAsia="新宋体" w:hAnsi="Times New Roman" w:cs="Times New Roman"/>
          <w:b/>
          <w:iCs/>
          <w:sz w:val="24"/>
          <w:szCs w:val="24"/>
        </w:rPr>
        <w:t>5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The comparison between HS and CS based on the ROC curves in the training cohort (A-B) and validation cohort (C-D). HS, histological score; CS, combined score; ROC, receiver operation </w:t>
      </w:r>
      <w:r w:rsidRPr="00B330F1">
        <w:rPr>
          <w:rFonts w:ascii="Times New Roman" w:eastAsia="新宋体" w:hAnsi="Times New Roman" w:cs="Times New Roman"/>
          <w:bCs/>
          <w:iCs/>
          <w:sz w:val="24"/>
          <w:szCs w:val="24"/>
        </w:rPr>
        <w:t>characteristic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>.</w:t>
      </w:r>
    </w:p>
    <w:p w14:paraId="37765B2B" w14:textId="4F18FA7F" w:rsidR="0023230E" w:rsidRDefault="0023230E" w:rsidP="0023230E"/>
    <w:p w14:paraId="0C4EBAF3" w14:textId="4366A377" w:rsidR="0023230E" w:rsidRDefault="0023230E" w:rsidP="0023230E"/>
    <w:p w14:paraId="5399E5FE" w14:textId="52193257" w:rsidR="0023230E" w:rsidRDefault="0023230E" w:rsidP="0023230E"/>
    <w:p w14:paraId="2BAD111E" w14:textId="297679C0" w:rsidR="0023230E" w:rsidRDefault="0023230E" w:rsidP="0023230E"/>
    <w:p w14:paraId="2EC186DB" w14:textId="30BC755E" w:rsidR="0023230E" w:rsidRDefault="0023230E" w:rsidP="0023230E">
      <w:r>
        <w:rPr>
          <w:noProof/>
        </w:rPr>
        <w:drawing>
          <wp:inline distT="0" distB="0" distL="0" distR="0" wp14:anchorId="6CAA660A" wp14:editId="186C7D70">
            <wp:extent cx="5274310" cy="14357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22F0" w14:textId="3AE03F42" w:rsidR="0023230E" w:rsidRDefault="0023230E" w:rsidP="0023230E"/>
    <w:p w14:paraId="285954F4" w14:textId="6E78ED8F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  <w:r w:rsidRPr="00B970F2">
        <w:rPr>
          <w:rFonts w:ascii="Times New Roman" w:eastAsia="新宋体" w:hAnsi="Times New Roman" w:cs="Times New Roman" w:hint="eastAsia"/>
          <w:b/>
          <w:iCs/>
          <w:sz w:val="24"/>
          <w:szCs w:val="24"/>
        </w:rPr>
        <w:t>Figure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 xml:space="preserve"> S</w:t>
      </w:r>
      <w:r w:rsidR="008967BA">
        <w:rPr>
          <w:rFonts w:ascii="Times New Roman" w:eastAsia="新宋体" w:hAnsi="Times New Roman" w:cs="Times New Roman"/>
          <w:b/>
          <w:iCs/>
          <w:sz w:val="24"/>
          <w:szCs w:val="24"/>
        </w:rPr>
        <w:t>6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The NRI comparison between HS and CS based on the 1-year TTR(A), 3-year TTR (B) and 5-year TTR (C). NRI, </w:t>
      </w:r>
      <w:r>
        <w:rPr>
          <w:rFonts w:ascii="Times New Roman" w:eastAsia="微软雅黑" w:hAnsi="Times New Roman" w:cs="Times New Roman"/>
          <w:sz w:val="24"/>
          <w:szCs w:val="24"/>
        </w:rPr>
        <w:t>n</w:t>
      </w:r>
      <w:r w:rsidRPr="00ED0437">
        <w:rPr>
          <w:rFonts w:ascii="Times New Roman" w:eastAsia="微软雅黑" w:hAnsi="Times New Roman" w:cs="Times New Roman"/>
          <w:sz w:val="24"/>
          <w:szCs w:val="24"/>
        </w:rPr>
        <w:t xml:space="preserve">et </w:t>
      </w:r>
      <w:r>
        <w:rPr>
          <w:rFonts w:ascii="Times New Roman" w:eastAsia="微软雅黑" w:hAnsi="Times New Roman" w:cs="Times New Roman"/>
          <w:sz w:val="24"/>
          <w:szCs w:val="24"/>
        </w:rPr>
        <w:t>r</w:t>
      </w:r>
      <w:r w:rsidRPr="00ED0437">
        <w:rPr>
          <w:rFonts w:ascii="Times New Roman" w:eastAsia="微软雅黑" w:hAnsi="Times New Roman" w:cs="Times New Roman"/>
          <w:sz w:val="24"/>
          <w:szCs w:val="24"/>
        </w:rPr>
        <w:t xml:space="preserve">eclassification </w:t>
      </w:r>
      <w:r>
        <w:rPr>
          <w:rFonts w:ascii="Times New Roman" w:eastAsia="微软雅黑" w:hAnsi="Times New Roman" w:cs="Times New Roman"/>
          <w:sz w:val="24"/>
          <w:szCs w:val="24"/>
        </w:rPr>
        <w:t>i</w:t>
      </w:r>
      <w:r w:rsidRPr="00ED0437">
        <w:rPr>
          <w:rFonts w:ascii="Times New Roman" w:eastAsia="微软雅黑" w:hAnsi="Times New Roman" w:cs="Times New Roman"/>
          <w:sz w:val="24"/>
          <w:szCs w:val="24"/>
        </w:rPr>
        <w:t>mprovement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>; HS, histological score; CS, combined score; TTR, time to recurrence.</w:t>
      </w:r>
    </w:p>
    <w:p w14:paraId="5DB3CD69" w14:textId="479AF443" w:rsidR="0023230E" w:rsidRDefault="0023230E" w:rsidP="0023230E"/>
    <w:p w14:paraId="1E99887B" w14:textId="77777777" w:rsidR="0023230E" w:rsidRDefault="0023230E" w:rsidP="0023230E"/>
    <w:p w14:paraId="1BE4F9AA" w14:textId="03754959" w:rsidR="0023230E" w:rsidRDefault="0023230E" w:rsidP="0023230E">
      <w:r>
        <w:rPr>
          <w:noProof/>
        </w:rPr>
        <w:drawing>
          <wp:inline distT="0" distB="0" distL="0" distR="0" wp14:anchorId="4540D261" wp14:editId="70157D50">
            <wp:extent cx="5274310" cy="27597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825F" w14:textId="6ACD8770" w:rsidR="0023230E" w:rsidRDefault="0023230E" w:rsidP="0023230E"/>
    <w:p w14:paraId="69D1CC3F" w14:textId="309570C4" w:rsidR="0023230E" w:rsidRPr="00B970F2" w:rsidRDefault="0023230E" w:rsidP="0023230E">
      <w:pPr>
        <w:rPr>
          <w:b/>
        </w:rPr>
      </w:pPr>
    </w:p>
    <w:p w14:paraId="5CF4B9EE" w14:textId="47650FF7" w:rsidR="0023230E" w:rsidRDefault="0023230E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  <w:r w:rsidRPr="00B970F2">
        <w:rPr>
          <w:rFonts w:ascii="Times New Roman" w:eastAsia="新宋体" w:hAnsi="Times New Roman" w:cs="Times New Roman" w:hint="eastAsia"/>
          <w:b/>
          <w:iCs/>
          <w:sz w:val="24"/>
          <w:szCs w:val="24"/>
        </w:rPr>
        <w:t>Figure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 xml:space="preserve"> S</w:t>
      </w:r>
      <w:r w:rsidR="008967BA">
        <w:rPr>
          <w:rFonts w:ascii="Times New Roman" w:eastAsia="新宋体" w:hAnsi="Times New Roman" w:cs="Times New Roman"/>
          <w:b/>
          <w:iCs/>
          <w:sz w:val="24"/>
          <w:szCs w:val="24"/>
        </w:rPr>
        <w:t>7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</w:t>
      </w:r>
      <w:r w:rsidRPr="00196C06">
        <w:rPr>
          <w:rFonts w:ascii="Times New Roman" w:eastAsia="新宋体" w:hAnsi="Times New Roman" w:cs="Times New Roman"/>
          <w:bCs/>
          <w:iCs/>
          <w:sz w:val="24"/>
          <w:szCs w:val="24"/>
        </w:rPr>
        <w:t>Kaplan-Meier curves for recurrence rate, recurrence-free survival, and overall survival in the training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and validation cohorts based on CS</w:t>
      </w:r>
      <w:r w:rsidRPr="00196C06">
        <w:rPr>
          <w:rFonts w:ascii="Times New Roman" w:eastAsia="新宋体" w:hAnsi="Times New Roman" w:cs="Times New Roman"/>
          <w:bCs/>
          <w:iCs/>
          <w:sz w:val="24"/>
          <w:szCs w:val="24"/>
        </w:rPr>
        <w:t>.</w:t>
      </w:r>
      <w:r w:rsidRPr="00B330F1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>CS, combined score.</w:t>
      </w:r>
    </w:p>
    <w:p w14:paraId="7013EDE9" w14:textId="2E773116" w:rsidR="0023230E" w:rsidRDefault="0023230E" w:rsidP="0023230E"/>
    <w:p w14:paraId="2DA2D550" w14:textId="5ADE1A01" w:rsidR="00CB57C3" w:rsidRDefault="00CB57C3" w:rsidP="0023230E"/>
    <w:p w14:paraId="61DA1432" w14:textId="79092DED" w:rsidR="00CB57C3" w:rsidRDefault="00CB57C3" w:rsidP="0023230E"/>
    <w:p w14:paraId="7033D701" w14:textId="0FCC2F96" w:rsidR="00FA25F9" w:rsidRDefault="00FA25F9" w:rsidP="0023230E"/>
    <w:p w14:paraId="274A4876" w14:textId="67CAAED5" w:rsidR="00FA25F9" w:rsidRDefault="00FA25F9" w:rsidP="0023230E"/>
    <w:p w14:paraId="65A204A8" w14:textId="0984D78B" w:rsidR="00FA25F9" w:rsidRDefault="00FA25F9" w:rsidP="0023230E"/>
    <w:p w14:paraId="484DA332" w14:textId="657A9BBD" w:rsidR="00FA25F9" w:rsidRDefault="00FA25F9" w:rsidP="0023230E"/>
    <w:p w14:paraId="2BB5950D" w14:textId="7023E312" w:rsidR="00FA25F9" w:rsidRDefault="00FA25F9" w:rsidP="0023230E"/>
    <w:p w14:paraId="2BCB1117" w14:textId="58D53D62" w:rsidR="00FA25F9" w:rsidRDefault="00FA25F9" w:rsidP="0023230E"/>
    <w:p w14:paraId="07A0ACD3" w14:textId="3A12D46C" w:rsidR="00FA25F9" w:rsidRDefault="00FA25F9" w:rsidP="0023230E"/>
    <w:p w14:paraId="7F6C0ECB" w14:textId="6F808099" w:rsidR="00FA25F9" w:rsidRDefault="00FA25F9" w:rsidP="0023230E"/>
    <w:p w14:paraId="2FD25B5A" w14:textId="34076995" w:rsidR="00FA25F9" w:rsidRDefault="00FA25F9" w:rsidP="0023230E"/>
    <w:p w14:paraId="1B6A4376" w14:textId="77777777" w:rsidR="00FA25F9" w:rsidRDefault="00FA25F9" w:rsidP="0023230E"/>
    <w:p w14:paraId="587342C4" w14:textId="77777777" w:rsidR="00FA25F9" w:rsidRDefault="00FA25F9" w:rsidP="0023230E"/>
    <w:p w14:paraId="55A8AA20" w14:textId="14A2DA5A" w:rsidR="00FA25F9" w:rsidRDefault="007E53FA" w:rsidP="00FA25F9">
      <w:pPr>
        <w:jc w:val="center"/>
      </w:pPr>
      <w:r w:rsidRPr="007E53FA">
        <w:rPr>
          <w:noProof/>
        </w:rPr>
        <w:drawing>
          <wp:inline distT="0" distB="0" distL="0" distR="0" wp14:anchorId="17F28F32" wp14:editId="2A081F3B">
            <wp:extent cx="5022850" cy="30289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9C2" w:rsidRPr="007719C2">
        <w:rPr>
          <w:noProof/>
        </w:rPr>
        <w:t xml:space="preserve"> </w:t>
      </w:r>
    </w:p>
    <w:p w14:paraId="38369BC2" w14:textId="22023FAA" w:rsidR="00CB57C3" w:rsidRDefault="00CB57C3" w:rsidP="0023230E"/>
    <w:p w14:paraId="4B511C99" w14:textId="4FFD619A" w:rsidR="00CB57C3" w:rsidRDefault="00FA25F9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  <w:r w:rsidRPr="00FA25F9">
        <w:rPr>
          <w:rFonts w:ascii="Times New Roman" w:eastAsia="新宋体" w:hAnsi="Times New Roman" w:cs="Times New Roman"/>
          <w:b/>
          <w:iCs/>
          <w:sz w:val="24"/>
          <w:szCs w:val="24"/>
        </w:rPr>
        <w:t>Figure S8.</w:t>
      </w:r>
      <w:r w:rsidRPr="00FA25F9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</w:t>
      </w:r>
      <w:r w:rsidR="00D72487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The correlation between HS and expression of histological staining markers. </w:t>
      </w:r>
      <w:r w:rsidR="007E53FA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(A) </w:t>
      </w:r>
      <w:r w:rsidRPr="00FA25F9">
        <w:rPr>
          <w:rFonts w:ascii="Times New Roman" w:eastAsia="新宋体" w:hAnsi="Times New Roman" w:cs="Times New Roman"/>
          <w:bCs/>
          <w:iCs/>
          <w:sz w:val="24"/>
          <w:szCs w:val="24"/>
        </w:rPr>
        <w:t>The comparison for the proportion of Ki-67</w:t>
      </w:r>
      <w:r w:rsidRPr="00230102">
        <w:rPr>
          <w:rFonts w:ascii="Times New Roman" w:eastAsia="新宋体" w:hAnsi="Times New Roman" w:cs="Times New Roman"/>
          <w:bCs/>
          <w:iCs/>
          <w:sz w:val="24"/>
          <w:szCs w:val="24"/>
          <w:vertAlign w:val="superscript"/>
        </w:rPr>
        <w:t>+</w:t>
      </w:r>
      <w:r w:rsidRPr="00FA25F9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</w:t>
      </w:r>
      <w:r w:rsidR="00230102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tumor </w:t>
      </w:r>
      <w:r w:rsidRPr="00FA25F9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cells between HS low-risk and high-risk subgroups. </w:t>
      </w:r>
      <w:r w:rsidR="000B3D2C">
        <w:rPr>
          <w:rFonts w:ascii="Times New Roman" w:eastAsia="新宋体" w:hAnsi="Times New Roman" w:cs="Times New Roman"/>
          <w:bCs/>
          <w:iCs/>
          <w:sz w:val="24"/>
          <w:szCs w:val="24"/>
        </w:rPr>
        <w:t>The comparison for the expression of HSP70 (B), AFP (C), Hepa (D), GS (E),</w:t>
      </w:r>
      <w:r w:rsidR="002D7076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and</w:t>
      </w:r>
      <w:r w:rsidR="000B3D2C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</w:t>
      </w:r>
      <w:r w:rsidR="002D7076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GPC3 (F) between HS low-risk group and high-risk group. </w:t>
      </w:r>
      <w:r w:rsidRPr="00FA25F9">
        <w:rPr>
          <w:rFonts w:ascii="Times New Roman" w:eastAsia="新宋体" w:hAnsi="Times New Roman" w:cs="Times New Roman"/>
          <w:bCs/>
          <w:iCs/>
          <w:sz w:val="24"/>
          <w:szCs w:val="24"/>
        </w:rPr>
        <w:t>HS, histological score.</w:t>
      </w:r>
      <w:r w:rsidR="00343FFE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HSP70, heat shock protein 70; </w:t>
      </w:r>
      <w:r w:rsidR="00343FFE" w:rsidRPr="00343FFE">
        <w:rPr>
          <w:rFonts w:ascii="Times New Roman" w:eastAsia="新宋体" w:hAnsi="Times New Roman" w:cs="Times New Roman"/>
          <w:bCs/>
          <w:iCs/>
          <w:sz w:val="24"/>
          <w:szCs w:val="24"/>
        </w:rPr>
        <w:t>AFP, alpha-fetoprotein;</w:t>
      </w:r>
      <w:r w:rsidR="00343FFE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GS, </w:t>
      </w:r>
      <w:r w:rsidR="000B3D2C">
        <w:rPr>
          <w:rFonts w:ascii="Times New Roman" w:eastAsia="新宋体" w:hAnsi="Times New Roman" w:cs="Times New Roman"/>
          <w:bCs/>
          <w:iCs/>
          <w:sz w:val="24"/>
          <w:szCs w:val="24"/>
        </w:rPr>
        <w:t>glutamine synthetase</w:t>
      </w:r>
      <w:r w:rsidR="00343FFE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; GPC3, </w:t>
      </w:r>
      <w:r w:rsidR="002D7076">
        <w:rPr>
          <w:rFonts w:ascii="Times New Roman" w:eastAsia="新宋体" w:hAnsi="Times New Roman" w:cs="Times New Roman"/>
          <w:bCs/>
          <w:iCs/>
          <w:sz w:val="24"/>
          <w:szCs w:val="24"/>
        </w:rPr>
        <w:t>g</w:t>
      </w:r>
      <w:r w:rsidR="001628EF" w:rsidRPr="001628EF">
        <w:rPr>
          <w:rFonts w:ascii="Times New Roman" w:eastAsia="新宋体" w:hAnsi="Times New Roman" w:cs="Times New Roman"/>
          <w:bCs/>
          <w:iCs/>
          <w:sz w:val="24"/>
          <w:szCs w:val="24"/>
        </w:rPr>
        <w:t>lypican-3</w:t>
      </w:r>
      <w:r w:rsidR="001628EF">
        <w:rPr>
          <w:rFonts w:ascii="Times New Roman" w:eastAsia="新宋体" w:hAnsi="Times New Roman" w:cs="Times New Roman"/>
          <w:bCs/>
          <w:iCs/>
          <w:sz w:val="24"/>
          <w:szCs w:val="24"/>
        </w:rPr>
        <w:t>.</w:t>
      </w:r>
    </w:p>
    <w:p w14:paraId="40EADE98" w14:textId="0D6A4962" w:rsidR="00FA25F9" w:rsidRDefault="00FA25F9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418DF81D" w14:textId="7E743D42" w:rsidR="00FA25F9" w:rsidRDefault="00FA25F9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4C5F0D2E" w14:textId="75896F74" w:rsidR="00FA25F9" w:rsidRDefault="00FA25F9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3485BBDD" w14:textId="77777777" w:rsidR="00FA25F9" w:rsidRDefault="00FA25F9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13BBEA6A" w14:textId="77777777" w:rsidR="00FA25F9" w:rsidRPr="00FA25F9" w:rsidRDefault="00FA25F9" w:rsidP="0023230E">
      <w:pPr>
        <w:rPr>
          <w:rFonts w:ascii="Times New Roman" w:eastAsia="新宋体" w:hAnsi="Times New Roman" w:cs="Times New Roman"/>
          <w:bCs/>
          <w:iCs/>
          <w:sz w:val="24"/>
          <w:szCs w:val="24"/>
        </w:rPr>
      </w:pPr>
    </w:p>
    <w:p w14:paraId="2D9CD7F2" w14:textId="59BF2379" w:rsidR="00CB57C3" w:rsidRDefault="00CB57C3" w:rsidP="00CB57C3">
      <w:pPr>
        <w:jc w:val="center"/>
      </w:pPr>
      <w:r>
        <w:rPr>
          <w:noProof/>
        </w:rPr>
        <w:drawing>
          <wp:inline distT="0" distB="0" distL="0" distR="0" wp14:anchorId="1177A47D" wp14:editId="614CF7C8">
            <wp:extent cx="4298950" cy="19812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CC93" w14:textId="6137C22D" w:rsidR="00CB57C3" w:rsidRDefault="00CB57C3" w:rsidP="00CB57C3">
      <w:pPr>
        <w:jc w:val="center"/>
      </w:pPr>
    </w:p>
    <w:p w14:paraId="00692DFE" w14:textId="77932601" w:rsidR="00CB57C3" w:rsidRDefault="00CB57C3" w:rsidP="00CB57C3">
      <w:pPr>
        <w:rPr>
          <w:rFonts w:ascii="Times New Roman" w:eastAsia="微软雅黑" w:hAnsi="Times New Roman" w:cs="Times New Roman"/>
          <w:sz w:val="24"/>
          <w:szCs w:val="24"/>
        </w:rPr>
      </w:pPr>
      <w:r w:rsidRPr="00B970F2">
        <w:rPr>
          <w:rFonts w:ascii="Times New Roman" w:eastAsia="新宋体" w:hAnsi="Times New Roman" w:cs="Times New Roman" w:hint="eastAsia"/>
          <w:b/>
          <w:iCs/>
          <w:sz w:val="24"/>
          <w:szCs w:val="24"/>
        </w:rPr>
        <w:t>Figure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 xml:space="preserve"> S</w:t>
      </w:r>
      <w:r w:rsidR="00FA25F9">
        <w:rPr>
          <w:rFonts w:ascii="Times New Roman" w:eastAsia="新宋体" w:hAnsi="Times New Roman" w:cs="Times New Roman"/>
          <w:b/>
          <w:iCs/>
          <w:sz w:val="24"/>
          <w:szCs w:val="24"/>
        </w:rPr>
        <w:t>9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The p</w:t>
      </w:r>
      <w:r w:rsidRPr="00B330F1">
        <w:rPr>
          <w:rFonts w:ascii="Times New Roman" w:eastAsia="新宋体" w:hAnsi="Times New Roman" w:cs="Times New Roman"/>
          <w:bCs/>
          <w:iCs/>
          <w:sz w:val="24"/>
          <w:szCs w:val="24"/>
        </w:rPr>
        <w:t>ie chart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t>s of MTM-HCC constitution in different risk groups. MTM-</w:t>
      </w:r>
      <w:r>
        <w:rPr>
          <w:rFonts w:ascii="Times New Roman" w:eastAsia="新宋体" w:hAnsi="Times New Roman" w:cs="Times New Roman"/>
          <w:bCs/>
          <w:iCs/>
          <w:sz w:val="24"/>
          <w:szCs w:val="24"/>
        </w:rPr>
        <w:lastRenderedPageBreak/>
        <w:t xml:space="preserve">HCC, </w:t>
      </w:r>
      <w:r w:rsidRPr="00B3101C">
        <w:rPr>
          <w:rFonts w:ascii="Times New Roman" w:eastAsia="微软雅黑" w:hAnsi="Times New Roman" w:cs="Times New Roman"/>
          <w:sz w:val="24"/>
          <w:szCs w:val="24"/>
        </w:rPr>
        <w:t xml:space="preserve">macrotrabecular-massive </w:t>
      </w:r>
      <w:r>
        <w:rPr>
          <w:rFonts w:ascii="Times New Roman" w:eastAsia="微软雅黑" w:hAnsi="Times New Roman" w:cs="Times New Roman"/>
          <w:sz w:val="24"/>
          <w:szCs w:val="24"/>
        </w:rPr>
        <w:t xml:space="preserve">hepatocellular carcinoma. </w:t>
      </w:r>
    </w:p>
    <w:p w14:paraId="332133AE" w14:textId="5E1609B7" w:rsidR="00CB57C3" w:rsidRDefault="00CB57C3" w:rsidP="00CB57C3"/>
    <w:p w14:paraId="0E7FA447" w14:textId="51CDDDC8" w:rsidR="00CB57C3" w:rsidRDefault="00CB57C3" w:rsidP="00CB57C3"/>
    <w:p w14:paraId="61C21F04" w14:textId="4D5F8622" w:rsidR="00CB57C3" w:rsidRDefault="00CB57C3" w:rsidP="00CB57C3">
      <w:pPr>
        <w:jc w:val="center"/>
      </w:pPr>
      <w:r>
        <w:rPr>
          <w:noProof/>
        </w:rPr>
        <w:drawing>
          <wp:inline distT="0" distB="0" distL="0" distR="0" wp14:anchorId="1D22B69D" wp14:editId="70E647DB">
            <wp:extent cx="5274310" cy="28740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9DA4" w14:textId="6387334E" w:rsidR="00CB57C3" w:rsidRDefault="00CB57C3" w:rsidP="00CB57C3">
      <w:pPr>
        <w:jc w:val="center"/>
      </w:pPr>
    </w:p>
    <w:p w14:paraId="54C81B4A" w14:textId="47C5C079" w:rsidR="00CB57C3" w:rsidRPr="00CB57C3" w:rsidRDefault="00CB57C3" w:rsidP="00CB57C3">
      <w:r w:rsidRPr="00B970F2">
        <w:rPr>
          <w:rFonts w:ascii="Times New Roman" w:eastAsia="新宋体" w:hAnsi="Times New Roman" w:cs="Times New Roman" w:hint="eastAsia"/>
          <w:b/>
          <w:iCs/>
          <w:sz w:val="24"/>
          <w:szCs w:val="24"/>
        </w:rPr>
        <w:t>Figure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 xml:space="preserve"> S</w:t>
      </w:r>
      <w:r w:rsidR="00FA25F9">
        <w:rPr>
          <w:rFonts w:ascii="Times New Roman" w:eastAsia="新宋体" w:hAnsi="Times New Roman" w:cs="Times New Roman"/>
          <w:b/>
          <w:iCs/>
          <w:sz w:val="24"/>
          <w:szCs w:val="24"/>
        </w:rPr>
        <w:t>10</w:t>
      </w:r>
      <w:r w:rsidRPr="00B970F2">
        <w:rPr>
          <w:rFonts w:ascii="Times New Roman" w:eastAsia="新宋体" w:hAnsi="Times New Roman" w:cs="Times New Roman"/>
          <w:b/>
          <w:iCs/>
          <w:sz w:val="24"/>
          <w:szCs w:val="24"/>
        </w:rPr>
        <w:t>.</w:t>
      </w:r>
      <w:r w:rsidRPr="00196C06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</w:t>
      </w:r>
      <w:r w:rsidR="00B970F2" w:rsidRPr="00B970F2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The </w:t>
      </w:r>
      <w:r w:rsidR="00B66833">
        <w:rPr>
          <w:rFonts w:ascii="Times New Roman" w:eastAsia="新宋体" w:hAnsi="Times New Roman" w:cs="Times New Roman"/>
          <w:bCs/>
          <w:iCs/>
          <w:sz w:val="24"/>
          <w:szCs w:val="24"/>
        </w:rPr>
        <w:t>corrplots</w:t>
      </w:r>
      <w:r w:rsidR="00B970F2" w:rsidRPr="00B970F2">
        <w:rPr>
          <w:rFonts w:ascii="Times New Roman" w:eastAsia="新宋体" w:hAnsi="Times New Roman" w:cs="Times New Roman"/>
          <w:bCs/>
          <w:iCs/>
          <w:sz w:val="24"/>
          <w:szCs w:val="24"/>
        </w:rPr>
        <w:t xml:space="preserve"> of immune cells infiltration in the HS low-risk group (A) and HS high-risk group (B) based on TCGA database. TCGA, The Cancer Genome Atlas; HS, histological score.</w:t>
      </w:r>
    </w:p>
    <w:sectPr w:rsidR="00CB57C3" w:rsidRPr="00CB57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C6CF2" w14:textId="77777777" w:rsidR="00E56FB3" w:rsidRDefault="00E56FB3" w:rsidP="006121CC">
      <w:r>
        <w:separator/>
      </w:r>
    </w:p>
  </w:endnote>
  <w:endnote w:type="continuationSeparator" w:id="0">
    <w:p w14:paraId="2CC9BFD9" w14:textId="77777777" w:rsidR="00E56FB3" w:rsidRDefault="00E56FB3" w:rsidP="00612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altName w:val="NSimSun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D5371" w14:textId="77777777" w:rsidR="00E56FB3" w:rsidRDefault="00E56FB3" w:rsidP="006121CC">
      <w:r>
        <w:separator/>
      </w:r>
    </w:p>
  </w:footnote>
  <w:footnote w:type="continuationSeparator" w:id="0">
    <w:p w14:paraId="3FED5773" w14:textId="77777777" w:rsidR="00E56FB3" w:rsidRDefault="00E56FB3" w:rsidP="006121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30E"/>
    <w:rsid w:val="000B3D2C"/>
    <w:rsid w:val="001628EF"/>
    <w:rsid w:val="00230102"/>
    <w:rsid w:val="0023230E"/>
    <w:rsid w:val="002D7076"/>
    <w:rsid w:val="00303464"/>
    <w:rsid w:val="00343FFE"/>
    <w:rsid w:val="006121CC"/>
    <w:rsid w:val="006F3DB4"/>
    <w:rsid w:val="007719C2"/>
    <w:rsid w:val="007E53FA"/>
    <w:rsid w:val="008967BA"/>
    <w:rsid w:val="00965BD8"/>
    <w:rsid w:val="00A22E68"/>
    <w:rsid w:val="00B2256B"/>
    <w:rsid w:val="00B66833"/>
    <w:rsid w:val="00B970F2"/>
    <w:rsid w:val="00BB4C40"/>
    <w:rsid w:val="00CB57C3"/>
    <w:rsid w:val="00D72487"/>
    <w:rsid w:val="00E56FB3"/>
    <w:rsid w:val="00E86A87"/>
    <w:rsid w:val="00FA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6957E"/>
  <w15:chartTrackingRefBased/>
  <w15:docId w15:val="{72F4452B-441A-418C-9CB0-859D086B3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21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121C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121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121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QWF</cp:lastModifiedBy>
  <cp:revision>5</cp:revision>
  <dcterms:created xsi:type="dcterms:W3CDTF">2022-07-18T17:17:00Z</dcterms:created>
  <dcterms:modified xsi:type="dcterms:W3CDTF">2022-08-02T08:03:00Z</dcterms:modified>
</cp:coreProperties>
</file>