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AD591" w14:textId="3C1E0E05" w:rsidR="00845059" w:rsidRDefault="00845059" w:rsidP="00922658">
      <w:pPr>
        <w:keepNext/>
        <w:jc w:val="both"/>
        <w:rPr>
          <w:rFonts w:cs="Times New Roman"/>
          <w:b/>
          <w:szCs w:val="24"/>
        </w:rPr>
      </w:pPr>
      <w:r w:rsidRPr="00845059">
        <w:rPr>
          <w:rFonts w:cs="Times New Roman"/>
          <w:b/>
          <w:noProof/>
          <w:szCs w:val="24"/>
        </w:rPr>
        <w:drawing>
          <wp:inline distT="0" distB="0" distL="0" distR="0" wp14:anchorId="4D987A91" wp14:editId="6B8F635B">
            <wp:extent cx="6208395" cy="393192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91084A2-1B02-1143-B0DB-86E4A720B7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91084A2-1B02-1143-B0DB-86E4A720B7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3B0A" w14:textId="6BA1B138" w:rsidR="00845059" w:rsidRPr="00845059" w:rsidRDefault="00845059" w:rsidP="00922658">
      <w:pPr>
        <w:keepNext/>
        <w:jc w:val="both"/>
        <w:rPr>
          <w:lang w:val="en-KR"/>
        </w:rPr>
      </w:pPr>
      <w:r w:rsidRPr="00845059">
        <w:rPr>
          <w:b/>
          <w:bCs/>
        </w:rPr>
        <w:t>Supplementary Fig. 1.</w:t>
      </w:r>
      <w:r w:rsidRPr="00845059">
        <w:t xml:space="preserve"> Graphical genotypes of four near-isogenic lines (NILs). White regions indicate Hwayeong genetic background and black regions indicate Dodamssal chromosomal segments.</w:t>
      </w:r>
    </w:p>
    <w:p w14:paraId="3AE196DF" w14:textId="115BAC60" w:rsidR="00994A3D" w:rsidRPr="002B4A57" w:rsidRDefault="00994A3D" w:rsidP="00922658">
      <w:pPr>
        <w:keepNext/>
        <w:jc w:val="both"/>
        <w:rPr>
          <w:rFonts w:cs="Times New Roman"/>
          <w:b/>
          <w:szCs w:val="24"/>
        </w:rPr>
      </w:pPr>
    </w:p>
    <w:p w14:paraId="7B65BC41" w14:textId="0E54C5B6" w:rsidR="00845059" w:rsidRDefault="00845059" w:rsidP="00922658">
      <w:pPr>
        <w:spacing w:before="0" w:after="200" w:line="276" w:lineRule="auto"/>
        <w:jc w:val="both"/>
        <w:rPr>
          <w:lang w:eastAsia="ko-KR"/>
        </w:rPr>
      </w:pPr>
      <w:r>
        <w:br w:type="page"/>
      </w:r>
    </w:p>
    <w:p w14:paraId="4BE5DBA6" w14:textId="310F8996" w:rsidR="00845059" w:rsidRDefault="00845059" w:rsidP="00922658">
      <w:pPr>
        <w:spacing w:before="240"/>
        <w:jc w:val="both"/>
      </w:pPr>
      <w:r w:rsidRPr="00845059">
        <w:rPr>
          <w:noProof/>
        </w:rPr>
        <w:lastRenderedPageBreak/>
        <w:drawing>
          <wp:inline distT="0" distB="0" distL="0" distR="0" wp14:anchorId="22DD4342" wp14:editId="7147D144">
            <wp:extent cx="6208395" cy="3246120"/>
            <wp:effectExtent l="0" t="0" r="190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559860C-C39B-E0C3-A5CF-781065D693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559860C-C39B-E0C3-A5CF-781065D693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FB29" w14:textId="77777777" w:rsidR="00845059" w:rsidRPr="00845059" w:rsidRDefault="00845059" w:rsidP="00922658">
      <w:pPr>
        <w:spacing w:before="240"/>
        <w:jc w:val="both"/>
        <w:rPr>
          <w:lang w:val="en-KR"/>
        </w:rPr>
      </w:pPr>
      <w:r w:rsidRPr="00845059">
        <w:rPr>
          <w:b/>
          <w:bCs/>
        </w:rPr>
        <w:t>Supplementary Fig. 2</w:t>
      </w:r>
      <w:r w:rsidRPr="00845059">
        <w:t xml:space="preserve">. </w:t>
      </w:r>
      <w:r w:rsidRPr="00845059">
        <w:rPr>
          <w:i/>
          <w:iCs/>
        </w:rPr>
        <w:t>SBE3</w:t>
      </w:r>
      <w:r w:rsidRPr="00845059">
        <w:t xml:space="preserve"> and </w:t>
      </w:r>
      <w:r w:rsidRPr="00845059">
        <w:rPr>
          <w:i/>
          <w:iCs/>
        </w:rPr>
        <w:t>GBSS1</w:t>
      </w:r>
      <w:r w:rsidRPr="00845059">
        <w:t xml:space="preserve"> gene structures and the location of SNPs between Hwayeong and Dodamssal.</w:t>
      </w:r>
    </w:p>
    <w:p w14:paraId="3BA53173" w14:textId="053E79D7" w:rsidR="00845059" w:rsidRDefault="00845059" w:rsidP="00922658">
      <w:pPr>
        <w:spacing w:before="0" w:after="200" w:line="276" w:lineRule="auto"/>
        <w:jc w:val="both"/>
      </w:pPr>
      <w:r>
        <w:br w:type="page"/>
      </w:r>
    </w:p>
    <w:p w14:paraId="48D4D6B1" w14:textId="0C0DE447" w:rsidR="00845059" w:rsidRDefault="00845059" w:rsidP="00922658">
      <w:pPr>
        <w:spacing w:before="240"/>
        <w:jc w:val="both"/>
      </w:pPr>
      <w:r w:rsidRPr="00845059">
        <w:rPr>
          <w:noProof/>
        </w:rPr>
        <w:lastRenderedPageBreak/>
        <w:drawing>
          <wp:inline distT="0" distB="0" distL="0" distR="0" wp14:anchorId="6B9C8D05" wp14:editId="00FC53DA">
            <wp:extent cx="4858713" cy="4940710"/>
            <wp:effectExtent l="0" t="0" r="571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DE8D6DF-CFA1-E24A-B600-94B5E2289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DE8D6DF-CFA1-E24A-B600-94B5E22891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38" cy="49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3960" w14:textId="77777777" w:rsidR="00845059" w:rsidRPr="00845059" w:rsidRDefault="00845059" w:rsidP="00922658">
      <w:pPr>
        <w:spacing w:before="240"/>
        <w:jc w:val="both"/>
        <w:rPr>
          <w:lang w:val="en-KR"/>
        </w:rPr>
      </w:pPr>
      <w:r w:rsidRPr="00845059">
        <w:rPr>
          <w:b/>
          <w:bCs/>
        </w:rPr>
        <w:t>Supplementary Fig. 3</w:t>
      </w:r>
      <w:r w:rsidRPr="00845059">
        <w:t>. Comparison of agronomic traits of the four NILs. (</w:t>
      </w:r>
      <w:r w:rsidRPr="00845059">
        <w:rPr>
          <w:b/>
          <w:bCs/>
        </w:rPr>
        <w:t>A</w:t>
      </w:r>
      <w:r w:rsidRPr="00845059">
        <w:t>) Grain weight, (</w:t>
      </w:r>
      <w:r w:rsidRPr="00845059">
        <w:rPr>
          <w:b/>
          <w:bCs/>
        </w:rPr>
        <w:t>B</w:t>
      </w:r>
      <w:r w:rsidRPr="00845059">
        <w:t>) Seed fertility, (</w:t>
      </w:r>
      <w:r w:rsidRPr="00845059">
        <w:rPr>
          <w:b/>
          <w:bCs/>
        </w:rPr>
        <w:t>C</w:t>
      </w:r>
      <w:r w:rsidRPr="00845059">
        <w:t>) Plant height, (</w:t>
      </w:r>
      <w:r w:rsidRPr="00845059">
        <w:rPr>
          <w:b/>
          <w:bCs/>
        </w:rPr>
        <w:t>D</w:t>
      </w:r>
      <w:r w:rsidRPr="00845059">
        <w:t>) Panicle numbers, and (</w:t>
      </w:r>
      <w:r w:rsidRPr="00845059">
        <w:rPr>
          <w:b/>
          <w:bCs/>
        </w:rPr>
        <w:t>E</w:t>
      </w:r>
      <w:r w:rsidRPr="00845059">
        <w:t>) Panicle length.</w:t>
      </w:r>
      <w:r w:rsidRPr="00845059">
        <w:rPr>
          <w:lang w:val="en-KR"/>
        </w:rPr>
        <w:t xml:space="preserve"> </w:t>
      </w:r>
    </w:p>
    <w:p w14:paraId="0BFB2D12" w14:textId="4A89B943" w:rsidR="00845059" w:rsidRDefault="00845059" w:rsidP="00922658">
      <w:pPr>
        <w:spacing w:before="0" w:after="200" w:line="276" w:lineRule="auto"/>
        <w:jc w:val="both"/>
      </w:pPr>
      <w:r>
        <w:br w:type="page"/>
      </w:r>
    </w:p>
    <w:p w14:paraId="67B78926" w14:textId="01478D97" w:rsidR="00845059" w:rsidRDefault="00845059" w:rsidP="00922658">
      <w:pPr>
        <w:spacing w:before="240"/>
        <w:jc w:val="both"/>
      </w:pPr>
      <w:r w:rsidRPr="00845059">
        <w:rPr>
          <w:noProof/>
        </w:rPr>
        <w:lastRenderedPageBreak/>
        <w:drawing>
          <wp:inline distT="0" distB="0" distL="0" distR="0" wp14:anchorId="0C0C6A5C" wp14:editId="65B48214">
            <wp:extent cx="6208395" cy="2442845"/>
            <wp:effectExtent l="0" t="0" r="1905" b="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656699E-F4EF-3868-B776-1CA6494A50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656699E-F4EF-3868-B776-1CA6494A50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45E2" w14:textId="77777777" w:rsidR="00845059" w:rsidRPr="00845059" w:rsidRDefault="00845059" w:rsidP="00922658">
      <w:pPr>
        <w:spacing w:before="240"/>
        <w:jc w:val="both"/>
        <w:rPr>
          <w:lang w:val="en-KR"/>
        </w:rPr>
      </w:pPr>
      <w:r w:rsidRPr="00845059">
        <w:rPr>
          <w:b/>
          <w:bCs/>
        </w:rPr>
        <w:t>Supplementary Fig. 4</w:t>
      </w:r>
      <w:r w:rsidRPr="00845059">
        <w:t>. Investigation of resistant starch content using rice flours from the parental lines and four NILs. (</w:t>
      </w:r>
      <w:r w:rsidRPr="00845059">
        <w:rPr>
          <w:b/>
          <w:bCs/>
        </w:rPr>
        <w:t>A</w:t>
      </w:r>
      <w:r w:rsidRPr="00845059">
        <w:t xml:space="preserve">) Comparison of resistant starch content. </w:t>
      </w:r>
      <w:r w:rsidRPr="00845059">
        <w:rPr>
          <w:vertAlign w:val="superscript"/>
        </w:rPr>
        <w:t>*</w:t>
      </w:r>
      <w:r w:rsidRPr="00845059">
        <w:t xml:space="preserve">The letters indicated significant difference based on the Tukey’s test at </w:t>
      </w:r>
      <w:r w:rsidRPr="00845059">
        <w:rPr>
          <w:i/>
          <w:iCs/>
        </w:rPr>
        <w:t xml:space="preserve">P </w:t>
      </w:r>
      <w:r w:rsidRPr="00845059">
        <w:t>&lt; 0.05.  (</w:t>
      </w:r>
      <w:r w:rsidRPr="00845059">
        <w:rPr>
          <w:b/>
          <w:bCs/>
        </w:rPr>
        <w:t>B</w:t>
      </w:r>
      <w:r w:rsidRPr="00845059">
        <w:t>) Color intensity of resistant starch content measured by Megazyme kit (Megazyme Co., Wicklow, Ireland). HY: Hwayeong, DD: Dodamssal.</w:t>
      </w:r>
    </w:p>
    <w:p w14:paraId="7665A64D" w14:textId="7CC63DAD" w:rsidR="00845059" w:rsidRDefault="00845059" w:rsidP="00922658">
      <w:pPr>
        <w:spacing w:before="0" w:after="200" w:line="276" w:lineRule="auto"/>
        <w:jc w:val="both"/>
      </w:pPr>
      <w:r>
        <w:br w:type="page"/>
      </w:r>
    </w:p>
    <w:p w14:paraId="5C39032B" w14:textId="483A380A" w:rsidR="00845059" w:rsidRDefault="00845059" w:rsidP="00922658">
      <w:pPr>
        <w:spacing w:before="240"/>
        <w:jc w:val="both"/>
      </w:pPr>
      <w:r w:rsidRPr="00845059">
        <w:rPr>
          <w:noProof/>
        </w:rPr>
        <w:lastRenderedPageBreak/>
        <w:drawing>
          <wp:inline distT="0" distB="0" distL="0" distR="0" wp14:anchorId="55724653" wp14:editId="360CE148">
            <wp:extent cx="6208395" cy="532447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C267" w14:textId="4B8508CA" w:rsidR="00845059" w:rsidRDefault="00845059" w:rsidP="00922658">
      <w:pPr>
        <w:spacing w:before="240"/>
        <w:jc w:val="both"/>
      </w:pPr>
    </w:p>
    <w:p w14:paraId="3A3F57A3" w14:textId="77777777" w:rsidR="00845059" w:rsidRPr="00845059" w:rsidRDefault="00845059" w:rsidP="00922658">
      <w:pPr>
        <w:spacing w:before="240"/>
        <w:jc w:val="both"/>
        <w:rPr>
          <w:lang w:val="en-KR"/>
        </w:rPr>
      </w:pPr>
      <w:r w:rsidRPr="00845059">
        <w:rPr>
          <w:b/>
          <w:bCs/>
        </w:rPr>
        <w:t>Supplementary Fig. 5</w:t>
      </w:r>
      <w:r w:rsidRPr="00845059">
        <w:t xml:space="preserve">. Gene expression profiling of starch-related genes with qRT-PCR using panicle samples at 15 days after flowering. </w:t>
      </w:r>
      <w:r w:rsidRPr="00845059">
        <w:rPr>
          <w:i/>
          <w:iCs/>
        </w:rPr>
        <w:t>UBQ5</w:t>
      </w:r>
      <w:r w:rsidRPr="00845059">
        <w:t xml:space="preserve"> was used for gene normalization. The letters indicated significant difference based on the Tukey’s test at </w:t>
      </w:r>
      <w:r w:rsidRPr="00845059">
        <w:rPr>
          <w:i/>
          <w:iCs/>
        </w:rPr>
        <w:t xml:space="preserve">P </w:t>
      </w:r>
      <w:r w:rsidRPr="00845059">
        <w:t>&lt; 0.05. (</w:t>
      </w:r>
      <w:r w:rsidRPr="00845059">
        <w:rPr>
          <w:b/>
          <w:bCs/>
        </w:rPr>
        <w:t>A</w:t>
      </w:r>
      <w:r w:rsidRPr="00845059">
        <w:t xml:space="preserve">) Paralogous genes of </w:t>
      </w:r>
      <w:r w:rsidRPr="00845059">
        <w:rPr>
          <w:i/>
          <w:iCs/>
        </w:rPr>
        <w:t>GBSS1</w:t>
      </w:r>
      <w:r w:rsidRPr="00845059">
        <w:t xml:space="preserve"> and </w:t>
      </w:r>
      <w:r w:rsidRPr="00845059">
        <w:rPr>
          <w:i/>
          <w:iCs/>
        </w:rPr>
        <w:t>SBE3</w:t>
      </w:r>
      <w:r w:rsidRPr="00845059">
        <w:t>, (</w:t>
      </w:r>
      <w:r w:rsidRPr="00845059">
        <w:rPr>
          <w:b/>
          <w:bCs/>
        </w:rPr>
        <w:t>B</w:t>
      </w:r>
      <w:r w:rsidRPr="00845059">
        <w:t xml:space="preserve">) </w:t>
      </w:r>
      <w:r w:rsidRPr="00845059">
        <w:rPr>
          <w:i/>
          <w:iCs/>
        </w:rPr>
        <w:t>ADP-glucose pyrophosphorylase</w:t>
      </w:r>
      <w:r w:rsidRPr="00845059">
        <w:t xml:space="preserve"> (</w:t>
      </w:r>
      <w:r w:rsidRPr="00845059">
        <w:rPr>
          <w:i/>
          <w:iCs/>
        </w:rPr>
        <w:t>AGP</w:t>
      </w:r>
      <w:r w:rsidRPr="00845059">
        <w:t>), (</w:t>
      </w:r>
      <w:r w:rsidRPr="00845059">
        <w:rPr>
          <w:b/>
          <w:bCs/>
        </w:rPr>
        <w:t>C</w:t>
      </w:r>
      <w:r w:rsidRPr="00845059">
        <w:t xml:space="preserve">) </w:t>
      </w:r>
      <w:r w:rsidRPr="00845059">
        <w:rPr>
          <w:i/>
          <w:iCs/>
        </w:rPr>
        <w:t>soluble starch synthase</w:t>
      </w:r>
      <w:r w:rsidRPr="00845059">
        <w:t xml:space="preserve"> (</w:t>
      </w:r>
      <w:r w:rsidRPr="00845059">
        <w:rPr>
          <w:i/>
          <w:iCs/>
        </w:rPr>
        <w:t>SS</w:t>
      </w:r>
      <w:r w:rsidRPr="00845059">
        <w:t>), (</w:t>
      </w:r>
      <w:r w:rsidRPr="00845059">
        <w:rPr>
          <w:b/>
          <w:bCs/>
        </w:rPr>
        <w:t>D</w:t>
      </w:r>
      <w:r w:rsidRPr="00845059">
        <w:t xml:space="preserve">) </w:t>
      </w:r>
      <w:r w:rsidRPr="00845059">
        <w:rPr>
          <w:i/>
          <w:iCs/>
        </w:rPr>
        <w:t>starch debranching enzyme</w:t>
      </w:r>
      <w:r w:rsidRPr="00845059">
        <w:t xml:space="preserve"> (</w:t>
      </w:r>
      <w:r w:rsidRPr="00845059">
        <w:rPr>
          <w:i/>
          <w:iCs/>
        </w:rPr>
        <w:t>Pullulanase</w:t>
      </w:r>
      <w:r w:rsidRPr="00845059">
        <w:t xml:space="preserve"> (</w:t>
      </w:r>
      <w:r w:rsidRPr="00845059">
        <w:rPr>
          <w:i/>
          <w:iCs/>
        </w:rPr>
        <w:t>PUL</w:t>
      </w:r>
      <w:r w:rsidRPr="00845059">
        <w:t xml:space="preserve">) and </w:t>
      </w:r>
      <w:r w:rsidRPr="00845059">
        <w:rPr>
          <w:i/>
          <w:iCs/>
        </w:rPr>
        <w:t>Isoamylase</w:t>
      </w:r>
      <w:r w:rsidRPr="00845059">
        <w:t xml:space="preserve"> (</w:t>
      </w:r>
      <w:r w:rsidRPr="00845059">
        <w:rPr>
          <w:i/>
          <w:iCs/>
        </w:rPr>
        <w:t>ISA</w:t>
      </w:r>
      <w:r w:rsidRPr="00845059">
        <w:t>)), and (</w:t>
      </w:r>
      <w:r w:rsidRPr="00845059">
        <w:rPr>
          <w:b/>
          <w:bCs/>
        </w:rPr>
        <w:t>E</w:t>
      </w:r>
      <w:r w:rsidRPr="00845059">
        <w:t xml:space="preserve">) </w:t>
      </w:r>
      <w:r w:rsidRPr="00845059">
        <w:rPr>
          <w:i/>
          <w:iCs/>
        </w:rPr>
        <w:t>starch phosphorylase</w:t>
      </w:r>
      <w:r w:rsidRPr="00845059">
        <w:t xml:space="preserve"> (</w:t>
      </w:r>
      <w:r w:rsidRPr="00845059">
        <w:rPr>
          <w:i/>
          <w:iCs/>
        </w:rPr>
        <w:t>PHOL</w:t>
      </w:r>
      <w:r w:rsidRPr="00845059">
        <w:t xml:space="preserve"> and </w:t>
      </w:r>
      <w:r w:rsidRPr="00845059">
        <w:rPr>
          <w:i/>
          <w:iCs/>
        </w:rPr>
        <w:t>PHOH</w:t>
      </w:r>
      <w:r w:rsidRPr="00845059">
        <w:t>).</w:t>
      </w:r>
    </w:p>
    <w:p w14:paraId="49AF02E0" w14:textId="6C396AA5" w:rsidR="00845059" w:rsidRDefault="00845059" w:rsidP="00922658">
      <w:pPr>
        <w:spacing w:before="0" w:after="200" w:line="276" w:lineRule="auto"/>
        <w:jc w:val="both"/>
      </w:pPr>
      <w:r>
        <w:br w:type="page"/>
      </w:r>
    </w:p>
    <w:p w14:paraId="71BD29B5" w14:textId="5C6A5A8D" w:rsidR="00845059" w:rsidRDefault="00845059" w:rsidP="00922658">
      <w:pPr>
        <w:spacing w:before="240"/>
        <w:jc w:val="both"/>
      </w:pPr>
      <w:r w:rsidRPr="00845059">
        <w:rPr>
          <w:noProof/>
        </w:rPr>
        <w:lastRenderedPageBreak/>
        <w:drawing>
          <wp:inline distT="0" distB="0" distL="0" distR="0" wp14:anchorId="337ED12F" wp14:editId="7F63A862">
            <wp:extent cx="6208395" cy="6981190"/>
            <wp:effectExtent l="0" t="0" r="190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9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74D3" w14:textId="77777777" w:rsidR="00845059" w:rsidRPr="00845059" w:rsidRDefault="00845059" w:rsidP="00922658">
      <w:pPr>
        <w:spacing w:before="240"/>
        <w:jc w:val="both"/>
        <w:rPr>
          <w:lang w:val="en-KR"/>
        </w:rPr>
      </w:pPr>
      <w:r w:rsidRPr="00845059">
        <w:rPr>
          <w:b/>
          <w:bCs/>
        </w:rPr>
        <w:t>Supplementary Fig. 5</w:t>
      </w:r>
      <w:r w:rsidRPr="00845059">
        <w:t>. (Continued)</w:t>
      </w:r>
    </w:p>
    <w:p w14:paraId="7720AA49" w14:textId="134C7A82" w:rsidR="00797DF9" w:rsidRDefault="00797DF9">
      <w:pPr>
        <w:spacing w:before="0" w:after="200" w:line="276" w:lineRule="auto"/>
      </w:pPr>
      <w:r>
        <w:br w:type="page"/>
      </w:r>
    </w:p>
    <w:p w14:paraId="78048E1D" w14:textId="3DFE3BFF" w:rsidR="00845059" w:rsidRDefault="004516AB" w:rsidP="004516AB">
      <w:pPr>
        <w:spacing w:before="240"/>
        <w:jc w:val="center"/>
      </w:pPr>
      <w:r w:rsidRPr="004516AB">
        <w:rPr>
          <w:noProof/>
        </w:rPr>
        <w:lastRenderedPageBreak/>
        <w:drawing>
          <wp:inline distT="0" distB="0" distL="0" distR="0" wp14:anchorId="2D2E71AA" wp14:editId="16F4877B">
            <wp:extent cx="4412743" cy="3604846"/>
            <wp:effectExtent l="0" t="0" r="0" b="0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00B788C9-53AB-A009-0BD2-DBC29BD21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00B788C9-53AB-A009-0BD2-DBC29BD21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3287" cy="36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75F5" w14:textId="517DA5FC" w:rsidR="004516AB" w:rsidRPr="001549D3" w:rsidRDefault="004516AB" w:rsidP="004516AB">
      <w:pPr>
        <w:spacing w:before="240"/>
        <w:jc w:val="both"/>
      </w:pPr>
      <w:r w:rsidRPr="00845059">
        <w:rPr>
          <w:b/>
          <w:bCs/>
        </w:rPr>
        <w:t xml:space="preserve">Supplementary Fig. </w:t>
      </w:r>
      <w:r>
        <w:rPr>
          <w:b/>
          <w:bCs/>
        </w:rPr>
        <w:t>6</w:t>
      </w:r>
      <w:r w:rsidRPr="00845059">
        <w:t xml:space="preserve">. </w:t>
      </w:r>
      <w:r>
        <w:t>Comparison of</w:t>
      </w:r>
      <w:r w:rsidR="00D458F7">
        <w:t xml:space="preserve"> the</w:t>
      </w:r>
      <w:r>
        <w:t xml:space="preserve"> expression level of major starch biosynthesis genes between Hwayeong (HY) and Dodamssal (DD). 15 days after flowering panicle samples were used and UBQ5 was used for gene normalization. Asterisk (**) indicated significant difference at </w:t>
      </w:r>
      <w:r>
        <w:rPr>
          <w:i/>
          <w:iCs/>
        </w:rPr>
        <w:t>P</w:t>
      </w:r>
      <w:r>
        <w:t xml:space="preserve"> &lt; 0.01 based on the student’s </w:t>
      </w:r>
      <w:r w:rsidRPr="004516AB">
        <w:rPr>
          <w:i/>
          <w:iCs/>
        </w:rPr>
        <w:t>t</w:t>
      </w:r>
      <w:r>
        <w:t>-test.</w:t>
      </w:r>
    </w:p>
    <w:sectPr w:rsidR="004516AB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2F339" w14:textId="77777777" w:rsidR="00300D78" w:rsidRDefault="00300D78" w:rsidP="00117666">
      <w:pPr>
        <w:spacing w:after="0"/>
      </w:pPr>
      <w:r>
        <w:separator/>
      </w:r>
    </w:p>
  </w:endnote>
  <w:endnote w:type="continuationSeparator" w:id="0">
    <w:p w14:paraId="5E420B7E" w14:textId="77777777" w:rsidR="00300D78" w:rsidRDefault="00300D7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03A5B" w14:textId="77777777" w:rsidR="00300D78" w:rsidRDefault="00300D78" w:rsidP="00117666">
      <w:pPr>
        <w:spacing w:after="0"/>
      </w:pPr>
      <w:r>
        <w:separator/>
      </w:r>
    </w:p>
  </w:footnote>
  <w:footnote w:type="continuationSeparator" w:id="0">
    <w:p w14:paraId="5F2D0DF4" w14:textId="77777777" w:rsidR="00300D78" w:rsidRDefault="00300D7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45449941">
    <w:abstractNumId w:val="0"/>
  </w:num>
  <w:num w:numId="2" w16cid:durableId="523252379">
    <w:abstractNumId w:val="4"/>
  </w:num>
  <w:num w:numId="3" w16cid:durableId="1043407402">
    <w:abstractNumId w:val="1"/>
  </w:num>
  <w:num w:numId="4" w16cid:durableId="368143571">
    <w:abstractNumId w:val="5"/>
  </w:num>
  <w:num w:numId="5" w16cid:durableId="14759522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1871911">
    <w:abstractNumId w:val="3"/>
  </w:num>
  <w:num w:numId="7" w16cid:durableId="1407266639">
    <w:abstractNumId w:val="6"/>
  </w:num>
  <w:num w:numId="8" w16cid:durableId="1740595031">
    <w:abstractNumId w:val="6"/>
  </w:num>
  <w:num w:numId="9" w16cid:durableId="1543060127">
    <w:abstractNumId w:val="6"/>
  </w:num>
  <w:num w:numId="10" w16cid:durableId="275063393">
    <w:abstractNumId w:val="6"/>
  </w:num>
  <w:num w:numId="11" w16cid:durableId="714086633">
    <w:abstractNumId w:val="6"/>
  </w:num>
  <w:num w:numId="12" w16cid:durableId="1512262475">
    <w:abstractNumId w:val="6"/>
  </w:num>
  <w:num w:numId="13" w16cid:durableId="222061329">
    <w:abstractNumId w:val="3"/>
  </w:num>
  <w:num w:numId="14" w16cid:durableId="1437023746">
    <w:abstractNumId w:val="2"/>
  </w:num>
  <w:num w:numId="15" w16cid:durableId="1703941422">
    <w:abstractNumId w:val="2"/>
  </w:num>
  <w:num w:numId="16" w16cid:durableId="564294064">
    <w:abstractNumId w:val="2"/>
  </w:num>
  <w:num w:numId="17" w16cid:durableId="1998263895">
    <w:abstractNumId w:val="2"/>
  </w:num>
  <w:num w:numId="18" w16cid:durableId="1611426398">
    <w:abstractNumId w:val="2"/>
  </w:num>
  <w:num w:numId="19" w16cid:durableId="970284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938CD"/>
    <w:rsid w:val="002B4A57"/>
    <w:rsid w:val="002C74CA"/>
    <w:rsid w:val="00300D78"/>
    <w:rsid w:val="003123F4"/>
    <w:rsid w:val="003544FB"/>
    <w:rsid w:val="003D2F2D"/>
    <w:rsid w:val="00401590"/>
    <w:rsid w:val="00447801"/>
    <w:rsid w:val="004516AB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7DF9"/>
    <w:rsid w:val="007C206C"/>
    <w:rsid w:val="00817DD6"/>
    <w:rsid w:val="0083759F"/>
    <w:rsid w:val="00845059"/>
    <w:rsid w:val="00885156"/>
    <w:rsid w:val="008B0C51"/>
    <w:rsid w:val="009151AA"/>
    <w:rsid w:val="00922658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C7632"/>
    <w:rsid w:val="00C52A7B"/>
    <w:rsid w:val="00C56BAF"/>
    <w:rsid w:val="00C679AA"/>
    <w:rsid w:val="00C75972"/>
    <w:rsid w:val="00CD066B"/>
    <w:rsid w:val="00CE4FEE"/>
    <w:rsid w:val="00D060CF"/>
    <w:rsid w:val="00D458F7"/>
    <w:rsid w:val="00DB59C3"/>
    <w:rsid w:val="00DC259A"/>
    <w:rsid w:val="00DE23E8"/>
    <w:rsid w:val="00E50E02"/>
    <w:rsid w:val="00E52377"/>
    <w:rsid w:val="00E537AD"/>
    <w:rsid w:val="00E64E17"/>
    <w:rsid w:val="00E866C9"/>
    <w:rsid w:val="00EA3D3C"/>
    <w:rsid w:val="00EC090A"/>
    <w:rsid w:val="00ED20B5"/>
    <w:rsid w:val="00F46900"/>
    <w:rsid w:val="00F5033E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10</TotalTime>
  <Pages>7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SHIM KYUCHAN</cp:lastModifiedBy>
  <cp:revision>7</cp:revision>
  <cp:lastPrinted>2013-10-03T12:51:00Z</cp:lastPrinted>
  <dcterms:created xsi:type="dcterms:W3CDTF">2018-11-23T08:58:00Z</dcterms:created>
  <dcterms:modified xsi:type="dcterms:W3CDTF">2022-07-15T01:22:00Z</dcterms:modified>
</cp:coreProperties>
</file>