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DD" w:rsidRPr="00223972" w:rsidRDefault="00EC4EDD" w:rsidP="00C0670C">
      <w:pPr>
        <w:widowControl w:val="0"/>
        <w:spacing w:before="240" w:after="60" w:line="240" w:lineRule="auto"/>
        <w:jc w:val="center"/>
        <w:outlineLvl w:val="0"/>
        <w:rPr>
          <w:rFonts w:cs="Times New Roman"/>
          <w:b/>
          <w:bCs/>
          <w:kern w:val="2"/>
          <w:sz w:val="32"/>
          <w:szCs w:val="32"/>
        </w:rPr>
      </w:pPr>
      <w:bookmarkStart w:id="0" w:name="OLE_LINK6"/>
      <w:bookmarkStart w:id="1" w:name="OLE_LINK7"/>
      <w:r w:rsidRPr="00223972">
        <w:rPr>
          <w:rFonts w:cs="Times New Roman"/>
          <w:b/>
          <w:bCs/>
          <w:kern w:val="2"/>
          <w:sz w:val="32"/>
          <w:szCs w:val="32"/>
        </w:rPr>
        <w:t>Supplementary Material</w:t>
      </w:r>
    </w:p>
    <w:p w:rsidR="009B3D7C" w:rsidRPr="00FE315E" w:rsidRDefault="009B3D7C" w:rsidP="00C0670C">
      <w:pPr>
        <w:widowControl w:val="0"/>
        <w:spacing w:line="240" w:lineRule="auto"/>
        <w:jc w:val="both"/>
        <w:rPr>
          <w:b/>
          <w:sz w:val="30"/>
          <w:szCs w:val="30"/>
          <w:lang w:val="en-GB"/>
        </w:rPr>
      </w:pPr>
      <w:bookmarkStart w:id="2" w:name="OLE_LINK29"/>
      <w:bookmarkStart w:id="3" w:name="OLE_LINK33"/>
      <w:bookmarkStart w:id="4" w:name="OLE_LINK424"/>
      <w:bookmarkStart w:id="5" w:name="OLE_LINK425"/>
      <w:bookmarkStart w:id="6" w:name="OLE_LINK2"/>
      <w:bookmarkStart w:id="7" w:name="OLE_LINK75"/>
      <w:bookmarkStart w:id="8" w:name="OLE_LINK89"/>
      <w:bookmarkStart w:id="9" w:name="_Hlk516700045"/>
      <w:bookmarkStart w:id="10" w:name="_GoBack"/>
      <w:bookmarkEnd w:id="0"/>
      <w:bookmarkEnd w:id="1"/>
      <w:r w:rsidRPr="00FE315E">
        <w:rPr>
          <w:rFonts w:hint="eastAsia"/>
          <w:b/>
          <w:sz w:val="30"/>
          <w:szCs w:val="30"/>
        </w:rPr>
        <w:t>Phospholipid</w:t>
      </w:r>
      <w:r w:rsidRPr="00FE315E">
        <w:rPr>
          <w:b/>
          <w:sz w:val="30"/>
          <w:szCs w:val="30"/>
          <w:lang w:val="en-GB"/>
        </w:rPr>
        <w:t>-</w:t>
      </w:r>
      <w:bookmarkEnd w:id="2"/>
      <w:bookmarkEnd w:id="3"/>
      <w:r w:rsidRPr="00FE315E">
        <w:rPr>
          <w:b/>
          <w:sz w:val="30"/>
          <w:szCs w:val="30"/>
          <w:lang w:val="en-GB"/>
        </w:rPr>
        <w:t xml:space="preserve">Mimicking </w:t>
      </w:r>
      <w:r w:rsidRPr="00FE315E">
        <w:rPr>
          <w:b/>
          <w:sz w:val="30"/>
          <w:szCs w:val="30"/>
        </w:rPr>
        <w:t xml:space="preserve">Block, </w:t>
      </w:r>
      <w:r w:rsidRPr="00FE315E">
        <w:rPr>
          <w:b/>
          <w:sz w:val="30"/>
          <w:szCs w:val="30"/>
          <w:lang w:val="en-GB"/>
        </w:rPr>
        <w:t>G</w:t>
      </w:r>
      <w:r w:rsidRPr="00FE315E">
        <w:rPr>
          <w:b/>
          <w:sz w:val="30"/>
          <w:szCs w:val="30"/>
        </w:rPr>
        <w:t>raft</w:t>
      </w:r>
      <w:r w:rsidRPr="00FE315E">
        <w:rPr>
          <w:rFonts w:hint="eastAsia"/>
          <w:b/>
          <w:sz w:val="30"/>
          <w:szCs w:val="30"/>
        </w:rPr>
        <w:t>,</w:t>
      </w:r>
      <w:r w:rsidRPr="00FE315E">
        <w:rPr>
          <w:b/>
          <w:sz w:val="30"/>
          <w:szCs w:val="30"/>
        </w:rPr>
        <w:t xml:space="preserve"> and Block-G</w:t>
      </w:r>
      <w:r w:rsidR="00B9524E" w:rsidRPr="00FE315E">
        <w:rPr>
          <w:b/>
          <w:sz w:val="30"/>
          <w:szCs w:val="30"/>
        </w:rPr>
        <w:t>raft</w:t>
      </w:r>
      <w:r w:rsidRPr="00FE315E">
        <w:rPr>
          <w:b/>
          <w:sz w:val="30"/>
          <w:szCs w:val="30"/>
        </w:rPr>
        <w:t> </w:t>
      </w:r>
      <w:r w:rsidRPr="00FE315E">
        <w:rPr>
          <w:b/>
          <w:sz w:val="30"/>
          <w:szCs w:val="30"/>
          <w:lang w:val="en-GB"/>
        </w:rPr>
        <w:t xml:space="preserve">Copolymers for </w:t>
      </w:r>
      <w:bookmarkStart w:id="11" w:name="OLE_LINK80"/>
      <w:bookmarkStart w:id="12" w:name="OLE_LINK81"/>
      <w:r w:rsidRPr="00FE315E">
        <w:rPr>
          <w:b/>
          <w:sz w:val="30"/>
          <w:szCs w:val="30"/>
          <w:lang w:val="en-GB"/>
        </w:rPr>
        <w:t>Phase-T</w:t>
      </w:r>
      <w:r w:rsidRPr="00FE315E">
        <w:rPr>
          <w:rFonts w:hint="eastAsia"/>
          <w:b/>
          <w:sz w:val="30"/>
          <w:szCs w:val="30"/>
          <w:lang w:val="en-GB"/>
        </w:rPr>
        <w:t>ransition</w:t>
      </w:r>
      <w:r w:rsidRPr="00FE315E">
        <w:rPr>
          <w:b/>
          <w:sz w:val="30"/>
          <w:szCs w:val="30"/>
          <w:lang w:val="en-GB"/>
        </w:rPr>
        <w:t xml:space="preserve"> </w:t>
      </w:r>
      <w:proofErr w:type="spellStart"/>
      <w:r w:rsidRPr="00FE315E">
        <w:rPr>
          <w:b/>
          <w:sz w:val="30"/>
          <w:szCs w:val="30"/>
          <w:lang w:val="en-GB"/>
        </w:rPr>
        <w:t>Microbubbles</w:t>
      </w:r>
      <w:bookmarkEnd w:id="11"/>
      <w:bookmarkEnd w:id="12"/>
      <w:proofErr w:type="spellEnd"/>
      <w:r w:rsidRPr="00FE315E">
        <w:rPr>
          <w:b/>
          <w:sz w:val="30"/>
          <w:szCs w:val="30"/>
          <w:lang w:val="en-GB"/>
        </w:rPr>
        <w:t xml:space="preserve"> </w:t>
      </w:r>
      <w:bookmarkStart w:id="13" w:name="OLE_LINK35"/>
      <w:bookmarkStart w:id="14" w:name="OLE_LINK36"/>
      <w:r w:rsidRPr="00FE315E">
        <w:rPr>
          <w:b/>
          <w:sz w:val="30"/>
          <w:szCs w:val="30"/>
          <w:lang w:val="en-GB"/>
        </w:rPr>
        <w:t>as Ultrasound Contrast Agents</w:t>
      </w:r>
      <w:bookmarkEnd w:id="4"/>
      <w:bookmarkEnd w:id="5"/>
      <w:bookmarkEnd w:id="13"/>
      <w:bookmarkEnd w:id="14"/>
    </w:p>
    <w:bookmarkEnd w:id="6"/>
    <w:bookmarkEnd w:id="7"/>
    <w:bookmarkEnd w:id="8"/>
    <w:bookmarkEnd w:id="10"/>
    <w:p w:rsidR="009B3D7C" w:rsidRDefault="009B3D7C" w:rsidP="00C0670C">
      <w:pPr>
        <w:widowControl w:val="0"/>
        <w:spacing w:line="240" w:lineRule="auto"/>
        <w:jc w:val="both"/>
        <w:rPr>
          <w:lang w:val="en-GB"/>
        </w:rPr>
      </w:pPr>
      <w:proofErr w:type="spellStart"/>
      <w:r w:rsidRPr="009B3D7C">
        <w:rPr>
          <w:lang w:val="en-GB"/>
        </w:rPr>
        <w:t>Jianbo</w:t>
      </w:r>
      <w:proofErr w:type="spellEnd"/>
      <w:r w:rsidRPr="009B3D7C">
        <w:rPr>
          <w:lang w:val="en-GB"/>
        </w:rPr>
        <w:t xml:space="preserve"> Huang</w:t>
      </w:r>
      <w:r w:rsidR="005B57E5">
        <w:rPr>
          <w:lang w:val="en-GB"/>
        </w:rPr>
        <w:t xml:space="preserve"> </w:t>
      </w:r>
      <w:r w:rsidR="00D57C15">
        <w:rPr>
          <w:vertAlign w:val="superscript"/>
          <w:lang w:val="en-GB"/>
        </w:rPr>
        <w:t>1</w:t>
      </w:r>
      <w:r w:rsidRPr="009B3D7C">
        <w:rPr>
          <w:lang w:val="en-GB"/>
        </w:rPr>
        <w:t>,</w:t>
      </w:r>
      <w:r w:rsidR="00C0670C" w:rsidRPr="005B57E5">
        <w:rPr>
          <w:lang w:val="en-GB"/>
        </w:rPr>
        <w:t xml:space="preserve"> </w:t>
      </w:r>
      <w:r w:rsidR="00C0670C" w:rsidRPr="009B3D7C">
        <w:rPr>
          <w:lang w:val="en-GB"/>
        </w:rPr>
        <w:t>Hong Wang</w:t>
      </w:r>
      <w:r w:rsidR="00C0670C" w:rsidRPr="005B57E5">
        <w:rPr>
          <w:vertAlign w:val="superscript"/>
          <w:lang w:val="en-GB"/>
        </w:rPr>
        <w:t xml:space="preserve"> </w:t>
      </w:r>
      <w:r w:rsidR="00C0670C">
        <w:rPr>
          <w:vertAlign w:val="superscript"/>
          <w:lang w:val="en-GB"/>
        </w:rPr>
        <w:t>1</w:t>
      </w:r>
      <w:r w:rsidR="00C0670C" w:rsidRPr="009B3D7C">
        <w:rPr>
          <w:lang w:val="en-GB"/>
        </w:rPr>
        <w:t>*</w:t>
      </w:r>
      <w:r w:rsidR="00C0670C">
        <w:rPr>
          <w:lang w:val="en-GB"/>
        </w:rPr>
        <w:t xml:space="preserve">, </w:t>
      </w:r>
      <w:r w:rsidRPr="009B3D7C">
        <w:rPr>
          <w:lang w:val="en-GB"/>
        </w:rPr>
        <w:t>Lei Huang</w:t>
      </w:r>
      <w:r w:rsidR="005B57E5">
        <w:rPr>
          <w:lang w:val="en-GB"/>
        </w:rPr>
        <w:t xml:space="preserve"> </w:t>
      </w:r>
      <w:r w:rsidR="00D57C15">
        <w:rPr>
          <w:vertAlign w:val="superscript"/>
          <w:lang w:val="en-GB"/>
        </w:rPr>
        <w:t>2</w:t>
      </w:r>
      <w:r w:rsidRPr="009B3D7C">
        <w:rPr>
          <w:lang w:val="en-GB"/>
        </w:rPr>
        <w:t xml:space="preserve">, </w:t>
      </w:r>
      <w:proofErr w:type="spellStart"/>
      <w:r w:rsidRPr="009B3D7C">
        <w:rPr>
          <w:lang w:val="en-GB"/>
        </w:rPr>
        <w:t>Yuqing</w:t>
      </w:r>
      <w:proofErr w:type="spellEnd"/>
      <w:r w:rsidRPr="009B3D7C">
        <w:rPr>
          <w:lang w:val="en-GB"/>
        </w:rPr>
        <w:t xml:space="preserve"> Zhou</w:t>
      </w:r>
      <w:r w:rsidR="005B57E5">
        <w:rPr>
          <w:lang w:val="en-GB"/>
        </w:rPr>
        <w:t xml:space="preserve"> </w:t>
      </w:r>
      <w:r w:rsidR="00D57C15">
        <w:rPr>
          <w:vertAlign w:val="superscript"/>
          <w:lang w:val="en-GB"/>
        </w:rPr>
        <w:t>1</w:t>
      </w:r>
      <w:r w:rsidRPr="009B3D7C">
        <w:rPr>
          <w:lang w:val="en-GB"/>
        </w:rPr>
        <w:t xml:space="preserve"> </w:t>
      </w:r>
    </w:p>
    <w:p w:rsidR="00EC4EDD" w:rsidRPr="00195D68" w:rsidRDefault="00D57C15" w:rsidP="00C0670C">
      <w:pPr>
        <w:widowControl w:val="0"/>
        <w:spacing w:line="240" w:lineRule="auto"/>
        <w:jc w:val="both"/>
        <w:rPr>
          <w:lang w:val="en-GB"/>
        </w:rPr>
      </w:pPr>
      <w:r>
        <w:rPr>
          <w:lang w:val="en-GB"/>
        </w:rPr>
        <w:t>1</w:t>
      </w:r>
      <w:r w:rsidR="00EC4EDD" w:rsidRPr="00195D68">
        <w:rPr>
          <w:lang w:val="en-GB"/>
        </w:rPr>
        <w:t>.</w:t>
      </w:r>
      <w:r w:rsidR="00EC4EDD">
        <w:rPr>
          <w:lang w:val="en-GB"/>
        </w:rPr>
        <w:t xml:space="preserve"> </w:t>
      </w:r>
      <w:r w:rsidR="00EC4EDD" w:rsidRPr="00195D68">
        <w:rPr>
          <w:lang w:val="en-GB"/>
        </w:rPr>
        <w:t xml:space="preserve">Department of Ultrasound, Laboratory of Ultrasound </w:t>
      </w:r>
      <w:r w:rsidR="00EC4EDD">
        <w:rPr>
          <w:lang w:val="en-GB"/>
        </w:rPr>
        <w:t>Medicine</w:t>
      </w:r>
      <w:r w:rsidR="00EC4EDD" w:rsidRPr="00195D68">
        <w:rPr>
          <w:lang w:val="en-GB"/>
        </w:rPr>
        <w:t>, West China Hospital, Sichuan University, Chengdu 610041, China. E-mail:</w:t>
      </w:r>
      <w:r w:rsidR="00F57A5A" w:rsidRPr="00F57A5A">
        <w:t xml:space="preserve"> </w:t>
      </w:r>
      <w:r w:rsidR="00F57A5A" w:rsidRPr="00F57A5A">
        <w:rPr>
          <w:lang w:val="en-GB"/>
        </w:rPr>
        <w:t>wanghonggjm@163.com</w:t>
      </w:r>
      <w:r w:rsidR="00EC4EDD" w:rsidRPr="00195D68">
        <w:rPr>
          <w:lang w:val="en-GB"/>
        </w:rPr>
        <w:t xml:space="preserve">; </w:t>
      </w:r>
    </w:p>
    <w:p w:rsidR="00EC4EDD" w:rsidRPr="00195D68" w:rsidRDefault="00D57C15" w:rsidP="00C0670C">
      <w:pPr>
        <w:widowControl w:val="0"/>
        <w:spacing w:line="240" w:lineRule="auto"/>
        <w:jc w:val="both"/>
        <w:rPr>
          <w:lang w:val="en-GB"/>
        </w:rPr>
      </w:pPr>
      <w:r>
        <w:rPr>
          <w:lang w:val="en-GB"/>
        </w:rPr>
        <w:t>2</w:t>
      </w:r>
      <w:r w:rsidR="00EC4EDD" w:rsidRPr="00195D68">
        <w:rPr>
          <w:lang w:val="en-GB"/>
        </w:rPr>
        <w:t>.</w:t>
      </w:r>
      <w:r w:rsidR="00EC4EDD">
        <w:rPr>
          <w:lang w:val="en-GB"/>
        </w:rPr>
        <w:t xml:space="preserve"> </w:t>
      </w:r>
      <w:r w:rsidR="00EC4EDD" w:rsidRPr="00195D68">
        <w:rPr>
          <w:lang w:val="en-GB"/>
        </w:rPr>
        <w:t xml:space="preserve">College of Polymer Science and Engineering, State Key Laboratory of Polymer Materials Engineering, Sichuan University, Chengdu 610065, China. </w:t>
      </w:r>
    </w:p>
    <w:p w:rsidR="00EC4EDD" w:rsidRPr="00223972" w:rsidRDefault="00EC4EDD" w:rsidP="00C0670C">
      <w:pPr>
        <w:widowControl w:val="0"/>
        <w:spacing w:before="0" w:line="240" w:lineRule="auto"/>
        <w:jc w:val="both"/>
        <w:rPr>
          <w:rFonts w:cs="Times New Roman"/>
          <w:b/>
          <w:sz w:val="32"/>
          <w:szCs w:val="24"/>
        </w:rPr>
      </w:pPr>
      <w:bookmarkStart w:id="15" w:name="OLE_LINK159"/>
      <w:bookmarkStart w:id="16" w:name="OLE_LINK160"/>
      <w:bookmarkStart w:id="17" w:name="OLE_LINK161"/>
      <w:bookmarkStart w:id="18" w:name="OLE_LINK183"/>
      <w:bookmarkEnd w:id="9"/>
    </w:p>
    <w:p w:rsidR="00EC4EDD" w:rsidRDefault="00EC4EDD" w:rsidP="00C0670C">
      <w:pPr>
        <w:widowControl w:val="0"/>
        <w:spacing w:line="240" w:lineRule="auto"/>
        <w:jc w:val="both"/>
        <w:rPr>
          <w:rFonts w:cs="Times New Roman"/>
          <w:color w:val="000000"/>
        </w:rPr>
      </w:pPr>
      <w:bookmarkStart w:id="19" w:name="OLE_LINK184"/>
      <w:bookmarkStart w:id="20" w:name="OLE_LINK185"/>
      <w:bookmarkEnd w:id="15"/>
      <w:bookmarkEnd w:id="16"/>
      <w:bookmarkEnd w:id="17"/>
      <w:bookmarkEnd w:id="18"/>
    </w:p>
    <w:p w:rsidR="00EC4EDD" w:rsidRDefault="00EC4EDD" w:rsidP="00C0670C">
      <w:pPr>
        <w:widowControl w:val="0"/>
        <w:spacing w:line="240" w:lineRule="auto"/>
        <w:jc w:val="both"/>
        <w:rPr>
          <w:lang w:val="en-GB"/>
        </w:rPr>
      </w:pPr>
      <w:r w:rsidRPr="00195C81">
        <w:rPr>
          <w:vertAlign w:val="superscript"/>
        </w:rPr>
        <w:t>1</w:t>
      </w:r>
      <w:r w:rsidRPr="00C56E4C">
        <w:t xml:space="preserve">H-NMR data were obtained using a </w:t>
      </w:r>
      <w:proofErr w:type="spellStart"/>
      <w:r w:rsidRPr="00C56E4C">
        <w:t>B</w:t>
      </w:r>
      <w:r>
        <w:t>ruker</w:t>
      </w:r>
      <w:proofErr w:type="spellEnd"/>
      <w:r w:rsidRPr="00C56E4C">
        <w:t xml:space="preserve"> spectrometer (400 MHz</w:t>
      </w:r>
      <w:r>
        <w:t xml:space="preserve">, </w:t>
      </w:r>
      <w:r w:rsidRPr="002A4D3A">
        <w:t>DRX 300</w:t>
      </w:r>
      <w:r>
        <w:t xml:space="preserve">, </w:t>
      </w:r>
      <w:proofErr w:type="gramStart"/>
      <w:r w:rsidRPr="002A4D3A">
        <w:t>Germany</w:t>
      </w:r>
      <w:proofErr w:type="gramEnd"/>
      <w:r w:rsidRPr="00C56E4C">
        <w:t>)</w:t>
      </w:r>
      <w:r>
        <w:t>.</w:t>
      </w:r>
      <w:r w:rsidRPr="00C56E4C">
        <w:t xml:space="preserve"> </w:t>
      </w:r>
      <w:r>
        <w:t>The CDCl</w:t>
      </w:r>
      <w:r w:rsidRPr="00195C81">
        <w:rPr>
          <w:vertAlign w:val="subscript"/>
        </w:rPr>
        <w:t>3</w:t>
      </w:r>
      <w:r>
        <w:t xml:space="preserve"> and CD</w:t>
      </w:r>
      <w:r w:rsidRPr="00195C81">
        <w:rPr>
          <w:vertAlign w:val="subscript"/>
        </w:rPr>
        <w:t>3</w:t>
      </w:r>
      <w:r>
        <w:t>OD</w:t>
      </w:r>
      <w:r w:rsidRPr="00C56E4C">
        <w:t xml:space="preserve"> w</w:t>
      </w:r>
      <w:r>
        <w:t>ere</w:t>
      </w:r>
      <w:r w:rsidRPr="00C56E4C">
        <w:t xml:space="preserve"> used as the solvent</w:t>
      </w:r>
      <w:r w:rsidRPr="00195C81">
        <w:t xml:space="preserve"> </w:t>
      </w:r>
      <w:r>
        <w:t xml:space="preserve">and the </w:t>
      </w:r>
      <w:proofErr w:type="spellStart"/>
      <w:r>
        <w:t>t</w:t>
      </w:r>
      <w:r w:rsidRPr="00195C81">
        <w:t>etramethyl</w:t>
      </w:r>
      <w:proofErr w:type="spellEnd"/>
      <w:r w:rsidRPr="00195C81">
        <w:t xml:space="preserve"> </w:t>
      </w:r>
      <w:proofErr w:type="spellStart"/>
      <w:r w:rsidRPr="00195C81">
        <w:t>silane</w:t>
      </w:r>
      <w:proofErr w:type="spellEnd"/>
      <w:r w:rsidRPr="00195C81">
        <w:t xml:space="preserve"> (TMS) was used as the internal standard</w:t>
      </w:r>
      <w:r w:rsidRPr="00C56E4C">
        <w:t xml:space="preserve">. </w:t>
      </w:r>
      <w:r>
        <w:t>The F</w:t>
      </w:r>
      <w:r w:rsidRPr="00C56E4C">
        <w:t>ourier transform infrared spectroscopy (FTIR) spectra</w:t>
      </w:r>
      <w:r>
        <w:t xml:space="preserve"> of polymers</w:t>
      </w:r>
      <w:r w:rsidRPr="00C56E4C">
        <w:t xml:space="preserve"> were acquired on a FTIR spectrometer (Nicolet 560, </w:t>
      </w:r>
      <w:r>
        <w:t>USA</w:t>
      </w:r>
      <w:r w:rsidRPr="00C56E4C">
        <w:t>).</w:t>
      </w:r>
      <w:r w:rsidRPr="00FE7499">
        <w:t xml:space="preserve"> </w:t>
      </w:r>
      <w:r>
        <w:t xml:space="preserve">The </w:t>
      </w:r>
      <w:r w:rsidRPr="00FE7499">
        <w:t>gel permeation chromatography</w:t>
      </w:r>
      <w:r>
        <w:t xml:space="preserve"> (GPC) test was used to determine the </w:t>
      </w:r>
      <w:r w:rsidRPr="00FE7499">
        <w:t>molecular weight and distribution</w:t>
      </w:r>
      <w:r>
        <w:t xml:space="preserve"> of polymers. The THF was used as moving phase and the polystyrene was used as the standard. The</w:t>
      </w:r>
      <w:r w:rsidRPr="00FE7499">
        <w:rPr>
          <w:rFonts w:hint="eastAsia"/>
        </w:rPr>
        <w:t xml:space="preserve"> flow rate </w:t>
      </w:r>
      <w:r>
        <w:t xml:space="preserve">was </w:t>
      </w:r>
      <w:r w:rsidRPr="00FE7499">
        <w:rPr>
          <w:rFonts w:hint="eastAsia"/>
        </w:rPr>
        <w:t>0.6 mL/min</w:t>
      </w:r>
      <w:r>
        <w:t xml:space="preserve"> at 40 </w:t>
      </w:r>
      <w:r w:rsidRPr="00B62681">
        <w:t>°C</w:t>
      </w:r>
      <w:r>
        <w:t xml:space="preserve">. </w:t>
      </w:r>
      <w:r w:rsidRPr="0076393B">
        <w:t>The thermal properties of polymer</w:t>
      </w:r>
      <w:r>
        <w:t>s</w:t>
      </w:r>
      <w:r w:rsidRPr="0076393B">
        <w:t xml:space="preserve"> were characterized by differential scanning </w:t>
      </w:r>
      <w:proofErr w:type="spellStart"/>
      <w:r w:rsidRPr="0076393B">
        <w:t>calorimetry</w:t>
      </w:r>
      <w:proofErr w:type="spellEnd"/>
      <w:r w:rsidRPr="0076393B">
        <w:t xml:space="preserve"> </w:t>
      </w:r>
      <w:r>
        <w:t>(</w:t>
      </w:r>
      <w:r w:rsidRPr="0076393B">
        <w:t>DSC</w:t>
      </w:r>
      <w:r>
        <w:t xml:space="preserve">). The rate was 10 </w:t>
      </w:r>
      <w:r w:rsidRPr="00B62681">
        <w:t>°C</w:t>
      </w:r>
      <w:r>
        <w:t>/min.</w:t>
      </w:r>
    </w:p>
    <w:p w:rsidR="00EC4EDD" w:rsidRDefault="00EC4EDD" w:rsidP="00C0670C">
      <w:pPr>
        <w:widowControl w:val="0"/>
        <w:spacing w:line="240" w:lineRule="auto"/>
        <w:jc w:val="both"/>
        <w:rPr>
          <w:rFonts w:cs="Times New Roman"/>
          <w:color w:val="000000"/>
        </w:rPr>
      </w:pPr>
    </w:p>
    <w:p w:rsidR="00EC4EDD" w:rsidRPr="00D70A23" w:rsidRDefault="00EC4EDD" w:rsidP="00C0670C">
      <w:pPr>
        <w:widowControl w:val="0"/>
        <w:spacing w:line="240" w:lineRule="auto"/>
        <w:jc w:val="both"/>
        <w:rPr>
          <w:rFonts w:cs="Times New Roman"/>
          <w:b/>
          <w:color w:val="000000"/>
        </w:rPr>
      </w:pPr>
      <w:r w:rsidRPr="00D70A23">
        <w:rPr>
          <w:rFonts w:cs="Times New Roman"/>
          <w:b/>
          <w:color w:val="000000"/>
        </w:rPr>
        <w:t xml:space="preserve">Differential scanning </w:t>
      </w:r>
      <w:proofErr w:type="spellStart"/>
      <w:r w:rsidRPr="00D70A23">
        <w:rPr>
          <w:rFonts w:cs="Times New Roman"/>
          <w:b/>
          <w:color w:val="000000"/>
        </w:rPr>
        <w:t>calorimetry</w:t>
      </w:r>
      <w:proofErr w:type="spellEnd"/>
      <w:r w:rsidRPr="00D70A23">
        <w:rPr>
          <w:rFonts w:cs="Times New Roman"/>
          <w:b/>
          <w:color w:val="000000"/>
        </w:rPr>
        <w:t xml:space="preserve"> (DSC)</w:t>
      </w:r>
    </w:p>
    <w:p w:rsidR="00E55BC5" w:rsidRPr="00E55BC5" w:rsidRDefault="00EC4EDD" w:rsidP="00C0670C">
      <w:pPr>
        <w:widowControl w:val="0"/>
        <w:spacing w:line="240" w:lineRule="auto"/>
        <w:jc w:val="both"/>
        <w:rPr>
          <w:rFonts w:cs="Times New Roman"/>
          <w:color w:val="000000"/>
        </w:rPr>
      </w:pPr>
      <w:r w:rsidRPr="007731D5">
        <w:rPr>
          <w:rFonts w:cs="Times New Roman"/>
          <w:color w:val="000000"/>
        </w:rPr>
        <w:t>The thermal properties of the polymer were characterized by DSC. Firstly, dry the polymer sample, then weigh the sample (3 ~ 5 mg) and put it into the aluminum dry pot for sample preparation and put it into the instrument. Take nitrogen as the shielding ga</w:t>
      </w:r>
      <w:r w:rsidRPr="007731D5">
        <w:rPr>
          <w:rFonts w:cs="Times New Roman" w:hint="eastAsia"/>
          <w:color w:val="000000"/>
        </w:rPr>
        <w:t xml:space="preserve">s and set the flow rate as 10 ml / min. </w:t>
      </w:r>
      <w:r w:rsidR="00403A05">
        <w:rPr>
          <w:rFonts w:cs="Times New Roman"/>
          <w:color w:val="000000"/>
        </w:rPr>
        <w:t>T</w:t>
      </w:r>
      <w:r w:rsidRPr="007731D5">
        <w:rPr>
          <w:rFonts w:cs="Times New Roman" w:hint="eastAsia"/>
          <w:color w:val="000000"/>
        </w:rPr>
        <w:t>he temperature</w:t>
      </w:r>
      <w:r w:rsidR="00403A05">
        <w:rPr>
          <w:rFonts w:cs="Times New Roman"/>
          <w:color w:val="000000"/>
        </w:rPr>
        <w:t xml:space="preserve"> was r</w:t>
      </w:r>
      <w:r w:rsidR="00403A05" w:rsidRPr="007731D5">
        <w:rPr>
          <w:rFonts w:cs="Times New Roman" w:hint="eastAsia"/>
          <w:color w:val="000000"/>
        </w:rPr>
        <w:t>aise</w:t>
      </w:r>
      <w:r w:rsidR="00403A05">
        <w:rPr>
          <w:rFonts w:cs="Times New Roman"/>
          <w:color w:val="000000"/>
        </w:rPr>
        <w:t>d</w:t>
      </w:r>
      <w:r w:rsidRPr="007731D5">
        <w:rPr>
          <w:rFonts w:cs="Times New Roman" w:hint="eastAsia"/>
          <w:color w:val="000000"/>
        </w:rPr>
        <w:t xml:space="preserve"> from room temperature to 100 </w:t>
      </w:r>
      <w:r w:rsidRPr="00B62681">
        <w:t>°C</w:t>
      </w:r>
      <w:r w:rsidRPr="007731D5">
        <w:rPr>
          <w:rFonts w:cs="Times New Roman" w:hint="eastAsia"/>
          <w:color w:val="000000"/>
        </w:rPr>
        <w:t xml:space="preserve"> at a heating rate of 50 </w:t>
      </w:r>
      <w:r w:rsidRPr="00B62681">
        <w:t>°C</w:t>
      </w:r>
      <w:r w:rsidRPr="007731D5">
        <w:rPr>
          <w:rFonts w:cs="Times New Roman" w:hint="eastAsia"/>
          <w:color w:val="000000"/>
        </w:rPr>
        <w:t xml:space="preserve"> / min for 3 minutes to eliminate the thermal history of the polymer. Then the temperature was reduced to - 80 </w:t>
      </w:r>
      <w:r w:rsidRPr="00B62681">
        <w:t>°C</w:t>
      </w:r>
      <w:r w:rsidRPr="007731D5">
        <w:rPr>
          <w:rFonts w:cs="Times New Roman" w:hint="eastAsia"/>
          <w:color w:val="000000"/>
        </w:rPr>
        <w:t xml:space="preserve"> at the rate of 10 </w:t>
      </w:r>
      <w:r w:rsidRPr="00B62681">
        <w:t>°C</w:t>
      </w:r>
      <w:r w:rsidRPr="007731D5">
        <w:rPr>
          <w:rFonts w:cs="Times New Roman" w:hint="eastAsia"/>
          <w:color w:val="000000"/>
        </w:rPr>
        <w:t xml:space="preserve"> / min for 3 min to obtain the crystallization curve of the polymer</w:t>
      </w:r>
      <w:r>
        <w:rPr>
          <w:rFonts w:cs="Times New Roman"/>
          <w:color w:val="000000"/>
        </w:rPr>
        <w:t>.</w:t>
      </w:r>
      <w:r w:rsidRPr="007731D5">
        <w:rPr>
          <w:rFonts w:cs="Times New Roman" w:hint="eastAsia"/>
          <w:color w:val="000000"/>
        </w:rPr>
        <w:t xml:space="preserve"> Finally, the melting curve of the polymer was obtained by raising the temperature to 100 </w:t>
      </w:r>
      <w:r w:rsidRPr="00B62681">
        <w:t>°C</w:t>
      </w:r>
      <w:r w:rsidRPr="007731D5">
        <w:rPr>
          <w:rFonts w:cs="Times New Roman" w:hint="eastAsia"/>
          <w:color w:val="000000"/>
        </w:rPr>
        <w:t xml:space="preserve"> at the rate of 10</w:t>
      </w:r>
      <w:r w:rsidR="00E55BC5">
        <w:rPr>
          <w:rFonts w:cs="Times New Roman"/>
          <w:color w:val="000000"/>
        </w:rPr>
        <w:t xml:space="preserve"> </w:t>
      </w:r>
      <w:r w:rsidRPr="00E55BC5">
        <w:rPr>
          <w:rFonts w:cs="Times New Roman"/>
          <w:color w:val="000000"/>
        </w:rPr>
        <w:t>°C</w:t>
      </w:r>
      <w:r w:rsidRPr="007731D5">
        <w:rPr>
          <w:rFonts w:cs="Times New Roman" w:hint="eastAsia"/>
          <w:color w:val="000000"/>
        </w:rPr>
        <w:t xml:space="preserve"> / </w:t>
      </w:r>
      <w:proofErr w:type="spellStart"/>
      <w:r w:rsidRPr="007731D5">
        <w:rPr>
          <w:rFonts w:cs="Times New Roman" w:hint="eastAsia"/>
          <w:color w:val="000000"/>
        </w:rPr>
        <w:t>min.</w:t>
      </w:r>
      <w:r w:rsidR="00E55BC5" w:rsidRPr="00E55BC5">
        <w:rPr>
          <w:rFonts w:cs="Times New Roman"/>
          <w:color w:val="000000"/>
        </w:rPr>
        <w:t>The</w:t>
      </w:r>
      <w:proofErr w:type="spellEnd"/>
      <w:r w:rsidR="00E55BC5" w:rsidRPr="00E55BC5">
        <w:rPr>
          <w:rFonts w:cs="Times New Roman"/>
          <w:color w:val="000000"/>
        </w:rPr>
        <w:t xml:space="preserve"> crystallinity of the polymer is calculated according to formula:</w:t>
      </w:r>
    </w:p>
    <w:p w:rsidR="00E55BC5" w:rsidRPr="00E55BC5" w:rsidRDefault="005676E7" w:rsidP="00C0670C">
      <w:pPr>
        <w:widowControl w:val="0"/>
        <w:spacing w:line="240" w:lineRule="auto"/>
        <w:ind w:firstLineChars="200" w:firstLine="480"/>
        <w:jc w:val="both"/>
        <w:rPr>
          <w:rFonts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eastAsia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∆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H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f</m:t>
                  </m:r>
                </m:sub>
              </m:sSub>
              <m:r>
                <w:rPr>
                  <w:rFonts w:ascii="Cambria Math" w:eastAsia="Cambria Math" w:hAnsi="Cambria Math" w:cs="Cambria Math"/>
                </w:rPr>
                <m:t>(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m</m:t>
                  </m:r>
                </m:sub>
              </m:sSub>
              <m:r>
                <w:rPr>
                  <w:rFonts w:ascii="Cambria Math" w:eastAsia="Cambria Math" w:hAnsi="Cambria Math" w:cs="Cambria Math"/>
                </w:rPr>
                <m:t>)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∆</m:t>
              </m:r>
              <m:sSubSup>
                <m:sSub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mbria Math" w:hAnsi="Cambria Math" w:cs="Cambria Math"/>
                    </w:rPr>
                    <m:t>H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f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sup>
              </m:sSubSup>
              <m:r>
                <w:rPr>
                  <w:rFonts w:ascii="Cambria Math" w:eastAsia="Cambria Math" w:hAnsi="Cambria Math" w:cs="Cambria Math"/>
                </w:rPr>
                <m:t>(</m:t>
              </m:r>
              <m:sSubSup>
                <m:sSub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mbria Math" w:hAnsi="Cambria Math" w:cs="Cambria Math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m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sup>
              </m:sSubSup>
              <m:r>
                <w:rPr>
                  <w:rFonts w:ascii="Cambria Math" w:eastAsia="Cambria Math" w:hAnsi="Cambria Math" w:cs="Cambria Math"/>
                </w:rPr>
                <m:t>)</m:t>
              </m:r>
            </m:den>
          </m:f>
        </m:oMath>
      </m:oMathPara>
    </w:p>
    <w:p w:rsidR="00EC4EDD" w:rsidRPr="00A6397F" w:rsidRDefault="00E55BC5" w:rsidP="00C0670C">
      <w:pPr>
        <w:spacing w:line="240" w:lineRule="auto"/>
        <w:jc w:val="both"/>
        <w:rPr>
          <w:rFonts w:cs="Times New Roman"/>
          <w:color w:val="000000"/>
        </w:rPr>
      </w:pPr>
      <w:r w:rsidRPr="00E55BC5">
        <w:rPr>
          <w:rFonts w:cs="Times New Roman"/>
          <w:color w:val="000000"/>
        </w:rPr>
        <w:t xml:space="preserve">Where </w:t>
      </w:r>
      <m:oMath>
        <m:r>
          <m:rPr>
            <m:sty m:val="p"/>
          </m:rPr>
          <w:rPr>
            <w:rFonts w:ascii="Cambria Math" w:eastAsia="Cambria Math" w:hAnsi="Cambria Math" w:cs="Cambria Math"/>
          </w:rPr>
          <m:t>∆</m:t>
        </m:r>
        <m:sSubSup>
          <m:sSubSupPr>
            <m:ctrlPr>
              <w:rPr>
                <w:rFonts w:ascii="Cambria Math" w:eastAsia="Cambria Math" w:hAnsi="Cambria Math" w:cs="Cambria Math"/>
              </w:rPr>
            </m:ctrlPr>
          </m:sSubSupPr>
          <m:e>
            <m:r>
              <w:rPr>
                <w:rFonts w:ascii="Cambria Math" w:eastAsia="Cambria Math" w:hAnsi="Cambria Math" w:cs="Cambria Math"/>
              </w:rPr>
              <m:t>H</m:t>
            </m:r>
          </m:e>
          <m:sub>
            <m:r>
              <w:rPr>
                <w:rFonts w:ascii="Cambria Math" w:eastAsia="Cambria Math" w:hAnsi="Cambria Math" w:cs="Cambria Math"/>
              </w:rPr>
              <m:t>f</m:t>
            </m:r>
          </m:sub>
          <m:sup>
            <m:r>
              <w:rPr>
                <w:rFonts w:ascii="Cambria Math" w:eastAsia="Cambria Math" w:hAnsi="Cambria Math" w:cs="Cambria Math"/>
              </w:rPr>
              <m:t>0</m:t>
            </m:r>
          </m:sup>
        </m:sSubSup>
        <m:r>
          <m:rPr>
            <m:sty m:val="p"/>
          </m:rPr>
          <w:rPr>
            <w:rFonts w:ascii="Cambria Math" w:eastAsia="Cambria Math" w:hAnsi="Cambria Math" w:cs="Cambria Math"/>
          </w:rPr>
          <m:t>(</m:t>
        </m:r>
        <m:sSubSup>
          <m:sSubSupPr>
            <m:ctrlPr>
              <w:rPr>
                <w:rFonts w:ascii="Cambria Math" w:eastAsia="Cambria Math" w:hAnsi="Cambria Math" w:cs="Cambria Math"/>
              </w:rPr>
            </m:ctrlPr>
          </m:sSubSup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</w:rPr>
              <m:t>m</m:t>
            </m:r>
          </m:sub>
          <m:sup>
            <m:r>
              <w:rPr>
                <w:rFonts w:ascii="Cambria Math" w:eastAsia="Cambria Math" w:hAnsi="Cambria Math" w:cs="Cambria Math"/>
              </w:rPr>
              <m:t>0</m:t>
            </m:r>
          </m:sup>
        </m:sSubSup>
        <m:r>
          <m:rPr>
            <m:sty m:val="p"/>
          </m:rPr>
          <w:rPr>
            <w:rFonts w:ascii="Cambria Math" w:eastAsia="Cambria Math" w:hAnsi="Cambria Math" w:cs="Cambria Math"/>
          </w:rPr>
          <m:t>)</m:t>
        </m:r>
      </m:oMath>
      <w:r w:rsidRPr="00E55BC5">
        <w:rPr>
          <w:rFonts w:cs="Times New Roman" w:hint="eastAsia"/>
        </w:rPr>
        <w:t xml:space="preserve"> =</w:t>
      </w:r>
      <w:r w:rsidRPr="00E55BC5">
        <w:rPr>
          <w:rFonts w:cs="Times New Roman"/>
          <w:color w:val="000000"/>
        </w:rPr>
        <w:t xml:space="preserve"> 139.3 J/g, which is the melting enthalpy when PCL is fully crystallized, and </w:t>
      </w:r>
      <m:oMath>
        <m:r>
          <m:rPr>
            <m:sty m:val="p"/>
          </m:rPr>
          <w:rPr>
            <w:rFonts w:ascii="Cambria Math" w:eastAsia="Cambria Math" w:hAnsi="Cambria Math" w:cs="Cambria Math"/>
          </w:rPr>
          <m:t>∆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H</m:t>
            </m:r>
          </m:e>
          <m:sub>
            <m:r>
              <w:rPr>
                <w:rFonts w:ascii="Cambria Math" w:eastAsia="Cambria Math" w:hAnsi="Cambria Math" w:cs="Cambria Math"/>
              </w:rPr>
              <m:t>f</m:t>
            </m:r>
          </m:sub>
        </m:sSub>
        <m:r>
          <w:rPr>
            <w:rFonts w:ascii="Cambria Math" w:eastAsia="Cambria Math" w:hAnsi="Cambria Math" w:cs="Cambria Math"/>
          </w:rPr>
          <m:t>(</m:t>
        </m:r>
        <m:sSubSup>
          <m:sSubSupPr>
            <m:ctrlPr>
              <w:rPr>
                <w:rFonts w:ascii="Cambria Math" w:eastAsia="Cambria Math" w:hAnsi="Cambria Math" w:cs="Cambria Math"/>
                <w:i/>
              </w:rPr>
            </m:ctrlPr>
          </m:sSubSup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</w:rPr>
              <m:t>m</m:t>
            </m:r>
          </m:sub>
          <m:sup>
            <m:r>
              <w:rPr>
                <w:rFonts w:ascii="Cambria Math" w:eastAsia="Cambria Math" w:hAnsi="Cambria Math" w:cs="Cambria Math"/>
              </w:rPr>
              <m:t>0</m:t>
            </m:r>
          </m:sup>
        </m:sSubSup>
        <m:r>
          <w:rPr>
            <w:rFonts w:ascii="Cambria Math" w:eastAsia="Cambria Math" w:hAnsi="Cambria Math" w:cs="Cambria Math"/>
          </w:rPr>
          <m:t>)</m:t>
        </m:r>
      </m:oMath>
      <w:r w:rsidRPr="00E55BC5">
        <w:rPr>
          <w:rFonts w:cs="Times New Roman"/>
          <w:color w:val="000000"/>
        </w:rPr>
        <w:t xml:space="preserve"> is obtained from the melting peak integral of the melting curve, which is the melting enthalpy of the tested polymer.</w:t>
      </w:r>
    </w:p>
    <w:bookmarkEnd w:id="19"/>
    <w:bookmarkEnd w:id="20"/>
    <w:p w:rsidR="00EC4EDD" w:rsidRDefault="00EC4EDD" w:rsidP="00C0670C">
      <w:pPr>
        <w:widowControl w:val="0"/>
        <w:spacing w:before="0" w:line="240" w:lineRule="auto"/>
        <w:jc w:val="both"/>
        <w:rPr>
          <w:rFonts w:cs="Times New Roman"/>
          <w:b/>
          <w:szCs w:val="24"/>
        </w:rPr>
      </w:pPr>
    </w:p>
    <w:p w:rsidR="00EC4EDD" w:rsidRDefault="00D57C15" w:rsidP="00C0670C">
      <w:pPr>
        <w:widowControl w:val="0"/>
        <w:spacing w:before="0" w:line="240" w:lineRule="auto"/>
        <w:jc w:val="both"/>
        <w:rPr>
          <w:rFonts w:cs="Times New Roman"/>
          <w:b/>
          <w:szCs w:val="24"/>
        </w:rPr>
      </w:pPr>
      <w:bookmarkStart w:id="21" w:name="OLE_LINK4"/>
      <w:bookmarkStart w:id="22" w:name="OLE_LINK5"/>
      <w:r w:rsidRPr="00D57C15">
        <w:rPr>
          <w:rFonts w:cs="Times New Roman"/>
          <w:b/>
          <w:szCs w:val="24"/>
        </w:rPr>
        <w:t xml:space="preserve">Supplementary </w:t>
      </w:r>
      <w:r w:rsidR="00EC4EDD">
        <w:rPr>
          <w:rFonts w:cs="Times New Roman" w:hint="eastAsia"/>
          <w:b/>
          <w:szCs w:val="24"/>
        </w:rPr>
        <w:t xml:space="preserve">Table </w:t>
      </w:r>
      <w:bookmarkEnd w:id="21"/>
      <w:bookmarkEnd w:id="22"/>
      <w:r w:rsidR="00EC4EDD">
        <w:rPr>
          <w:rFonts w:cs="Times New Roman" w:hint="eastAsia"/>
          <w:b/>
          <w:szCs w:val="24"/>
        </w:rPr>
        <w:t>1</w:t>
      </w:r>
      <w:r w:rsidR="00EC4EDD">
        <w:rPr>
          <w:rFonts w:cs="Times New Roman"/>
          <w:b/>
          <w:szCs w:val="24"/>
        </w:rPr>
        <w:t>.</w:t>
      </w:r>
      <w:r w:rsidR="00EC4EDD">
        <w:rPr>
          <w:rFonts w:cs="Times New Roman" w:hint="eastAsia"/>
          <w:b/>
          <w:szCs w:val="24"/>
        </w:rPr>
        <w:t xml:space="preserve"> DSC data of polymers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842"/>
        <w:gridCol w:w="981"/>
        <w:gridCol w:w="1262"/>
        <w:gridCol w:w="1261"/>
        <w:gridCol w:w="920"/>
      </w:tblGrid>
      <w:tr w:rsidR="00EC4EDD" w:rsidTr="00D70A23">
        <w:trPr>
          <w:trHeight w:val="277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b/>
                <w:sz w:val="21"/>
                <w:szCs w:val="21"/>
              </w:rPr>
            </w:pPr>
            <w:r w:rsidRPr="00D70A23">
              <w:rPr>
                <w:rFonts w:cs="Times New Roman"/>
                <w:b/>
                <w:sz w:val="21"/>
                <w:szCs w:val="21"/>
              </w:rPr>
              <w:t>Material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b/>
                <w:sz w:val="21"/>
                <w:szCs w:val="21"/>
              </w:rPr>
            </w:pPr>
            <w:proofErr w:type="spellStart"/>
            <w:r w:rsidRPr="00D70A23">
              <w:rPr>
                <w:rFonts w:cs="Times New Roman"/>
                <w:b/>
                <w:sz w:val="21"/>
                <w:szCs w:val="21"/>
              </w:rPr>
              <w:t>T</w:t>
            </w:r>
            <w:r w:rsidRPr="00D70A23">
              <w:rPr>
                <w:rFonts w:cs="Times New Roman"/>
                <w:b/>
                <w:sz w:val="21"/>
                <w:szCs w:val="21"/>
                <w:vertAlign w:val="subscript"/>
              </w:rPr>
              <w:t>c</w:t>
            </w:r>
            <w:proofErr w:type="spellEnd"/>
            <w:r w:rsidRPr="00D70A23">
              <w:rPr>
                <w:rFonts w:cs="Times New Roman"/>
                <w:b/>
                <w:sz w:val="21"/>
                <w:szCs w:val="21"/>
              </w:rPr>
              <w:t>(</w:t>
            </w:r>
            <w:proofErr w:type="spellStart"/>
            <w:r w:rsidRPr="00D70A23">
              <w:rPr>
                <w:sz w:val="21"/>
                <w:szCs w:val="21"/>
                <w:vertAlign w:val="superscript"/>
              </w:rPr>
              <w:t>o</w:t>
            </w:r>
            <w:r w:rsidRPr="00D70A23">
              <w:rPr>
                <w:sz w:val="21"/>
                <w:szCs w:val="21"/>
              </w:rPr>
              <w:t>C</w:t>
            </w:r>
            <w:proofErr w:type="spellEnd"/>
            <w:r w:rsidRPr="00D70A23">
              <w:rPr>
                <w:rFonts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b/>
                <w:sz w:val="21"/>
                <w:szCs w:val="21"/>
              </w:rPr>
            </w:pPr>
            <w:r w:rsidRPr="00D70A23">
              <w:rPr>
                <w:rFonts w:cs="Times New Roman"/>
                <w:b/>
                <w:sz w:val="21"/>
                <w:szCs w:val="21"/>
              </w:rPr>
              <w:t>T</w:t>
            </w:r>
            <w:r w:rsidRPr="00D70A23">
              <w:rPr>
                <w:rFonts w:cs="Times New Roman"/>
                <w:b/>
                <w:sz w:val="21"/>
                <w:szCs w:val="21"/>
                <w:vertAlign w:val="subscript"/>
              </w:rPr>
              <w:t>m</w:t>
            </w:r>
            <w:r w:rsidRPr="00D70A23">
              <w:rPr>
                <w:rFonts w:cs="Times New Roman"/>
                <w:b/>
                <w:sz w:val="21"/>
                <w:szCs w:val="21"/>
              </w:rPr>
              <w:t>(</w:t>
            </w:r>
            <w:r w:rsidRPr="00D70A23">
              <w:rPr>
                <w:sz w:val="21"/>
                <w:szCs w:val="21"/>
                <w:vertAlign w:val="superscript"/>
              </w:rPr>
              <w:t xml:space="preserve"> o</w:t>
            </w:r>
            <w:r w:rsidRPr="00D70A23">
              <w:rPr>
                <w:sz w:val="21"/>
                <w:szCs w:val="21"/>
              </w:rPr>
              <w:t>C)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b/>
                <w:sz w:val="21"/>
                <w:szCs w:val="21"/>
              </w:rPr>
            </w:pPr>
            <w:r w:rsidRPr="00D70A23">
              <w:rPr>
                <w:rFonts w:ascii="宋体" w:hAnsi="宋体" w:cs="Times New Roman" w:hint="eastAsia"/>
                <w:b/>
                <w:sz w:val="21"/>
                <w:szCs w:val="21"/>
              </w:rPr>
              <w:t>Δ</w:t>
            </w:r>
            <w:proofErr w:type="spellStart"/>
            <w:r w:rsidRPr="00D70A23">
              <w:rPr>
                <w:rFonts w:cs="Times New Roman"/>
                <w:b/>
                <w:sz w:val="21"/>
                <w:szCs w:val="21"/>
              </w:rPr>
              <w:t>H</w:t>
            </w:r>
            <w:r w:rsidRPr="00D70A23">
              <w:rPr>
                <w:rFonts w:cs="Times New Roman"/>
                <w:b/>
                <w:sz w:val="21"/>
                <w:szCs w:val="21"/>
                <w:vertAlign w:val="subscript"/>
              </w:rPr>
              <w:t>c</w:t>
            </w:r>
            <w:proofErr w:type="spellEnd"/>
            <w:r w:rsidRPr="00D70A23">
              <w:rPr>
                <w:rFonts w:cs="Times New Roman"/>
                <w:b/>
                <w:sz w:val="21"/>
                <w:szCs w:val="21"/>
              </w:rPr>
              <w:t>(J/g)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b/>
                <w:sz w:val="21"/>
                <w:szCs w:val="21"/>
              </w:rPr>
            </w:pPr>
            <w:r w:rsidRPr="00D70A23">
              <w:rPr>
                <w:rFonts w:ascii="宋体" w:hAnsi="宋体" w:cs="Times New Roman" w:hint="eastAsia"/>
                <w:b/>
                <w:sz w:val="21"/>
                <w:szCs w:val="21"/>
              </w:rPr>
              <w:t>Δ</w:t>
            </w:r>
            <w:proofErr w:type="spellStart"/>
            <w:r w:rsidRPr="00D70A23">
              <w:rPr>
                <w:rFonts w:cs="Times New Roman"/>
                <w:b/>
                <w:sz w:val="21"/>
                <w:szCs w:val="21"/>
              </w:rPr>
              <w:t>H</w:t>
            </w:r>
            <w:r w:rsidRPr="00D70A23">
              <w:rPr>
                <w:rFonts w:cs="Times New Roman"/>
                <w:b/>
                <w:sz w:val="21"/>
                <w:szCs w:val="21"/>
                <w:vertAlign w:val="subscript"/>
              </w:rPr>
              <w:t>m</w:t>
            </w:r>
            <w:proofErr w:type="spellEnd"/>
            <w:r w:rsidRPr="00D70A23">
              <w:rPr>
                <w:rFonts w:cs="Times New Roman"/>
                <w:b/>
                <w:sz w:val="21"/>
                <w:szCs w:val="21"/>
              </w:rPr>
              <w:t>(J/g)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D70A23">
              <w:rPr>
                <w:rFonts w:cs="Times New Roman"/>
                <w:b/>
                <w:sz w:val="21"/>
                <w:szCs w:val="21"/>
              </w:rPr>
              <w:t>X</w:t>
            </w:r>
            <w:r w:rsidRPr="00D70A23">
              <w:rPr>
                <w:rFonts w:cs="Times New Roman"/>
                <w:b/>
                <w:sz w:val="21"/>
                <w:szCs w:val="21"/>
                <w:vertAlign w:val="subscript"/>
              </w:rPr>
              <w:t>c</w:t>
            </w:r>
            <w:proofErr w:type="spellEnd"/>
            <w:r w:rsidRPr="00D70A23">
              <w:rPr>
                <w:rFonts w:cs="Times New Roman"/>
                <w:b/>
                <w:sz w:val="21"/>
                <w:szCs w:val="21"/>
              </w:rPr>
              <w:t>(</w:t>
            </w:r>
            <w:proofErr w:type="gramEnd"/>
            <w:r w:rsidRPr="00D70A23">
              <w:rPr>
                <w:rFonts w:cs="Times New Roman"/>
                <w:b/>
                <w:sz w:val="21"/>
                <w:szCs w:val="21"/>
              </w:rPr>
              <w:t>%)</w:t>
            </w:r>
          </w:p>
        </w:tc>
      </w:tr>
      <w:tr w:rsidR="00EC4EDD" w:rsidTr="00D70A23">
        <w:trPr>
          <w:trHeight w:val="384"/>
        </w:trPr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D70A23">
              <w:rPr>
                <w:rFonts w:cs="Times New Roman"/>
                <w:sz w:val="21"/>
                <w:szCs w:val="21"/>
              </w:rPr>
              <w:t>PCL</w:t>
            </w:r>
            <w:r w:rsidRPr="00D70A23">
              <w:rPr>
                <w:rFonts w:cs="Times New Roman"/>
                <w:sz w:val="21"/>
                <w:szCs w:val="21"/>
                <w:vertAlign w:val="subscript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D70A23">
              <w:rPr>
                <w:rFonts w:cs="Times New Roman"/>
                <w:sz w:val="21"/>
                <w:szCs w:val="21"/>
              </w:rPr>
              <w:t>32.7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D70A23">
              <w:rPr>
                <w:rFonts w:cs="Times New Roman"/>
                <w:sz w:val="21"/>
                <w:szCs w:val="21"/>
              </w:rPr>
              <w:t>54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D70A23">
              <w:rPr>
                <w:rFonts w:cs="Times New Roman"/>
                <w:sz w:val="21"/>
                <w:szCs w:val="21"/>
              </w:rPr>
              <w:t>67.4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D70A23">
              <w:rPr>
                <w:rFonts w:cs="Times New Roman"/>
                <w:sz w:val="21"/>
                <w:szCs w:val="21"/>
              </w:rPr>
              <w:t>70.3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D70A23">
              <w:rPr>
                <w:rFonts w:cs="Times New Roman"/>
                <w:sz w:val="21"/>
                <w:szCs w:val="21"/>
              </w:rPr>
              <w:t>50.47%</w:t>
            </w:r>
          </w:p>
        </w:tc>
      </w:tr>
      <w:tr w:rsidR="00EC4EDD" w:rsidTr="00D70A23">
        <w:trPr>
          <w:trHeight w:val="34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spacing w:before="0" w:line="240" w:lineRule="auto"/>
              <w:jc w:val="both"/>
              <w:rPr>
                <w:sz w:val="21"/>
                <w:szCs w:val="21"/>
                <w:vertAlign w:val="subscript"/>
              </w:rPr>
            </w:pPr>
            <w:r w:rsidRPr="00D70A23">
              <w:rPr>
                <w:sz w:val="21"/>
                <w:szCs w:val="21"/>
                <w:lang w:val="en-GB"/>
              </w:rPr>
              <w:t>PCL</w:t>
            </w:r>
            <w:r w:rsidRPr="00D70A23">
              <w:rPr>
                <w:sz w:val="21"/>
                <w:szCs w:val="21"/>
                <w:vertAlign w:val="subscript"/>
                <w:lang w:val="en-GB"/>
              </w:rPr>
              <w:t>40</w:t>
            </w:r>
            <w:r w:rsidRPr="00D70A23">
              <w:rPr>
                <w:sz w:val="21"/>
                <w:szCs w:val="21"/>
                <w:lang w:val="en-GB"/>
              </w:rPr>
              <w:t>-</w:t>
            </w:r>
            <w:r w:rsidRPr="00D70A23">
              <w:rPr>
                <w:i/>
                <w:sz w:val="21"/>
                <w:szCs w:val="21"/>
                <w:lang w:val="en-GB"/>
              </w:rPr>
              <w:t>g</w:t>
            </w:r>
            <w:r w:rsidRPr="00D70A23">
              <w:rPr>
                <w:sz w:val="21"/>
                <w:szCs w:val="21"/>
                <w:lang w:val="en-GB"/>
              </w:rPr>
              <w:t>-PMPC</w:t>
            </w:r>
            <w:r w:rsidRPr="00D70A23">
              <w:rPr>
                <w:sz w:val="21"/>
                <w:szCs w:val="21"/>
                <w:vertAlign w:val="subscript"/>
              </w:rPr>
              <w:t>5</w:t>
            </w:r>
            <w:r w:rsidRPr="00D70A23">
              <w:rPr>
                <w:rFonts w:cs="Times New Roman"/>
                <w:sz w:val="21"/>
                <w:szCs w:val="21"/>
                <w:vertAlign w:val="subscript"/>
              </w:rPr>
              <w:t>×</w:t>
            </w:r>
            <w:r w:rsidRPr="00D70A23">
              <w:rPr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6.6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34.3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1.9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13.7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9.83%</w:t>
            </w:r>
          </w:p>
        </w:tc>
      </w:tr>
      <w:tr w:rsidR="00EC4EDD" w:rsidTr="00D70A23">
        <w:trPr>
          <w:trHeight w:val="421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spacing w:before="0" w:line="240" w:lineRule="auto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PCL</w:t>
            </w:r>
            <w:r w:rsidRPr="00D70A23">
              <w:rPr>
                <w:sz w:val="21"/>
                <w:szCs w:val="21"/>
                <w:vertAlign w:val="subscript"/>
              </w:rPr>
              <w:t>34</w:t>
            </w:r>
            <w:r w:rsidRPr="00D70A23">
              <w:rPr>
                <w:sz w:val="21"/>
                <w:szCs w:val="21"/>
              </w:rPr>
              <w:t>-</w:t>
            </w:r>
            <w:r w:rsidRPr="00D70A23">
              <w:rPr>
                <w:i/>
                <w:iCs/>
                <w:sz w:val="21"/>
                <w:szCs w:val="21"/>
              </w:rPr>
              <w:t>b</w:t>
            </w:r>
            <w:r w:rsidRPr="00D70A23">
              <w:rPr>
                <w:sz w:val="21"/>
                <w:szCs w:val="21"/>
              </w:rPr>
              <w:t>-(PBrCL</w:t>
            </w:r>
            <w:r w:rsidRPr="00D70A23">
              <w:rPr>
                <w:sz w:val="21"/>
                <w:szCs w:val="21"/>
                <w:vertAlign w:val="subscript"/>
              </w:rPr>
              <w:t>5</w:t>
            </w:r>
            <w:r w:rsidRPr="00D70A23">
              <w:rPr>
                <w:sz w:val="21"/>
                <w:szCs w:val="21"/>
              </w:rPr>
              <w:t>-</w:t>
            </w:r>
            <w:r w:rsidRPr="00D70A23">
              <w:rPr>
                <w:i/>
                <w:iCs/>
                <w:sz w:val="21"/>
                <w:szCs w:val="21"/>
              </w:rPr>
              <w:t>g</w:t>
            </w:r>
            <w:r w:rsidRPr="00D70A23">
              <w:rPr>
                <w:sz w:val="21"/>
                <w:szCs w:val="21"/>
              </w:rPr>
              <w:t>-PMPC</w:t>
            </w:r>
            <w:r w:rsidRPr="00D70A23">
              <w:rPr>
                <w:sz w:val="21"/>
                <w:szCs w:val="21"/>
                <w:vertAlign w:val="subscript"/>
              </w:rPr>
              <w:t>5</w:t>
            </w:r>
            <w:r w:rsidRPr="00D70A23">
              <w:rPr>
                <w:rFonts w:hint="eastAsia"/>
                <w:sz w:val="21"/>
                <w:szCs w:val="21"/>
                <w:vertAlign w:val="subscript"/>
              </w:rPr>
              <w:t>×</w:t>
            </w:r>
            <w:r w:rsidRPr="00D70A23">
              <w:rPr>
                <w:sz w:val="21"/>
                <w:szCs w:val="21"/>
                <w:vertAlign w:val="subscript"/>
              </w:rPr>
              <w:t>5</w:t>
            </w:r>
            <w:r w:rsidRPr="00D70A23">
              <w:rPr>
                <w:sz w:val="21"/>
                <w:szCs w:val="21"/>
              </w:rPr>
              <w:t>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20.2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46.9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5.1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16.7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11.99%</w:t>
            </w:r>
          </w:p>
        </w:tc>
      </w:tr>
      <w:tr w:rsidR="00EC4EDD" w:rsidTr="00D70A23">
        <w:trPr>
          <w:trHeight w:val="413"/>
        </w:trPr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spacing w:before="0" w:line="240" w:lineRule="auto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PCL</w:t>
            </w:r>
            <w:r w:rsidRPr="00D70A23">
              <w:rPr>
                <w:sz w:val="21"/>
                <w:szCs w:val="21"/>
                <w:vertAlign w:val="subscript"/>
              </w:rPr>
              <w:t>43</w:t>
            </w:r>
            <w:r w:rsidRPr="00D70A23">
              <w:rPr>
                <w:sz w:val="21"/>
                <w:szCs w:val="21"/>
              </w:rPr>
              <w:t>-b-PMPC</w:t>
            </w:r>
            <w:r w:rsidRPr="00D70A23">
              <w:rPr>
                <w:sz w:val="21"/>
                <w:szCs w:val="21"/>
                <w:vertAlign w:val="subscript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22.1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52.2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7.8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widowControl w:val="0"/>
              <w:spacing w:before="0" w:line="24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18.66%</w:t>
            </w:r>
          </w:p>
        </w:tc>
      </w:tr>
    </w:tbl>
    <w:p w:rsidR="00EC4EDD" w:rsidRDefault="00EC4EDD" w:rsidP="00C0670C">
      <w:pPr>
        <w:widowControl w:val="0"/>
        <w:spacing w:before="0" w:line="240" w:lineRule="auto"/>
        <w:jc w:val="both"/>
        <w:rPr>
          <w:rFonts w:cs="Times New Roman"/>
          <w:b/>
          <w:szCs w:val="24"/>
        </w:rPr>
      </w:pPr>
    </w:p>
    <w:p w:rsidR="00EC4EDD" w:rsidRPr="00223972" w:rsidRDefault="00EC4EDD" w:rsidP="00C0670C">
      <w:pPr>
        <w:widowControl w:val="0"/>
        <w:spacing w:before="0" w:line="240" w:lineRule="auto"/>
        <w:jc w:val="both"/>
        <w:rPr>
          <w:rFonts w:cs="Times New Roman"/>
          <w:szCs w:val="24"/>
        </w:rPr>
      </w:pPr>
    </w:p>
    <w:p w:rsidR="00EC4EDD" w:rsidRDefault="00D57C15" w:rsidP="00C0670C">
      <w:pPr>
        <w:pStyle w:val="EndNoteBibliography"/>
        <w:widowControl w:val="0"/>
        <w:ind w:left="964" w:hangingChars="400" w:hanging="964"/>
        <w:jc w:val="both"/>
        <w:rPr>
          <w:b/>
          <w:szCs w:val="24"/>
        </w:rPr>
      </w:pPr>
      <w:r w:rsidRPr="00D57C15">
        <w:rPr>
          <w:b/>
          <w:szCs w:val="24"/>
        </w:rPr>
        <w:t xml:space="preserve">Supplementary </w:t>
      </w:r>
      <w:r>
        <w:rPr>
          <w:rFonts w:hint="eastAsia"/>
          <w:b/>
          <w:szCs w:val="24"/>
        </w:rPr>
        <w:t xml:space="preserve">Table </w:t>
      </w:r>
      <w:r w:rsidR="00EC4EDD">
        <w:rPr>
          <w:b/>
          <w:szCs w:val="24"/>
        </w:rPr>
        <w:t>2. Characterization of PCL and PCL-PMPC copolymer</w:t>
      </w:r>
    </w:p>
    <w:p w:rsidR="00EC4EDD" w:rsidRDefault="00EC4EDD" w:rsidP="00C0670C">
      <w:pPr>
        <w:pStyle w:val="EndNoteBibliography"/>
        <w:widowControl w:val="0"/>
        <w:ind w:left="964" w:hangingChars="400" w:hanging="964"/>
        <w:jc w:val="both"/>
        <w:rPr>
          <w:b/>
          <w:szCs w:val="24"/>
        </w:rPr>
      </w:pPr>
    </w:p>
    <w:tbl>
      <w:tblPr>
        <w:tblStyle w:val="a5"/>
        <w:tblW w:w="8766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992"/>
        <w:gridCol w:w="709"/>
        <w:gridCol w:w="709"/>
        <w:gridCol w:w="709"/>
        <w:gridCol w:w="708"/>
        <w:gridCol w:w="709"/>
        <w:gridCol w:w="691"/>
      </w:tblGrid>
      <w:tr w:rsidR="00EC4EDD" w:rsidTr="00D70A23">
        <w:trPr>
          <w:trHeight w:val="459"/>
        </w:trPr>
        <w:tc>
          <w:tcPr>
            <w:tcW w:w="1838" w:type="dxa"/>
            <w:tcBorders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b/>
                <w:sz w:val="21"/>
                <w:szCs w:val="21"/>
              </w:rPr>
            </w:pPr>
            <w:r w:rsidRPr="00D70A23">
              <w:rPr>
                <w:b/>
                <w:sz w:val="21"/>
                <w:szCs w:val="21"/>
              </w:rPr>
              <w:t>Polymers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b/>
                <w:sz w:val="21"/>
                <w:szCs w:val="21"/>
              </w:rPr>
            </w:pPr>
            <w:r w:rsidRPr="00D70A23">
              <w:rPr>
                <w:b/>
                <w:sz w:val="21"/>
                <w:szCs w:val="21"/>
              </w:rPr>
              <w:t>M</w:t>
            </w:r>
            <w:r w:rsidRPr="00D70A23">
              <w:rPr>
                <w:b/>
                <w:sz w:val="21"/>
                <w:szCs w:val="21"/>
                <w:vertAlign w:val="subscript"/>
              </w:rPr>
              <w:t>n</w:t>
            </w:r>
            <w:r w:rsidRPr="00D70A23">
              <w:rPr>
                <w:b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b/>
                <w:sz w:val="21"/>
                <w:szCs w:val="21"/>
              </w:rPr>
            </w:pPr>
            <w:r w:rsidRPr="00D70A23">
              <w:rPr>
                <w:b/>
                <w:sz w:val="21"/>
                <w:szCs w:val="21"/>
              </w:rPr>
              <w:t>M</w:t>
            </w:r>
            <w:r w:rsidRPr="00D70A23">
              <w:rPr>
                <w:b/>
                <w:sz w:val="21"/>
                <w:szCs w:val="21"/>
                <w:vertAlign w:val="subscript"/>
              </w:rPr>
              <w:t>n</w:t>
            </w:r>
            <w:r w:rsidRPr="00D70A23">
              <w:rPr>
                <w:b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b/>
                <w:sz w:val="21"/>
                <w:szCs w:val="21"/>
              </w:rPr>
            </w:pPr>
            <w:r w:rsidRPr="00D70A23">
              <w:rPr>
                <w:b/>
                <w:sz w:val="21"/>
                <w:szCs w:val="21"/>
              </w:rPr>
              <w:t>M</w:t>
            </w:r>
            <w:r w:rsidRPr="00D70A23">
              <w:rPr>
                <w:b/>
                <w:sz w:val="21"/>
                <w:szCs w:val="21"/>
                <w:vertAlign w:val="subscript"/>
              </w:rPr>
              <w:t>w</w:t>
            </w:r>
            <w:r w:rsidRPr="00D70A23">
              <w:rPr>
                <w:b/>
                <w:sz w:val="21"/>
                <w:szCs w:val="21"/>
              </w:rPr>
              <w:t>/M</w:t>
            </w:r>
            <w:r w:rsidRPr="00D70A23">
              <w:rPr>
                <w:b/>
                <w:sz w:val="21"/>
                <w:szCs w:val="21"/>
                <w:vertAlign w:val="subscript"/>
              </w:rPr>
              <w:t>n</w:t>
            </w:r>
            <w:r w:rsidRPr="00D70A23">
              <w:rPr>
                <w:b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b/>
                <w:sz w:val="21"/>
                <w:szCs w:val="21"/>
              </w:rPr>
            </w:pPr>
            <w:r w:rsidRPr="00D70A23">
              <w:rPr>
                <w:b/>
                <w:sz w:val="21"/>
                <w:szCs w:val="21"/>
              </w:rPr>
              <w:t>Theoretical content (mol%)</w:t>
            </w:r>
            <w:r w:rsidRPr="00D70A23">
              <w:rPr>
                <w:b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b/>
                <w:sz w:val="21"/>
                <w:szCs w:val="21"/>
              </w:rPr>
            </w:pPr>
            <w:r w:rsidRPr="00D70A23">
              <w:rPr>
                <w:b/>
                <w:sz w:val="21"/>
                <w:szCs w:val="21"/>
              </w:rPr>
              <w:t>Elemental analysis(mol%)</w:t>
            </w:r>
            <w:r>
              <w:rPr>
                <w:b/>
                <w:sz w:val="21"/>
                <w:szCs w:val="21"/>
                <w:vertAlign w:val="superscript"/>
              </w:rPr>
              <w:t>c</w:t>
            </w:r>
          </w:p>
        </w:tc>
      </w:tr>
      <w:tr w:rsidR="00EC4EDD" w:rsidTr="00D70A23">
        <w:trPr>
          <w:trHeight w:val="448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b/>
                <w:sz w:val="21"/>
                <w:szCs w:val="21"/>
              </w:rPr>
            </w:pPr>
            <w:r w:rsidRPr="00D70A23">
              <w:rPr>
                <w:b/>
                <w:sz w:val="21"/>
                <w:szCs w:val="21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b/>
                <w:sz w:val="21"/>
                <w:szCs w:val="21"/>
              </w:rPr>
            </w:pPr>
            <w:r w:rsidRPr="00D70A23">
              <w:rPr>
                <w:b/>
                <w:sz w:val="21"/>
                <w:szCs w:val="21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b/>
                <w:sz w:val="21"/>
                <w:szCs w:val="21"/>
              </w:rPr>
            </w:pPr>
            <w:r w:rsidRPr="00D70A23">
              <w:rPr>
                <w:b/>
                <w:sz w:val="21"/>
                <w:szCs w:val="21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b/>
                <w:sz w:val="21"/>
                <w:szCs w:val="21"/>
              </w:rPr>
            </w:pPr>
            <w:r w:rsidRPr="00D70A23">
              <w:rPr>
                <w:b/>
                <w:sz w:val="21"/>
                <w:szCs w:val="21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b/>
                <w:sz w:val="21"/>
                <w:szCs w:val="21"/>
              </w:rPr>
            </w:pPr>
            <w:r w:rsidRPr="00D70A23">
              <w:rPr>
                <w:b/>
                <w:sz w:val="21"/>
                <w:szCs w:val="21"/>
              </w:rPr>
              <w:t>O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b/>
                <w:sz w:val="21"/>
                <w:szCs w:val="21"/>
              </w:rPr>
            </w:pPr>
            <w:r w:rsidRPr="00D70A23">
              <w:rPr>
                <w:b/>
                <w:sz w:val="21"/>
                <w:szCs w:val="21"/>
              </w:rPr>
              <w:t>P</w:t>
            </w:r>
          </w:p>
        </w:tc>
      </w:tr>
      <w:tr w:rsidR="00EC4EDD" w:rsidTr="00D70A23">
        <w:trPr>
          <w:trHeight w:val="448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PCL</w:t>
            </w:r>
            <w:r w:rsidRPr="00A6397F">
              <w:rPr>
                <w:sz w:val="21"/>
                <w:szCs w:val="21"/>
                <w:vertAlign w:val="subscript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4060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1.15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</w:tr>
      <w:tr w:rsidR="00EC4EDD" w:rsidTr="00D70A23">
        <w:trPr>
          <w:trHeight w:val="43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PCL</w:t>
            </w:r>
            <w:r w:rsidRPr="00A6397F">
              <w:rPr>
                <w:sz w:val="21"/>
                <w:szCs w:val="21"/>
                <w:vertAlign w:val="subscript"/>
              </w:rPr>
              <w:t>34</w:t>
            </w:r>
            <w:r w:rsidRPr="00D70A23">
              <w:rPr>
                <w:sz w:val="21"/>
                <w:szCs w:val="21"/>
              </w:rPr>
              <w:t>-b-PBCL</w:t>
            </w:r>
            <w:r w:rsidRPr="00A6397F">
              <w:rPr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5030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11200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</w:tr>
      <w:tr w:rsidR="00EC4EDD" w:rsidTr="00D70A23">
        <w:trPr>
          <w:trHeight w:val="44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PCL</w:t>
            </w:r>
            <w:r w:rsidRPr="00A6397F">
              <w:rPr>
                <w:sz w:val="21"/>
                <w:szCs w:val="21"/>
                <w:vertAlign w:val="subscript"/>
              </w:rPr>
              <w:t>43</w:t>
            </w:r>
            <w:r w:rsidRPr="00D70A23">
              <w:rPr>
                <w:sz w:val="21"/>
                <w:szCs w:val="21"/>
              </w:rPr>
              <w:t>-Br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5090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13800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1.44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</w:tr>
      <w:tr w:rsidR="00EC4EDD" w:rsidTr="00D70A23">
        <w:trPr>
          <w:trHeight w:val="44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6273D1">
              <w:rPr>
                <w:sz w:val="21"/>
                <w:szCs w:val="21"/>
                <w:lang w:val="en-GB"/>
              </w:rPr>
              <w:t>PCL</w:t>
            </w:r>
            <w:r w:rsidRPr="006273D1">
              <w:rPr>
                <w:sz w:val="21"/>
                <w:szCs w:val="21"/>
                <w:vertAlign w:val="subscript"/>
                <w:lang w:val="en-GB"/>
              </w:rPr>
              <w:t>40</w:t>
            </w:r>
            <w:r w:rsidRPr="006273D1">
              <w:rPr>
                <w:sz w:val="21"/>
                <w:szCs w:val="21"/>
                <w:lang w:val="en-GB"/>
              </w:rPr>
              <w:t>-</w:t>
            </w:r>
            <w:r w:rsidRPr="006273D1">
              <w:rPr>
                <w:i/>
                <w:sz w:val="21"/>
                <w:szCs w:val="21"/>
                <w:lang w:val="en-GB"/>
              </w:rPr>
              <w:t>g</w:t>
            </w:r>
            <w:r w:rsidRPr="006273D1">
              <w:rPr>
                <w:sz w:val="21"/>
                <w:szCs w:val="21"/>
                <w:lang w:val="en-GB"/>
              </w:rPr>
              <w:t>-PMPC</w:t>
            </w:r>
            <w:r w:rsidRPr="006273D1">
              <w:rPr>
                <w:sz w:val="21"/>
                <w:szCs w:val="21"/>
                <w:vertAlign w:val="subscript"/>
              </w:rPr>
              <w:t>5×5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12540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66.88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29.87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3.25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68.46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29.43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2.11</w:t>
            </w:r>
          </w:p>
        </w:tc>
      </w:tr>
      <w:tr w:rsidR="00EC4EDD" w:rsidTr="00D70A23">
        <w:trPr>
          <w:trHeight w:val="44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6273D1">
              <w:rPr>
                <w:sz w:val="21"/>
                <w:szCs w:val="21"/>
              </w:rPr>
              <w:t>PCL</w:t>
            </w:r>
            <w:r w:rsidRPr="006273D1">
              <w:rPr>
                <w:sz w:val="21"/>
                <w:szCs w:val="21"/>
                <w:vertAlign w:val="subscript"/>
              </w:rPr>
              <w:t>34</w:t>
            </w:r>
            <w:r w:rsidRPr="006273D1">
              <w:rPr>
                <w:sz w:val="21"/>
                <w:szCs w:val="21"/>
              </w:rPr>
              <w:t>-</w:t>
            </w:r>
            <w:r w:rsidRPr="006273D1">
              <w:rPr>
                <w:i/>
                <w:iCs/>
                <w:sz w:val="21"/>
                <w:szCs w:val="21"/>
              </w:rPr>
              <w:t>b</w:t>
            </w:r>
            <w:r w:rsidRPr="006273D1">
              <w:rPr>
                <w:sz w:val="21"/>
                <w:szCs w:val="21"/>
              </w:rPr>
              <w:t>-(PBrCL</w:t>
            </w:r>
            <w:r w:rsidRPr="006273D1">
              <w:rPr>
                <w:sz w:val="21"/>
                <w:szCs w:val="21"/>
                <w:vertAlign w:val="subscript"/>
              </w:rPr>
              <w:t>5</w:t>
            </w:r>
            <w:r w:rsidRPr="006273D1">
              <w:rPr>
                <w:sz w:val="21"/>
                <w:szCs w:val="21"/>
              </w:rPr>
              <w:t>-</w:t>
            </w:r>
            <w:r w:rsidRPr="006273D1">
              <w:rPr>
                <w:i/>
                <w:iCs/>
                <w:sz w:val="21"/>
                <w:szCs w:val="21"/>
              </w:rPr>
              <w:t>g</w:t>
            </w:r>
            <w:r w:rsidRPr="006273D1">
              <w:rPr>
                <w:sz w:val="21"/>
                <w:szCs w:val="21"/>
              </w:rPr>
              <w:t>-PMPC</w:t>
            </w:r>
            <w:r w:rsidRPr="006273D1">
              <w:rPr>
                <w:sz w:val="21"/>
                <w:szCs w:val="21"/>
                <w:vertAlign w:val="subscript"/>
              </w:rPr>
              <w:t>5</w:t>
            </w:r>
            <w:r w:rsidRPr="006273D1">
              <w:rPr>
                <w:rFonts w:hint="eastAsia"/>
                <w:sz w:val="21"/>
                <w:szCs w:val="21"/>
                <w:vertAlign w:val="subscript"/>
              </w:rPr>
              <w:t>×</w:t>
            </w:r>
            <w:r w:rsidRPr="006273D1">
              <w:rPr>
                <w:sz w:val="21"/>
                <w:szCs w:val="21"/>
                <w:vertAlign w:val="subscript"/>
              </w:rPr>
              <w:t>5</w:t>
            </w:r>
            <w:r w:rsidRPr="006273D1">
              <w:rPr>
                <w:sz w:val="21"/>
                <w:szCs w:val="21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12410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66.80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29.92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3.28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67.47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30.19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2.34</w:t>
            </w:r>
          </w:p>
        </w:tc>
      </w:tr>
      <w:tr w:rsidR="00EC4EDD" w:rsidTr="00D70A23">
        <w:trPr>
          <w:trHeight w:val="448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PCL</w:t>
            </w:r>
            <w:r w:rsidRPr="00D70A23">
              <w:rPr>
                <w:sz w:val="21"/>
                <w:szCs w:val="21"/>
                <w:vertAlign w:val="subscript"/>
              </w:rPr>
              <w:t>43</w:t>
            </w:r>
            <w:r w:rsidRPr="00D70A23">
              <w:rPr>
                <w:sz w:val="21"/>
                <w:szCs w:val="21"/>
              </w:rPr>
              <w:t>-b-PMPC</w:t>
            </w:r>
            <w:r w:rsidRPr="00D70A23">
              <w:rPr>
                <w:sz w:val="21"/>
                <w:szCs w:val="21"/>
                <w:vertAlign w:val="subscript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12470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67.13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29.72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3.15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70.19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27.74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EDD" w:rsidRPr="00D70A23" w:rsidRDefault="00EC4EDD" w:rsidP="00C0670C">
            <w:pPr>
              <w:pStyle w:val="EndNoteBibliography"/>
              <w:widowControl w:val="0"/>
              <w:spacing w:before="0"/>
              <w:jc w:val="both"/>
              <w:rPr>
                <w:sz w:val="21"/>
                <w:szCs w:val="21"/>
              </w:rPr>
            </w:pPr>
            <w:r w:rsidRPr="00D70A23">
              <w:rPr>
                <w:sz w:val="21"/>
                <w:szCs w:val="21"/>
              </w:rPr>
              <w:t>2.07</w:t>
            </w:r>
          </w:p>
        </w:tc>
      </w:tr>
    </w:tbl>
    <w:p w:rsidR="00EC4EDD" w:rsidRDefault="00EC4EDD" w:rsidP="00C0670C">
      <w:pPr>
        <w:pStyle w:val="EndNoteBibliography"/>
        <w:widowControl w:val="0"/>
        <w:ind w:left="960" w:hangingChars="400" w:hanging="960"/>
        <w:jc w:val="both"/>
        <w:rPr>
          <w:szCs w:val="24"/>
        </w:rPr>
      </w:pPr>
      <w:r w:rsidRPr="00D70A23">
        <w:rPr>
          <w:szCs w:val="24"/>
          <w:vertAlign w:val="superscript"/>
        </w:rPr>
        <w:t>a</w:t>
      </w:r>
      <w:r w:rsidRPr="00D70A23">
        <w:rPr>
          <w:szCs w:val="24"/>
        </w:rPr>
        <w:t xml:space="preserve"> Calculated by </w:t>
      </w:r>
      <w:r w:rsidRPr="00D70A23">
        <w:rPr>
          <w:szCs w:val="24"/>
          <w:vertAlign w:val="superscript"/>
        </w:rPr>
        <w:t>1</w:t>
      </w:r>
      <w:r w:rsidRPr="00D70A23">
        <w:rPr>
          <w:szCs w:val="24"/>
        </w:rPr>
        <w:t xml:space="preserve">H-NMR peak area ratio; </w:t>
      </w:r>
      <w:r w:rsidRPr="00D70A23">
        <w:rPr>
          <w:szCs w:val="24"/>
          <w:vertAlign w:val="superscript"/>
        </w:rPr>
        <w:t xml:space="preserve">b </w:t>
      </w:r>
      <w:r w:rsidRPr="00D70A23">
        <w:rPr>
          <w:szCs w:val="24"/>
        </w:rPr>
        <w:t>Calculated by GPC;</w:t>
      </w:r>
      <w:r w:rsidRPr="00D70A23">
        <w:rPr>
          <w:szCs w:val="24"/>
          <w:vertAlign w:val="superscript"/>
        </w:rPr>
        <w:t xml:space="preserve"> c</w:t>
      </w:r>
      <w:r w:rsidRPr="00D70A23">
        <w:rPr>
          <w:szCs w:val="24"/>
        </w:rPr>
        <w:t xml:space="preserve"> Calculated from Energy Dispersive Spectrometer; “-” means the values were not measured</w:t>
      </w:r>
      <w:r>
        <w:rPr>
          <w:szCs w:val="24"/>
        </w:rPr>
        <w:t>.</w:t>
      </w:r>
    </w:p>
    <w:p w:rsidR="00EC4EDD" w:rsidRDefault="00EC4EDD" w:rsidP="00C0670C">
      <w:pPr>
        <w:pStyle w:val="EndNoteBibliography"/>
        <w:widowControl w:val="0"/>
        <w:ind w:left="960" w:hangingChars="400" w:hanging="960"/>
        <w:jc w:val="both"/>
        <w:rPr>
          <w:szCs w:val="24"/>
        </w:rPr>
      </w:pPr>
    </w:p>
    <w:p w:rsidR="00EC4EDD" w:rsidRDefault="00EC4EDD" w:rsidP="00C0670C">
      <w:pPr>
        <w:pStyle w:val="EndNoteBibliography"/>
        <w:widowControl w:val="0"/>
        <w:ind w:left="960" w:hangingChars="400" w:hanging="960"/>
        <w:jc w:val="both"/>
        <w:rPr>
          <w:szCs w:val="24"/>
        </w:rPr>
      </w:pPr>
    </w:p>
    <w:p w:rsidR="00EC4EDD" w:rsidRDefault="00F57A5A" w:rsidP="00394697">
      <w:pPr>
        <w:pStyle w:val="EndNoteBibliography"/>
        <w:widowControl w:val="0"/>
        <w:ind w:left="960" w:hangingChars="400" w:hanging="960"/>
        <w:jc w:val="center"/>
        <w:rPr>
          <w:szCs w:val="24"/>
        </w:rPr>
      </w:pPr>
      <w:r>
        <w:rPr>
          <w:szCs w:val="24"/>
        </w:rPr>
        <w:lastRenderedPageBreak/>
        <w:drawing>
          <wp:inline distT="0" distB="0" distL="0" distR="0">
            <wp:extent cx="3855720" cy="2512461"/>
            <wp:effectExtent l="0" t="0" r="0" b="2540"/>
            <wp:docPr id="1" name="图片 1" descr="D:\MyDocument\Desktop\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ocument\Desktop\s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354" cy="25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EDD" w:rsidRDefault="00D57C15" w:rsidP="00C0670C">
      <w:pPr>
        <w:pStyle w:val="EndNoteBibliography"/>
        <w:widowControl w:val="0"/>
        <w:ind w:left="960" w:hangingChars="400" w:hanging="960"/>
        <w:jc w:val="both"/>
        <w:rPr>
          <w:szCs w:val="24"/>
        </w:rPr>
      </w:pPr>
      <w:r w:rsidRPr="00D57C15">
        <w:rPr>
          <w:szCs w:val="24"/>
        </w:rPr>
        <w:t xml:space="preserve">Supplementary Figure </w:t>
      </w:r>
      <w:r w:rsidR="00EC4EDD" w:rsidRPr="005F2D13">
        <w:rPr>
          <w:szCs w:val="24"/>
        </w:rPr>
        <w:t>1</w:t>
      </w:r>
      <w:r w:rsidR="00EC4EDD">
        <w:rPr>
          <w:szCs w:val="24"/>
        </w:rPr>
        <w:t xml:space="preserve">. </w:t>
      </w:r>
      <w:bookmarkStart w:id="23" w:name="OLE_LINK1"/>
      <w:bookmarkStart w:id="24" w:name="OLE_LINK3"/>
      <w:r w:rsidR="00EC4EDD">
        <w:rPr>
          <w:szCs w:val="24"/>
        </w:rPr>
        <w:t xml:space="preserve">400 M </w:t>
      </w:r>
      <w:r w:rsidR="00EC4EDD" w:rsidRPr="00D70A23">
        <w:rPr>
          <w:szCs w:val="24"/>
          <w:vertAlign w:val="superscript"/>
        </w:rPr>
        <w:t>1</w:t>
      </w:r>
      <w:r w:rsidR="00EC4EDD">
        <w:rPr>
          <w:szCs w:val="24"/>
        </w:rPr>
        <w:t>H NMR</w:t>
      </w:r>
      <w:bookmarkEnd w:id="23"/>
      <w:bookmarkEnd w:id="24"/>
      <w:r w:rsidR="00EC4EDD">
        <w:rPr>
          <w:szCs w:val="24"/>
        </w:rPr>
        <w:t xml:space="preserve"> spectra of BCHO (</w:t>
      </w:r>
      <w:r w:rsidR="00DF7E41">
        <w:rPr>
          <w:szCs w:val="24"/>
        </w:rPr>
        <w:t>a</w:t>
      </w:r>
      <w:r w:rsidR="00EC4EDD">
        <w:rPr>
          <w:szCs w:val="24"/>
        </w:rPr>
        <w:t xml:space="preserve">) and </w:t>
      </w:r>
      <w:r w:rsidR="00EC4EDD" w:rsidRPr="00403A05">
        <w:rPr>
          <w:szCs w:val="24"/>
        </w:rPr>
        <w:t>αBrεCL (</w:t>
      </w:r>
      <w:r w:rsidR="00DF7E41">
        <w:rPr>
          <w:szCs w:val="24"/>
        </w:rPr>
        <w:t>b</w:t>
      </w:r>
      <w:r w:rsidR="00EC4EDD">
        <w:rPr>
          <w:szCs w:val="24"/>
        </w:rPr>
        <w:t>) in CDCl</w:t>
      </w:r>
      <w:r w:rsidR="00EC4EDD" w:rsidRPr="00D70A23">
        <w:rPr>
          <w:szCs w:val="24"/>
          <w:vertAlign w:val="subscript"/>
        </w:rPr>
        <w:t>3</w:t>
      </w:r>
      <w:r w:rsidR="00EC4EDD">
        <w:rPr>
          <w:szCs w:val="24"/>
        </w:rPr>
        <w:t xml:space="preserve"> </w:t>
      </w:r>
    </w:p>
    <w:p w:rsidR="00EC4EDD" w:rsidRDefault="00EC4EDD" w:rsidP="00C0670C">
      <w:pPr>
        <w:pStyle w:val="EndNoteBibliography"/>
        <w:widowControl w:val="0"/>
        <w:spacing w:before="0"/>
        <w:jc w:val="both"/>
        <w:rPr>
          <w:szCs w:val="24"/>
        </w:rPr>
      </w:pPr>
    </w:p>
    <w:p w:rsidR="00EC4EDD" w:rsidRPr="004740B8" w:rsidRDefault="00EC4EDD" w:rsidP="00C0670C">
      <w:pPr>
        <w:pStyle w:val="EndNoteBibliography"/>
        <w:widowControl w:val="0"/>
        <w:spacing w:before="0"/>
        <w:jc w:val="both"/>
        <w:rPr>
          <w:szCs w:val="24"/>
        </w:rPr>
      </w:pPr>
      <w:r w:rsidRPr="00280396">
        <w:rPr>
          <w:szCs w:val="24"/>
        </w:rPr>
        <w:t xml:space="preserve">Stannous octanoate </w:t>
      </w:r>
      <w:r>
        <w:rPr>
          <w:szCs w:val="24"/>
        </w:rPr>
        <w:t>wa</w:t>
      </w:r>
      <w:r w:rsidRPr="00280396">
        <w:rPr>
          <w:szCs w:val="24"/>
        </w:rPr>
        <w:t xml:space="preserve">s an efficient ring opening polymerization catalyst, which </w:t>
      </w:r>
      <w:r>
        <w:rPr>
          <w:szCs w:val="24"/>
        </w:rPr>
        <w:t>wa</w:t>
      </w:r>
      <w:r w:rsidRPr="00280396">
        <w:rPr>
          <w:szCs w:val="24"/>
        </w:rPr>
        <w:t xml:space="preserve">s widely used in </w:t>
      </w:r>
      <w:r>
        <w:rPr>
          <w:szCs w:val="24"/>
        </w:rPr>
        <w:t>r</w:t>
      </w:r>
      <w:r w:rsidRPr="00280396">
        <w:rPr>
          <w:szCs w:val="24"/>
        </w:rPr>
        <w:t>ing opening polymerization of</w:t>
      </w:r>
      <w:r>
        <w:rPr>
          <w:szCs w:val="24"/>
        </w:rPr>
        <w:t xml:space="preserve"> </w:t>
      </w:r>
      <w:r w:rsidRPr="00280396">
        <w:rPr>
          <w:szCs w:val="24"/>
        </w:rPr>
        <w:t>ε</w:t>
      </w:r>
      <w:r>
        <w:rPr>
          <w:szCs w:val="24"/>
        </w:rPr>
        <w:t>CL. In addition, t</w:t>
      </w:r>
      <w:r w:rsidRPr="00280396">
        <w:rPr>
          <w:szCs w:val="24"/>
        </w:rPr>
        <w:t>he structural similarity of</w:t>
      </w:r>
      <w:r>
        <w:rPr>
          <w:szCs w:val="24"/>
        </w:rPr>
        <w:t>αBrε</w:t>
      </w:r>
      <w:r w:rsidRPr="00280396">
        <w:rPr>
          <w:szCs w:val="24"/>
        </w:rPr>
        <w:t>CL and εCL indicate</w:t>
      </w:r>
      <w:r>
        <w:rPr>
          <w:szCs w:val="24"/>
        </w:rPr>
        <w:t>d</w:t>
      </w:r>
      <w:r w:rsidRPr="00280396">
        <w:rPr>
          <w:szCs w:val="24"/>
        </w:rPr>
        <w:t xml:space="preserve"> that they may have the same polymerization mechanism. Therefore, we used stannous octanoate as catalyst and lauryl alcohol </w:t>
      </w:r>
      <w:r>
        <w:rPr>
          <w:szCs w:val="24"/>
        </w:rPr>
        <w:t xml:space="preserve">as </w:t>
      </w:r>
      <w:r w:rsidRPr="00280396">
        <w:rPr>
          <w:szCs w:val="24"/>
        </w:rPr>
        <w:t>initiator</w:t>
      </w:r>
      <w:r>
        <w:rPr>
          <w:szCs w:val="24"/>
        </w:rPr>
        <w:t>,</w:t>
      </w:r>
      <w:r w:rsidRPr="00280396">
        <w:rPr>
          <w:szCs w:val="24"/>
        </w:rPr>
        <w:t xml:space="preserve"> </w:t>
      </w:r>
      <w:r>
        <w:rPr>
          <w:szCs w:val="24"/>
        </w:rPr>
        <w:t>inducing</w:t>
      </w:r>
      <w:r w:rsidRPr="00280396">
        <w:rPr>
          <w:szCs w:val="24"/>
        </w:rPr>
        <w:t xml:space="preserve"> αBr</w:t>
      </w:r>
      <w:r>
        <w:rPr>
          <w:szCs w:val="24"/>
        </w:rPr>
        <w:t>ε</w:t>
      </w:r>
      <w:r w:rsidRPr="00280396">
        <w:rPr>
          <w:szCs w:val="24"/>
        </w:rPr>
        <w:t xml:space="preserve">CL and εCL </w:t>
      </w:r>
      <w:r>
        <w:rPr>
          <w:szCs w:val="24"/>
        </w:rPr>
        <w:t>r</w:t>
      </w:r>
      <w:r w:rsidRPr="00280396">
        <w:rPr>
          <w:szCs w:val="24"/>
        </w:rPr>
        <w:t>ing opening polymerization to synthesize P (BCL</w:t>
      </w:r>
      <w:r>
        <w:rPr>
          <w:szCs w:val="24"/>
        </w:rPr>
        <w:t>-</w:t>
      </w:r>
      <w:r w:rsidRPr="00280396">
        <w:rPr>
          <w:szCs w:val="24"/>
        </w:rPr>
        <w:t>co</w:t>
      </w:r>
      <w:r>
        <w:rPr>
          <w:szCs w:val="24"/>
        </w:rPr>
        <w:t>-</w:t>
      </w:r>
      <w:r w:rsidRPr="00280396">
        <w:rPr>
          <w:szCs w:val="24"/>
        </w:rPr>
        <w:t xml:space="preserve">CL) random copolymer. The </w:t>
      </w:r>
      <w:r>
        <w:rPr>
          <w:szCs w:val="24"/>
        </w:rPr>
        <w:t xml:space="preserve">400 M </w:t>
      </w:r>
      <w:r w:rsidRPr="00350A84">
        <w:rPr>
          <w:szCs w:val="24"/>
          <w:vertAlign w:val="superscript"/>
        </w:rPr>
        <w:t>1</w:t>
      </w:r>
      <w:r>
        <w:rPr>
          <w:szCs w:val="24"/>
        </w:rPr>
        <w:t>H NMR</w:t>
      </w:r>
      <w:r w:rsidRPr="00280396">
        <w:rPr>
          <w:szCs w:val="24"/>
        </w:rPr>
        <w:t xml:space="preserve"> spectrum of P (BCL</w:t>
      </w:r>
      <w:r>
        <w:rPr>
          <w:szCs w:val="24"/>
        </w:rPr>
        <w:t>-</w:t>
      </w:r>
      <w:r w:rsidRPr="00280396">
        <w:rPr>
          <w:szCs w:val="24"/>
        </w:rPr>
        <w:t>co</w:t>
      </w:r>
      <w:r>
        <w:rPr>
          <w:szCs w:val="24"/>
        </w:rPr>
        <w:t>-</w:t>
      </w:r>
      <w:r w:rsidRPr="00280396">
        <w:rPr>
          <w:szCs w:val="24"/>
        </w:rPr>
        <w:t>CL)</w:t>
      </w:r>
      <w:r>
        <w:rPr>
          <w:szCs w:val="24"/>
        </w:rPr>
        <w:t xml:space="preserve"> wa</w:t>
      </w:r>
      <w:r w:rsidRPr="00280396">
        <w:rPr>
          <w:szCs w:val="24"/>
        </w:rPr>
        <w:t xml:space="preserve">s shown in Figure </w:t>
      </w:r>
      <w:r>
        <w:rPr>
          <w:szCs w:val="24"/>
        </w:rPr>
        <w:t>S1</w:t>
      </w:r>
      <w:r w:rsidRPr="00280396">
        <w:rPr>
          <w:szCs w:val="24"/>
        </w:rPr>
        <w:t>.</w:t>
      </w:r>
    </w:p>
    <w:p w:rsidR="00EC4EDD" w:rsidRDefault="00EC4EDD" w:rsidP="00CA2E34">
      <w:pPr>
        <w:pStyle w:val="EndNoteBibliography"/>
        <w:widowControl w:val="0"/>
        <w:ind w:left="960" w:hangingChars="400" w:hanging="960"/>
        <w:jc w:val="center"/>
        <w:rPr>
          <w:szCs w:val="24"/>
        </w:rPr>
      </w:pPr>
      <w:r>
        <w:drawing>
          <wp:inline distT="0" distB="0" distL="0" distR="0" wp14:anchorId="075413F0" wp14:editId="3F8D9C61">
            <wp:extent cx="2312785" cy="1925743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5734" cy="194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EDD" w:rsidRDefault="00D57C15" w:rsidP="00C0670C">
      <w:pPr>
        <w:pStyle w:val="EndNoteBibliography"/>
        <w:widowControl w:val="0"/>
        <w:ind w:left="960" w:hangingChars="400" w:hanging="960"/>
        <w:jc w:val="both"/>
        <w:rPr>
          <w:szCs w:val="24"/>
        </w:rPr>
      </w:pPr>
      <w:r w:rsidRPr="00D57C15">
        <w:rPr>
          <w:szCs w:val="24"/>
        </w:rPr>
        <w:t xml:space="preserve">Supplementary Figure </w:t>
      </w:r>
      <w:r w:rsidR="00EC4EDD">
        <w:rPr>
          <w:rFonts w:hint="eastAsia"/>
          <w:szCs w:val="24"/>
        </w:rPr>
        <w:t>2. GPC curves of PCL</w:t>
      </w:r>
      <w:r w:rsidR="00EC4EDD" w:rsidRPr="00D70A23">
        <w:rPr>
          <w:szCs w:val="24"/>
          <w:vertAlign w:val="subscript"/>
        </w:rPr>
        <w:t>34</w:t>
      </w:r>
      <w:r w:rsidR="00EC4EDD">
        <w:rPr>
          <w:rFonts w:hint="eastAsia"/>
          <w:szCs w:val="24"/>
        </w:rPr>
        <w:t>, PCL</w:t>
      </w:r>
      <w:r w:rsidR="00EC4EDD" w:rsidRPr="00D70A23">
        <w:rPr>
          <w:szCs w:val="24"/>
          <w:vertAlign w:val="subscript"/>
        </w:rPr>
        <w:t>34</w:t>
      </w:r>
      <w:r w:rsidR="00EC4EDD">
        <w:rPr>
          <w:rFonts w:hint="eastAsia"/>
          <w:szCs w:val="24"/>
        </w:rPr>
        <w:t>-b-PBCL</w:t>
      </w:r>
      <w:r w:rsidR="00EC4EDD" w:rsidRPr="00D70A23">
        <w:rPr>
          <w:szCs w:val="24"/>
          <w:vertAlign w:val="subscript"/>
        </w:rPr>
        <w:t>5</w:t>
      </w:r>
      <w:r w:rsidR="00EC4EDD">
        <w:rPr>
          <w:rFonts w:hint="eastAsia"/>
          <w:szCs w:val="24"/>
        </w:rPr>
        <w:t xml:space="preserve"> and PCL</w:t>
      </w:r>
      <w:r w:rsidR="00EC4EDD" w:rsidRPr="00D70A23">
        <w:rPr>
          <w:szCs w:val="24"/>
          <w:vertAlign w:val="subscript"/>
        </w:rPr>
        <w:t>43</w:t>
      </w:r>
      <w:r w:rsidR="00EC4EDD">
        <w:rPr>
          <w:rFonts w:hint="eastAsia"/>
          <w:szCs w:val="24"/>
        </w:rPr>
        <w:t>-Br</w:t>
      </w:r>
      <w:r w:rsidR="00EC4EDD">
        <w:rPr>
          <w:szCs w:val="24"/>
        </w:rPr>
        <w:t>.</w:t>
      </w:r>
    </w:p>
    <w:p w:rsidR="00EC4EDD" w:rsidRDefault="00EC4EDD" w:rsidP="00C0670C">
      <w:pPr>
        <w:pStyle w:val="EndNoteBibliography"/>
        <w:widowControl w:val="0"/>
        <w:spacing w:before="0"/>
        <w:jc w:val="both"/>
        <w:rPr>
          <w:szCs w:val="24"/>
        </w:rPr>
      </w:pPr>
    </w:p>
    <w:p w:rsidR="00EC4EDD" w:rsidRPr="00223972" w:rsidRDefault="00EC4EDD" w:rsidP="00C0670C">
      <w:pPr>
        <w:pStyle w:val="EndNoteBibliography"/>
        <w:widowControl w:val="0"/>
        <w:spacing w:before="0"/>
        <w:jc w:val="both"/>
        <w:rPr>
          <w:noProof w:val="0"/>
        </w:rPr>
      </w:pPr>
      <w:r w:rsidRPr="00794150">
        <w:rPr>
          <w:szCs w:val="24"/>
        </w:rPr>
        <w:t>The molecular weight and polydispersity of PCL and PCL-</w:t>
      </w:r>
      <w:r>
        <w:rPr>
          <w:szCs w:val="24"/>
        </w:rPr>
        <w:t>b</w:t>
      </w:r>
      <w:r w:rsidRPr="00794150">
        <w:rPr>
          <w:szCs w:val="24"/>
        </w:rPr>
        <w:t>-PBCL were measured by GPC, and the elemental composition of C, O and P in the copolymer of PCL-</w:t>
      </w:r>
      <w:r>
        <w:rPr>
          <w:szCs w:val="24"/>
        </w:rPr>
        <w:t>g</w:t>
      </w:r>
      <w:r w:rsidRPr="00794150">
        <w:rPr>
          <w:szCs w:val="24"/>
        </w:rPr>
        <w:t xml:space="preserve">-PMPC was measured by EDS. The results </w:t>
      </w:r>
      <w:r>
        <w:rPr>
          <w:szCs w:val="24"/>
        </w:rPr>
        <w:t>were</w:t>
      </w:r>
      <w:r w:rsidRPr="00794150">
        <w:rPr>
          <w:szCs w:val="24"/>
        </w:rPr>
        <w:t xml:space="preserve"> shown in Figure </w:t>
      </w:r>
      <w:r>
        <w:rPr>
          <w:szCs w:val="24"/>
        </w:rPr>
        <w:t xml:space="preserve">S2 </w:t>
      </w:r>
      <w:r w:rsidRPr="00794150">
        <w:rPr>
          <w:szCs w:val="24"/>
        </w:rPr>
        <w:t xml:space="preserve">and Table </w:t>
      </w:r>
      <w:r>
        <w:rPr>
          <w:szCs w:val="24"/>
        </w:rPr>
        <w:t>S2</w:t>
      </w:r>
      <w:r w:rsidRPr="00794150">
        <w:rPr>
          <w:szCs w:val="24"/>
        </w:rPr>
        <w:t>.</w:t>
      </w:r>
      <w:r>
        <w:rPr>
          <w:szCs w:val="24"/>
        </w:rPr>
        <w:t xml:space="preserve"> </w:t>
      </w:r>
      <w:r w:rsidRPr="00794150">
        <w:rPr>
          <w:szCs w:val="24"/>
        </w:rPr>
        <w:t>It c</w:t>
      </w:r>
      <w:r>
        <w:rPr>
          <w:szCs w:val="24"/>
        </w:rPr>
        <w:t>ould</w:t>
      </w:r>
      <w:r w:rsidRPr="00794150">
        <w:rPr>
          <w:szCs w:val="24"/>
        </w:rPr>
        <w:t xml:space="preserve"> be seen from Figure </w:t>
      </w:r>
      <w:r>
        <w:rPr>
          <w:szCs w:val="24"/>
        </w:rPr>
        <w:t>S2</w:t>
      </w:r>
      <w:r w:rsidRPr="00794150">
        <w:rPr>
          <w:szCs w:val="24"/>
        </w:rPr>
        <w:t xml:space="preserve"> that the GPC curves of PCL</w:t>
      </w:r>
      <w:r w:rsidRPr="00D70A23">
        <w:rPr>
          <w:szCs w:val="24"/>
          <w:vertAlign w:val="subscript"/>
        </w:rPr>
        <w:t>34</w:t>
      </w:r>
      <w:r w:rsidRPr="00794150">
        <w:rPr>
          <w:szCs w:val="24"/>
        </w:rPr>
        <w:t xml:space="preserve">, </w:t>
      </w:r>
      <w:r>
        <w:rPr>
          <w:szCs w:val="24"/>
        </w:rPr>
        <w:t>P</w:t>
      </w:r>
      <w:r w:rsidRPr="00794150">
        <w:rPr>
          <w:szCs w:val="24"/>
        </w:rPr>
        <w:t>C</w:t>
      </w:r>
      <w:r>
        <w:rPr>
          <w:szCs w:val="24"/>
        </w:rPr>
        <w:t>L</w:t>
      </w:r>
      <w:r w:rsidRPr="00D70A23">
        <w:rPr>
          <w:szCs w:val="24"/>
          <w:vertAlign w:val="subscript"/>
        </w:rPr>
        <w:t>34</w:t>
      </w:r>
      <w:r w:rsidRPr="00794150">
        <w:rPr>
          <w:szCs w:val="24"/>
        </w:rPr>
        <w:t>-</w:t>
      </w:r>
      <w:r>
        <w:rPr>
          <w:szCs w:val="24"/>
        </w:rPr>
        <w:t>B</w:t>
      </w:r>
      <w:r w:rsidRPr="00794150">
        <w:rPr>
          <w:szCs w:val="24"/>
        </w:rPr>
        <w:t>-P</w:t>
      </w:r>
      <w:r>
        <w:rPr>
          <w:szCs w:val="24"/>
        </w:rPr>
        <w:t>B</w:t>
      </w:r>
      <w:r w:rsidRPr="00794150">
        <w:rPr>
          <w:szCs w:val="24"/>
        </w:rPr>
        <w:t>C</w:t>
      </w:r>
      <w:r>
        <w:rPr>
          <w:szCs w:val="24"/>
        </w:rPr>
        <w:t>L</w:t>
      </w:r>
      <w:r w:rsidRPr="00D70A23">
        <w:rPr>
          <w:szCs w:val="24"/>
          <w:vertAlign w:val="subscript"/>
        </w:rPr>
        <w:t>5</w:t>
      </w:r>
      <w:r w:rsidRPr="00794150">
        <w:rPr>
          <w:szCs w:val="24"/>
        </w:rPr>
        <w:t xml:space="preserve"> and PC</w:t>
      </w:r>
      <w:r>
        <w:rPr>
          <w:szCs w:val="24"/>
        </w:rPr>
        <w:t>L</w:t>
      </w:r>
      <w:r w:rsidRPr="00D70A23">
        <w:rPr>
          <w:szCs w:val="24"/>
          <w:vertAlign w:val="subscript"/>
        </w:rPr>
        <w:t>43</w:t>
      </w:r>
      <w:r w:rsidRPr="00794150">
        <w:rPr>
          <w:szCs w:val="24"/>
        </w:rPr>
        <w:t xml:space="preserve">-Br </w:t>
      </w:r>
      <w:r>
        <w:rPr>
          <w:szCs w:val="24"/>
        </w:rPr>
        <w:t>we</w:t>
      </w:r>
      <w:r w:rsidRPr="00794150">
        <w:rPr>
          <w:szCs w:val="24"/>
        </w:rPr>
        <w:t>re single-peak distribution, and the flow time of PC</w:t>
      </w:r>
      <w:r>
        <w:rPr>
          <w:szCs w:val="24"/>
        </w:rPr>
        <w:t>L</w:t>
      </w:r>
      <w:r w:rsidRPr="00D70A23">
        <w:rPr>
          <w:szCs w:val="24"/>
          <w:vertAlign w:val="subscript"/>
        </w:rPr>
        <w:t>34</w:t>
      </w:r>
      <w:r w:rsidRPr="00794150">
        <w:rPr>
          <w:szCs w:val="24"/>
        </w:rPr>
        <w:t>-</w:t>
      </w:r>
      <w:r>
        <w:rPr>
          <w:szCs w:val="24"/>
        </w:rPr>
        <w:t>b</w:t>
      </w:r>
      <w:r w:rsidRPr="00794150">
        <w:rPr>
          <w:szCs w:val="24"/>
        </w:rPr>
        <w:t>-P</w:t>
      </w:r>
      <w:r>
        <w:rPr>
          <w:szCs w:val="24"/>
        </w:rPr>
        <w:t>B</w:t>
      </w:r>
      <w:r w:rsidRPr="00794150">
        <w:rPr>
          <w:szCs w:val="24"/>
        </w:rPr>
        <w:t>C</w:t>
      </w:r>
      <w:r>
        <w:rPr>
          <w:szCs w:val="24"/>
        </w:rPr>
        <w:t>L</w:t>
      </w:r>
      <w:r w:rsidRPr="00D70A23">
        <w:rPr>
          <w:szCs w:val="24"/>
          <w:vertAlign w:val="subscript"/>
        </w:rPr>
        <w:t>5</w:t>
      </w:r>
      <w:r w:rsidRPr="00794150">
        <w:rPr>
          <w:szCs w:val="24"/>
        </w:rPr>
        <w:t xml:space="preserve"> </w:t>
      </w:r>
      <w:r>
        <w:rPr>
          <w:szCs w:val="24"/>
        </w:rPr>
        <w:t>wa</w:t>
      </w:r>
      <w:r w:rsidRPr="00794150">
        <w:rPr>
          <w:szCs w:val="24"/>
        </w:rPr>
        <w:t>s smaller than that of PCL</w:t>
      </w:r>
      <w:r w:rsidRPr="00D70A23">
        <w:rPr>
          <w:szCs w:val="24"/>
          <w:vertAlign w:val="subscript"/>
        </w:rPr>
        <w:t>34</w:t>
      </w:r>
      <w:r w:rsidRPr="00794150">
        <w:rPr>
          <w:szCs w:val="24"/>
        </w:rPr>
        <w:t>, indicating that the ring-opening polymerization of αBrεCL of PCL</w:t>
      </w:r>
      <w:r w:rsidRPr="00D70A23">
        <w:rPr>
          <w:szCs w:val="24"/>
          <w:vertAlign w:val="subscript"/>
        </w:rPr>
        <w:t>34</w:t>
      </w:r>
      <w:r w:rsidRPr="00794150">
        <w:rPr>
          <w:szCs w:val="24"/>
        </w:rPr>
        <w:t xml:space="preserve"> </w:t>
      </w:r>
      <w:r>
        <w:rPr>
          <w:szCs w:val="24"/>
        </w:rPr>
        <w:t>wa</w:t>
      </w:r>
      <w:r w:rsidRPr="00794150">
        <w:rPr>
          <w:szCs w:val="24"/>
        </w:rPr>
        <w:t xml:space="preserve">s </w:t>
      </w:r>
      <w:r w:rsidRPr="00794150">
        <w:rPr>
          <w:szCs w:val="24"/>
        </w:rPr>
        <w:lastRenderedPageBreak/>
        <w:t>successful.</w:t>
      </w:r>
      <w:r>
        <w:rPr>
          <w:szCs w:val="24"/>
        </w:rPr>
        <w:t xml:space="preserve"> </w:t>
      </w:r>
      <w:r w:rsidRPr="00794150">
        <w:rPr>
          <w:szCs w:val="24"/>
        </w:rPr>
        <w:t xml:space="preserve">At the same time, the outflow time of </w:t>
      </w:r>
      <w:r>
        <w:rPr>
          <w:szCs w:val="24"/>
        </w:rPr>
        <w:t>P</w:t>
      </w:r>
      <w:r w:rsidRPr="00794150">
        <w:rPr>
          <w:szCs w:val="24"/>
        </w:rPr>
        <w:t>CL</w:t>
      </w:r>
      <w:r w:rsidRPr="00D70A23">
        <w:rPr>
          <w:szCs w:val="24"/>
          <w:vertAlign w:val="subscript"/>
        </w:rPr>
        <w:t>43</w:t>
      </w:r>
      <w:r w:rsidRPr="00794150">
        <w:rPr>
          <w:szCs w:val="24"/>
        </w:rPr>
        <w:t>-B</w:t>
      </w:r>
      <w:r>
        <w:rPr>
          <w:szCs w:val="24"/>
        </w:rPr>
        <w:t>r</w:t>
      </w:r>
      <w:r w:rsidRPr="00794150">
        <w:rPr>
          <w:szCs w:val="24"/>
        </w:rPr>
        <w:t xml:space="preserve"> </w:t>
      </w:r>
      <w:r>
        <w:rPr>
          <w:szCs w:val="24"/>
        </w:rPr>
        <w:t>wa</w:t>
      </w:r>
      <w:r w:rsidRPr="00794150">
        <w:rPr>
          <w:szCs w:val="24"/>
        </w:rPr>
        <w:t>s similar to that of PCL</w:t>
      </w:r>
      <w:r>
        <w:rPr>
          <w:szCs w:val="24"/>
          <w:vertAlign w:val="subscript"/>
        </w:rPr>
        <w:t>34</w:t>
      </w:r>
      <w:r w:rsidRPr="00794150">
        <w:rPr>
          <w:szCs w:val="24"/>
        </w:rPr>
        <w:t>-</w:t>
      </w:r>
      <w:r>
        <w:rPr>
          <w:szCs w:val="24"/>
        </w:rPr>
        <w:t>OH</w:t>
      </w:r>
      <w:r w:rsidRPr="00794150">
        <w:rPr>
          <w:szCs w:val="24"/>
        </w:rPr>
        <w:t xml:space="preserve">, which indicates that the relative molecular weight of both </w:t>
      </w:r>
      <w:r>
        <w:rPr>
          <w:szCs w:val="24"/>
        </w:rPr>
        <w:t>wa</w:t>
      </w:r>
      <w:r w:rsidRPr="00794150">
        <w:rPr>
          <w:szCs w:val="24"/>
        </w:rPr>
        <w:t xml:space="preserve">s </w:t>
      </w:r>
      <w:r w:rsidRPr="004C658E">
        <w:rPr>
          <w:szCs w:val="24"/>
        </w:rPr>
        <w:t>approximate</w:t>
      </w:r>
      <w:r w:rsidRPr="00794150">
        <w:rPr>
          <w:szCs w:val="24"/>
        </w:rPr>
        <w:t>.</w:t>
      </w:r>
      <w:r>
        <w:rPr>
          <w:szCs w:val="24"/>
        </w:rPr>
        <w:t xml:space="preserve"> </w:t>
      </w:r>
      <w:r w:rsidRPr="00794150">
        <w:rPr>
          <w:szCs w:val="24"/>
        </w:rPr>
        <w:t xml:space="preserve">The element composition measured by EDS </w:t>
      </w:r>
      <w:r>
        <w:rPr>
          <w:szCs w:val="24"/>
        </w:rPr>
        <w:t>wa</w:t>
      </w:r>
      <w:r w:rsidRPr="00794150">
        <w:rPr>
          <w:szCs w:val="24"/>
        </w:rPr>
        <w:t>s consistent with that calculated by NMR, which indicate</w:t>
      </w:r>
      <w:r>
        <w:rPr>
          <w:szCs w:val="24"/>
        </w:rPr>
        <w:t>d</w:t>
      </w:r>
      <w:r w:rsidRPr="00794150">
        <w:rPr>
          <w:szCs w:val="24"/>
        </w:rPr>
        <w:t xml:space="preserve"> that the synthesis of PCL-PMPC </w:t>
      </w:r>
      <w:r>
        <w:rPr>
          <w:szCs w:val="24"/>
        </w:rPr>
        <w:t>wa</w:t>
      </w:r>
      <w:r w:rsidRPr="00794150">
        <w:rPr>
          <w:szCs w:val="24"/>
        </w:rPr>
        <w:t>s successful.</w:t>
      </w:r>
    </w:p>
    <w:p w:rsidR="000A1FA0" w:rsidRDefault="0070473A" w:rsidP="00C0670C">
      <w:pPr>
        <w:jc w:val="both"/>
      </w:pPr>
      <w:r>
        <w:rPr>
          <w:noProof/>
        </w:rPr>
        <w:drawing>
          <wp:inline distT="0" distB="0" distL="0" distR="0">
            <wp:extent cx="5273040" cy="3611880"/>
            <wp:effectExtent l="0" t="0" r="0" b="0"/>
            <wp:docPr id="4" name="图片 4" descr="D:\MyDocument\Desktop\时间稳定性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Document\Desktop\时间稳定性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B8" w:rsidRDefault="00D57C15" w:rsidP="00C0670C">
      <w:pPr>
        <w:pStyle w:val="EndNoteBibliography"/>
        <w:widowControl w:val="0"/>
        <w:ind w:left="960" w:hangingChars="400" w:hanging="960"/>
        <w:jc w:val="both"/>
        <w:rPr>
          <w:szCs w:val="24"/>
        </w:rPr>
      </w:pPr>
      <w:r w:rsidRPr="00D57C15">
        <w:rPr>
          <w:szCs w:val="24"/>
        </w:rPr>
        <w:t xml:space="preserve">Supplementary Figure </w:t>
      </w:r>
      <w:r w:rsidR="00A6397F">
        <w:rPr>
          <w:szCs w:val="24"/>
        </w:rPr>
        <w:t>3</w:t>
      </w:r>
      <w:r w:rsidR="00A6397F">
        <w:rPr>
          <w:rFonts w:hint="eastAsia"/>
          <w:szCs w:val="24"/>
        </w:rPr>
        <w:t xml:space="preserve">. </w:t>
      </w:r>
      <w:r w:rsidR="00A6397F">
        <w:rPr>
          <w:szCs w:val="24"/>
        </w:rPr>
        <w:t xml:space="preserve">Particle Diameter of these three nanodroplets during 24 hours at 37 </w:t>
      </w:r>
      <w:r w:rsidR="00A6397F" w:rsidRPr="002318FF">
        <w:rPr>
          <w:color w:val="222222"/>
          <w:szCs w:val="24"/>
          <w:shd w:val="clear" w:color="auto" w:fill="FFFFFF"/>
        </w:rPr>
        <w:t>°C</w:t>
      </w:r>
      <w:r w:rsidR="00A6397F">
        <w:rPr>
          <w:szCs w:val="24"/>
        </w:rPr>
        <w:t>.</w:t>
      </w:r>
    </w:p>
    <w:p w:rsidR="00A6397F" w:rsidRDefault="00352122" w:rsidP="00C0670C">
      <w:pPr>
        <w:pStyle w:val="EndNoteBibliography"/>
        <w:widowControl w:val="0"/>
        <w:ind w:left="960" w:hangingChars="400" w:hanging="960"/>
        <w:jc w:val="both"/>
        <w:rPr>
          <w:szCs w:val="24"/>
        </w:rPr>
      </w:pPr>
      <w:r>
        <w:rPr>
          <w:szCs w:val="24"/>
        </w:rPr>
        <w:lastRenderedPageBreak/>
        <w:drawing>
          <wp:inline distT="0" distB="0" distL="0" distR="0">
            <wp:extent cx="5273040" cy="4204335"/>
            <wp:effectExtent l="0" t="0" r="0" b="0"/>
            <wp:docPr id="2" name="图片 2" descr="E:\Work\文章发表\PCL英文投稿\Manuscript-2022-Manuscript1-block polymer\文章的图2-嵌段共聚物\Supplementary Figure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k\文章发表\PCL英文投稿\Manuscript-2022-Manuscript1-block polymer\文章的图2-嵌段共聚物\Supplementary Figure 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20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B8" w:rsidRPr="004740B8" w:rsidRDefault="00D57C15" w:rsidP="00C0670C">
      <w:pPr>
        <w:pStyle w:val="EndNoteBibliography"/>
        <w:widowControl w:val="0"/>
        <w:ind w:left="960" w:hangingChars="400" w:hanging="960"/>
        <w:jc w:val="both"/>
        <w:rPr>
          <w:szCs w:val="24"/>
        </w:rPr>
      </w:pPr>
      <w:r w:rsidRPr="00D57C15">
        <w:rPr>
          <w:szCs w:val="24"/>
        </w:rPr>
        <w:t xml:space="preserve">Supplementary Figure </w:t>
      </w:r>
      <w:r w:rsidR="004740B8">
        <w:rPr>
          <w:szCs w:val="24"/>
        </w:rPr>
        <w:t>4</w:t>
      </w:r>
      <w:r w:rsidR="004740B8">
        <w:rPr>
          <w:rFonts w:hint="eastAsia"/>
          <w:szCs w:val="24"/>
        </w:rPr>
        <w:t xml:space="preserve">. </w:t>
      </w:r>
      <w:r w:rsidR="004740B8">
        <w:rPr>
          <w:szCs w:val="24"/>
        </w:rPr>
        <w:t xml:space="preserve">Mean grayscale intensity </w:t>
      </w:r>
      <w:r w:rsidR="004740B8" w:rsidRPr="004740B8">
        <w:rPr>
          <w:szCs w:val="24"/>
        </w:rPr>
        <w:t xml:space="preserve">of the obtained CEUS images under different BCPTM, GCPTM and BGCPTM </w:t>
      </w:r>
      <w:r w:rsidR="004740B8">
        <w:rPr>
          <w:szCs w:val="24"/>
        </w:rPr>
        <w:t>under different temperature of water bath 10 mins .</w:t>
      </w:r>
    </w:p>
    <w:sectPr w:rsidR="004740B8" w:rsidRPr="004740B8" w:rsidSect="004740B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6E7" w:rsidRDefault="005676E7" w:rsidP="00EC4EDD">
      <w:pPr>
        <w:spacing w:before="0" w:line="240" w:lineRule="auto"/>
      </w:pPr>
      <w:r>
        <w:separator/>
      </w:r>
    </w:p>
  </w:endnote>
  <w:endnote w:type="continuationSeparator" w:id="0">
    <w:p w:rsidR="005676E7" w:rsidRDefault="005676E7" w:rsidP="00EC4ED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0BD" w:rsidRDefault="005676E7">
    <w:pPr>
      <w:pStyle w:val="a4"/>
      <w:jc w:val="center"/>
    </w:pPr>
  </w:p>
  <w:p w:rsidR="007600BD" w:rsidRDefault="005676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6E7" w:rsidRDefault="005676E7" w:rsidP="00EC4EDD">
      <w:pPr>
        <w:spacing w:before="0" w:line="240" w:lineRule="auto"/>
      </w:pPr>
      <w:r>
        <w:separator/>
      </w:r>
    </w:p>
  </w:footnote>
  <w:footnote w:type="continuationSeparator" w:id="0">
    <w:p w:rsidR="005676E7" w:rsidRDefault="005676E7" w:rsidP="00EC4ED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7C"/>
    <w:rsid w:val="00073074"/>
    <w:rsid w:val="00166DB7"/>
    <w:rsid w:val="00190079"/>
    <w:rsid w:val="001F5534"/>
    <w:rsid w:val="002970B2"/>
    <w:rsid w:val="002A3F80"/>
    <w:rsid w:val="003276E0"/>
    <w:rsid w:val="00352122"/>
    <w:rsid w:val="00394697"/>
    <w:rsid w:val="003D091D"/>
    <w:rsid w:val="00403A05"/>
    <w:rsid w:val="004646D3"/>
    <w:rsid w:val="004740B8"/>
    <w:rsid w:val="004F05F9"/>
    <w:rsid w:val="005676E7"/>
    <w:rsid w:val="005B57E5"/>
    <w:rsid w:val="005F6D98"/>
    <w:rsid w:val="006914CF"/>
    <w:rsid w:val="0070473A"/>
    <w:rsid w:val="007D150A"/>
    <w:rsid w:val="007D1A90"/>
    <w:rsid w:val="0081247A"/>
    <w:rsid w:val="008A0CFF"/>
    <w:rsid w:val="009B2978"/>
    <w:rsid w:val="009B3D7C"/>
    <w:rsid w:val="009F17B1"/>
    <w:rsid w:val="00A529CC"/>
    <w:rsid w:val="00A6397F"/>
    <w:rsid w:val="00B9524E"/>
    <w:rsid w:val="00B96410"/>
    <w:rsid w:val="00BD307B"/>
    <w:rsid w:val="00C0670C"/>
    <w:rsid w:val="00CA2E34"/>
    <w:rsid w:val="00CB5D7C"/>
    <w:rsid w:val="00CF30AA"/>
    <w:rsid w:val="00D57C15"/>
    <w:rsid w:val="00DE39DB"/>
    <w:rsid w:val="00DF7E41"/>
    <w:rsid w:val="00E55BC5"/>
    <w:rsid w:val="00EC4EDD"/>
    <w:rsid w:val="00F57A5A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5640B5-E07D-4D70-A4F5-B4C37BA9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DD"/>
    <w:pPr>
      <w:spacing w:before="120" w:line="480" w:lineRule="auto"/>
    </w:pPr>
    <w:rPr>
      <w:rFonts w:ascii="Times New Roman" w:eastAsia="宋体" w:hAnsi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ED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line="240" w:lineRule="auto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EDD"/>
    <w:pPr>
      <w:widowControl w:val="0"/>
      <w:tabs>
        <w:tab w:val="center" w:pos="4153"/>
        <w:tab w:val="right" w:pos="8306"/>
      </w:tabs>
      <w:snapToGrid w:val="0"/>
      <w:spacing w:before="0" w:line="240" w:lineRule="auto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EDD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rsid w:val="00EC4EDD"/>
    <w:pPr>
      <w:spacing w:line="240" w:lineRule="auto"/>
    </w:pPr>
    <w:rPr>
      <w:rFonts w:cs="Times New Roman"/>
      <w:noProof/>
    </w:rPr>
  </w:style>
  <w:style w:type="character" w:customStyle="1" w:styleId="EndNoteBibliography0">
    <w:name w:val="EndNote Bibliography 字符"/>
    <w:basedOn w:val="a0"/>
    <w:link w:val="EndNoteBibliography"/>
    <w:rsid w:val="00EC4EDD"/>
    <w:rPr>
      <w:rFonts w:ascii="Times New Roman" w:eastAsia="宋体" w:hAnsi="Times New Roman" w:cs="Times New Roman"/>
      <w:noProof/>
      <w:kern w:val="0"/>
      <w:sz w:val="24"/>
    </w:rPr>
  </w:style>
  <w:style w:type="table" w:styleId="a5">
    <w:name w:val="Table Grid"/>
    <w:basedOn w:val="a1"/>
    <w:uiPriority w:val="39"/>
    <w:rsid w:val="00EC4EDD"/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SINO-2</dc:creator>
  <cp:keywords/>
  <dc:description/>
  <cp:lastModifiedBy>SINO-2</cp:lastModifiedBy>
  <cp:revision>24</cp:revision>
  <dcterms:created xsi:type="dcterms:W3CDTF">2022-01-10T08:52:00Z</dcterms:created>
  <dcterms:modified xsi:type="dcterms:W3CDTF">2022-09-02T09:26:00Z</dcterms:modified>
</cp:coreProperties>
</file>