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16"/>
          <w:szCs w:val="16"/>
        </w:rPr>
      </w:pPr>
      <w:r w:rsidDel="00000000" w:rsidR="00000000" w:rsidRPr="00000000">
        <w:rPr>
          <w:b w:val="1"/>
          <w:sz w:val="16"/>
          <w:szCs w:val="16"/>
          <w:rtl w:val="0"/>
        </w:rPr>
        <w:t xml:space="preserve">Supplemental Table 1. </w:t>
      </w:r>
    </w:p>
    <w:tbl>
      <w:tblPr>
        <w:tblStyle w:val="Table1"/>
        <w:tblW w:w="1339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1065"/>
        <w:gridCol w:w="2655"/>
        <w:gridCol w:w="825"/>
        <w:gridCol w:w="1020"/>
        <w:gridCol w:w="1020"/>
        <w:gridCol w:w="510"/>
        <w:gridCol w:w="1035"/>
        <w:gridCol w:w="3240"/>
        <w:gridCol w:w="825"/>
        <w:tblGridChange w:id="0">
          <w:tblGrid>
            <w:gridCol w:w="1200"/>
            <w:gridCol w:w="1065"/>
            <w:gridCol w:w="2655"/>
            <w:gridCol w:w="825"/>
            <w:gridCol w:w="1020"/>
            <w:gridCol w:w="1020"/>
            <w:gridCol w:w="510"/>
            <w:gridCol w:w="1035"/>
            <w:gridCol w:w="3240"/>
            <w:gridCol w:w="825"/>
          </w:tblGrid>
        </w:tblGridChange>
      </w:tblGrid>
      <w:tr>
        <w:trPr>
          <w:cantSplit w:val="0"/>
          <w:trHeight w:val="1140"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Database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scRNA-seq Focus?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Cardiovascular Focus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Gene Query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Metadata Explorer</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Drug-Gene Interaction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RNA-Trajectory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Data Available for Download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Link</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b w:val="1"/>
                <w:sz w:val="16"/>
                <w:szCs w:val="16"/>
                <w:rtl w:val="0"/>
              </w:rPr>
              <w:t xml:space="preserve">Reference</w:t>
            </w:r>
          </w:p>
        </w:tc>
      </w:tr>
      <w:tr>
        <w:trPr>
          <w:cantSplit w:val="0"/>
          <w:trHeight w:val="1012.9101562499999" w:hRule="atLeast"/>
          <w:tblHeader w:val="0"/>
        </w:trPr>
        <w:tc>
          <w:tcPr>
            <w:tcBorders>
              <w:top w:color="000000" w:space="0" w:sz="0" w:val="nil"/>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Broad Institute Single Cell Portal</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Some, but mostly general purpose single-cell database</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6">
              <w:r w:rsidDel="00000000" w:rsidR="00000000" w:rsidRPr="00000000">
                <w:rPr>
                  <w:color w:val="1155cc"/>
                  <w:sz w:val="16"/>
                  <w:szCs w:val="16"/>
                  <w:u w:val="single"/>
                  <w:rtl w:val="0"/>
                </w:rPr>
                <w:t xml:space="preserve">https://singlecell.broadinstitute.org/single_cell</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NA</w:t>
            </w:r>
          </w:p>
        </w:tc>
      </w:tr>
      <w:tr>
        <w:trPr>
          <w:cantSplit w:val="0"/>
          <w:trHeight w:val="468.1640625" w:hRule="atLeast"/>
          <w:tblHeader w:val="0"/>
        </w:trPr>
        <w:tc>
          <w:tcPr>
            <w:tcBorders>
              <w:top w:color="000000" w:space="0" w:sz="0" w:val="nil"/>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CLARA</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 currently 6 datasets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Some</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7">
              <w:r w:rsidDel="00000000" w:rsidR="00000000" w:rsidRPr="00000000">
                <w:rPr>
                  <w:color w:val="1155cc"/>
                  <w:sz w:val="16"/>
                  <w:szCs w:val="16"/>
                  <w:u w:val="single"/>
                  <w:rtl w:val="0"/>
                </w:rPr>
                <w:t xml:space="preserve">https://pinto-lab.shinyapps.io/clara/</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8">
              <w:r w:rsidDel="00000000" w:rsidR="00000000" w:rsidRPr="00000000">
                <w:rPr>
                  <w:color w:val="000000"/>
                  <w:sz w:val="16"/>
                  <w:szCs w:val="16"/>
                  <w:u w:val="none"/>
                  <w:rtl w:val="0"/>
                </w:rPr>
                <w:t xml:space="preserve">(1–3)</w:t>
              </w:r>
            </w:hyperlink>
            <w:r w:rsidDel="00000000" w:rsidR="00000000" w:rsidRPr="00000000">
              <w:rPr>
                <w:rtl w:val="0"/>
              </w:rPr>
            </w:r>
          </w:p>
        </w:tc>
      </w:tr>
      <w:tr>
        <w:trPr>
          <w:cantSplit w:val="0"/>
          <w:trHeight w:val="877.9101562499999" w:hRule="atLeast"/>
          <w:tblHeader w:val="0"/>
        </w:trPr>
        <w:tc>
          <w:tcPr>
            <w:tcBorders>
              <w:top w:color="000000" w:space="0" w:sz="0" w:val="nil"/>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UCSC Cell Browser</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Some, but mostly general purpose single-cell database</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Most</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9">
              <w:r w:rsidDel="00000000" w:rsidR="00000000" w:rsidRPr="00000000">
                <w:rPr>
                  <w:color w:val="1155cc"/>
                  <w:sz w:val="16"/>
                  <w:szCs w:val="16"/>
                  <w:u w:val="single"/>
                  <w:rtl w:val="0"/>
                </w:rPr>
                <w:t xml:space="preserve">http://cells.ucsc.edu/?</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10">
              <w:r w:rsidDel="00000000" w:rsidR="00000000" w:rsidRPr="00000000">
                <w:rPr>
                  <w:color w:val="000000"/>
                  <w:sz w:val="16"/>
                  <w:szCs w:val="16"/>
                  <w:u w:val="none"/>
                  <w:rtl w:val="0"/>
                </w:rPr>
                <w:t xml:space="preserve">(4)</w:t>
              </w:r>
            </w:hyperlink>
            <w:r w:rsidDel="00000000" w:rsidR="00000000" w:rsidRPr="00000000">
              <w:rPr>
                <w:rtl w:val="0"/>
              </w:rPr>
            </w:r>
          </w:p>
        </w:tc>
      </w:tr>
      <w:tr>
        <w:trPr>
          <w:cantSplit w:val="0"/>
          <w:trHeight w:val="775" w:hRule="atLeast"/>
          <w:tblHeader w:val="0"/>
        </w:trPr>
        <w:tc>
          <w:tcPr>
            <w:tcBorders>
              <w:top w:color="000000" w:space="0" w:sz="0" w:val="nil"/>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CARE Portal</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Only one study, based on UCSC</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11">
              <w:r w:rsidDel="00000000" w:rsidR="00000000" w:rsidRPr="00000000">
                <w:rPr>
                  <w:color w:val="1155cc"/>
                  <w:sz w:val="16"/>
                  <w:szCs w:val="16"/>
                  <w:u w:val="single"/>
                  <w:rtl w:val="0"/>
                </w:rPr>
                <w:t xml:space="preserve">http://ns104190.ip-147-135-44.us/data_CARE_portal/snATAC/ucsc_browser/</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12">
              <w:r w:rsidDel="00000000" w:rsidR="00000000" w:rsidRPr="00000000">
                <w:rPr>
                  <w:color w:val="000000"/>
                  <w:sz w:val="16"/>
                  <w:szCs w:val="16"/>
                  <w:u w:val="none"/>
                  <w:rtl w:val="0"/>
                </w:rPr>
                <w:t xml:space="preserve">(2)</w:t>
              </w:r>
            </w:hyperlink>
            <w:r w:rsidDel="00000000" w:rsidR="00000000" w:rsidRPr="00000000">
              <w:rPr>
                <w:rtl w:val="0"/>
              </w:rPr>
            </w:r>
          </w:p>
        </w:tc>
      </w:tr>
      <w:tr>
        <w:trPr>
          <w:cantSplit w:val="0"/>
          <w:trHeight w:val="775" w:hRule="atLeast"/>
          <w:tblHeader w:val="0"/>
        </w:trPr>
        <w:tc>
          <w:tcPr>
            <w:tcBorders>
              <w:top w:color="000000" w:space="0" w:sz="0" w:val="nil"/>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Express Heart</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 currently 5 datasets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13">
              <w:r w:rsidDel="00000000" w:rsidR="00000000" w:rsidRPr="00000000">
                <w:rPr>
                  <w:color w:val="1155cc"/>
                  <w:sz w:val="16"/>
                  <w:szCs w:val="16"/>
                  <w:u w:val="single"/>
                  <w:rtl w:val="0"/>
                </w:rPr>
                <w:t xml:space="preserve">http://shiny.bios.unc.edu/expressheart/</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14">
              <w:r w:rsidDel="00000000" w:rsidR="00000000" w:rsidRPr="00000000">
                <w:rPr>
                  <w:color w:val="000000"/>
                  <w:sz w:val="16"/>
                  <w:szCs w:val="16"/>
                  <w:u w:val="none"/>
                  <w:rtl w:val="0"/>
                </w:rPr>
                <w:t xml:space="preserve">(1,2)</w:t>
              </w:r>
            </w:hyperlink>
            <w:r w:rsidDel="00000000" w:rsidR="00000000" w:rsidRPr="00000000">
              <w:rPr>
                <w:rtl w:val="0"/>
              </w:rPr>
            </w:r>
          </w:p>
        </w:tc>
      </w:tr>
      <w:tr>
        <w:trPr>
          <w:cantSplit w:val="0"/>
          <w:trHeight w:val="775" w:hRule="atLeast"/>
          <w:tblHeader w:val="0"/>
        </w:trPr>
        <w:tc>
          <w:tcPr>
            <w:tcBorders>
              <w:top w:color="000000" w:space="0" w:sz="0" w:val="nil"/>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Heart Cell Atlas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Only one study, based on UCSC</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15">
              <w:r w:rsidDel="00000000" w:rsidR="00000000" w:rsidRPr="00000000">
                <w:rPr>
                  <w:color w:val="1155cc"/>
                  <w:sz w:val="16"/>
                  <w:szCs w:val="16"/>
                  <w:u w:val="single"/>
                  <w:rtl w:val="0"/>
                </w:rPr>
                <w:t xml:space="preserve">https://www.heartcellatlas.org/</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16">
              <w:r w:rsidDel="00000000" w:rsidR="00000000" w:rsidRPr="00000000">
                <w:rPr>
                  <w:color w:val="000000"/>
                  <w:sz w:val="16"/>
                  <w:szCs w:val="16"/>
                  <w:u w:val="none"/>
                  <w:rtl w:val="0"/>
                </w:rPr>
                <w:t xml:space="preserve">(2,5)</w:t>
              </w:r>
            </w:hyperlink>
            <w:r w:rsidDel="00000000" w:rsidR="00000000" w:rsidRPr="00000000">
              <w:rPr>
                <w:rtl w:val="0"/>
              </w:rPr>
            </w:r>
          </w:p>
        </w:tc>
      </w:tr>
      <w:tr>
        <w:trPr>
          <w:cantSplit w:val="0"/>
          <w:trHeight w:val="775" w:hRule="atLeast"/>
          <w:tblHeader w:val="0"/>
        </w:trPr>
        <w:tc>
          <w:tcPr>
            <w:tcBorders>
              <w:top w:color="000000" w:space="0" w:sz="0" w:val="nil"/>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HeartBioPortal</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 GWAS focused</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17">
              <w:r w:rsidDel="00000000" w:rsidR="00000000" w:rsidRPr="00000000">
                <w:rPr>
                  <w:color w:val="1155cc"/>
                  <w:sz w:val="16"/>
                  <w:szCs w:val="16"/>
                  <w:u w:val="single"/>
                  <w:rtl w:val="0"/>
                </w:rPr>
                <w:t xml:space="preserve">https://www.heartbioportal.com/</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18">
              <w:r w:rsidDel="00000000" w:rsidR="00000000" w:rsidRPr="00000000">
                <w:rPr>
                  <w:color w:val="000000"/>
                  <w:sz w:val="16"/>
                  <w:szCs w:val="16"/>
                  <w:u w:val="none"/>
                  <w:rtl w:val="0"/>
                </w:rPr>
                <w:t xml:space="preserve">(6–8)</w:t>
              </w:r>
            </w:hyperlink>
            <w:r w:rsidDel="00000000" w:rsidR="00000000" w:rsidRPr="00000000">
              <w:rPr>
                <w:rtl w:val="0"/>
              </w:rPr>
            </w:r>
          </w:p>
        </w:tc>
      </w:tr>
      <w:tr>
        <w:trPr>
          <w:cantSplit w:val="0"/>
          <w:trHeight w:val="775" w:hRule="atLeast"/>
          <w:tblHeader w:val="0"/>
        </w:trPr>
        <w:tc>
          <w:tcPr>
            <w:tcBorders>
              <w:top w:color="000000" w:space="0" w:sz="0" w:val="nil"/>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cBioportal</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 bulk-RNA focused</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 cancer focused</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19">
              <w:r w:rsidDel="00000000" w:rsidR="00000000" w:rsidRPr="00000000">
                <w:rPr>
                  <w:color w:val="1155cc"/>
                  <w:sz w:val="16"/>
                  <w:szCs w:val="16"/>
                  <w:u w:val="single"/>
                  <w:rtl w:val="0"/>
                </w:rPr>
                <w:t xml:space="preserve">https://www.cbioportal.org/</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hyperlink r:id="rId20">
              <w:r w:rsidDel="00000000" w:rsidR="00000000" w:rsidRPr="00000000">
                <w:rPr>
                  <w:color w:val="000000"/>
                  <w:sz w:val="16"/>
                  <w:szCs w:val="16"/>
                  <w:u w:val="none"/>
                  <w:rtl w:val="0"/>
                </w:rPr>
                <w:t xml:space="preserve">(9)</w:t>
              </w:r>
            </w:hyperlink>
            <w:r w:rsidDel="00000000" w:rsidR="00000000" w:rsidRPr="00000000">
              <w:rPr>
                <w:rtl w:val="0"/>
              </w:rPr>
            </w:r>
          </w:p>
        </w:tc>
      </w:tr>
      <w:tr>
        <w:trPr>
          <w:cantSplit w:val="0"/>
          <w:trHeight w:val="445" w:hRule="atLeast"/>
          <w:tblHeader w:val="0"/>
        </w:trPr>
        <w:tc>
          <w:tcPr>
            <w:tcBorders>
              <w:top w:color="000000" w:space="0" w:sz="0" w:val="nil"/>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DISCO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None</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Yes</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No</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sz w:val="16"/>
                <w:szCs w:val="16"/>
                <w:rtl w:val="0"/>
              </w:rPr>
              <w:t xml:space="preserve">Some</w:t>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color w:val="0563c1"/>
                <w:sz w:val="16"/>
                <w:szCs w:val="16"/>
                <w:u w:val="single"/>
                <w:rtl w:val="0"/>
              </w:rPr>
              <w:t xml:space="preserve">https://www.immunesinglecell.org/</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563c1"/>
                <w:sz w:val="16"/>
                <w:szCs w:val="16"/>
                <w:u w:val="single"/>
              </w:rPr>
            </w:pPr>
            <w:hyperlink r:id="rId21">
              <w:r w:rsidDel="00000000" w:rsidR="00000000" w:rsidRPr="00000000">
                <w:rPr>
                  <w:color w:val="000000"/>
                  <w:sz w:val="16"/>
                  <w:szCs w:val="16"/>
                  <w:u w:val="none"/>
                  <w:rtl w:val="0"/>
                </w:rPr>
                <w:t xml:space="preserve">(1)</w:t>
              </w:r>
            </w:hyperlink>
            <w:r w:rsidDel="00000000" w:rsidR="00000000" w:rsidRPr="00000000">
              <w:rPr>
                <w:rtl w:val="0"/>
              </w:rPr>
            </w:r>
          </w:p>
        </w:tc>
      </w:tr>
      <w:tr>
        <w:trPr>
          <w:cantSplit w:val="0"/>
          <w:trHeight w:val="445" w:hRule="atLeast"/>
          <w:tblHeader w:val="0"/>
        </w:trPr>
        <w:tc>
          <w:tcPr>
            <w:tcBorders>
              <w:top w:color="000000" w:space="0" w:sz="0" w:val="nil"/>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PlaqView</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Yes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Yes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Yes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Yes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Yes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Yes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Yes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b w:val="1"/>
                <w:sz w:val="16"/>
                <w:szCs w:val="16"/>
                <w:rtl w:val="0"/>
              </w:rPr>
              <w:t xml:space="preserve">plaqview.com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b w:val="1"/>
                <w:sz w:val="16"/>
                <w:szCs w:val="16"/>
                <w:rtl w:val="0"/>
              </w:rPr>
              <w:t xml:space="preserve">NA</w:t>
            </w:r>
          </w:p>
        </w:tc>
      </w:tr>
    </w:tbl>
    <w:p w:rsidR="00000000" w:rsidDel="00000000" w:rsidP="00000000" w:rsidRDefault="00000000" w:rsidRPr="00000000" w14:paraId="00000070">
      <w:pPr>
        <w:rPr>
          <w:sz w:val="16"/>
          <w:szCs w:val="16"/>
        </w:rPr>
      </w:pPr>
      <w:r w:rsidDel="00000000" w:rsidR="00000000" w:rsidRPr="00000000">
        <w:rPr>
          <w:rtl w:val="0"/>
        </w:rPr>
      </w:r>
    </w:p>
    <w:p w:rsidR="00000000" w:rsidDel="00000000" w:rsidP="00000000" w:rsidRDefault="00000000" w:rsidRPr="00000000" w14:paraId="00000071">
      <w:pPr>
        <w:rPr>
          <w:b w:val="1"/>
          <w:sz w:val="16"/>
          <w:szCs w:val="16"/>
        </w:rPr>
      </w:pPr>
      <w:r w:rsidDel="00000000" w:rsidR="00000000" w:rsidRPr="00000000">
        <w:rPr>
          <w:rtl w:val="0"/>
        </w:rPr>
      </w:r>
    </w:p>
    <w:p w:rsidR="00000000" w:rsidDel="00000000" w:rsidP="00000000" w:rsidRDefault="00000000" w:rsidRPr="00000000" w14:paraId="00000072">
      <w:pPr>
        <w:rPr>
          <w:b w:val="1"/>
          <w:sz w:val="16"/>
          <w:szCs w:val="16"/>
        </w:rPr>
      </w:pPr>
      <w:r w:rsidDel="00000000" w:rsidR="00000000" w:rsidRPr="00000000">
        <w:rPr>
          <w:rtl w:val="0"/>
        </w:rPr>
      </w:r>
    </w:p>
    <w:p w:rsidR="00000000" w:rsidDel="00000000" w:rsidP="00000000" w:rsidRDefault="00000000" w:rsidRPr="00000000" w14:paraId="00000073">
      <w:pPr>
        <w:rPr>
          <w:b w:val="1"/>
          <w:sz w:val="16"/>
          <w:szCs w:val="16"/>
        </w:rPr>
      </w:pPr>
      <w:r w:rsidDel="00000000" w:rsidR="00000000" w:rsidRPr="00000000">
        <w:rPr>
          <w:b w:val="1"/>
          <w:sz w:val="16"/>
          <w:szCs w:val="16"/>
          <w:rtl w:val="0"/>
        </w:rPr>
        <w:t xml:space="preserve">References</w:t>
      </w:r>
    </w:p>
    <w:p w:rsidR="00000000" w:rsidDel="00000000" w:rsidP="00000000" w:rsidRDefault="00000000" w:rsidRPr="00000000" w14:paraId="00000074">
      <w:pPr>
        <w:rPr>
          <w:sz w:val="16"/>
          <w:szCs w:val="16"/>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color w:val="000000"/>
          <w:sz w:val="16"/>
          <w:szCs w:val="16"/>
          <w:u w:val="none"/>
        </w:rPr>
      </w:pPr>
      <w:hyperlink r:id="rId22">
        <w:r w:rsidDel="00000000" w:rsidR="00000000" w:rsidRPr="00000000">
          <w:rPr>
            <w:color w:val="000000"/>
            <w:sz w:val="16"/>
            <w:szCs w:val="16"/>
            <w:u w:val="none"/>
            <w:rtl w:val="0"/>
          </w:rPr>
          <w:t xml:space="preserve">1.  Li M, Zhang X, Ang KS, Ling J, Sethi R, Lee NYS, Ginhoux F, Chen J. DISCO: a database of Deeply Integrated human Single-Cell Omics data. </w:t>
        </w:r>
      </w:hyperlink>
      <w:hyperlink r:id="rId23">
        <w:r w:rsidDel="00000000" w:rsidR="00000000" w:rsidRPr="00000000">
          <w:rPr>
            <w:i w:val="1"/>
            <w:color w:val="000000"/>
            <w:sz w:val="16"/>
            <w:szCs w:val="16"/>
            <w:u w:val="none"/>
            <w:rtl w:val="0"/>
          </w:rPr>
          <w:t xml:space="preserve">Nucleic Acids Res</w:t>
        </w:r>
      </w:hyperlink>
      <w:hyperlink r:id="rId24">
        <w:r w:rsidDel="00000000" w:rsidR="00000000" w:rsidRPr="00000000">
          <w:rPr>
            <w:color w:val="000000"/>
            <w:sz w:val="16"/>
            <w:szCs w:val="16"/>
            <w:u w:val="none"/>
            <w:rtl w:val="0"/>
          </w:rPr>
          <w:t xml:space="preserve"> (2021) 50:gkab1020-. doi: 10.1093/nar/gkab1020</w:t>
          <w:br w:type="textWrapping"/>
          <w:t xml:space="preserve">2.  Li G, Luan C, Dong Y, Xie Y, Zentz SC, Zelt R, Roach J, Liu J, Qian L, Li Y, et al. ExpressHeart: Web Portal to Visualize Transcriptome Profiles of Non-Cardiomyocyte Cells. </w:t>
        </w:r>
      </w:hyperlink>
      <w:hyperlink r:id="rId25">
        <w:r w:rsidDel="00000000" w:rsidR="00000000" w:rsidRPr="00000000">
          <w:rPr>
            <w:i w:val="1"/>
            <w:color w:val="000000"/>
            <w:sz w:val="16"/>
            <w:szCs w:val="16"/>
            <w:u w:val="none"/>
            <w:rtl w:val="0"/>
          </w:rPr>
          <w:t xml:space="preserve">Int J Mol Sci</w:t>
        </w:r>
      </w:hyperlink>
      <w:hyperlink r:id="rId26">
        <w:r w:rsidDel="00000000" w:rsidR="00000000" w:rsidRPr="00000000">
          <w:rPr>
            <w:color w:val="000000"/>
            <w:sz w:val="16"/>
            <w:szCs w:val="16"/>
            <w:u w:val="none"/>
            <w:rtl w:val="0"/>
          </w:rPr>
          <w:t xml:space="preserve"> (2021) 22:8943. doi: 10.3390/ijms22168943</w:t>
          <w:br w:type="textWrapping"/>
          <w:t xml:space="preserve">3.  Dona MSI, Hsu I, Rathnayake TS, Farrugia GE, Gaynor TL, Kharbanda M, Skelly DA, Pinto AR. CLARA: A web portal for interactive exploration of the cardiovascular cellular landscape in health and disease. </w:t>
        </w:r>
      </w:hyperlink>
      <w:hyperlink r:id="rId27">
        <w:r w:rsidDel="00000000" w:rsidR="00000000" w:rsidRPr="00000000">
          <w:rPr>
            <w:i w:val="1"/>
            <w:color w:val="000000"/>
            <w:sz w:val="16"/>
            <w:szCs w:val="16"/>
            <w:u w:val="none"/>
            <w:rtl w:val="0"/>
          </w:rPr>
          <w:t xml:space="preserve">Biorxiv</w:t>
        </w:r>
      </w:hyperlink>
      <w:hyperlink r:id="rId28">
        <w:r w:rsidDel="00000000" w:rsidR="00000000" w:rsidRPr="00000000">
          <w:rPr>
            <w:color w:val="000000"/>
            <w:sz w:val="16"/>
            <w:szCs w:val="16"/>
            <w:u w:val="none"/>
            <w:rtl w:val="0"/>
          </w:rPr>
          <w:t xml:space="preserve"> (2021)2021.07.18.452862. doi: 10.1101/2021.07.18.452862</w:t>
          <w:br w:type="textWrapping"/>
          <w:t xml:space="preserve">4.  Speir ML, Bhaduri A, Markov NS, Moreno P, Nowakowski TJ, Papatheodorou I, Pollen AA, Raney BJ, Seninge L, Kent WJ, et al. UCSC Cell Browser: Visualize Your Single-Cell Data. </w:t>
        </w:r>
      </w:hyperlink>
      <w:hyperlink r:id="rId29">
        <w:r w:rsidDel="00000000" w:rsidR="00000000" w:rsidRPr="00000000">
          <w:rPr>
            <w:i w:val="1"/>
            <w:color w:val="000000"/>
            <w:sz w:val="16"/>
            <w:szCs w:val="16"/>
            <w:u w:val="none"/>
            <w:rtl w:val="0"/>
          </w:rPr>
          <w:t xml:space="preserve">Bioinformatics</w:t>
        </w:r>
      </w:hyperlink>
      <w:hyperlink r:id="rId30">
        <w:r w:rsidDel="00000000" w:rsidR="00000000" w:rsidRPr="00000000">
          <w:rPr>
            <w:color w:val="000000"/>
            <w:sz w:val="16"/>
            <w:szCs w:val="16"/>
            <w:u w:val="none"/>
            <w:rtl w:val="0"/>
          </w:rPr>
          <w:t xml:space="preserve"> (2021) 37:btab503-. doi: 10.1093/bioinformatics/btab503</w:t>
          <w:br w:type="textWrapping"/>
          <w:t xml:space="preserve">5.  Litviňuková M, Talavera-López C, Maatz H, Reichart D, Worth CL, Lindberg EL, Kanda M, Polanski K, Heinig M, Lee M, et al. Cells of the adult human heart. </w:t>
        </w:r>
      </w:hyperlink>
      <w:hyperlink r:id="rId31">
        <w:r w:rsidDel="00000000" w:rsidR="00000000" w:rsidRPr="00000000">
          <w:rPr>
            <w:i w:val="1"/>
            <w:color w:val="000000"/>
            <w:sz w:val="16"/>
            <w:szCs w:val="16"/>
            <w:u w:val="none"/>
            <w:rtl w:val="0"/>
          </w:rPr>
          <w:t xml:space="preserve">Nature</w:t>
        </w:r>
      </w:hyperlink>
      <w:hyperlink r:id="rId32">
        <w:r w:rsidDel="00000000" w:rsidR="00000000" w:rsidRPr="00000000">
          <w:rPr>
            <w:color w:val="000000"/>
            <w:sz w:val="16"/>
            <w:szCs w:val="16"/>
            <w:u w:val="none"/>
            <w:rtl w:val="0"/>
          </w:rPr>
          <w:t xml:space="preserve"> (2020)1–10. doi: 10.1038/s41586-020-2797-4</w:t>
          <w:br w:type="textWrapping"/>
          <w:t xml:space="preserve">6.  Khomtchouk BB, Tran D-T, Vand KA, Might M, Gozani O, Assimes TL. Cardioinformatics: the nexus of bioinformatics and precision cardiology. </w:t>
        </w:r>
      </w:hyperlink>
      <w:hyperlink r:id="rId33">
        <w:r w:rsidDel="00000000" w:rsidR="00000000" w:rsidRPr="00000000">
          <w:rPr>
            <w:i w:val="1"/>
            <w:color w:val="000000"/>
            <w:sz w:val="16"/>
            <w:szCs w:val="16"/>
            <w:u w:val="none"/>
            <w:rtl w:val="0"/>
          </w:rPr>
          <w:t xml:space="preserve">Brief Bioinform</w:t>
        </w:r>
      </w:hyperlink>
      <w:hyperlink r:id="rId34">
        <w:r w:rsidDel="00000000" w:rsidR="00000000" w:rsidRPr="00000000">
          <w:rPr>
            <w:color w:val="000000"/>
            <w:sz w:val="16"/>
            <w:szCs w:val="16"/>
            <w:u w:val="none"/>
            <w:rtl w:val="0"/>
          </w:rPr>
          <w:t xml:space="preserve"> (2019) 21:2031–2051. doi: 10.1093/bib/bbz119</w:t>
          <w:br w:type="textWrapping"/>
          <w:t xml:space="preserve">7.  Khomtchouk BB, Vand KA, Koehler WC, Tran D-T, Middlebrook K, Sudhakaran S, Nelson CS, Gozani O, Assimes TL. HeartBioPortal: An Internet-of-Omics for Human Cardiovascular Disease Data. </w:t>
        </w:r>
      </w:hyperlink>
      <w:hyperlink r:id="rId35">
        <w:r w:rsidDel="00000000" w:rsidR="00000000" w:rsidRPr="00000000">
          <w:rPr>
            <w:i w:val="1"/>
            <w:color w:val="000000"/>
            <w:sz w:val="16"/>
            <w:szCs w:val="16"/>
            <w:u w:val="none"/>
            <w:rtl w:val="0"/>
          </w:rPr>
          <w:t xml:space="preserve">Circulation Genom Precis Medicine</w:t>
        </w:r>
      </w:hyperlink>
      <w:hyperlink r:id="rId36">
        <w:r w:rsidDel="00000000" w:rsidR="00000000" w:rsidRPr="00000000">
          <w:rPr>
            <w:color w:val="000000"/>
            <w:sz w:val="16"/>
            <w:szCs w:val="16"/>
            <w:u w:val="none"/>
            <w:rtl w:val="0"/>
          </w:rPr>
          <w:t xml:space="preserve"> (2019) 12:e002426. doi: 10.1161/circgen.118.002426</w:t>
          <w:br w:type="textWrapping"/>
          <w:t xml:space="preserve">8.  Khomtchouk BB, Nelson CS, Vand KA, Palmisano S, Grossman RL. HeartBioPortal2.0: new developments and updates for genetic ancestry and cardiometabolic quantitative traits in diverse human populations. </w:t>
        </w:r>
      </w:hyperlink>
      <w:hyperlink r:id="rId37">
        <w:r w:rsidDel="00000000" w:rsidR="00000000" w:rsidRPr="00000000">
          <w:rPr>
            <w:i w:val="1"/>
            <w:color w:val="000000"/>
            <w:sz w:val="16"/>
            <w:szCs w:val="16"/>
            <w:u w:val="none"/>
            <w:rtl w:val="0"/>
          </w:rPr>
          <w:t xml:space="preserve">Database</w:t>
        </w:r>
      </w:hyperlink>
      <w:hyperlink r:id="rId38">
        <w:r w:rsidDel="00000000" w:rsidR="00000000" w:rsidRPr="00000000">
          <w:rPr>
            <w:color w:val="000000"/>
            <w:sz w:val="16"/>
            <w:szCs w:val="16"/>
            <w:u w:val="none"/>
            <w:rtl w:val="0"/>
          </w:rPr>
          <w:t xml:space="preserve"> (2020) 2020:baaa115-. doi: 10.1093/database/baaa115</w:t>
          <w:br w:type="textWrapping"/>
          <w:t xml:space="preserve">9.  Gao J, Aksoy BA, Dogrusoz U, Dresdner G, Gross B, Sumer SO, Sun Y, Jacobsen A, Sinha R, Larsson E, et al. Integrative Analysis of Complex Cancer Genomics and Clinical Profiles Using the cBioPortal. </w:t>
        </w:r>
      </w:hyperlink>
      <w:hyperlink r:id="rId39">
        <w:r w:rsidDel="00000000" w:rsidR="00000000" w:rsidRPr="00000000">
          <w:rPr>
            <w:i w:val="1"/>
            <w:color w:val="000000"/>
            <w:sz w:val="16"/>
            <w:szCs w:val="16"/>
            <w:u w:val="none"/>
            <w:rtl w:val="0"/>
          </w:rPr>
          <w:t xml:space="preserve">Sci Signal</w:t>
        </w:r>
      </w:hyperlink>
      <w:hyperlink r:id="rId40">
        <w:r w:rsidDel="00000000" w:rsidR="00000000" w:rsidRPr="00000000">
          <w:rPr>
            <w:color w:val="000000"/>
            <w:sz w:val="16"/>
            <w:szCs w:val="16"/>
            <w:u w:val="none"/>
            <w:rtl w:val="0"/>
          </w:rPr>
          <w:t xml:space="preserve"> (2013) 6:pl1–pl1. doi: 10.1126/scisignal.2004088</w:t>
        </w:r>
      </w:hyperlink>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pp.readcube.com/library/?style=Frontiers%20in%20Cardiovascular%20Medicine" TargetMode="External"/><Relationship Id="rId20" Type="http://schemas.openxmlformats.org/officeDocument/2006/relationships/hyperlink" Target="https://app.readcube.com/library/e6ddebf6-a90f-485d-a131-51d7cb167bd7/all?uuid=25520495834138246&amp;item_ids=e6ddebf6-a90f-485d-a131-51d7cb167bd7:9c47a858-32ba-4d6e-ad99-48423c77eac6" TargetMode="External"/><Relationship Id="rId22" Type="http://schemas.openxmlformats.org/officeDocument/2006/relationships/hyperlink" Target="https://app.readcube.com/library/?style=Frontiers%20in%20Cardiovascular%20Medicine" TargetMode="External"/><Relationship Id="rId21" Type="http://schemas.openxmlformats.org/officeDocument/2006/relationships/hyperlink" Target="https://app.readcube.com/library/e6ddebf6-a90f-485d-a131-51d7cb167bd7/all?uuid=2297815520395754&amp;item_ids=e6ddebf6-a90f-485d-a131-51d7cb167bd7:c46a545a-cd55-4536-a049-88fe123f7398" TargetMode="External"/><Relationship Id="rId24" Type="http://schemas.openxmlformats.org/officeDocument/2006/relationships/hyperlink" Target="https://app.readcube.com/library/?style=Frontiers%20in%20Cardiovascular%20Medicine" TargetMode="External"/><Relationship Id="rId23" Type="http://schemas.openxmlformats.org/officeDocument/2006/relationships/hyperlink" Target="https://app.readcube.com/library/?style=Frontiers%20in%20Cardiovascular%20Medici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ells.ucsc.edu/?" TargetMode="External"/><Relationship Id="rId26" Type="http://schemas.openxmlformats.org/officeDocument/2006/relationships/hyperlink" Target="https://app.readcube.com/library/?style=Frontiers%20in%20Cardiovascular%20Medicine" TargetMode="External"/><Relationship Id="rId25" Type="http://schemas.openxmlformats.org/officeDocument/2006/relationships/hyperlink" Target="https://app.readcube.com/library/?style=Frontiers%20in%20Cardiovascular%20Medicine" TargetMode="External"/><Relationship Id="rId28" Type="http://schemas.openxmlformats.org/officeDocument/2006/relationships/hyperlink" Target="https://app.readcube.com/library/?style=Frontiers%20in%20Cardiovascular%20Medicine" TargetMode="External"/><Relationship Id="rId27" Type="http://schemas.openxmlformats.org/officeDocument/2006/relationships/hyperlink" Target="https://app.readcube.com/library/?style=Frontiers%20in%20Cardiovascular%20Medicine" TargetMode="External"/><Relationship Id="rId5" Type="http://schemas.openxmlformats.org/officeDocument/2006/relationships/styles" Target="styles.xml"/><Relationship Id="rId6" Type="http://schemas.openxmlformats.org/officeDocument/2006/relationships/hyperlink" Target="https://singlecell.broadinstitute.org/single_cell" TargetMode="External"/><Relationship Id="rId29" Type="http://schemas.openxmlformats.org/officeDocument/2006/relationships/hyperlink" Target="https://app.readcube.com/library/?style=Frontiers%20in%20Cardiovascular%20Medicine" TargetMode="External"/><Relationship Id="rId7" Type="http://schemas.openxmlformats.org/officeDocument/2006/relationships/hyperlink" Target="https://pinto-lab.shinyapps.io/clara/" TargetMode="External"/><Relationship Id="rId8" Type="http://schemas.openxmlformats.org/officeDocument/2006/relationships/hyperlink" Target="https://app.readcube.com/library/e6ddebf6-a90f-485d-a131-51d7cb167bd7/all?uuid=07951025083860919&amp;item_ids=e6ddebf6-a90f-485d-a131-51d7cb167bd7:c46a545a-cd55-4536-a049-88fe123f7398,e6ddebf6-a90f-485d-a131-51d7cb167bd7:7beb8ec6-5efc-45de-8848-d1abf8f2fb6d,e6ddebf6-a90f-485d-a131-51d7cb167bd7:3c915ca5-b4d4-4b1b-bf20-4e8691475453" TargetMode="External"/><Relationship Id="rId31" Type="http://schemas.openxmlformats.org/officeDocument/2006/relationships/hyperlink" Target="https://app.readcube.com/library/?style=Frontiers%20in%20Cardiovascular%20Medicine" TargetMode="External"/><Relationship Id="rId30" Type="http://schemas.openxmlformats.org/officeDocument/2006/relationships/hyperlink" Target="https://app.readcube.com/library/?style=Frontiers%20in%20Cardiovascular%20Medicine" TargetMode="External"/><Relationship Id="rId11" Type="http://schemas.openxmlformats.org/officeDocument/2006/relationships/hyperlink" Target="http://ns104190.ip-147-135-44.us/data_CARE_portal/snATAC/ucsc_browser/" TargetMode="External"/><Relationship Id="rId33" Type="http://schemas.openxmlformats.org/officeDocument/2006/relationships/hyperlink" Target="https://app.readcube.com/library/?style=Frontiers%20in%20Cardiovascular%20Medicine" TargetMode="External"/><Relationship Id="rId10" Type="http://schemas.openxmlformats.org/officeDocument/2006/relationships/hyperlink" Target="https://app.readcube.com/library/e6ddebf6-a90f-485d-a131-51d7cb167bd7/all?uuid=35054167304036654&amp;item_ids=e6ddebf6-a90f-485d-a131-51d7cb167bd7:c0f5f374-25a9-478a-9247-70404a68da84" TargetMode="External"/><Relationship Id="rId32" Type="http://schemas.openxmlformats.org/officeDocument/2006/relationships/hyperlink" Target="https://app.readcube.com/library/?style=Frontiers%20in%20Cardiovascular%20Medicine" TargetMode="External"/><Relationship Id="rId13" Type="http://schemas.openxmlformats.org/officeDocument/2006/relationships/hyperlink" Target="http://shiny.bios.unc.edu/expressheart/" TargetMode="External"/><Relationship Id="rId35" Type="http://schemas.openxmlformats.org/officeDocument/2006/relationships/hyperlink" Target="https://app.readcube.com/library/?style=Frontiers%20in%20Cardiovascular%20Medicine" TargetMode="External"/><Relationship Id="rId12" Type="http://schemas.openxmlformats.org/officeDocument/2006/relationships/hyperlink" Target="https://app.readcube.com/library/e6ddebf6-a90f-485d-a131-51d7cb167bd7/all?uuid=7119385725052363&amp;item_ids=e6ddebf6-a90f-485d-a131-51d7cb167bd7:7beb8ec6-5efc-45de-8848-d1abf8f2fb6d" TargetMode="External"/><Relationship Id="rId34" Type="http://schemas.openxmlformats.org/officeDocument/2006/relationships/hyperlink" Target="https://app.readcube.com/library/?style=Frontiers%20in%20Cardiovascular%20Medicine" TargetMode="External"/><Relationship Id="rId15" Type="http://schemas.openxmlformats.org/officeDocument/2006/relationships/hyperlink" Target="https://www.heartcellatlas.org/" TargetMode="External"/><Relationship Id="rId37" Type="http://schemas.openxmlformats.org/officeDocument/2006/relationships/hyperlink" Target="https://app.readcube.com/library/?style=Frontiers%20in%20Cardiovascular%20Medicine" TargetMode="External"/><Relationship Id="rId14" Type="http://schemas.openxmlformats.org/officeDocument/2006/relationships/hyperlink" Target="https://app.readcube.com/library/e6ddebf6-a90f-485d-a131-51d7cb167bd7/all?uuid=03812609261581856&amp;item_ids=e6ddebf6-a90f-485d-a131-51d7cb167bd7:c46a545a-cd55-4536-a049-88fe123f7398,e6ddebf6-a90f-485d-a131-51d7cb167bd7:7beb8ec6-5efc-45de-8848-d1abf8f2fb6d" TargetMode="External"/><Relationship Id="rId36" Type="http://schemas.openxmlformats.org/officeDocument/2006/relationships/hyperlink" Target="https://app.readcube.com/library/?style=Frontiers%20in%20Cardiovascular%20Medicine" TargetMode="External"/><Relationship Id="rId17" Type="http://schemas.openxmlformats.org/officeDocument/2006/relationships/hyperlink" Target="https://www.heartbioportal.com/" TargetMode="External"/><Relationship Id="rId39" Type="http://schemas.openxmlformats.org/officeDocument/2006/relationships/hyperlink" Target="https://app.readcube.com/library/?style=Frontiers%20in%20Cardiovascular%20Medicine" TargetMode="External"/><Relationship Id="rId16" Type="http://schemas.openxmlformats.org/officeDocument/2006/relationships/hyperlink" Target="https://app.readcube.com/library/e6ddebf6-a90f-485d-a131-51d7cb167bd7/all?uuid=17954650167749453&amp;item_ids=e6ddebf6-a90f-485d-a131-51d7cb167bd7:7beb8ec6-5efc-45de-8848-d1abf8f2fb6d,e6ddebf6-a90f-485d-a131-51d7cb167bd7:c13f5614-fc62-4e05-813d-75e8609178bc" TargetMode="External"/><Relationship Id="rId38" Type="http://schemas.openxmlformats.org/officeDocument/2006/relationships/hyperlink" Target="https://app.readcube.com/library/?style=Frontiers%20in%20Cardiovascular%20Medicine" TargetMode="External"/><Relationship Id="rId19" Type="http://schemas.openxmlformats.org/officeDocument/2006/relationships/hyperlink" Target="https://www.cbioportal.org/" TargetMode="External"/><Relationship Id="rId18" Type="http://schemas.openxmlformats.org/officeDocument/2006/relationships/hyperlink" Target="https://app.readcube.com/library/e6ddebf6-a90f-485d-a131-51d7cb167bd7/all?uuid=48972538915743713&amp;item_ids=e6ddebf6-a90f-485d-a131-51d7cb167bd7:30ebdbec-b995-430c-9e87-763bee1edf4c,e6ddebf6-a90f-485d-a131-51d7cb167bd7:f25cd855-661e-412e-9f2b-3d52a37db9e8,e6ddebf6-a90f-485d-a131-51d7cb167bd7:e0b47b2e-4c18-443b-ae79-91eb3c3915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