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9860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b/>
          <w:bCs/>
          <w:sz w:val="24"/>
        </w:rPr>
        <w:t>Supplementary Table S1.</w:t>
      </w:r>
      <w:r w:rsidRPr="00DF725C">
        <w:rPr>
          <w:rFonts w:ascii="Times New Roman" w:eastAsia="宋体" w:hAnsi="Times New Roman" w:cs="Times New Roman"/>
          <w:sz w:val="24"/>
        </w:rPr>
        <w:t xml:space="preserve"> Cumulative effective rate according to the metastatic site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44"/>
        <w:gridCol w:w="1634"/>
        <w:gridCol w:w="1418"/>
        <w:gridCol w:w="918"/>
        <w:gridCol w:w="1658"/>
        <w:gridCol w:w="1736"/>
        <w:gridCol w:w="896"/>
        <w:gridCol w:w="1700"/>
        <w:gridCol w:w="1588"/>
        <w:gridCol w:w="966"/>
      </w:tblGrid>
      <w:tr w:rsidR="00A724BE" w:rsidRPr="00DF725C" w14:paraId="5D88B490" w14:textId="77777777" w:rsidTr="00D37FD5">
        <w:trPr>
          <w:trHeight w:val="432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2622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Follow-up 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823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 xml:space="preserve">Osseous </w:t>
            </w: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metastasis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right w:val="nil"/>
            </w:tcBorders>
          </w:tcPr>
          <w:p w14:paraId="4F8FB6A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75FC8E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Other</w:t>
            </w:r>
            <w:proofErr w:type="gramEnd"/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metastasis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nil"/>
            </w:tcBorders>
          </w:tcPr>
          <w:p w14:paraId="10AA959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B39959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Liver diseases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F7C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724BE" w:rsidRPr="00DF725C" w14:paraId="4691801D" w14:textId="77777777" w:rsidTr="00D37FD5">
        <w:trPr>
          <w:trHeight w:val="432"/>
          <w:jc w:val="center"/>
        </w:trPr>
        <w:tc>
          <w:tcPr>
            <w:tcW w:w="5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83D59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2DE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50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5F7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329" w:type="pct"/>
            <w:tcBorders>
              <w:left w:val="nil"/>
              <w:bottom w:val="single" w:sz="4" w:space="0" w:color="000000"/>
              <w:right w:val="nil"/>
            </w:tcBorders>
          </w:tcPr>
          <w:p w14:paraId="56CA37B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  <w:tc>
          <w:tcPr>
            <w:tcW w:w="594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C7448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622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59C2CC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321" w:type="pct"/>
            <w:tcBorders>
              <w:left w:val="nil"/>
              <w:bottom w:val="single" w:sz="4" w:space="0" w:color="000000"/>
              <w:right w:val="nil"/>
            </w:tcBorders>
          </w:tcPr>
          <w:p w14:paraId="136FC52A" w14:textId="77777777" w:rsidR="00A724BE" w:rsidRPr="00DF725C" w:rsidRDefault="00A724BE" w:rsidP="00DF725C">
            <w:pPr>
              <w:widowControl/>
              <w:adjustRightInd w:val="0"/>
              <w:snapToGrid w:val="0"/>
              <w:ind w:firstLineChars="150" w:firstLine="36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  <w:tc>
          <w:tcPr>
            <w:tcW w:w="609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EB861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569" w:type="pc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38321A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346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ED79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</w:tr>
      <w:tr w:rsidR="00A724BE" w:rsidRPr="00DF725C" w14:paraId="6E28210F" w14:textId="77777777" w:rsidTr="00D37FD5">
        <w:trPr>
          <w:trHeight w:val="432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C49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 week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5F1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25/68 (36.8%)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FDA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3/6 (50.0%)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7D8C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0.661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FDD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16/44 (36.4%)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FA0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12/30 (40.0%)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7430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0.806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E3D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24/64 (37.5%)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9CAE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4/10 (40.0%)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31E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&gt;0.999</w:t>
            </w:r>
          </w:p>
        </w:tc>
      </w:tr>
      <w:tr w:rsidR="00A724BE" w:rsidRPr="00DF725C" w14:paraId="0169838E" w14:textId="77777777" w:rsidTr="00D37FD5">
        <w:trPr>
          <w:trHeight w:val="432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2F9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 weeks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7AE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44/68 (64.7%)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5DE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3/6 (50.0%)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AC97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0.664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F20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26/44 (59.1%)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1D6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21/30 (70.0%)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60C5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0.457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BB6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40/64 (62.5%)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9EDF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7/10 (70.0%)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B40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0.738</w:t>
            </w:r>
          </w:p>
        </w:tc>
      </w:tr>
      <w:tr w:rsidR="00A724BE" w:rsidRPr="00DF725C" w14:paraId="0B9B2DA9" w14:textId="77777777" w:rsidTr="00D37FD5">
        <w:trPr>
          <w:trHeight w:val="432"/>
          <w:jc w:val="center"/>
        </w:trPr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A09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 weeks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86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48/68 (70.6%)</w:t>
            </w:r>
          </w:p>
        </w:tc>
        <w:tc>
          <w:tcPr>
            <w:tcW w:w="5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55B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3/6 (50.0%)</w:t>
            </w: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vAlign w:val="center"/>
          </w:tcPr>
          <w:p w14:paraId="1491297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0.371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vAlign w:val="center"/>
          </w:tcPr>
          <w:p w14:paraId="1FF07C9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29/44 (65.9%)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vAlign w:val="center"/>
          </w:tcPr>
          <w:p w14:paraId="67E990B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22/30 (73.3%)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center"/>
          </w:tcPr>
          <w:p w14:paraId="0660A13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0.603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vAlign w:val="center"/>
          </w:tcPr>
          <w:p w14:paraId="4416207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44/64 (68.8%)</w:t>
            </w: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vAlign w:val="center"/>
          </w:tcPr>
          <w:p w14:paraId="1FE91CE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7/10 (70.0%)</w:t>
            </w:r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0673F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&gt;0.999</w:t>
            </w:r>
          </w:p>
        </w:tc>
      </w:tr>
      <w:tr w:rsidR="00A724BE" w:rsidRPr="00DF725C" w14:paraId="67DF7818" w14:textId="77777777" w:rsidTr="00D37FD5">
        <w:trPr>
          <w:trHeight w:val="432"/>
          <w:jc w:val="center"/>
        </w:trPr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373F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 weeks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1D0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49/68 (72.1%)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50A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3/6 (50.0%)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5494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0.355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9C3A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29/44 (65.9%)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3856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23/30 (76.7%)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0BE6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0.439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5E31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44/64 (68.8%)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5C97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8/10 (80.0%)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F9BF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0.709</w:t>
            </w:r>
          </w:p>
        </w:tc>
      </w:tr>
    </w:tbl>
    <w:p w14:paraId="030F2C6E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</w:p>
    <w:p w14:paraId="7828272A" w14:textId="77777777" w:rsidR="00A724BE" w:rsidRPr="00DF725C" w:rsidRDefault="00A724BE" w:rsidP="00DF725C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sz w:val="24"/>
        </w:rPr>
        <w:br w:type="page"/>
      </w:r>
    </w:p>
    <w:p w14:paraId="377360BC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b/>
          <w:bCs/>
          <w:sz w:val="24"/>
        </w:rPr>
        <w:lastRenderedPageBreak/>
        <w:t>Supplementary Table S2.</w:t>
      </w:r>
      <w:r w:rsidRPr="00DF725C">
        <w:rPr>
          <w:rFonts w:ascii="Times New Roman" w:eastAsia="宋体" w:hAnsi="Times New Roman" w:cs="Times New Roman"/>
          <w:sz w:val="24"/>
        </w:rPr>
        <w:t xml:space="preserve"> Cumulative effective rate according to staging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7"/>
        <w:gridCol w:w="2306"/>
        <w:gridCol w:w="2314"/>
        <w:gridCol w:w="2702"/>
        <w:gridCol w:w="2697"/>
        <w:gridCol w:w="1622"/>
      </w:tblGrid>
      <w:tr w:rsidR="00A724BE" w:rsidRPr="00DF725C" w14:paraId="6651B446" w14:textId="77777777" w:rsidTr="00720C34">
        <w:trPr>
          <w:trHeight w:val="432"/>
        </w:trPr>
        <w:tc>
          <w:tcPr>
            <w:tcW w:w="8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52DB0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Follow-up </w:t>
            </w:r>
          </w:p>
        </w:tc>
        <w:tc>
          <w:tcPr>
            <w:tcW w:w="3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318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Tumor staging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3ADD8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</w:tr>
      <w:tr w:rsidR="00A724BE" w:rsidRPr="00DF725C" w14:paraId="0F2F7349" w14:textId="77777777" w:rsidTr="00720C34">
        <w:trPr>
          <w:trHeight w:val="432"/>
        </w:trPr>
        <w:tc>
          <w:tcPr>
            <w:tcW w:w="8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7DC3A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094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I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DAC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II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E2A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III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12E5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IV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C456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724BE" w:rsidRPr="00DF725C" w14:paraId="52354F4A" w14:textId="77777777" w:rsidTr="00720C34">
        <w:trPr>
          <w:trHeight w:val="432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7C8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 week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2C0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1/3 (33.3%)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9C8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1/8 (12.5%)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DA0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11/30 (36.7%)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E3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13/26 (50.0%)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6F2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0.297</w:t>
            </w:r>
          </w:p>
        </w:tc>
      </w:tr>
      <w:tr w:rsidR="00A724BE" w:rsidRPr="00DF725C" w14:paraId="69BE79C3" w14:textId="77777777" w:rsidTr="00720C34">
        <w:trPr>
          <w:trHeight w:val="432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B56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 weeks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235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2/3 (66.7%)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4C5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3/8 (37.5%)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E61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19/30 (63.3%)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F2D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20/26 (76.9%)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113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0.222</w:t>
            </w:r>
          </w:p>
        </w:tc>
      </w:tr>
      <w:tr w:rsidR="00A724BE" w:rsidRPr="00DF725C" w14:paraId="6E365CC8" w14:textId="77777777" w:rsidTr="00720C34">
        <w:trPr>
          <w:trHeight w:val="432"/>
        </w:trPr>
        <w:tc>
          <w:tcPr>
            <w:tcW w:w="8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1C6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 weeks</w:t>
            </w:r>
          </w:p>
        </w:tc>
        <w:tc>
          <w:tcPr>
            <w:tcW w:w="8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AC1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2/3 (66.7%)</w:t>
            </w:r>
          </w:p>
        </w:tc>
        <w:tc>
          <w:tcPr>
            <w:tcW w:w="8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9E3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5/8 (62.5%)</w:t>
            </w:r>
          </w:p>
        </w:tc>
        <w:tc>
          <w:tcPr>
            <w:tcW w:w="9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1A2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21/30 (70.0%)</w:t>
            </w:r>
          </w:p>
        </w:tc>
        <w:tc>
          <w:tcPr>
            <w:tcW w:w="9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9F0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20/26 (76.9%)</w:t>
            </w:r>
          </w:p>
        </w:tc>
        <w:tc>
          <w:tcPr>
            <w:tcW w:w="5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E2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0.910</w:t>
            </w:r>
          </w:p>
        </w:tc>
      </w:tr>
      <w:tr w:rsidR="00A724BE" w:rsidRPr="00DF725C" w14:paraId="2133C6FC" w14:textId="77777777" w:rsidTr="00720C34">
        <w:trPr>
          <w:trHeight w:val="432"/>
        </w:trPr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2567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 weeks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368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2/3 (66.7%)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9E7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5/8 (62.5%)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56D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21/30 (70.0%)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F3A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20/26 (76.9%)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8E0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0.901</w:t>
            </w:r>
          </w:p>
        </w:tc>
      </w:tr>
    </w:tbl>
    <w:p w14:paraId="5A65665F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</w:p>
    <w:p w14:paraId="7F152685" w14:textId="77777777" w:rsidR="00A724BE" w:rsidRPr="00DF725C" w:rsidRDefault="00A724BE" w:rsidP="00DF725C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sz w:val="24"/>
        </w:rPr>
        <w:br w:type="page"/>
      </w:r>
    </w:p>
    <w:p w14:paraId="6973BE9D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4"/>
        </w:rPr>
        <w:sectPr w:rsidR="00A724BE" w:rsidRPr="00DF725C" w:rsidSect="00A724B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18648872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b/>
          <w:bCs/>
          <w:sz w:val="24"/>
        </w:rPr>
        <w:lastRenderedPageBreak/>
        <w:t>Supplementary Table S3.</w:t>
      </w:r>
      <w:r w:rsidRPr="00DF725C">
        <w:rPr>
          <w:rFonts w:ascii="Times New Roman" w:eastAsia="宋体" w:hAnsi="Times New Roman" w:cs="Times New Roman"/>
          <w:sz w:val="24"/>
        </w:rPr>
        <w:t xml:space="preserve"> Cumulative effective rates according to treatments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85"/>
        <w:gridCol w:w="1603"/>
        <w:gridCol w:w="1483"/>
        <w:gridCol w:w="861"/>
        <w:gridCol w:w="1688"/>
        <w:gridCol w:w="1678"/>
        <w:gridCol w:w="862"/>
        <w:gridCol w:w="1658"/>
        <w:gridCol w:w="1530"/>
        <w:gridCol w:w="910"/>
      </w:tblGrid>
      <w:tr w:rsidR="00A724BE" w:rsidRPr="00DF725C" w14:paraId="026E9CBB" w14:textId="77777777" w:rsidTr="00A724BE">
        <w:trPr>
          <w:trHeight w:val="432"/>
          <w:jc w:val="center"/>
        </w:trPr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3371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Follow-up 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01C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Combined with radiotherapy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0AE98D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52950E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Combined with targeted therapy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D10C87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7E7595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Combined with immunotherapy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15A5B5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724BE" w:rsidRPr="00DF725C" w14:paraId="5AF27D24" w14:textId="77777777" w:rsidTr="00A724BE">
        <w:trPr>
          <w:trHeight w:val="432"/>
          <w:jc w:val="center"/>
        </w:trPr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7F650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EAF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C50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4B9239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D96531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AFE39F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601F9B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4D5C48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7E19A8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Yes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4F30AC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</w:tr>
      <w:tr w:rsidR="00A724BE" w:rsidRPr="00DF725C" w14:paraId="53FD134C" w14:textId="77777777" w:rsidTr="00A724BE">
        <w:trPr>
          <w:trHeight w:val="432"/>
          <w:jc w:val="center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B50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 week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BD6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21/62 (33.9%)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464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7/12 (58.3%)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EEA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0.201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72C2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19/52 (36.5%)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4BA3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9/22 (40.9%)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B93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0.797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9AE3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26/64 (40.6%)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BDD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2/10 (20.0%)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A19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0.305</w:t>
            </w:r>
          </w:p>
        </w:tc>
      </w:tr>
      <w:tr w:rsidR="00A724BE" w:rsidRPr="00DF725C" w14:paraId="447A3FF0" w14:textId="77777777" w:rsidTr="00A724BE">
        <w:trPr>
          <w:trHeight w:val="432"/>
          <w:jc w:val="center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2FD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 weeks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0DC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38/62 (61.3%)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F18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9/12 (75.0%)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68A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0.517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35A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34/52 (65.4%)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E13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13/22 (59.1%)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1EF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0.793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542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42/64 (65.6%)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2A0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5/10 (50.0%)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D11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0.486</w:t>
            </w:r>
          </w:p>
        </w:tc>
      </w:tr>
      <w:tr w:rsidR="00A724BE" w:rsidRPr="00DF725C" w14:paraId="3112648A" w14:textId="77777777" w:rsidTr="00A724BE">
        <w:trPr>
          <w:trHeight w:val="432"/>
          <w:jc w:val="center"/>
        </w:trPr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B93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 weeks</w:t>
            </w:r>
          </w:p>
        </w:tc>
        <w:tc>
          <w:tcPr>
            <w:tcW w:w="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994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42/62 (67.7%)</w:t>
            </w:r>
          </w:p>
        </w:tc>
        <w:tc>
          <w:tcPr>
            <w:tcW w:w="5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BD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9/12 (75.0%)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vAlign w:val="center"/>
          </w:tcPr>
          <w:p w14:paraId="78EBD5B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0.735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vAlign w:val="center"/>
          </w:tcPr>
          <w:p w14:paraId="0A7325E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38/52 (73.1%)</w:t>
            </w:r>
          </w:p>
        </w:tc>
        <w:tc>
          <w:tcPr>
            <w:tcW w:w="602" w:type="pct"/>
            <w:tcBorders>
              <w:top w:val="nil"/>
              <w:left w:val="nil"/>
              <w:right w:val="nil"/>
            </w:tcBorders>
            <w:vAlign w:val="center"/>
          </w:tcPr>
          <w:p w14:paraId="7E80CC0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13/22 (59.1%)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vAlign w:val="center"/>
          </w:tcPr>
          <w:p w14:paraId="2E201797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0.275</w:t>
            </w:r>
          </w:p>
        </w:tc>
        <w:tc>
          <w:tcPr>
            <w:tcW w:w="595" w:type="pct"/>
            <w:tcBorders>
              <w:top w:val="nil"/>
              <w:left w:val="nil"/>
              <w:right w:val="nil"/>
            </w:tcBorders>
            <w:vAlign w:val="center"/>
          </w:tcPr>
          <w:p w14:paraId="2035B6D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46/64 (71.9%)</w:t>
            </w: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  <w:vAlign w:val="center"/>
          </w:tcPr>
          <w:p w14:paraId="47B3949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5/10 (50.0%)</w:t>
            </w: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vAlign w:val="center"/>
          </w:tcPr>
          <w:p w14:paraId="4F5954A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0.276</w:t>
            </w:r>
          </w:p>
        </w:tc>
      </w:tr>
      <w:tr w:rsidR="00A724BE" w:rsidRPr="00DF725C" w14:paraId="02F88540" w14:textId="77777777" w:rsidTr="00A724BE">
        <w:trPr>
          <w:trHeight w:val="432"/>
          <w:jc w:val="center"/>
        </w:trPr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C6F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 weeks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D55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43/62 (69.4%)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46F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9/12 (75.0%)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256B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0.746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484A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38/52 (73.1%)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248B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14/22 (63.6%)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A85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sz w:val="24"/>
              </w:rPr>
              <w:t>0.578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1ED5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47/64 (73.4%)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BDCA1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5/10 (50.0%)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BF02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0.149</w:t>
            </w:r>
          </w:p>
        </w:tc>
      </w:tr>
    </w:tbl>
    <w:p w14:paraId="131C9882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</w:p>
    <w:p w14:paraId="4B1365CE" w14:textId="77777777" w:rsidR="00A724BE" w:rsidRPr="00DF725C" w:rsidRDefault="00A724BE" w:rsidP="00DF725C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sz w:val="24"/>
        </w:rPr>
        <w:br w:type="page"/>
      </w:r>
    </w:p>
    <w:p w14:paraId="4235719E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4"/>
        </w:rPr>
        <w:sectPr w:rsidR="00A724BE" w:rsidRPr="00DF725C" w:rsidSect="00A724BE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175495D0" w14:textId="77777777" w:rsidR="00A724BE" w:rsidRPr="00DF725C" w:rsidRDefault="00A724BE" w:rsidP="00DF725C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DF725C">
        <w:rPr>
          <w:rFonts w:ascii="Times New Roman" w:eastAsia="宋体" w:hAnsi="Times New Roman" w:cs="Times New Roman"/>
          <w:b/>
          <w:bCs/>
          <w:sz w:val="24"/>
        </w:rPr>
        <w:lastRenderedPageBreak/>
        <w:t>Supplementary Table S4.</w:t>
      </w:r>
      <w:r w:rsidRPr="00DF725C">
        <w:rPr>
          <w:rFonts w:ascii="Times New Roman" w:eastAsia="宋体" w:hAnsi="Times New Roman" w:cs="Times New Roman"/>
          <w:sz w:val="24"/>
        </w:rPr>
        <w:t xml:space="preserve"> Cumulative effective rates according to the number of chemotherapy cycles and baseline platelets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0"/>
        <w:gridCol w:w="2242"/>
        <w:gridCol w:w="2046"/>
        <w:gridCol w:w="1172"/>
        <w:gridCol w:w="1845"/>
        <w:gridCol w:w="1700"/>
        <w:gridCol w:w="1700"/>
        <w:gridCol w:w="1343"/>
      </w:tblGrid>
      <w:tr w:rsidR="00A724BE" w:rsidRPr="00DF725C" w14:paraId="52323F56" w14:textId="77777777" w:rsidTr="00CF2975">
        <w:trPr>
          <w:trHeight w:val="432"/>
        </w:trPr>
        <w:tc>
          <w:tcPr>
            <w:tcW w:w="6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4171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Follow-up time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A97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Number of chemotherapy cycles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E2D5D0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D578A5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Baseline platelet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625A6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724BE" w:rsidRPr="00DF725C" w14:paraId="33489B99" w14:textId="77777777" w:rsidTr="00CF2975">
        <w:trPr>
          <w:trHeight w:val="432"/>
        </w:trPr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4A8F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27E9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&lt;5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F76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≥5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88FEC0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45DF9A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10-24.9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43EFE8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25-49.9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FB6E40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50-75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576EF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P</w:t>
            </w:r>
          </w:p>
        </w:tc>
      </w:tr>
      <w:tr w:rsidR="00A724BE" w:rsidRPr="00DF725C" w14:paraId="77445F7B" w14:textId="77777777" w:rsidTr="00CF2975">
        <w:trPr>
          <w:trHeight w:val="432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1A5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 week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782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21/51 (41.2%)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65F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4/13 (30.8%)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564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0.545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D00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10/16 (62.5%)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9E1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11/33 (33.3%)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600F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7/25 (28.0%)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381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0.067</w:t>
            </w:r>
          </w:p>
        </w:tc>
      </w:tr>
      <w:tr w:rsidR="00A724BE" w:rsidRPr="00DF725C" w14:paraId="5A826E0F" w14:textId="77777777" w:rsidTr="00CF2975">
        <w:trPr>
          <w:trHeight w:val="432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FA6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 weeks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147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35/51 (68.6%)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168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8/13 (61.5%)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6E0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7564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13/16 (81.2%)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63AD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20/33 (60.6%)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EBED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14/25 (56.0%)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D36B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0.225</w:t>
            </w:r>
          </w:p>
        </w:tc>
      </w:tr>
      <w:tr w:rsidR="00A724BE" w:rsidRPr="00DF725C" w14:paraId="6B1FE71D" w14:textId="77777777" w:rsidTr="00CF2975">
        <w:trPr>
          <w:trHeight w:val="432"/>
        </w:trPr>
        <w:tc>
          <w:tcPr>
            <w:tcW w:w="6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2C82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 weeks</w:t>
            </w:r>
          </w:p>
        </w:tc>
        <w:tc>
          <w:tcPr>
            <w:tcW w:w="8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691F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38/51 (74.5%)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815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9/13 (69.2%)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vAlign w:val="center"/>
          </w:tcPr>
          <w:p w14:paraId="1E388720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0.723</w:t>
            </w: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vAlign w:val="center"/>
          </w:tcPr>
          <w:p w14:paraId="79A4AA04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13/16 (81.2%)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vAlign w:val="center"/>
          </w:tcPr>
          <w:p w14:paraId="3D1B620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22/33 (66.7%)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vAlign w:val="center"/>
          </w:tcPr>
          <w:p w14:paraId="5E8C62B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16/25 (64.0%)</w:t>
            </w: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B47C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0.514</w:t>
            </w:r>
          </w:p>
        </w:tc>
      </w:tr>
      <w:tr w:rsidR="00A724BE" w:rsidRPr="00DF725C" w14:paraId="78B1BDF3" w14:textId="77777777" w:rsidTr="00CF2975">
        <w:trPr>
          <w:trHeight w:val="432"/>
        </w:trPr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3D3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4 weeks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669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39/51 (76.5%)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48C8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9/13 (69.2%)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BF4A6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0.720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575E5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13/16 (81.2%)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8BA1E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22/33 (66.7%)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8E843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17/25 (68.0%)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4A9A" w14:textId="77777777" w:rsidR="00A724BE" w:rsidRPr="00DF725C" w:rsidRDefault="00A724BE" w:rsidP="00DF725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DF725C">
              <w:rPr>
                <w:rFonts w:ascii="Times New Roman" w:eastAsia="宋体" w:hAnsi="Times New Roman" w:cs="Times New Roman"/>
                <w:kern w:val="0"/>
                <w:sz w:val="24"/>
              </w:rPr>
              <w:t>0.569</w:t>
            </w:r>
          </w:p>
        </w:tc>
      </w:tr>
    </w:tbl>
    <w:p w14:paraId="55D10278" w14:textId="77777777" w:rsidR="005E540F" w:rsidRPr="00DF725C" w:rsidRDefault="005E540F" w:rsidP="00DF725C">
      <w:pPr>
        <w:rPr>
          <w:rFonts w:ascii="Times New Roman" w:hAnsi="Times New Roman" w:cs="Times New Roman"/>
          <w:sz w:val="24"/>
        </w:rPr>
      </w:pPr>
    </w:p>
    <w:sectPr w:rsidR="005E540F" w:rsidRPr="00DF725C" w:rsidSect="00A724BE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8692" w14:textId="77777777" w:rsidR="003C5FF0" w:rsidRDefault="003C5FF0" w:rsidP="00A724BE">
      <w:r>
        <w:separator/>
      </w:r>
    </w:p>
  </w:endnote>
  <w:endnote w:type="continuationSeparator" w:id="0">
    <w:p w14:paraId="43EC72B0" w14:textId="77777777" w:rsidR="003C5FF0" w:rsidRDefault="003C5FF0" w:rsidP="00A7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97EE" w14:textId="77777777" w:rsidR="003C5FF0" w:rsidRDefault="003C5FF0" w:rsidP="00A724BE">
      <w:r>
        <w:separator/>
      </w:r>
    </w:p>
  </w:footnote>
  <w:footnote w:type="continuationSeparator" w:id="0">
    <w:p w14:paraId="1CB9C4BA" w14:textId="77777777" w:rsidR="003C5FF0" w:rsidRDefault="003C5FF0" w:rsidP="00A7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A5"/>
    <w:rsid w:val="003723A5"/>
    <w:rsid w:val="003C5FF0"/>
    <w:rsid w:val="005E540F"/>
    <w:rsid w:val="00720C34"/>
    <w:rsid w:val="00966C85"/>
    <w:rsid w:val="00A724BE"/>
    <w:rsid w:val="00CD491B"/>
    <w:rsid w:val="00D37FD5"/>
    <w:rsid w:val="00DF725C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78A50"/>
  <w15:chartTrackingRefBased/>
  <w15:docId w15:val="{57033CC1-7A9B-48F5-97A7-2909F2BA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4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MedSci-HX</cp:lastModifiedBy>
  <cp:revision>5</cp:revision>
  <dcterms:created xsi:type="dcterms:W3CDTF">2022-04-28T03:07:00Z</dcterms:created>
  <dcterms:modified xsi:type="dcterms:W3CDTF">2022-06-10T07:43:00Z</dcterms:modified>
</cp:coreProperties>
</file>