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629E" w14:textId="77777777" w:rsidR="00443DCF" w:rsidRPr="008C373C" w:rsidRDefault="00443DCF" w:rsidP="001B6F54">
      <w:pPr>
        <w:adjustRightInd w:val="0"/>
        <w:snapToGrid w:val="0"/>
        <w:jc w:val="left"/>
        <w:rPr>
          <w:rFonts w:ascii="Times New Roman" w:eastAsia="宋体" w:hAnsi="Times New Roman" w:cs="Times New Roman"/>
          <w:b/>
          <w:caps/>
          <w:sz w:val="24"/>
        </w:rPr>
      </w:pPr>
      <w:r w:rsidRPr="008C373C">
        <w:rPr>
          <w:rFonts w:ascii="Times New Roman" w:eastAsia="宋体" w:hAnsi="Times New Roman" w:cs="Times New Roman"/>
          <w:b/>
          <w:sz w:val="24"/>
        </w:rPr>
        <w:t>Additional Materials</w:t>
      </w:r>
    </w:p>
    <w:p w14:paraId="38CD20F0" w14:textId="77777777" w:rsidR="00443DCF" w:rsidRPr="008C373C" w:rsidRDefault="00443DCF" w:rsidP="001B6F54">
      <w:pPr>
        <w:adjustRightInd w:val="0"/>
        <w:snapToGrid w:val="0"/>
        <w:jc w:val="left"/>
        <w:rPr>
          <w:rFonts w:ascii="Times New Roman" w:hAnsi="Times New Roman" w:cs="Times New Roman"/>
          <w:b/>
          <w:bCs/>
          <w:sz w:val="24"/>
        </w:rPr>
      </w:pPr>
      <w:r w:rsidRPr="008C373C">
        <w:rPr>
          <w:rFonts w:ascii="Times New Roman" w:hAnsi="Times New Roman" w:cs="Times New Roman"/>
          <w:b/>
          <w:bCs/>
          <w:sz w:val="24"/>
        </w:rPr>
        <w:t xml:space="preserve">Inclusion </w:t>
      </w:r>
      <w:r>
        <w:rPr>
          <w:rFonts w:ascii="Times New Roman" w:hAnsi="Times New Roman" w:cs="Times New Roman"/>
          <w:b/>
          <w:bCs/>
          <w:sz w:val="24"/>
        </w:rPr>
        <w:t>c</w:t>
      </w:r>
      <w:r w:rsidRPr="008C373C">
        <w:rPr>
          <w:rFonts w:ascii="Times New Roman" w:hAnsi="Times New Roman" w:cs="Times New Roman"/>
          <w:b/>
          <w:bCs/>
          <w:sz w:val="24"/>
        </w:rPr>
        <w:t>riteria</w:t>
      </w:r>
    </w:p>
    <w:p w14:paraId="3075735A" w14:textId="77777777" w:rsidR="00443DCF" w:rsidRPr="00700A9A" w:rsidRDefault="00443DCF" w:rsidP="001B6F54">
      <w:pPr>
        <w:pStyle w:val="a7"/>
        <w:numPr>
          <w:ilvl w:val="0"/>
          <w:numId w:val="1"/>
        </w:numPr>
        <w:adjustRightInd w:val="0"/>
        <w:snapToGrid w:val="0"/>
        <w:ind w:left="0" w:firstLineChars="0" w:firstLine="0"/>
        <w:jc w:val="left"/>
        <w:rPr>
          <w:rFonts w:ascii="Times New Roman" w:hAnsi="Times New Roman" w:cs="Times New Roman"/>
          <w:sz w:val="24"/>
        </w:rPr>
      </w:pPr>
      <w:r w:rsidRPr="00700A9A">
        <w:rPr>
          <w:rFonts w:ascii="Times New Roman" w:hAnsi="Times New Roman" w:cs="Times New Roman"/>
          <w:sz w:val="24"/>
        </w:rPr>
        <w:t>Male or female, aged 18</w:t>
      </w:r>
      <w:r>
        <w:rPr>
          <w:rFonts w:ascii="Times New Roman" w:hAnsi="Times New Roman" w:cs="Times New Roman"/>
          <w:sz w:val="24"/>
        </w:rPr>
        <w:t>-</w:t>
      </w:r>
      <w:r w:rsidRPr="00700A9A">
        <w:rPr>
          <w:rFonts w:ascii="Times New Roman" w:hAnsi="Times New Roman" w:cs="Times New Roman"/>
          <w:sz w:val="24"/>
        </w:rPr>
        <w:t>75 years.</w:t>
      </w:r>
    </w:p>
    <w:p w14:paraId="24D70735" w14:textId="77777777" w:rsidR="00443DCF" w:rsidRPr="00700A9A" w:rsidRDefault="00443DCF" w:rsidP="001B6F54">
      <w:pPr>
        <w:pStyle w:val="a7"/>
        <w:numPr>
          <w:ilvl w:val="0"/>
          <w:numId w:val="1"/>
        </w:numPr>
        <w:adjustRightInd w:val="0"/>
        <w:snapToGrid w:val="0"/>
        <w:ind w:left="0" w:firstLineChars="0" w:firstLine="0"/>
        <w:jc w:val="left"/>
        <w:rPr>
          <w:rFonts w:ascii="Times New Roman" w:hAnsi="Times New Roman" w:cs="Times New Roman"/>
          <w:sz w:val="24"/>
        </w:rPr>
      </w:pPr>
      <w:r w:rsidRPr="00700A9A">
        <w:rPr>
          <w:rFonts w:ascii="Times New Roman" w:hAnsi="Times New Roman" w:cs="Times New Roman"/>
          <w:sz w:val="24"/>
        </w:rPr>
        <w:t>Diagnosed with malignant tumors by pathology or cytology and need</w:t>
      </w:r>
      <w:r>
        <w:rPr>
          <w:rFonts w:ascii="Times New Roman" w:hAnsi="Times New Roman" w:cs="Times New Roman"/>
          <w:sz w:val="24"/>
        </w:rPr>
        <w:t>ed</w:t>
      </w:r>
      <w:r w:rsidRPr="00700A9A">
        <w:rPr>
          <w:rFonts w:ascii="Times New Roman" w:hAnsi="Times New Roman" w:cs="Times New Roman"/>
          <w:sz w:val="24"/>
        </w:rPr>
        <w:t xml:space="preserve"> chemotherapy.</w:t>
      </w:r>
    </w:p>
    <w:p w14:paraId="683C48FA" w14:textId="77777777" w:rsidR="00443DCF" w:rsidRPr="00700A9A" w:rsidRDefault="00443DCF" w:rsidP="001B6F54">
      <w:pPr>
        <w:pStyle w:val="a7"/>
        <w:numPr>
          <w:ilvl w:val="0"/>
          <w:numId w:val="1"/>
        </w:numPr>
        <w:adjustRightInd w:val="0"/>
        <w:snapToGrid w:val="0"/>
        <w:ind w:left="0" w:firstLineChars="0" w:firstLine="0"/>
        <w:jc w:val="left"/>
        <w:rPr>
          <w:rFonts w:ascii="Times New Roman" w:hAnsi="Times New Roman" w:cs="Times New Roman"/>
          <w:sz w:val="24"/>
        </w:rPr>
      </w:pPr>
      <w:r>
        <w:rPr>
          <w:rFonts w:ascii="Times New Roman" w:hAnsi="Times New Roman" w:cs="Times New Roman"/>
          <w:sz w:val="24"/>
        </w:rPr>
        <w:t>A</w:t>
      </w:r>
      <w:r w:rsidRPr="00700A9A">
        <w:rPr>
          <w:rFonts w:ascii="Times New Roman" w:hAnsi="Times New Roman" w:cs="Times New Roman"/>
          <w:sz w:val="24"/>
        </w:rPr>
        <w:t>t least grade II thrombocytopenia after the last chemotherapy cycle (PLT count</w:t>
      </w:r>
      <w:r>
        <w:rPr>
          <w:rFonts w:ascii="Times New Roman" w:hAnsi="Times New Roman" w:cs="Times New Roman" w:hint="eastAsia"/>
          <w:sz w:val="24"/>
        </w:rPr>
        <w:t xml:space="preserve"> </w:t>
      </w:r>
      <w:r>
        <w:rPr>
          <w:rFonts w:ascii="Times New Roman" w:hAnsi="Times New Roman" w:cs="Times New Roman"/>
          <w:sz w:val="24"/>
        </w:rPr>
        <w:t>10-</w:t>
      </w:r>
      <w:r w:rsidRPr="00700A9A">
        <w:rPr>
          <w:rFonts w:ascii="Times New Roman" w:hAnsi="Times New Roman" w:cs="Times New Roman"/>
          <w:sz w:val="24"/>
        </w:rPr>
        <w:t>75×10</w:t>
      </w:r>
      <w:r w:rsidRPr="00700A9A">
        <w:rPr>
          <w:rFonts w:ascii="Times New Roman" w:hAnsi="Times New Roman" w:cs="Times New Roman"/>
          <w:sz w:val="24"/>
          <w:vertAlign w:val="superscript"/>
        </w:rPr>
        <w:t>9</w:t>
      </w:r>
      <w:r w:rsidRPr="00700A9A">
        <w:rPr>
          <w:rFonts w:ascii="Times New Roman" w:hAnsi="Times New Roman" w:cs="Times New Roman"/>
          <w:sz w:val="24"/>
        </w:rPr>
        <w:t>/L).</w:t>
      </w:r>
    </w:p>
    <w:p w14:paraId="6BC89F05" w14:textId="77777777" w:rsidR="00443DCF" w:rsidRPr="00700A9A" w:rsidRDefault="00443DCF" w:rsidP="001B6F54">
      <w:pPr>
        <w:pStyle w:val="a7"/>
        <w:numPr>
          <w:ilvl w:val="0"/>
          <w:numId w:val="1"/>
        </w:numPr>
        <w:adjustRightInd w:val="0"/>
        <w:snapToGrid w:val="0"/>
        <w:ind w:left="0" w:firstLineChars="0" w:firstLine="0"/>
        <w:jc w:val="left"/>
        <w:rPr>
          <w:rFonts w:ascii="Times New Roman" w:hAnsi="Times New Roman" w:cs="Times New Roman"/>
          <w:sz w:val="24"/>
        </w:rPr>
      </w:pPr>
      <w:r w:rsidRPr="00700A9A">
        <w:rPr>
          <w:rFonts w:ascii="Times New Roman" w:hAnsi="Times New Roman" w:cs="Times New Roman"/>
          <w:sz w:val="24"/>
        </w:rPr>
        <w:t>Eastern Cooperative Oncology Group (ECOG) performance status score ≤2.</w:t>
      </w:r>
    </w:p>
    <w:p w14:paraId="0A897ADB" w14:textId="77777777" w:rsidR="00443DCF" w:rsidRPr="00700A9A" w:rsidRDefault="00443DCF" w:rsidP="001B6F54">
      <w:pPr>
        <w:pStyle w:val="a7"/>
        <w:numPr>
          <w:ilvl w:val="0"/>
          <w:numId w:val="1"/>
        </w:numPr>
        <w:adjustRightInd w:val="0"/>
        <w:snapToGrid w:val="0"/>
        <w:ind w:left="0" w:firstLineChars="0" w:firstLine="0"/>
        <w:jc w:val="left"/>
        <w:rPr>
          <w:rFonts w:ascii="Times New Roman" w:hAnsi="Times New Roman" w:cs="Times New Roman"/>
          <w:sz w:val="24"/>
        </w:rPr>
      </w:pPr>
      <w:r>
        <w:rPr>
          <w:rFonts w:ascii="Times New Roman" w:hAnsi="Times New Roman" w:cs="Times New Roman"/>
          <w:sz w:val="24"/>
        </w:rPr>
        <w:t>L</w:t>
      </w:r>
      <w:r w:rsidRPr="00700A9A">
        <w:rPr>
          <w:rFonts w:ascii="Times New Roman" w:hAnsi="Times New Roman" w:cs="Times New Roman"/>
          <w:sz w:val="24"/>
        </w:rPr>
        <w:t xml:space="preserve">ife expectancy at screening </w:t>
      </w:r>
      <w:r>
        <w:rPr>
          <w:rFonts w:ascii="Times New Roman" w:hAnsi="Times New Roman" w:cs="Times New Roman"/>
          <w:sz w:val="24"/>
        </w:rPr>
        <w:t>was</w:t>
      </w:r>
      <w:r w:rsidRPr="00700A9A">
        <w:rPr>
          <w:rFonts w:ascii="Times New Roman" w:hAnsi="Times New Roman" w:cs="Times New Roman"/>
          <w:sz w:val="24"/>
        </w:rPr>
        <w:t xml:space="preserve"> ≥12 weeks</w:t>
      </w:r>
      <w:r>
        <w:rPr>
          <w:rFonts w:ascii="Times New Roman" w:hAnsi="Times New Roman" w:cs="Times New Roman"/>
          <w:sz w:val="24"/>
        </w:rPr>
        <w:t>,</w:t>
      </w:r>
      <w:r w:rsidRPr="00700A9A">
        <w:rPr>
          <w:rFonts w:ascii="Times New Roman" w:hAnsi="Times New Roman" w:cs="Times New Roman"/>
          <w:sz w:val="24"/>
        </w:rPr>
        <w:t xml:space="preserve"> and </w:t>
      </w:r>
      <w:r>
        <w:rPr>
          <w:rFonts w:ascii="Times New Roman" w:hAnsi="Times New Roman" w:cs="Times New Roman"/>
          <w:sz w:val="24"/>
        </w:rPr>
        <w:t xml:space="preserve">had to </w:t>
      </w:r>
      <w:r w:rsidRPr="00700A9A">
        <w:rPr>
          <w:rFonts w:ascii="Times New Roman" w:hAnsi="Times New Roman" w:cs="Times New Roman"/>
          <w:sz w:val="24"/>
        </w:rPr>
        <w:t xml:space="preserve">continue to receive at least </w:t>
      </w:r>
      <w:r>
        <w:rPr>
          <w:rFonts w:ascii="Times New Roman" w:hAnsi="Times New Roman" w:cs="Times New Roman"/>
          <w:sz w:val="24"/>
        </w:rPr>
        <w:t>two</w:t>
      </w:r>
      <w:r w:rsidRPr="00700A9A">
        <w:rPr>
          <w:rFonts w:ascii="Times New Roman" w:hAnsi="Times New Roman" w:cs="Times New Roman"/>
          <w:sz w:val="24"/>
        </w:rPr>
        <w:t xml:space="preserve"> cycles of the same chemotherapy regimen at the time of screening.</w:t>
      </w:r>
    </w:p>
    <w:p w14:paraId="573AD6BC" w14:textId="77777777" w:rsidR="00443DCF" w:rsidRPr="00700A9A" w:rsidRDefault="00443DCF" w:rsidP="001B6F54">
      <w:pPr>
        <w:pStyle w:val="a7"/>
        <w:numPr>
          <w:ilvl w:val="0"/>
          <w:numId w:val="1"/>
        </w:numPr>
        <w:adjustRightInd w:val="0"/>
        <w:snapToGrid w:val="0"/>
        <w:ind w:left="0" w:firstLineChars="0" w:firstLine="0"/>
        <w:jc w:val="left"/>
        <w:rPr>
          <w:rFonts w:ascii="Times New Roman" w:hAnsi="Times New Roman" w:cs="Times New Roman"/>
          <w:sz w:val="24"/>
        </w:rPr>
      </w:pPr>
      <w:r w:rsidRPr="00700A9A">
        <w:rPr>
          <w:rFonts w:ascii="Times New Roman" w:hAnsi="Times New Roman" w:cs="Times New Roman"/>
          <w:sz w:val="24"/>
        </w:rPr>
        <w:t xml:space="preserve">Women of childbearing age </w:t>
      </w:r>
      <w:r>
        <w:rPr>
          <w:rFonts w:ascii="Times New Roman" w:hAnsi="Times New Roman" w:cs="Times New Roman"/>
          <w:sz w:val="24"/>
        </w:rPr>
        <w:t>had to use</w:t>
      </w:r>
      <w:r w:rsidRPr="00700A9A">
        <w:rPr>
          <w:rFonts w:ascii="Times New Roman" w:hAnsi="Times New Roman" w:cs="Times New Roman"/>
          <w:sz w:val="24"/>
        </w:rPr>
        <w:t xml:space="preserve"> reliable contraceptive measures or ha</w:t>
      </w:r>
      <w:r>
        <w:rPr>
          <w:rFonts w:ascii="Times New Roman" w:hAnsi="Times New Roman" w:cs="Times New Roman"/>
          <w:sz w:val="24"/>
        </w:rPr>
        <w:t>d</w:t>
      </w:r>
      <w:r w:rsidRPr="00700A9A">
        <w:rPr>
          <w:rFonts w:ascii="Times New Roman" w:hAnsi="Times New Roman" w:cs="Times New Roman"/>
          <w:sz w:val="24"/>
        </w:rPr>
        <w:t xml:space="preserve"> a</w:t>
      </w:r>
      <w:r>
        <w:rPr>
          <w:rFonts w:ascii="Times New Roman" w:hAnsi="Times New Roman" w:cs="Times New Roman"/>
          <w:sz w:val="24"/>
        </w:rPr>
        <w:t xml:space="preserve"> negative</w:t>
      </w:r>
      <w:r w:rsidRPr="00700A9A">
        <w:rPr>
          <w:rFonts w:ascii="Times New Roman" w:hAnsi="Times New Roman" w:cs="Times New Roman"/>
          <w:sz w:val="24"/>
        </w:rPr>
        <w:t xml:space="preserve"> pregnancy test (serum or urine) within 7 days before enrollment and </w:t>
      </w:r>
      <w:r>
        <w:rPr>
          <w:rFonts w:ascii="Times New Roman" w:hAnsi="Times New Roman" w:cs="Times New Roman"/>
          <w:sz w:val="24"/>
        </w:rPr>
        <w:t xml:space="preserve">were </w:t>
      </w:r>
      <w:r w:rsidRPr="00700A9A">
        <w:rPr>
          <w:rFonts w:ascii="Times New Roman" w:hAnsi="Times New Roman" w:cs="Times New Roman"/>
          <w:sz w:val="24"/>
        </w:rPr>
        <w:t>willing to use appropriate methods of contraception during the trial.</w:t>
      </w:r>
    </w:p>
    <w:p w14:paraId="074CC676" w14:textId="77777777" w:rsidR="00443DCF" w:rsidRPr="00700A9A" w:rsidRDefault="00443DCF" w:rsidP="001B6F54">
      <w:pPr>
        <w:pStyle w:val="a7"/>
        <w:numPr>
          <w:ilvl w:val="0"/>
          <w:numId w:val="1"/>
        </w:numPr>
        <w:adjustRightInd w:val="0"/>
        <w:snapToGrid w:val="0"/>
        <w:ind w:left="0" w:firstLineChars="0" w:firstLine="0"/>
        <w:jc w:val="left"/>
        <w:rPr>
          <w:rFonts w:ascii="Times New Roman" w:hAnsi="Times New Roman" w:cs="Times New Roman"/>
          <w:sz w:val="24"/>
        </w:rPr>
      </w:pPr>
      <w:r w:rsidRPr="00700A9A">
        <w:rPr>
          <w:rFonts w:ascii="Times New Roman" w:hAnsi="Times New Roman" w:cs="Times New Roman"/>
          <w:sz w:val="24"/>
        </w:rPr>
        <w:t>The subjects voluntarily and strictly ab</w:t>
      </w:r>
      <w:r>
        <w:rPr>
          <w:rFonts w:ascii="Times New Roman" w:hAnsi="Times New Roman" w:cs="Times New Roman"/>
          <w:sz w:val="24"/>
        </w:rPr>
        <w:t>o</w:t>
      </w:r>
      <w:r w:rsidRPr="00700A9A">
        <w:rPr>
          <w:rFonts w:ascii="Times New Roman" w:hAnsi="Times New Roman" w:cs="Times New Roman"/>
          <w:sz w:val="24"/>
        </w:rPr>
        <w:t>de by the requirements of the research protocol and sign</w:t>
      </w:r>
      <w:r>
        <w:rPr>
          <w:rFonts w:ascii="Times New Roman" w:hAnsi="Times New Roman" w:cs="Times New Roman"/>
          <w:sz w:val="24"/>
        </w:rPr>
        <w:t>ed</w:t>
      </w:r>
      <w:r w:rsidRPr="00700A9A">
        <w:rPr>
          <w:rFonts w:ascii="Times New Roman" w:hAnsi="Times New Roman" w:cs="Times New Roman"/>
          <w:sz w:val="24"/>
        </w:rPr>
        <w:t xml:space="preserve"> </w:t>
      </w:r>
      <w:r>
        <w:rPr>
          <w:rFonts w:ascii="Times New Roman" w:hAnsi="Times New Roman" w:cs="Times New Roman"/>
          <w:sz w:val="24"/>
        </w:rPr>
        <w:t xml:space="preserve">the </w:t>
      </w:r>
      <w:r w:rsidRPr="00700A9A">
        <w:rPr>
          <w:rFonts w:ascii="Times New Roman" w:hAnsi="Times New Roman" w:cs="Times New Roman"/>
          <w:sz w:val="24"/>
        </w:rPr>
        <w:t>informed consent</w:t>
      </w:r>
      <w:r>
        <w:rPr>
          <w:rFonts w:ascii="Times New Roman" w:hAnsi="Times New Roman" w:cs="Times New Roman"/>
          <w:sz w:val="24"/>
        </w:rPr>
        <w:t xml:space="preserve"> form</w:t>
      </w:r>
      <w:r w:rsidRPr="00700A9A">
        <w:rPr>
          <w:rFonts w:ascii="Times New Roman" w:hAnsi="Times New Roman" w:cs="Times New Roman"/>
          <w:sz w:val="24"/>
        </w:rPr>
        <w:t>.</w:t>
      </w:r>
    </w:p>
    <w:p w14:paraId="27666061" w14:textId="77777777" w:rsidR="00443DCF" w:rsidRPr="00700A9A" w:rsidRDefault="00443DCF" w:rsidP="001B6F54">
      <w:pPr>
        <w:adjustRightInd w:val="0"/>
        <w:snapToGrid w:val="0"/>
        <w:jc w:val="left"/>
        <w:rPr>
          <w:rFonts w:ascii="Times New Roman" w:eastAsia="宋体" w:hAnsi="Times New Roman" w:cs="Times New Roman"/>
          <w:sz w:val="24"/>
        </w:rPr>
      </w:pPr>
    </w:p>
    <w:p w14:paraId="1D8C35F8" w14:textId="77777777" w:rsidR="00443DCF" w:rsidRPr="008C373C" w:rsidRDefault="00443DCF" w:rsidP="001B6F54">
      <w:pPr>
        <w:adjustRightInd w:val="0"/>
        <w:snapToGrid w:val="0"/>
        <w:jc w:val="left"/>
        <w:rPr>
          <w:rFonts w:ascii="Times New Roman" w:hAnsi="Times New Roman" w:cs="Times New Roman"/>
          <w:b/>
          <w:bCs/>
          <w:sz w:val="24"/>
        </w:rPr>
      </w:pPr>
      <w:r w:rsidRPr="008C373C">
        <w:rPr>
          <w:rFonts w:ascii="Times New Roman" w:hAnsi="Times New Roman" w:cs="Times New Roman"/>
          <w:b/>
          <w:bCs/>
          <w:sz w:val="24"/>
        </w:rPr>
        <w:t xml:space="preserve">Exclusion </w:t>
      </w:r>
      <w:r>
        <w:rPr>
          <w:rFonts w:ascii="Times New Roman" w:hAnsi="Times New Roman" w:cs="Times New Roman"/>
          <w:b/>
          <w:bCs/>
          <w:sz w:val="24"/>
        </w:rPr>
        <w:t>c</w:t>
      </w:r>
      <w:r w:rsidRPr="008C373C">
        <w:rPr>
          <w:rFonts w:ascii="Times New Roman" w:hAnsi="Times New Roman" w:cs="Times New Roman"/>
          <w:b/>
          <w:bCs/>
          <w:sz w:val="24"/>
        </w:rPr>
        <w:t>riteria</w:t>
      </w:r>
    </w:p>
    <w:p w14:paraId="26FF1E92" w14:textId="51847572"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1. </w:t>
      </w:r>
      <w:r>
        <w:rPr>
          <w:rFonts w:ascii="Times New Roman" w:hAnsi="Times New Roman" w:cs="Times New Roman"/>
        </w:rPr>
        <w:t>S</w:t>
      </w:r>
      <w:r w:rsidRPr="00700A9A">
        <w:rPr>
          <w:rFonts w:ascii="Times New Roman" w:hAnsi="Times New Roman" w:cs="Times New Roman"/>
        </w:rPr>
        <w:t>evere cardiovascular disease: myocardial ischemia or myocardial infarction above grade II, poorly controlled arrhythmia</w:t>
      </w:r>
      <w:r>
        <w:rPr>
          <w:rFonts w:ascii="Times New Roman" w:hAnsi="Times New Roman" w:cs="Times New Roman"/>
        </w:rPr>
        <w:t>;</w:t>
      </w:r>
      <w:r w:rsidRPr="00700A9A">
        <w:rPr>
          <w:rFonts w:ascii="Times New Roman" w:hAnsi="Times New Roman" w:cs="Times New Roman"/>
        </w:rPr>
        <w:t xml:space="preserve"> according to NYHA standards, grade III to IV cardiac insufficiency, or cardiac color Doppler ultrasound examination suggests left ventricular ejection fraction (LVEF) &lt;50%.</w:t>
      </w:r>
    </w:p>
    <w:p w14:paraId="244498B7"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2. </w:t>
      </w:r>
      <w:r>
        <w:rPr>
          <w:rFonts w:ascii="Times New Roman" w:hAnsi="Times New Roman" w:cs="Times New Roman"/>
        </w:rPr>
        <w:t>C</w:t>
      </w:r>
      <w:r w:rsidRPr="00700A9A">
        <w:rPr>
          <w:rFonts w:ascii="Times New Roman" w:hAnsi="Times New Roman" w:cs="Times New Roman"/>
        </w:rPr>
        <w:t>linically significant acute or active bleeding (such as gastrointestinal or central nervous system) within 7 days before screening.</w:t>
      </w:r>
    </w:p>
    <w:p w14:paraId="76A35781"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3. </w:t>
      </w:r>
      <w:r>
        <w:rPr>
          <w:rFonts w:ascii="Times New Roman" w:hAnsi="Times New Roman" w:cs="Times New Roman"/>
        </w:rPr>
        <w:t>R</w:t>
      </w:r>
      <w:r w:rsidRPr="00700A9A">
        <w:rPr>
          <w:rFonts w:ascii="Times New Roman" w:hAnsi="Times New Roman" w:cs="Times New Roman"/>
        </w:rPr>
        <w:t>eceived major surgery or minor surgery within 4 weeks of enrollment.</w:t>
      </w:r>
    </w:p>
    <w:p w14:paraId="7360E473"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4. </w:t>
      </w:r>
      <w:r>
        <w:rPr>
          <w:rFonts w:ascii="Times New Roman" w:hAnsi="Times New Roman" w:cs="Times New Roman"/>
        </w:rPr>
        <w:t>H</w:t>
      </w:r>
      <w:r w:rsidRPr="00700A9A">
        <w:rPr>
          <w:rFonts w:ascii="Times New Roman" w:hAnsi="Times New Roman" w:cs="Times New Roman"/>
        </w:rPr>
        <w:t>istory of arterial or venous thrombosis (such as myocardial ischemia, transient ischemic attack, or stroke) within 6 months before screening.</w:t>
      </w:r>
    </w:p>
    <w:p w14:paraId="672901E4"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5. </w:t>
      </w:r>
      <w:r>
        <w:rPr>
          <w:rFonts w:ascii="Times New Roman" w:hAnsi="Times New Roman" w:cs="Times New Roman"/>
        </w:rPr>
        <w:t>A</w:t>
      </w:r>
      <w:r w:rsidRPr="00700A9A">
        <w:rPr>
          <w:rFonts w:ascii="Times New Roman" w:hAnsi="Times New Roman" w:cs="Times New Roman"/>
        </w:rPr>
        <w:t>ctive infection or acute infection within 2 weeks before the first administration of the study</w:t>
      </w:r>
      <w:r>
        <w:rPr>
          <w:rFonts w:ascii="Times New Roman" w:hAnsi="Times New Roman" w:cs="Times New Roman"/>
        </w:rPr>
        <w:t xml:space="preserve"> drug</w:t>
      </w:r>
      <w:r w:rsidRPr="00700A9A">
        <w:rPr>
          <w:rFonts w:ascii="Times New Roman" w:hAnsi="Times New Roman" w:cs="Times New Roman"/>
        </w:rPr>
        <w:t>.</w:t>
      </w:r>
    </w:p>
    <w:p w14:paraId="2B3A7A3F"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6. Long-term bed rest, subjects with severe vascular disease.</w:t>
      </w:r>
    </w:p>
    <w:p w14:paraId="7D70845F"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7. </w:t>
      </w:r>
      <w:r>
        <w:rPr>
          <w:rFonts w:ascii="Times New Roman" w:hAnsi="Times New Roman" w:cs="Times New Roman"/>
        </w:rPr>
        <w:t>H</w:t>
      </w:r>
      <w:r w:rsidRPr="00700A9A">
        <w:rPr>
          <w:rFonts w:ascii="Times New Roman" w:hAnsi="Times New Roman" w:cs="Times New Roman"/>
        </w:rPr>
        <w:t>istory of chronic thrombocytopenia or bleeding disorders, or a history of thrombocytopenia (such as chronic liver disease or immune thrombocytopenic purpura) caused by causes other than thrombocytopenia caused by chemotherapy.</w:t>
      </w:r>
    </w:p>
    <w:p w14:paraId="60932745"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8. </w:t>
      </w:r>
      <w:r>
        <w:rPr>
          <w:rFonts w:ascii="Times New Roman" w:hAnsi="Times New Roman" w:cs="Times New Roman"/>
        </w:rPr>
        <w:t>H</w:t>
      </w:r>
      <w:r w:rsidRPr="00700A9A">
        <w:rPr>
          <w:rFonts w:ascii="Times New Roman" w:hAnsi="Times New Roman" w:cs="Times New Roman"/>
        </w:rPr>
        <w:t>istory of other hematological malignant tumors, such as acute lymphoblastic leukemia, acute myeloid leukemia, any myeloid malignant tumor, myelodysplastic syndrome, myeloproliferative disease, multiple myeloma</w:t>
      </w:r>
      <w:r>
        <w:rPr>
          <w:rFonts w:ascii="Times New Roman" w:hAnsi="Times New Roman" w:cs="Times New Roman"/>
        </w:rPr>
        <w:t>, etc.</w:t>
      </w:r>
    </w:p>
    <w:p w14:paraId="08567E87"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9. </w:t>
      </w:r>
      <w:r>
        <w:rPr>
          <w:rFonts w:ascii="Times New Roman" w:hAnsi="Times New Roman" w:cs="Times New Roman"/>
        </w:rPr>
        <w:t>F</w:t>
      </w:r>
      <w:r w:rsidRPr="00700A9A">
        <w:rPr>
          <w:rFonts w:ascii="Times New Roman" w:hAnsi="Times New Roman" w:cs="Times New Roman"/>
        </w:rPr>
        <w:t xml:space="preserve">actors that significantly affect the absorption of oral drugs, such as inability to swallow, chronic diarrhea, </w:t>
      </w:r>
      <w:r>
        <w:rPr>
          <w:rFonts w:ascii="Times New Roman" w:hAnsi="Times New Roman" w:cs="Times New Roman"/>
        </w:rPr>
        <w:t>or</w:t>
      </w:r>
      <w:r w:rsidRPr="00700A9A">
        <w:rPr>
          <w:rFonts w:ascii="Times New Roman" w:hAnsi="Times New Roman" w:cs="Times New Roman"/>
        </w:rPr>
        <w:t xml:space="preserve"> intestinal obstruction.</w:t>
      </w:r>
    </w:p>
    <w:p w14:paraId="7940A934"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10. </w:t>
      </w:r>
      <w:r>
        <w:rPr>
          <w:rFonts w:ascii="Times New Roman" w:hAnsi="Times New Roman" w:cs="Times New Roman"/>
        </w:rPr>
        <w:t>A</w:t>
      </w:r>
      <w:r w:rsidRPr="00700A9A">
        <w:rPr>
          <w:rFonts w:ascii="Times New Roman" w:hAnsi="Times New Roman" w:cs="Times New Roman"/>
        </w:rPr>
        <w:t xml:space="preserve">llergic reaction to </w:t>
      </w:r>
      <w:proofErr w:type="spellStart"/>
      <w:r w:rsidRPr="00700A9A">
        <w:rPr>
          <w:rFonts w:ascii="Times New Roman" w:hAnsi="Times New Roman" w:cs="Times New Roman"/>
        </w:rPr>
        <w:t>avatrombopag</w:t>
      </w:r>
      <w:proofErr w:type="spellEnd"/>
      <w:r w:rsidRPr="00700A9A">
        <w:rPr>
          <w:rFonts w:ascii="Times New Roman" w:hAnsi="Times New Roman" w:cs="Times New Roman"/>
        </w:rPr>
        <w:t xml:space="preserve"> or any of its excipients.</w:t>
      </w:r>
    </w:p>
    <w:p w14:paraId="40A81784"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11. </w:t>
      </w:r>
      <w:r>
        <w:rPr>
          <w:rFonts w:ascii="Times New Roman" w:hAnsi="Times New Roman" w:cs="Times New Roman"/>
        </w:rPr>
        <w:t>P</w:t>
      </w:r>
      <w:r w:rsidRPr="00700A9A">
        <w:rPr>
          <w:rFonts w:ascii="Times New Roman" w:hAnsi="Times New Roman" w:cs="Times New Roman"/>
        </w:rPr>
        <w:t>articipated in clinical studies of other study drugs or devices within 30 days before screening.</w:t>
      </w:r>
    </w:p>
    <w:p w14:paraId="0B9B04E3"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12. The investigator</w:t>
      </w:r>
      <w:r>
        <w:rPr>
          <w:rFonts w:ascii="Times New Roman" w:hAnsi="Times New Roman" w:cs="Times New Roman"/>
        </w:rPr>
        <w:t xml:space="preserve"> </w:t>
      </w:r>
      <w:r w:rsidRPr="00700A9A">
        <w:rPr>
          <w:rFonts w:ascii="Times New Roman" w:hAnsi="Times New Roman" w:cs="Times New Roman"/>
        </w:rPr>
        <w:t>assessed that the subjects had any accompanying medical history that could impair the subject’s safety in completing the study, such as renal failure due to hemodialysis or active infection requiring intravenous antibiotics.</w:t>
      </w:r>
    </w:p>
    <w:p w14:paraId="55173B73"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13. </w:t>
      </w:r>
      <w:r>
        <w:rPr>
          <w:rFonts w:ascii="Times New Roman" w:hAnsi="Times New Roman" w:cs="Times New Roman"/>
        </w:rPr>
        <w:t>H</w:t>
      </w:r>
      <w:r w:rsidRPr="00700A9A">
        <w:rPr>
          <w:rFonts w:ascii="Times New Roman" w:hAnsi="Times New Roman" w:cs="Times New Roman"/>
        </w:rPr>
        <w:t>istory of psychotropic drug abuse and unable to quit or have mental disorders.</w:t>
      </w:r>
    </w:p>
    <w:p w14:paraId="77509373" w14:textId="77777777" w:rsidR="00443DCF" w:rsidRPr="00700A9A" w:rsidRDefault="00443DCF" w:rsidP="001B6F54">
      <w:pPr>
        <w:pStyle w:val="aa"/>
        <w:adjustRightInd w:val="0"/>
        <w:snapToGrid w:val="0"/>
        <w:ind w:left="0"/>
        <w:rPr>
          <w:rFonts w:ascii="Times New Roman" w:hAnsi="Times New Roman" w:cs="Times New Roman"/>
        </w:rPr>
      </w:pPr>
      <w:r w:rsidRPr="00700A9A">
        <w:rPr>
          <w:rFonts w:ascii="Times New Roman" w:hAnsi="Times New Roman" w:cs="Times New Roman"/>
        </w:rPr>
        <w:t xml:space="preserve">14. Pregnant or breastfeeding women, and fertile patients who </w:t>
      </w:r>
      <w:r>
        <w:rPr>
          <w:rFonts w:ascii="Times New Roman" w:hAnsi="Times New Roman" w:cs="Times New Roman"/>
        </w:rPr>
        <w:t>were</w:t>
      </w:r>
      <w:r w:rsidRPr="00700A9A">
        <w:rPr>
          <w:rFonts w:ascii="Times New Roman" w:hAnsi="Times New Roman" w:cs="Times New Roman"/>
        </w:rPr>
        <w:t xml:space="preserve"> unwilling or unable to take effective contraceptive measures.</w:t>
      </w:r>
    </w:p>
    <w:p w14:paraId="69359976" w14:textId="77777777" w:rsidR="00443DCF" w:rsidRDefault="00443DCF" w:rsidP="001B6F54">
      <w:pPr>
        <w:adjustRightInd w:val="0"/>
        <w:snapToGrid w:val="0"/>
        <w:jc w:val="left"/>
        <w:rPr>
          <w:rFonts w:ascii="Times New Roman" w:hAnsi="Times New Roman" w:cs="Times New Roman"/>
          <w:sz w:val="24"/>
        </w:rPr>
      </w:pPr>
      <w:r w:rsidRPr="00700A9A">
        <w:rPr>
          <w:rFonts w:ascii="Times New Roman" w:hAnsi="Times New Roman" w:cs="Times New Roman"/>
          <w:sz w:val="24"/>
        </w:rPr>
        <w:t>15. The investigator judge</w:t>
      </w:r>
      <w:r>
        <w:rPr>
          <w:rFonts w:ascii="Times New Roman" w:hAnsi="Times New Roman" w:cs="Times New Roman"/>
          <w:sz w:val="24"/>
        </w:rPr>
        <w:t xml:space="preserve">d </w:t>
      </w:r>
      <w:proofErr w:type="gramStart"/>
      <w:r>
        <w:rPr>
          <w:rFonts w:ascii="Times New Roman" w:hAnsi="Times New Roman" w:cs="Times New Roman"/>
          <w:sz w:val="24"/>
        </w:rPr>
        <w:t>that</w:t>
      </w:r>
      <w:r w:rsidRPr="00700A9A">
        <w:rPr>
          <w:rFonts w:ascii="Times New Roman" w:hAnsi="Times New Roman" w:cs="Times New Roman"/>
          <w:sz w:val="24"/>
        </w:rPr>
        <w:t xml:space="preserve"> other conditions</w:t>
      </w:r>
      <w:proofErr w:type="gramEnd"/>
      <w:r w:rsidRPr="00700A9A">
        <w:rPr>
          <w:rFonts w:ascii="Times New Roman" w:hAnsi="Times New Roman" w:cs="Times New Roman"/>
          <w:sz w:val="24"/>
        </w:rPr>
        <w:t xml:space="preserve"> </w:t>
      </w:r>
      <w:r>
        <w:rPr>
          <w:rFonts w:ascii="Times New Roman" w:hAnsi="Times New Roman" w:cs="Times New Roman"/>
          <w:sz w:val="24"/>
        </w:rPr>
        <w:t>might</w:t>
      </w:r>
      <w:r w:rsidRPr="00700A9A">
        <w:rPr>
          <w:rFonts w:ascii="Times New Roman" w:hAnsi="Times New Roman" w:cs="Times New Roman"/>
          <w:sz w:val="24"/>
        </w:rPr>
        <w:t xml:space="preserve"> affect the conduct of clinical research and the determination of research results.</w:t>
      </w:r>
    </w:p>
    <w:p w14:paraId="484D3948" w14:textId="77777777" w:rsidR="005E540F" w:rsidRPr="00443DCF" w:rsidRDefault="005E540F" w:rsidP="001B6F54">
      <w:pPr>
        <w:jc w:val="left"/>
      </w:pPr>
    </w:p>
    <w:sectPr w:rsidR="005E540F" w:rsidRPr="00443D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0A5D" w14:textId="77777777" w:rsidR="00E54C0B" w:rsidRDefault="00E54C0B" w:rsidP="00443DCF">
      <w:r>
        <w:separator/>
      </w:r>
    </w:p>
  </w:endnote>
  <w:endnote w:type="continuationSeparator" w:id="0">
    <w:p w14:paraId="7514E3C1" w14:textId="77777777" w:rsidR="00E54C0B" w:rsidRDefault="00E54C0B" w:rsidP="0044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6681" w14:textId="77777777" w:rsidR="00E54C0B" w:rsidRDefault="00E54C0B" w:rsidP="00443DCF">
      <w:r>
        <w:separator/>
      </w:r>
    </w:p>
  </w:footnote>
  <w:footnote w:type="continuationSeparator" w:id="0">
    <w:p w14:paraId="7CF4AAA9" w14:textId="77777777" w:rsidR="00E54C0B" w:rsidRDefault="00E54C0B" w:rsidP="0044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C0C70"/>
    <w:multiLevelType w:val="hybridMultilevel"/>
    <w:tmpl w:val="5F92E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662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21"/>
    <w:rsid w:val="001B6F54"/>
    <w:rsid w:val="001F12E2"/>
    <w:rsid w:val="00443DCF"/>
    <w:rsid w:val="005E540F"/>
    <w:rsid w:val="00686085"/>
    <w:rsid w:val="00952F76"/>
    <w:rsid w:val="00E54C0B"/>
    <w:rsid w:val="00FD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42245"/>
  <w15:chartTrackingRefBased/>
  <w15:docId w15:val="{C6F34998-DFC1-4E53-998D-99425EB9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C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DCF"/>
    <w:rPr>
      <w:sz w:val="18"/>
      <w:szCs w:val="18"/>
    </w:rPr>
  </w:style>
  <w:style w:type="paragraph" w:styleId="a5">
    <w:name w:val="footer"/>
    <w:basedOn w:val="a"/>
    <w:link w:val="a6"/>
    <w:uiPriority w:val="99"/>
    <w:unhideWhenUsed/>
    <w:rsid w:val="00443DCF"/>
    <w:pPr>
      <w:tabs>
        <w:tab w:val="center" w:pos="4153"/>
        <w:tab w:val="right" w:pos="8306"/>
      </w:tabs>
      <w:snapToGrid w:val="0"/>
      <w:jc w:val="left"/>
    </w:pPr>
    <w:rPr>
      <w:sz w:val="18"/>
      <w:szCs w:val="18"/>
    </w:rPr>
  </w:style>
  <w:style w:type="character" w:customStyle="1" w:styleId="a6">
    <w:name w:val="页脚 字符"/>
    <w:basedOn w:val="a0"/>
    <w:link w:val="a5"/>
    <w:uiPriority w:val="99"/>
    <w:rsid w:val="00443DCF"/>
    <w:rPr>
      <w:sz w:val="18"/>
      <w:szCs w:val="18"/>
    </w:rPr>
  </w:style>
  <w:style w:type="paragraph" w:styleId="a7">
    <w:name w:val="List Paragraph"/>
    <w:basedOn w:val="a"/>
    <w:link w:val="a8"/>
    <w:uiPriority w:val="34"/>
    <w:qFormat/>
    <w:rsid w:val="00443DCF"/>
    <w:pPr>
      <w:ind w:firstLineChars="200" w:firstLine="420"/>
    </w:pPr>
  </w:style>
  <w:style w:type="character" w:customStyle="1" w:styleId="a9">
    <w:name w:val="正文文本 字符"/>
    <w:link w:val="aa"/>
    <w:uiPriority w:val="1"/>
    <w:rsid w:val="00443DCF"/>
    <w:rPr>
      <w:rFonts w:ascii="宋体" w:eastAsia="宋体" w:hAnsi="宋体"/>
      <w:sz w:val="24"/>
    </w:rPr>
  </w:style>
  <w:style w:type="paragraph" w:styleId="aa">
    <w:name w:val="Body Text"/>
    <w:basedOn w:val="a"/>
    <w:link w:val="a9"/>
    <w:uiPriority w:val="1"/>
    <w:qFormat/>
    <w:rsid w:val="00443DCF"/>
    <w:pPr>
      <w:ind w:left="680"/>
      <w:jc w:val="left"/>
    </w:pPr>
    <w:rPr>
      <w:rFonts w:ascii="宋体" w:eastAsia="宋体" w:hAnsi="宋体"/>
      <w:sz w:val="24"/>
      <w:szCs w:val="22"/>
    </w:rPr>
  </w:style>
  <w:style w:type="character" w:customStyle="1" w:styleId="Char1">
    <w:name w:val="正文文本 Char1"/>
    <w:basedOn w:val="a0"/>
    <w:uiPriority w:val="99"/>
    <w:semiHidden/>
    <w:rsid w:val="00443DCF"/>
    <w:rPr>
      <w:szCs w:val="24"/>
    </w:rPr>
  </w:style>
  <w:style w:type="character" w:customStyle="1" w:styleId="a8">
    <w:name w:val="列表段落 字符"/>
    <w:basedOn w:val="a0"/>
    <w:link w:val="a7"/>
    <w:uiPriority w:val="34"/>
    <w:rsid w:val="00443DC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MedSci-HX</cp:lastModifiedBy>
  <cp:revision>4</cp:revision>
  <dcterms:created xsi:type="dcterms:W3CDTF">2022-04-28T02:22:00Z</dcterms:created>
  <dcterms:modified xsi:type="dcterms:W3CDTF">2022-06-10T07:43:00Z</dcterms:modified>
</cp:coreProperties>
</file>