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等线" w:cs="Times New Roman"/>
          <w:b/>
          <w:color w:val="000000" w:themeColor="text1"/>
          <w:sz w:val="28"/>
          <w:szCs w:val="28"/>
        </w:rPr>
      </w:pPr>
    </w:p>
    <w:p>
      <w:pPr>
        <w:jc w:val="center"/>
        <w:rPr>
          <w:rFonts w:eastAsia="等线" w:cs="Times New Roman"/>
          <w:b/>
          <w:color w:val="000000" w:themeColor="text1"/>
        </w:rPr>
      </w:pPr>
      <w:r>
        <w:rPr>
          <w:rFonts w:eastAsia="等线" w:cs="Times New Roman"/>
          <w:b/>
          <w:color w:val="000000" w:themeColor="text1"/>
          <w:sz w:val="28"/>
          <w:szCs w:val="28"/>
        </w:rPr>
        <w:t>Supplementary Materials</w:t>
      </w:r>
    </w:p>
    <w:p>
      <w:pPr>
        <w:spacing w:before="100" w:beforeAutospacing="1" w:after="100" w:afterAutospacing="1" w:line="480" w:lineRule="auto"/>
        <w:jc w:val="center"/>
        <w:rPr>
          <w:rFonts w:eastAsia="等线" w:cs="Times New Roman"/>
          <w:b/>
          <w:color w:val="000000" w:themeColor="text1"/>
        </w:rPr>
      </w:pPr>
      <w:r>
        <w:rPr>
          <w:rFonts w:hint="eastAsia" w:eastAsia="等线" w:cs="Times New Roman"/>
          <w:b/>
          <w:color w:val="000000" w:themeColor="text1"/>
        </w:rPr>
        <w:t>Table S1. The head motion between groups</w:t>
      </w:r>
    </w:p>
    <w:tbl>
      <w:tblPr>
        <w:tblStyle w:val="21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12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</w:p>
        </w:tc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  <w:t>Control Group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  <w:t>0.5h Group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  <w:t>1h Group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  <w:t>P-value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  <w:t>FD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sz w:val="18"/>
                <w:szCs w:val="18"/>
              </w:rPr>
              <w:t>0.074(0.055,0.147)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sz w:val="18"/>
                <w:szCs w:val="18"/>
              </w:rPr>
              <w:t>0.079(0.062,0.126)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sz w:val="18"/>
                <w:szCs w:val="18"/>
              </w:rPr>
              <w:t>0.089(0.050,0.123)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sz w:val="18"/>
                <w:szCs w:val="18"/>
              </w:rPr>
              <w:t>0.247</w:t>
            </w:r>
          </w:p>
        </w:tc>
      </w:tr>
    </w:tbl>
    <w:p>
      <w:pPr>
        <w:rPr>
          <w:rFonts w:cs="Times New Roman"/>
        </w:rPr>
      </w:pPr>
      <w:r>
        <w:rPr>
          <w:rFonts w:cs="Times New Roman"/>
        </w:rPr>
        <w:t>Continuous variables were expressed as median and interquartile ranges. Continuous parameters</w:t>
      </w:r>
      <w:r>
        <w:rPr>
          <w:rFonts w:hint="eastAsia" w:cs="Times New Roman"/>
        </w:rPr>
        <w:t xml:space="preserve"> </w:t>
      </w:r>
      <w:r>
        <w:rPr>
          <w:rFonts w:cs="Times New Roman"/>
        </w:rPr>
        <w:t>were checked for the normality of distribution using the Shapiro-Wilk test and compared using the Friedman test. A value of P&lt;0.05 was considered statistically significant. Abbreviation: FD, frame-wise displacement.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spacing w:before="100" w:beforeAutospacing="1" w:after="100" w:afterAutospacing="1" w:line="480" w:lineRule="auto"/>
        <w:jc w:val="center"/>
        <w:rPr>
          <w:rFonts w:eastAsia="等线" w:cs="Times New Roman"/>
          <w:b/>
          <w:color w:val="000000" w:themeColor="text1"/>
          <w:sz w:val="28"/>
          <w:szCs w:val="28"/>
        </w:rPr>
      </w:pPr>
      <w:r>
        <w:rPr>
          <w:rFonts w:eastAsia="等线" w:cs="Times New Roman"/>
          <w:b/>
          <w:color w:val="000000" w:themeColor="text1"/>
        </w:rPr>
        <w:t>Table S</w:t>
      </w:r>
      <w:r>
        <w:rPr>
          <w:rFonts w:hint="eastAsia" w:eastAsia="等线" w:cs="Times New Roman"/>
          <w:b/>
          <w:color w:val="000000" w:themeColor="text1"/>
        </w:rPr>
        <w:t>2</w:t>
      </w:r>
      <w:r>
        <w:rPr>
          <w:rFonts w:eastAsia="等线" w:cs="Times New Roman"/>
          <w:b/>
          <w:color w:val="000000" w:themeColor="text1"/>
        </w:rPr>
        <w:t>. Peak activations and coordinates of the ICN spatial maps.</w:t>
      </w:r>
    </w:p>
    <w:tbl>
      <w:tblPr>
        <w:tblStyle w:val="21"/>
        <w:tblpPr w:leftFromText="180" w:rightFromText="180" w:vertAnchor="text" w:horzAnchor="page" w:tblpXSpec="center" w:tblpY="608"/>
        <w:tblOverlap w:val="never"/>
        <w:tblW w:w="7820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3942"/>
        <w:gridCol w:w="907"/>
        <w:gridCol w:w="968"/>
        <w:gridCol w:w="113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73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b/>
              </w:rPr>
            </w:pPr>
            <w:r>
              <w:rPr>
                <w:rFonts w:ascii="Times New Roman" w:hAnsi="Times New Roman" w:eastAsia="宋体" w:cs="Times New Roman"/>
                <w:b/>
              </w:rPr>
              <w:t>Number</w:t>
            </w:r>
          </w:p>
        </w:tc>
        <w:tc>
          <w:tcPr>
            <w:tcW w:w="3942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ICNs</w:t>
            </w:r>
          </w:p>
        </w:tc>
        <w:tc>
          <w:tcPr>
            <w:tcW w:w="907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968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</w:t>
            </w:r>
          </w:p>
        </w:tc>
        <w:tc>
          <w:tcPr>
            <w:tcW w:w="1130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rPr>
                <w:rFonts w:eastAsia="Arial" w:cs="Times New Roman" w:asciiTheme="majorHAnsi" w:hAnsiTheme="majorHAnsi"/>
                <w:b/>
                <w:sz w:val="18"/>
                <w:szCs w:val="20"/>
              </w:rPr>
            </w:pPr>
          </w:p>
        </w:tc>
        <w:tc>
          <w:tcPr>
            <w:tcW w:w="6947" w:type="dxa"/>
            <w:gridSpan w:val="4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rPr>
                <w:rFonts w:cs="Times New Roman" w:asciiTheme="majorHAnsi" w:hAnsiTheme="majorHAnsi"/>
                <w:b/>
              </w:rPr>
            </w:pPr>
            <w:r>
              <w:rPr>
                <w:rFonts w:eastAsia="Arial" w:cs="Times New Roman" w:asciiTheme="majorHAnsi" w:hAnsiTheme="majorHAnsi"/>
                <w:b/>
                <w:sz w:val="18"/>
                <w:szCs w:val="20"/>
              </w:rPr>
              <w:t>Basal ganglia network （4）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1</w:t>
            </w:r>
          </w:p>
        </w:tc>
        <w:tc>
          <w:tcPr>
            <w:tcW w:w="3942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Subthalamus/hypothalamus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2.5</w:t>
            </w:r>
          </w:p>
        </w:tc>
        <w:tc>
          <w:tcPr>
            <w:tcW w:w="968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-17.5</w:t>
            </w:r>
          </w:p>
        </w:tc>
        <w:tc>
          <w:tcPr>
            <w:tcW w:w="1130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-14.5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2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Caudate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58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20.5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eastAsia="宋体" w:cs="Times New Roman"/>
              </w:rPr>
              <w:t>5.5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12.5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bookmarkStart w:id="0" w:name="OLE_LINK1"/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Putamen</w:t>
            </w:r>
            <w:bookmarkEnd w:id="0"/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99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20.5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15.5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4</w:t>
            </w:r>
          </w:p>
        </w:tc>
        <w:tc>
          <w:tcPr>
            <w:tcW w:w="3942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Putamen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100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-26.5</w:t>
            </w:r>
          </w:p>
        </w:tc>
        <w:tc>
          <w:tcPr>
            <w:tcW w:w="968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2.5</w:t>
            </w:r>
          </w:p>
        </w:tc>
        <w:tc>
          <w:tcPr>
            <w:tcW w:w="1130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-5.5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7" w:type="dxa"/>
            <w:gridSpan w:val="4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Auditory domain (AUD)（1）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5</w:t>
            </w:r>
          </w:p>
        </w:tc>
        <w:tc>
          <w:tcPr>
            <w:tcW w:w="3942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Superior temporal gyrus ([STG],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15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62.5</w:t>
            </w:r>
          </w:p>
        </w:tc>
        <w:tc>
          <w:tcPr>
            <w:tcW w:w="968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20.5</w:t>
            </w:r>
          </w:p>
        </w:tc>
        <w:tc>
          <w:tcPr>
            <w:tcW w:w="1130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7" w:type="dxa"/>
            <w:gridSpan w:val="4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Sensorimotor domain (SM)（9）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bookmarkStart w:id="1" w:name="OLE_LINK4"/>
            <w:r>
              <w:rPr>
                <w:rFonts w:ascii="Times New Roman" w:hAnsi="Times New Roman" w:eastAsia="宋体" w:cs="Times New Roman"/>
                <w:color w:val="000000" w:themeColor="text1"/>
              </w:rPr>
              <w:t>6</w:t>
            </w:r>
          </w:p>
        </w:tc>
        <w:tc>
          <w:tcPr>
            <w:tcW w:w="3942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Postcentral gyrus ([PoCG],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bookmarkEnd w:id="1"/>
          </w:p>
        </w:tc>
        <w:tc>
          <w:tcPr>
            <w:tcW w:w="907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-54.5</w:t>
            </w:r>
          </w:p>
        </w:tc>
        <w:tc>
          <w:tcPr>
            <w:tcW w:w="968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-11.5</w:t>
            </w:r>
          </w:p>
        </w:tc>
        <w:tc>
          <w:tcPr>
            <w:tcW w:w="1130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32.5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7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Paracentral lobule ([ParaCL],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6.5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36.5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66.5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8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Right postcentral gyrus ([R PoCG],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41.5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27.5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bookmarkStart w:id="2" w:name="OLE_LINK2"/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eastAsia="宋体" w:cs="Times New Roman"/>
              </w:rPr>
              <w:t>9.5</w:t>
            </w:r>
            <w:bookmarkEnd w:id="2"/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9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Left postcentral gyrus ([L PoCG],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-41.5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27.5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eastAsia="宋体" w:cs="Times New Roman"/>
              </w:rPr>
              <w:t>9.5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10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Postcentral gyrus ([PoCG],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44.5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8.5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48.5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11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Right postcentral gyrus ([R PoCG],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31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53.5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30.5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12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Superior parietal lobule ([SPL],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42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-20.5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54.5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63.5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13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Postcentral gyrus ([P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CG],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50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57.5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-27.5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24.5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14</w:t>
            </w:r>
          </w:p>
        </w:tc>
        <w:tc>
          <w:tcPr>
            <w:tcW w:w="3942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Left postcentral gyrus ([L PoCG],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70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-44.5</w:t>
            </w:r>
          </w:p>
        </w:tc>
        <w:tc>
          <w:tcPr>
            <w:tcW w:w="968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36.5</w:t>
            </w:r>
          </w:p>
        </w:tc>
        <w:tc>
          <w:tcPr>
            <w:tcW w:w="1130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38.5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bottom w:val="single" w:color="000000" w:sz="8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7" w:type="dxa"/>
            <w:gridSpan w:val="4"/>
            <w:tcBorders>
              <w:top w:val="single" w:color="000000" w:sz="12" w:space="0"/>
              <w:bottom w:val="single" w:color="000000" w:sz="8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Visual domain (VS)（8）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73" w:type="dxa"/>
            <w:tcBorders>
              <w:top w:val="single" w:color="000000" w:sz="8" w:space="0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15</w:t>
            </w:r>
          </w:p>
        </w:tc>
        <w:tc>
          <w:tcPr>
            <w:tcW w:w="3942" w:type="dxa"/>
            <w:tcBorders>
              <w:top w:val="single" w:color="000000" w:sz="8" w:space="0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 xml:space="preserve">Right fusiform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op w:val="single" w:color="000000" w:sz="8" w:space="0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32.5</w:t>
            </w:r>
          </w:p>
        </w:tc>
        <w:tc>
          <w:tcPr>
            <w:tcW w:w="968" w:type="dxa"/>
            <w:tcBorders>
              <w:top w:val="single" w:color="000000" w:sz="8" w:space="0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-77.5</w:t>
            </w:r>
          </w:p>
        </w:tc>
        <w:tc>
          <w:tcPr>
            <w:tcW w:w="1130" w:type="dxa"/>
            <w:tcBorders>
              <w:top w:val="single" w:color="000000" w:sz="8" w:space="0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-9.5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73" w:type="dxa"/>
            <w:tcBorders>
              <w:top w:val="nil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6</w:t>
            </w:r>
          </w:p>
        </w:tc>
        <w:tc>
          <w:tcPr>
            <w:tcW w:w="3942" w:type="dxa"/>
            <w:tcBorders>
              <w:top w:val="nil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4F81BD" w:themeColor="accen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Cuneus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35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8.5</w:t>
            </w:r>
          </w:p>
        </w:tc>
        <w:tc>
          <w:tcPr>
            <w:tcW w:w="968" w:type="dxa"/>
            <w:tcBorders>
              <w:top w:val="nil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87.5</w:t>
            </w:r>
          </w:p>
        </w:tc>
        <w:tc>
          <w:tcPr>
            <w:tcW w:w="1130" w:type="dxa"/>
            <w:tcBorders>
              <w:top w:val="nil"/>
              <w:bottom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op w:val="nil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hint="eastAsia" w:ascii="Times New Roman" w:hAnsi="Times New Roman" w:eastAsia="宋体" w:cs="Times New Roman"/>
              </w:rPr>
              <w:t>7</w:t>
            </w:r>
          </w:p>
        </w:tc>
        <w:tc>
          <w:tcPr>
            <w:tcW w:w="3942" w:type="dxa"/>
            <w:tcBorders>
              <w:top w:val="nil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4F81BD" w:themeColor="accent1"/>
              </w:rPr>
            </w:pPr>
            <w:r>
              <w:rPr>
                <w:rFonts w:ascii="Times New Roman" w:hAnsi="Times New Roman" w:cs="Times New Roman"/>
              </w:rPr>
              <w:t>Superior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occipital gyrus ([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OG],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41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op w:val="nil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-20.5</w:t>
            </w:r>
          </w:p>
        </w:tc>
        <w:tc>
          <w:tcPr>
            <w:tcW w:w="968" w:type="dxa"/>
            <w:tcBorders>
              <w:top w:val="nil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-72.5</w:t>
            </w:r>
          </w:p>
        </w:tc>
        <w:tc>
          <w:tcPr>
            <w:tcW w:w="1130" w:type="dxa"/>
            <w:tcBorders>
              <w:top w:val="nil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59.5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8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4F81BD" w:themeColor="accen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Cuneus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54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11.5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84.5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</w:t>
            </w:r>
            <w:r>
              <w:rPr>
                <w:rFonts w:hint="eastAsia" w:ascii="Times New Roman" w:hAnsi="Times New Roman" w:eastAsia="宋体" w:cs="Times New Roman"/>
              </w:rPr>
              <w:t>9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4F81BD" w:themeColor="accent1"/>
              </w:rPr>
            </w:pPr>
            <w:r>
              <w:rPr>
                <w:rFonts w:ascii="Times New Roman" w:hAnsi="Times New Roman" w:cs="Times New Roman"/>
              </w:rPr>
              <w:t xml:space="preserve">Calcarine gyrus ([CalcarineG], </w:t>
            </w:r>
            <w:r>
              <w:rPr>
                <w:rFonts w:ascii="Times New Roman" w:hAnsi="Times New Roman" w:eastAsia="宋体" w:cs="Times New Roman"/>
              </w:rPr>
              <w:t>61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-17.5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62.5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9.5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20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4F81BD" w:themeColor="accent1"/>
              </w:rPr>
            </w:pPr>
            <w:r>
              <w:rPr>
                <w:rFonts w:ascii="Times New Roman" w:hAnsi="Times New Roman" w:cs="Times New Roman"/>
              </w:rPr>
              <w:t xml:space="preserve">Middle occipital gyrus ([MOG], </w:t>
            </w:r>
            <w:r>
              <w:rPr>
                <w:rFonts w:ascii="Times New Roman" w:hAnsi="Times New Roman" w:eastAsia="宋体" w:cs="Times New Roman"/>
              </w:rPr>
              <w:t>63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-29.5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-92.5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-6.5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</w:t>
            </w:r>
            <w:r>
              <w:rPr>
                <w:rFonts w:hint="eastAsia" w:ascii="Times New Roman" w:hAnsi="Times New Roman" w:eastAsia="宋体" w:cs="Times New Roman"/>
              </w:rPr>
              <w:t>1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4F81BD" w:themeColor="accent1"/>
              </w:rPr>
            </w:pPr>
            <w:r>
              <w:rPr>
                <w:rFonts w:ascii="Times New Roman" w:hAnsi="Times New Roman" w:cs="Times New Roman"/>
              </w:rPr>
              <w:t xml:space="preserve">Lingual gyrus ([LingualG], </w:t>
            </w:r>
            <w:r>
              <w:rPr>
                <w:rFonts w:ascii="Times New Roman" w:hAnsi="Times New Roman" w:eastAsia="宋体" w:cs="Times New Roman"/>
              </w:rPr>
              <w:t>73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-27.5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-71.5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</w:t>
            </w:r>
            <w:r>
              <w:rPr>
                <w:rFonts w:hint="eastAsia" w:ascii="Times New Roman" w:hAnsi="Times New Roman" w:eastAsia="宋体" w:cs="Times New Roman"/>
              </w:rPr>
              <w:t>2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4F81BD" w:themeColor="accent1"/>
              </w:rPr>
            </w:pPr>
            <w:r>
              <w:rPr>
                <w:rFonts w:ascii="Times New Roman" w:hAnsi="Times New Roman" w:cs="Times New Roman"/>
              </w:rPr>
              <w:t xml:space="preserve">Lingual gyrus ([LingualG], </w:t>
            </w:r>
            <w:r>
              <w:rPr>
                <w:rFonts w:ascii="Times New Roman" w:hAnsi="Times New Roman" w:eastAsia="宋体" w:cs="Times New Roman"/>
              </w:rPr>
              <w:t>78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-15.5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-54.5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12.5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12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hint="eastAsia" w:ascii="Times New Roman" w:hAnsi="Times New Roman" w:eastAsia="宋体" w:cs="Times New Roman"/>
              </w:rPr>
              <w:t>3</w:t>
            </w:r>
          </w:p>
        </w:tc>
        <w:tc>
          <w:tcPr>
            <w:tcW w:w="3942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120" w:lineRule="auto"/>
              <w:jc w:val="left"/>
              <w:rPr>
                <w:rFonts w:ascii="Times New Roman" w:hAnsi="Times New Roman" w:cs="Times New Roman"/>
                <w:color w:val="4F81BD" w:themeColor="accent1"/>
              </w:rPr>
            </w:pPr>
            <w:r>
              <w:rPr>
                <w:rFonts w:ascii="Times New Roman" w:hAnsi="Times New Roman" w:cs="Times New Roman"/>
              </w:rPr>
              <w:t>Superior occipital gyrus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([SOG], 86)  </w:t>
            </w:r>
          </w:p>
        </w:tc>
        <w:tc>
          <w:tcPr>
            <w:tcW w:w="907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12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33.5</w:t>
            </w:r>
          </w:p>
        </w:tc>
        <w:tc>
          <w:tcPr>
            <w:tcW w:w="968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12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-74.5</w:t>
            </w:r>
          </w:p>
        </w:tc>
        <w:tc>
          <w:tcPr>
            <w:tcW w:w="1130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12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17.5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7" w:type="dxa"/>
            <w:gridSpan w:val="4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Cognitive-control domain (CC)（15）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4</w:t>
            </w:r>
          </w:p>
        </w:tc>
        <w:tc>
          <w:tcPr>
            <w:tcW w:w="3942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</w:rPr>
              <w:t>Insula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19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32.5</w:t>
            </w:r>
          </w:p>
        </w:tc>
        <w:tc>
          <w:tcPr>
            <w:tcW w:w="968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27.5</w:t>
            </w:r>
          </w:p>
        </w:tc>
        <w:tc>
          <w:tcPr>
            <w:tcW w:w="1130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5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</w:rPr>
              <w:t>Insula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22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41.5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-5.5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11.5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6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Middle frontal gyrus ([MiFG],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26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-29.5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57.5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12.5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eastAsia="宋体" w:cs="Times New Roman" w:asciiTheme="majorHAnsi" w:hAnsiTheme="majorHAnsi"/>
                <w:color w:val="000000" w:themeColor="text1"/>
                <w:sz w:val="18"/>
                <w:szCs w:val="20"/>
              </w:rPr>
            </w:pPr>
            <w:r>
              <w:rPr>
                <w:rFonts w:eastAsia="Arial" w:cs="Times New Roman" w:asciiTheme="majorHAnsi" w:hAnsiTheme="majorHAnsi"/>
                <w:color w:val="000000" w:themeColor="text1"/>
                <w:sz w:val="18"/>
                <w:szCs w:val="20"/>
              </w:rPr>
              <w:t>2</w:t>
            </w:r>
            <w:r>
              <w:rPr>
                <w:rFonts w:hint="eastAsia" w:eastAsia="宋体" w:cs="Times New Roman" w:asciiTheme="majorHAnsi" w:hAnsiTheme="majorHAnsi"/>
                <w:color w:val="000000" w:themeColor="text1"/>
                <w:sz w:val="18"/>
                <w:szCs w:val="20"/>
              </w:rPr>
              <w:t>7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cs="Times New Roman" w:asciiTheme="majorHAnsi" w:hAnsiTheme="majorHAnsi"/>
              </w:rPr>
            </w:pPr>
            <w:r>
              <w:rPr>
                <w:rFonts w:eastAsia="Arial" w:cs="Times New Roman" w:asciiTheme="majorHAnsi" w:hAnsiTheme="majorHAnsi"/>
                <w:color w:val="000000" w:themeColor="text1"/>
                <w:sz w:val="18"/>
                <w:szCs w:val="20"/>
              </w:rPr>
              <w:t>Bi supplementary motor area (30)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12.5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-11.5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47.5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8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</w:rPr>
              <w:t>Insula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33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44.5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-8.5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8.5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9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Inferior frontal gyrus ([IFG],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64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 xml:space="preserve"> 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36.5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42.5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-3.5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30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Right inferior parietal lobule([R IPL], 67) 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42.5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-69.5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44.5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1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Middle frontal gyrus ([MiFG],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77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-23.5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39.5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21.5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2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Right inferior frontal gyrus ([R IFG],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82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51.5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23.5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23.5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3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Inferior frontal gyrus ([IFG],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85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51.5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18.5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4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Superior frontal gyrus ([SFG],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88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17.5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54.5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5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Supplementary motor area([SMA],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89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-6.5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0.5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66.5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6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 xml:space="preserve">Left </w:t>
            </w:r>
            <w:r>
              <w:rPr>
                <w:rFonts w:ascii="Times New Roman" w:hAnsi="Times New Roman" w:cs="Times New Roman"/>
                <w:color w:val="000000" w:themeColor="text1"/>
              </w:rPr>
              <w:t>inferior frontal gyrus ([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IFG],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90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-44.5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29.5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7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Middle cingulate cortex ([MCC], 93)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-3.5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6.5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33.5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873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8</w:t>
            </w:r>
          </w:p>
        </w:tc>
        <w:tc>
          <w:tcPr>
            <w:tcW w:w="3942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Middle cingulate cortex ([MCC], 97)</w:t>
            </w:r>
          </w:p>
        </w:tc>
        <w:tc>
          <w:tcPr>
            <w:tcW w:w="907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8.5</w:t>
            </w:r>
          </w:p>
        </w:tc>
        <w:tc>
          <w:tcPr>
            <w:tcW w:w="968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26.5</w:t>
            </w:r>
          </w:p>
        </w:tc>
        <w:tc>
          <w:tcPr>
            <w:tcW w:w="1130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44.5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7" w:type="dxa"/>
            <w:gridSpan w:val="4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Default-mode domain (DM)（8）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9</w:t>
            </w:r>
          </w:p>
        </w:tc>
        <w:tc>
          <w:tcPr>
            <w:tcW w:w="3942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Posterior cingulate cortex ([PCC],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2.5</w:t>
            </w:r>
          </w:p>
        </w:tc>
        <w:tc>
          <w:tcPr>
            <w:tcW w:w="968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26.5</w:t>
            </w:r>
          </w:p>
        </w:tc>
        <w:tc>
          <w:tcPr>
            <w:tcW w:w="1130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23.5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40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Anterior cingulate cortex ([ACC],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21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0.5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41.5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11.5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1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Posterior cingulate cortex ([PCC],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29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2.5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-62.5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26.5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eastAsia="宋体" w:cs="Times New Roman" w:asciiTheme="majorHAnsi" w:hAnsiTheme="majorHAnsi"/>
                <w:color w:val="000000" w:themeColor="text1"/>
                <w:sz w:val="18"/>
                <w:szCs w:val="20"/>
              </w:rPr>
            </w:pPr>
            <w:r>
              <w:rPr>
                <w:rFonts w:eastAsia="Arial" w:cs="Times New Roman" w:asciiTheme="majorHAnsi" w:hAnsiTheme="majorHAnsi"/>
                <w:color w:val="000000" w:themeColor="text1"/>
                <w:sz w:val="18"/>
                <w:szCs w:val="20"/>
              </w:rPr>
              <w:t>4</w:t>
            </w:r>
            <w:r>
              <w:rPr>
                <w:rFonts w:hint="eastAsia" w:eastAsia="宋体" w:cs="Times New Roman" w:asciiTheme="majorHAnsi" w:hAnsiTheme="majorHAnsi"/>
                <w:color w:val="000000" w:themeColor="text1"/>
                <w:sz w:val="18"/>
                <w:szCs w:val="20"/>
              </w:rPr>
              <w:t>2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eastAsia="Arial" w:cs="Times New Roman" w:asciiTheme="majorHAnsi" w:hAnsiTheme="majorHAnsi"/>
                <w:color w:val="000000" w:themeColor="text1"/>
                <w:sz w:val="18"/>
                <w:szCs w:val="20"/>
              </w:rPr>
            </w:pPr>
            <w:r>
              <w:rPr>
                <w:rFonts w:ascii="Times New Roman" w:hAnsi="Times New Roman" w:eastAsia="Arial" w:cs="Times New Roman"/>
                <w:color w:val="000000" w:themeColor="text1"/>
                <w:sz w:val="18"/>
                <w:szCs w:val="22"/>
                <w:lang w:val="en-US" w:eastAsia="zh-CN" w:bidi="ar-SA"/>
              </w:rPr>
              <w:t>Bi Medial superior frontal ( 49)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5.5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50.5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29.5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</w:t>
            </w:r>
            <w:r>
              <w:rPr>
                <w:rFonts w:hint="eastAsia" w:ascii="Times New Roman" w:hAnsi="Times New Roman" w:eastAsia="宋体" w:cs="Times New Roman"/>
              </w:rPr>
              <w:t>3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Precuneus</w:t>
            </w:r>
            <w:r>
              <w:rPr>
                <w:rFonts w:ascii="Times New Roman" w:hAnsi="Times New Roman" w:eastAsia="宋体" w:cs="Times New Roman"/>
              </w:rPr>
              <w:t>+Cuneus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55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-69.5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56.5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</w:rPr>
            </w:pPr>
            <w:bookmarkStart w:id="3" w:name="OLE_LINK5"/>
            <w:r>
              <w:rPr>
                <w:rFonts w:ascii="Times New Roman" w:hAnsi="Times New Roman" w:eastAsia="宋体" w:cs="Times New Roman"/>
              </w:rPr>
              <w:t>4</w:t>
            </w:r>
            <w:r>
              <w:rPr>
                <w:rFonts w:hint="eastAsia" w:ascii="Times New Roman" w:hAnsi="Times New Roman" w:eastAsia="宋体" w:cs="Times New Roman"/>
              </w:rPr>
              <w:t>4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</w:rPr>
              <w:t xml:space="preserve">Left Angular gyrus </w:t>
            </w:r>
            <w:r>
              <w:rPr>
                <w:rFonts w:ascii="Times New Roman" w:hAnsi="Times New Roman" w:cs="Times New Roman"/>
              </w:rPr>
              <w:t>([</w:t>
            </w:r>
            <w:r>
              <w:rPr>
                <w:rFonts w:ascii="Times New Roman" w:hAnsi="Times New Roman" w:eastAsia="宋体" w:cs="Times New Roman"/>
              </w:rPr>
              <w:t>LAG</w:t>
            </w:r>
            <w:r>
              <w:rPr>
                <w:rFonts w:ascii="Times New Roman" w:hAnsi="Times New Roman" w:cs="Times New Roman"/>
              </w:rPr>
              <w:t xml:space="preserve">], </w:t>
            </w:r>
            <w:r>
              <w:rPr>
                <w:rFonts w:ascii="Times New Roman" w:hAnsi="Times New Roman" w:eastAsia="宋体" w:cs="Times New Roman"/>
              </w:rPr>
              <w:t>60</w:t>
            </w:r>
            <w:r>
              <w:rPr>
                <w:rFonts w:ascii="Times New Roman" w:hAnsi="Times New Roman" w:cs="Times New Roman"/>
              </w:rPr>
              <w:t>)</w:t>
            </w:r>
            <w:bookmarkEnd w:id="3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47.5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-62.5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27.5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73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5</w:t>
            </w:r>
          </w:p>
        </w:tc>
        <w:tc>
          <w:tcPr>
            <w:tcW w:w="3942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Precuneus (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76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-14.5</w:t>
            </w:r>
          </w:p>
        </w:tc>
        <w:tc>
          <w:tcPr>
            <w:tcW w:w="968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-53.5</w:t>
            </w:r>
          </w:p>
        </w:tc>
        <w:tc>
          <w:tcPr>
            <w:tcW w:w="1130" w:type="dxa"/>
            <w:tcBorders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51.5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873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</w:pPr>
            <w:bookmarkStart w:id="4" w:name="OLE_LINK3"/>
            <w:r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  <w:t>4</w:t>
            </w:r>
            <w:r>
              <w:rPr>
                <w:rFonts w:hint="eastAsia" w:ascii="Times New Roman" w:hAnsi="Times New Roman" w:eastAsia="宋体" w:cs="Times New Roman"/>
                <w:sz w:val="18"/>
                <w:szCs w:val="22"/>
                <w:lang w:val="en-US" w:eastAsia="zh-CN" w:bidi="ar-SA"/>
              </w:rPr>
              <w:t>6</w:t>
            </w:r>
          </w:p>
        </w:tc>
        <w:tc>
          <w:tcPr>
            <w:tcW w:w="3942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  <w:t>Right</w:t>
            </w:r>
            <w:bookmarkEnd w:id="4"/>
            <w:r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  <w:t xml:space="preserve"> Angular gyrus+Right superior frontal gyrus (80)</w:t>
            </w:r>
          </w:p>
        </w:tc>
        <w:tc>
          <w:tcPr>
            <w:tcW w:w="907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  <w:t>21.5</w:t>
            </w:r>
          </w:p>
        </w:tc>
        <w:tc>
          <w:tcPr>
            <w:tcW w:w="968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  <w:t>48.5</w:t>
            </w:r>
          </w:p>
        </w:tc>
        <w:tc>
          <w:tcPr>
            <w:tcW w:w="1130" w:type="dxa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sz w:val="18"/>
                <w:szCs w:val="22"/>
                <w:lang w:val="en-US" w:eastAsia="zh-CN" w:bidi="ar-SA"/>
              </w:rPr>
              <w:t>23.5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73" w:type="dxa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47" w:type="dxa"/>
            <w:gridSpan w:val="4"/>
            <w:tcBorders>
              <w:top w:val="single" w:color="000000" w:sz="12" w:space="0"/>
              <w:bottom w:val="single" w:color="000000" w:sz="12" w:space="0"/>
              <w:tl2br w:val="nil"/>
              <w:tr2bl w:val="nil"/>
            </w:tcBorders>
            <w:shd w:val="clear" w:color="auto" w:fill="DDD9C4" w:themeFill="background2" w:themeFillShade="E6"/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Cerebellar domain (CB)（1）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873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eastAsia="宋体" w:cs="Times New Roman"/>
                <w:color w:val="000000" w:themeColor="text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</w:rPr>
              <w:t>7</w:t>
            </w:r>
          </w:p>
        </w:tc>
        <w:tc>
          <w:tcPr>
            <w:tcW w:w="3942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Cerebellum ([CB], </w:t>
            </w:r>
            <w:r>
              <w:rPr>
                <w:rFonts w:ascii="Times New Roman" w:hAnsi="Times New Roman" w:eastAsia="宋体" w:cs="Times New Roman"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907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21.5</w:t>
            </w:r>
          </w:p>
        </w:tc>
        <w:tc>
          <w:tcPr>
            <w:tcW w:w="968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71.5</w:t>
            </w:r>
          </w:p>
        </w:tc>
        <w:tc>
          <w:tcPr>
            <w:tcW w:w="1130" w:type="dxa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pStyle w:val="53"/>
              <w:spacing w:after="0" w:line="240" w:lineRule="auto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eastAsia="宋体" w:cs="Times New Roman"/>
              </w:rPr>
              <w:t>38.5</w:t>
            </w:r>
          </w:p>
        </w:tc>
      </w:tr>
    </w:tbl>
    <w:p>
      <w:pPr>
        <w:rPr>
          <w:szCs w:val="21"/>
        </w:rPr>
      </w:pPr>
      <w:bookmarkStart w:id="8" w:name="_GoBack"/>
      <w:bookmarkEnd w:id="8"/>
    </w:p>
    <w:p>
      <w:pPr>
        <w:rPr>
          <w:szCs w:val="21"/>
        </w:rPr>
      </w:pPr>
    </w:p>
    <w:p>
      <w:pPr>
        <w:spacing w:before="100" w:beforeAutospacing="1" w:after="100" w:afterAutospacing="1" w:line="480" w:lineRule="auto"/>
        <w:jc w:val="both"/>
        <w:rPr>
          <w:rFonts w:eastAsia="等线" w:cs="Times New Roman"/>
          <w:b/>
          <w:color w:val="000000" w:themeColor="text1"/>
        </w:rPr>
      </w:pPr>
    </w:p>
    <w:p>
      <w:pPr>
        <w:spacing w:before="100" w:beforeAutospacing="1" w:after="100" w:afterAutospacing="1" w:line="480" w:lineRule="auto"/>
        <w:jc w:val="both"/>
        <w:rPr>
          <w:rFonts w:eastAsia="等线" w:cs="Times New Roman"/>
          <w:b/>
          <w:color w:val="000000" w:themeColor="text1"/>
        </w:rPr>
      </w:pPr>
    </w:p>
    <w:p>
      <w:pPr>
        <w:spacing w:before="100" w:beforeAutospacing="1" w:after="100" w:afterAutospacing="1" w:line="480" w:lineRule="auto"/>
        <w:jc w:val="both"/>
        <w:rPr>
          <w:rFonts w:eastAsia="等线" w:cs="Times New Roman"/>
          <w:b/>
          <w:color w:val="000000" w:themeColor="text1"/>
        </w:rPr>
      </w:pPr>
    </w:p>
    <w:p>
      <w:pPr>
        <w:spacing w:before="100" w:beforeAutospacing="1" w:after="100" w:afterAutospacing="1" w:line="480" w:lineRule="auto"/>
        <w:jc w:val="both"/>
        <w:rPr>
          <w:rFonts w:eastAsia="等线" w:cs="Times New Roman"/>
          <w:b/>
          <w:color w:val="000000" w:themeColor="text1"/>
        </w:rPr>
      </w:pPr>
    </w:p>
    <w:p>
      <w:pPr>
        <w:spacing w:before="100" w:beforeAutospacing="1" w:after="100" w:afterAutospacing="1" w:line="480" w:lineRule="auto"/>
        <w:jc w:val="center"/>
        <w:rPr>
          <w:rFonts w:eastAsia="等线" w:cs="Times New Roman"/>
          <w:b/>
          <w:color w:val="000000" w:themeColor="text1"/>
          <w:sz w:val="28"/>
          <w:szCs w:val="28"/>
        </w:rPr>
      </w:pPr>
      <w:bookmarkStart w:id="5" w:name="OLE_LINK6"/>
      <w:r>
        <w:rPr>
          <w:rFonts w:eastAsia="等线" w:cs="Times New Roman"/>
          <w:b/>
          <w:color w:val="000000" w:themeColor="text1"/>
        </w:rPr>
        <w:t>Table S</w:t>
      </w:r>
      <w:r>
        <w:rPr>
          <w:rFonts w:hint="eastAsia" w:eastAsia="等线" w:cs="Times New Roman"/>
          <w:b/>
          <w:color w:val="000000" w:themeColor="text1"/>
        </w:rPr>
        <w:t>3</w:t>
      </w:r>
      <w:r>
        <w:rPr>
          <w:rFonts w:eastAsia="等线" w:cs="Times New Roman"/>
          <w:b/>
          <w:color w:val="000000" w:themeColor="text1"/>
        </w:rPr>
        <w:t xml:space="preserve">. </w:t>
      </w:r>
      <w:r>
        <w:rPr>
          <w:rFonts w:hint="eastAsia" w:eastAsia="等线" w:cs="Times New Roman"/>
          <w:b/>
          <w:color w:val="000000" w:themeColor="text1"/>
        </w:rPr>
        <w:t>Demographic and Clinical Data</w:t>
      </w:r>
    </w:p>
    <w:tbl>
      <w:tblPr>
        <w:tblStyle w:val="21"/>
        <w:tblW w:w="4967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"/>
        <w:gridCol w:w="1017"/>
        <w:gridCol w:w="703"/>
        <w:gridCol w:w="1054"/>
        <w:gridCol w:w="1580"/>
        <w:gridCol w:w="741"/>
        <w:gridCol w:w="725"/>
        <w:gridCol w:w="310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4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Subject</w:t>
            </w:r>
          </w:p>
        </w:tc>
        <w:tc>
          <w:tcPr>
            <w:tcW w:w="512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fldChar w:fldCharType="begin"/>
            </w:r>
            <w:r>
              <w:instrText xml:space="preserve"> HYPERLINK "C:/Users/Administrator/AppData/Local/youdao/dict/Application/8.10.3.0/resultui/html/index.html" \l "/javascript:;" </w:instrText>
            </w:r>
            <w:r>
              <w:fldChar w:fldCharType="separate"/>
            </w: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Gender</w:t>
            </w: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54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53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Weight</w:t>
            </w:r>
          </w:p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(kg)</w:t>
            </w:r>
          </w:p>
        </w:tc>
        <w:tc>
          <w:tcPr>
            <w:tcW w:w="79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Alcohol consumption (ml)</w:t>
            </w:r>
          </w:p>
        </w:tc>
        <w:tc>
          <w:tcPr>
            <w:tcW w:w="738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BrAC（mg/L）</w:t>
            </w:r>
          </w:p>
        </w:tc>
        <w:tc>
          <w:tcPr>
            <w:tcW w:w="1563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Symptoms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04" w:type="pct"/>
            <w:vMerge w:val="continue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</w:p>
        </w:tc>
        <w:tc>
          <w:tcPr>
            <w:tcW w:w="512" w:type="pct"/>
            <w:vMerge w:val="continue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</w:p>
        </w:tc>
        <w:tc>
          <w:tcPr>
            <w:tcW w:w="354" w:type="pct"/>
            <w:vMerge w:val="continue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</w:p>
        </w:tc>
        <w:tc>
          <w:tcPr>
            <w:tcW w:w="531" w:type="pct"/>
            <w:vMerge w:val="continue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</w:p>
        </w:tc>
        <w:tc>
          <w:tcPr>
            <w:tcW w:w="796" w:type="pct"/>
            <w:vMerge w:val="continue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</w:p>
        </w:tc>
        <w:tc>
          <w:tcPr>
            <w:tcW w:w="373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0.5h</w:t>
            </w:r>
          </w:p>
        </w:tc>
        <w:tc>
          <w:tcPr>
            <w:tcW w:w="364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b/>
                <w:bCs/>
                <w:sz w:val="18"/>
                <w:szCs w:val="18"/>
              </w:rPr>
              <w:t>1h</w:t>
            </w:r>
          </w:p>
        </w:tc>
        <w:tc>
          <w:tcPr>
            <w:tcW w:w="1563" w:type="pct"/>
            <w:vMerge w:val="continue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504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Sub01</w:t>
            </w:r>
          </w:p>
        </w:tc>
        <w:tc>
          <w:tcPr>
            <w:tcW w:w="512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Female</w:t>
            </w:r>
          </w:p>
        </w:tc>
        <w:tc>
          <w:tcPr>
            <w:tcW w:w="354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531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57.5</w:t>
            </w:r>
          </w:p>
        </w:tc>
        <w:tc>
          <w:tcPr>
            <w:tcW w:w="796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56</w:t>
            </w:r>
          </w:p>
        </w:tc>
        <w:tc>
          <w:tcPr>
            <w:tcW w:w="373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0.40</w:t>
            </w:r>
          </w:p>
        </w:tc>
        <w:tc>
          <w:tcPr>
            <w:tcW w:w="364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0.25</w:t>
            </w:r>
          </w:p>
        </w:tc>
        <w:tc>
          <w:tcPr>
            <w:tcW w:w="1563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Dizziness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Sub02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24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57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56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0.65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bookmarkStart w:id="6" w:name="OLE_LINK18"/>
            <w:r>
              <w:rPr>
                <w:rFonts w:eastAsia="等线" w:cs="Times New Roman" w:asciiTheme="majorHAnsi" w:hAnsiTheme="majorHAnsi"/>
                <w:sz w:val="18"/>
                <w:szCs w:val="18"/>
              </w:rPr>
              <w:t>Excitement, increased speech</w:t>
            </w:r>
            <w:bookmarkEnd w:id="6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Sub03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Female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53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52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0.55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Excitement, increased speech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Sub04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31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78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77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0.40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0.20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pStyle w:val="17"/>
              <w:spacing w:beforeAutospacing="0" w:afterAutospacing="0" w:line="328" w:lineRule="atLeast"/>
              <w:jc w:val="center"/>
              <w:rPr>
                <w:rFonts w:eastAsia="等线" w:asciiTheme="majorHAnsi" w:hAnsiTheme="majorHAnsi"/>
                <w:sz w:val="18"/>
                <w:szCs w:val="18"/>
              </w:rPr>
            </w:pPr>
            <w:r>
              <w:rPr>
                <w:rFonts w:eastAsia="等线" w:asciiTheme="majorHAnsi" w:hAnsiTheme="majorHAnsi"/>
                <w:sz w:val="18"/>
                <w:szCs w:val="18"/>
              </w:rPr>
              <w:t>Dizziness, Depression, Blushing, Walking unsteadily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Sub05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55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54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0.25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0.40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Dizziness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Sub06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27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105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103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0.75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Dizziness, Blushing, Walking unsteadily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Sub07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65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64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0.35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Dizziness, Blushing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Sub08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75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74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0.35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Dizziness, Headache, Blushing, Nausea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Sub09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Female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60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59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0.40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Sub10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55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54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0.30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Excitement, increased speech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Sub11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Female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45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44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0.25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0.35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Sub12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Female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57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56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0.40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Dizziness, Blushing, Walking unsteadily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Sub13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Female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41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40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0.25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0.45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None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Sub14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Female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43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42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0.45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0.30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Dizziness, Blushing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Sub15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74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73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0.30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0.15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Blushing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Sub16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85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83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0.20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Excitement, Blushing, increased speech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Sub17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23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83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81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0.25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0.40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Excitement, Blushing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Sub18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30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65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64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0.40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pStyle w:val="17"/>
              <w:spacing w:beforeAutospacing="0" w:afterAutospacing="0" w:line="328" w:lineRule="atLeast"/>
              <w:jc w:val="center"/>
              <w:rPr>
                <w:rFonts w:eastAsia="等线" w:asciiTheme="majorHAnsi" w:hAnsiTheme="majorHAnsi"/>
                <w:sz w:val="18"/>
                <w:szCs w:val="18"/>
              </w:rPr>
            </w:pPr>
            <w:r>
              <w:rPr>
                <w:rFonts w:eastAsia="等线" w:asciiTheme="majorHAnsi" w:hAnsiTheme="majorHAnsi"/>
                <w:sz w:val="18"/>
                <w:szCs w:val="18"/>
              </w:rPr>
              <w:t>Dizziness, Nausea, Blushing, Walking unsteadily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Sub19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Female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26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50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49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0.35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0.15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Dizziness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Sub20</w:t>
            </w:r>
          </w:p>
        </w:tc>
        <w:tc>
          <w:tcPr>
            <w:tcW w:w="51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Female</w:t>
            </w:r>
          </w:p>
        </w:tc>
        <w:tc>
          <w:tcPr>
            <w:tcW w:w="35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25</w:t>
            </w:r>
          </w:p>
        </w:tc>
        <w:tc>
          <w:tcPr>
            <w:tcW w:w="53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53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52</w:t>
            </w:r>
          </w:p>
        </w:tc>
        <w:tc>
          <w:tcPr>
            <w:tcW w:w="37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0.30</w:t>
            </w:r>
          </w:p>
        </w:tc>
        <w:tc>
          <w:tcPr>
            <w:tcW w:w="364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0.50</w:t>
            </w:r>
          </w:p>
        </w:tc>
        <w:tc>
          <w:tcPr>
            <w:tcW w:w="1563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eastAsia="等线" w:cs="Times New Roman" w:asciiTheme="majorHAnsi" w:hAnsiTheme="majorHAnsi"/>
                <w:sz w:val="18"/>
                <w:szCs w:val="18"/>
              </w:rPr>
            </w:pPr>
            <w:r>
              <w:rPr>
                <w:rFonts w:eastAsia="等线" w:cs="Times New Roman" w:asciiTheme="majorHAnsi" w:hAnsiTheme="majorHAnsi"/>
                <w:sz w:val="18"/>
                <w:szCs w:val="18"/>
              </w:rPr>
              <w:t>Dizziness, Blushing</w:t>
            </w:r>
          </w:p>
        </w:tc>
      </w:tr>
      <w:bookmarkEnd w:id="5"/>
    </w:tbl>
    <w:p/>
    <w:p/>
    <w:p/>
    <w:p>
      <w:pPr>
        <w:spacing w:before="100" w:beforeAutospacing="1" w:after="100" w:afterAutospacing="1" w:line="480" w:lineRule="auto"/>
        <w:jc w:val="center"/>
        <w:rPr>
          <w:rFonts w:eastAsia="等线" w:cs="Times New Roman"/>
          <w:b/>
          <w:color w:val="000000" w:themeColor="text1"/>
        </w:rPr>
      </w:pPr>
      <w:r>
        <w:rPr>
          <w:rFonts w:hint="eastAsia" w:eastAsia="等线" w:cs="Times New Roman"/>
          <w:b/>
          <w:color w:val="000000" w:themeColor="text1"/>
        </w:rPr>
        <w:t>Table S4. The BrAC between groups</w:t>
      </w:r>
    </w:p>
    <w:tbl>
      <w:tblPr>
        <w:tblStyle w:val="21"/>
        <w:tblW w:w="6818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12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5"/>
        <w:gridCol w:w="170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</w:p>
        </w:tc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  <w:t>0.5h Group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  <w:t>1h Group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b/>
                <w:bCs/>
                <w:sz w:val="18"/>
                <w:szCs w:val="18"/>
              </w:rPr>
              <w:t>P-value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1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  <w:r>
              <w:rPr>
                <w:rFonts w:hint="eastAsia" w:cs="Times New Roman" w:asciiTheme="majorHAnsi" w:hAnsiTheme="majorHAnsi"/>
                <w:b/>
                <w:bCs/>
                <w:sz w:val="18"/>
                <w:szCs w:val="18"/>
              </w:rPr>
              <w:t>BrAC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sz w:val="18"/>
                <w:szCs w:val="18"/>
              </w:rPr>
              <w:t>0.</w:t>
            </w:r>
            <w:r>
              <w:rPr>
                <w:rFonts w:hint="eastAsia" w:cs="Times New Roman" w:asciiTheme="majorHAnsi" w:hAnsiTheme="majorHAnsi"/>
                <w:sz w:val="18"/>
                <w:szCs w:val="18"/>
              </w:rPr>
              <w:t>425</w:t>
            </w:r>
            <w:r>
              <w:rPr>
                <w:rFonts w:cs="Times New Roman" w:asciiTheme="majorHAnsi" w:hAnsiTheme="majorHAnsi"/>
                <w:sz w:val="18"/>
                <w:szCs w:val="18"/>
              </w:rPr>
              <w:t>(0.</w:t>
            </w:r>
            <w:r>
              <w:rPr>
                <w:rFonts w:hint="eastAsia" w:cs="Times New Roman" w:asciiTheme="majorHAnsi" w:hAnsiTheme="majorHAnsi"/>
                <w:sz w:val="18"/>
                <w:szCs w:val="18"/>
              </w:rPr>
              <w:t>313</w:t>
            </w:r>
            <w:r>
              <w:rPr>
                <w:rFonts w:cs="Times New Roman" w:asciiTheme="majorHAnsi" w:hAnsiTheme="majorHAnsi"/>
                <w:sz w:val="18"/>
                <w:szCs w:val="18"/>
              </w:rPr>
              <w:t>,0.</w:t>
            </w:r>
            <w:r>
              <w:rPr>
                <w:rFonts w:hint="eastAsia" w:cs="Times New Roman" w:asciiTheme="majorHAnsi" w:hAnsiTheme="majorHAnsi"/>
                <w:sz w:val="18"/>
                <w:szCs w:val="18"/>
              </w:rPr>
              <w:t>500</w:t>
            </w:r>
            <w:r>
              <w:rPr>
                <w:rFonts w:cs="Times New Roman" w:asciiTheme="majorHAnsi" w:hAnsiTheme="majorHAnsi"/>
                <w:sz w:val="18"/>
                <w:szCs w:val="18"/>
              </w:rPr>
              <w:t>)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sz w:val="18"/>
                <w:szCs w:val="18"/>
              </w:rPr>
              <w:t>0.</w:t>
            </w:r>
            <w:r>
              <w:rPr>
                <w:rFonts w:hint="eastAsia" w:cs="Times New Roman" w:asciiTheme="majorHAnsi" w:hAnsiTheme="majorHAnsi"/>
                <w:sz w:val="18"/>
                <w:szCs w:val="18"/>
              </w:rPr>
              <w:t>375</w:t>
            </w:r>
            <w:r>
              <w:rPr>
                <w:rFonts w:cs="Times New Roman" w:asciiTheme="majorHAnsi" w:hAnsiTheme="majorHAnsi"/>
                <w:sz w:val="18"/>
                <w:szCs w:val="18"/>
              </w:rPr>
              <w:t>(0.</w:t>
            </w:r>
            <w:r>
              <w:rPr>
                <w:rFonts w:hint="eastAsia" w:cs="Times New Roman" w:asciiTheme="majorHAnsi" w:hAnsiTheme="majorHAnsi"/>
                <w:sz w:val="18"/>
                <w:szCs w:val="18"/>
              </w:rPr>
              <w:t>263</w:t>
            </w:r>
            <w:r>
              <w:rPr>
                <w:rFonts w:cs="Times New Roman" w:asciiTheme="majorHAnsi" w:hAnsiTheme="majorHAnsi"/>
                <w:sz w:val="18"/>
                <w:szCs w:val="18"/>
              </w:rPr>
              <w:t>,0.</w:t>
            </w:r>
            <w:r>
              <w:rPr>
                <w:rFonts w:hint="eastAsia" w:cs="Times New Roman" w:asciiTheme="majorHAnsi" w:hAnsiTheme="majorHAnsi"/>
                <w:sz w:val="18"/>
                <w:szCs w:val="18"/>
              </w:rPr>
              <w:t>488</w:t>
            </w:r>
            <w:r>
              <w:rPr>
                <w:rFonts w:cs="Times New Roman" w:asciiTheme="majorHAnsi" w:hAnsiTheme="majorHAnsi"/>
                <w:sz w:val="18"/>
                <w:szCs w:val="18"/>
              </w:rPr>
              <w:t>)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cs="Times New Roman" w:asciiTheme="majorHAnsi" w:hAnsiTheme="majorHAnsi"/>
                <w:sz w:val="18"/>
                <w:szCs w:val="18"/>
              </w:rPr>
            </w:pPr>
            <w:r>
              <w:rPr>
                <w:rFonts w:cs="Times New Roman" w:asciiTheme="majorHAnsi" w:hAnsiTheme="majorHAnsi"/>
                <w:sz w:val="18"/>
                <w:szCs w:val="18"/>
              </w:rPr>
              <w:t>0.</w:t>
            </w:r>
            <w:r>
              <w:rPr>
                <w:rFonts w:hint="eastAsia" w:cs="Times New Roman" w:asciiTheme="majorHAnsi" w:hAnsiTheme="majorHAnsi"/>
                <w:sz w:val="18"/>
                <w:szCs w:val="18"/>
              </w:rPr>
              <w:t>9100</w:t>
            </w:r>
          </w:p>
        </w:tc>
      </w:tr>
    </w:tbl>
    <w:p>
      <w:pPr>
        <w:rPr>
          <w:rFonts w:cs="Times New Roman"/>
        </w:rPr>
      </w:pPr>
      <w:r>
        <w:rPr>
          <w:rFonts w:cs="Times New Roman"/>
        </w:rPr>
        <w:t>Continuous variables were expressed as median and interquartile ranges. Continuous parameters</w:t>
      </w:r>
      <w:r>
        <w:rPr>
          <w:rFonts w:hint="eastAsia" w:cs="Times New Roman"/>
        </w:rPr>
        <w:t xml:space="preserve"> </w:t>
      </w:r>
      <w:r>
        <w:rPr>
          <w:rFonts w:cs="Times New Roman"/>
        </w:rPr>
        <w:t xml:space="preserve">were checked for the normality of distribution using the Shapiro-Wilk test and compared using Wilcoxon and Mann-Whitney U tests. A value of P&lt;0.05 was considered statistically significant. Abbreviation: </w:t>
      </w:r>
      <w:r>
        <w:rPr>
          <w:rFonts w:hint="eastAsia" w:cs="Times New Roman"/>
        </w:rPr>
        <w:t>BrAC</w:t>
      </w:r>
      <w:r>
        <w:rPr>
          <w:rFonts w:cs="Times New Roman"/>
        </w:rPr>
        <w:t xml:space="preserve">, </w:t>
      </w:r>
      <w:bookmarkStart w:id="7" w:name="OLE_LINK46"/>
      <w:r>
        <w:rPr>
          <w:rFonts w:cs="Times New Roman"/>
        </w:rPr>
        <w:t>breath alcohol concentration</w:t>
      </w:r>
      <w:bookmarkEnd w:id="7"/>
      <w:r>
        <w:rPr>
          <w:rFonts w:cs="Times New Roman"/>
        </w:rPr>
        <w:t>.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rPr>
          <w:rFonts w:cs="Times New Roman"/>
          <w:b/>
          <w:bCs/>
        </w:rPr>
      </w:pPr>
      <w:r>
        <w:rPr>
          <w:rFonts w:hint="eastAsia" w:cs="Times New Roman"/>
          <w:b/>
          <w:bCs/>
        </w:rPr>
        <w:t>FIGURE S1</w:t>
      </w:r>
    </w:p>
    <w:p>
      <w:pPr>
        <w:jc w:val="center"/>
        <w:rPr>
          <w:rFonts w:eastAsia="华文楷体" w:cs="Times New Roman"/>
          <w:b/>
          <w:bCs/>
        </w:rPr>
      </w:pPr>
      <w:r>
        <w:rPr>
          <w:rFonts w:eastAsia="华文楷体" w:cs="Times New Roman"/>
          <w:b/>
          <w:bCs/>
        </w:rPr>
        <w:t>Basal ganglia network</w:t>
      </w:r>
    </w:p>
    <w:p>
      <w:pPr>
        <w:jc w:val="center"/>
      </w:pPr>
      <w:r>
        <w:drawing>
          <wp:inline distT="0" distB="0" distL="114300" distR="114300">
            <wp:extent cx="2765425" cy="1852930"/>
            <wp:effectExtent l="0" t="0" r="1587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7127" t="25011" r="39009" b="34655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华文楷体" w:cs="Times New Roman"/>
          <w:b/>
          <w:bCs/>
        </w:rPr>
      </w:pPr>
      <w:r>
        <w:rPr>
          <w:rFonts w:eastAsia="华文楷体" w:cs="Times New Roman"/>
          <w:b/>
          <w:bCs/>
        </w:rPr>
        <w:t>Auditory</w:t>
      </w:r>
      <w:r>
        <w:rPr>
          <w:rFonts w:hint="eastAsia" w:eastAsia="华文楷体" w:cs="Times New Roman"/>
          <w:b/>
          <w:bCs/>
        </w:rPr>
        <w:t xml:space="preserve"> </w:t>
      </w:r>
      <w:r>
        <w:rPr>
          <w:rFonts w:eastAsia="华文楷体" w:cs="Times New Roman"/>
          <w:b/>
          <w:bCs/>
        </w:rPr>
        <w:t>network</w:t>
      </w:r>
    </w:p>
    <w:p>
      <w:pPr>
        <w:jc w:val="center"/>
      </w:pPr>
      <w:r>
        <w:drawing>
          <wp:inline distT="0" distB="0" distL="114300" distR="114300">
            <wp:extent cx="752475" cy="2216150"/>
            <wp:effectExtent l="0" t="0" r="952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39315" t="28167" r="52255" b="2771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华文楷体" w:cs="Times New Roman"/>
          <w:b/>
          <w:bCs/>
        </w:rPr>
      </w:pPr>
      <w:r>
        <w:rPr>
          <w:rFonts w:eastAsia="华文楷体" w:cs="Times New Roman"/>
          <w:b/>
          <w:bCs/>
        </w:rPr>
        <w:t>Sensorimotor</w:t>
      </w:r>
      <w:r>
        <w:rPr>
          <w:rFonts w:hint="eastAsia" w:eastAsia="华文楷体" w:cs="Times New Roman"/>
          <w:b/>
          <w:bCs/>
        </w:rPr>
        <w:t xml:space="preserve"> </w:t>
      </w:r>
      <w:r>
        <w:rPr>
          <w:rFonts w:eastAsia="华文楷体" w:cs="Times New Roman"/>
          <w:b/>
          <w:bCs/>
        </w:rPr>
        <w:t>network</w:t>
      </w:r>
    </w:p>
    <w:p>
      <w:pPr>
        <w:jc w:val="center"/>
      </w:pPr>
      <w:r>
        <w:drawing>
          <wp:inline distT="0" distB="0" distL="114300" distR="114300">
            <wp:extent cx="5286375" cy="2076450"/>
            <wp:effectExtent l="0" t="0" r="9525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5450" t="31612" r="26368" b="2775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华文楷体" w:cs="Times New Roman"/>
          <w:b/>
          <w:bCs/>
        </w:rPr>
      </w:pPr>
      <w:r>
        <w:rPr>
          <w:rFonts w:hint="eastAsia" w:eastAsia="华文楷体" w:cs="Times New Roman"/>
          <w:b/>
          <w:bCs/>
        </w:rPr>
        <w:t>V</w:t>
      </w:r>
      <w:r>
        <w:rPr>
          <w:rFonts w:eastAsia="华文楷体" w:cs="Times New Roman"/>
          <w:b/>
          <w:bCs/>
        </w:rPr>
        <w:t>isual network</w:t>
      </w:r>
    </w:p>
    <w:p>
      <w:pPr>
        <w:jc w:val="center"/>
      </w:pPr>
      <w:r>
        <w:drawing>
          <wp:inline distT="0" distB="0" distL="114300" distR="114300">
            <wp:extent cx="3984625" cy="1781175"/>
            <wp:effectExtent l="0" t="0" r="15875" b="952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6365" t="31655" r="29790" b="2556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华文楷体" w:cs="Times New Roman"/>
          <w:b/>
          <w:bCs/>
        </w:rPr>
      </w:pPr>
      <w:r>
        <w:rPr>
          <w:rFonts w:hint="eastAsia" w:eastAsia="华文楷体" w:cs="Times New Roman"/>
          <w:b/>
          <w:bCs/>
        </w:rPr>
        <w:t>Cognitive executive network</w:t>
      </w:r>
    </w:p>
    <w:p>
      <w:pPr>
        <w:jc w:val="center"/>
      </w:pPr>
      <w:r>
        <w:drawing>
          <wp:inline distT="0" distB="0" distL="114300" distR="114300">
            <wp:extent cx="3409950" cy="1729105"/>
            <wp:effectExtent l="0" t="0" r="0" b="4445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8655" t="30862" r="31357" b="2404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414395" cy="1822450"/>
            <wp:effectExtent l="0" t="0" r="14605" b="635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21909" t="27218" r="33044" b="30047"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华文楷体" w:cs="Times New Roman"/>
          <w:b/>
          <w:bCs/>
        </w:rPr>
      </w:pPr>
      <w:r>
        <w:rPr>
          <w:rFonts w:hint="eastAsia" w:eastAsia="华文楷体" w:cs="Times New Roman"/>
          <w:b/>
          <w:bCs/>
        </w:rPr>
        <w:t>Default mode network</w:t>
      </w:r>
    </w:p>
    <w:p>
      <w:pPr>
        <w:jc w:val="center"/>
      </w:pPr>
      <w:r>
        <w:drawing>
          <wp:inline distT="0" distB="0" distL="114300" distR="114300">
            <wp:extent cx="3466465" cy="1731010"/>
            <wp:effectExtent l="0" t="0" r="635" b="254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9378" t="27690" r="32152" b="29276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华文楷体" w:cs="Times New Roman"/>
          <w:b/>
          <w:bCs/>
        </w:rPr>
      </w:pPr>
      <w:r>
        <w:rPr>
          <w:rFonts w:hint="eastAsia" w:eastAsia="华文楷体" w:cs="Times New Roman"/>
          <w:b/>
          <w:bCs/>
        </w:rPr>
        <w:t>Cerebellar network</w:t>
      </w:r>
    </w:p>
    <w:p>
      <w:pPr>
        <w:jc w:val="center"/>
      </w:pPr>
      <w:r>
        <w:drawing>
          <wp:inline distT="0" distB="0" distL="114300" distR="114300">
            <wp:extent cx="648970" cy="2051050"/>
            <wp:effectExtent l="0" t="0" r="1778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41191" t="28075" r="50470" b="2505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  <w:r>
        <w:rPr>
          <w:rFonts w:hint="eastAsia" w:cs="Times New Roman"/>
          <w:b/>
          <w:bCs/>
        </w:rPr>
        <w:t xml:space="preserve">FIGURE 1 </w:t>
      </w:r>
      <w:r>
        <w:rPr>
          <w:rFonts w:hint="eastAsia" w:cs="Times New Roman"/>
        </w:rPr>
        <w:t>| Spatial maps of 47 identified meaningful independent components (ICs), sorted into seven functional networks: Basal ganglia (BG), auditory (AUD), sensorimotor (SMN), visual (VIS), central executive (CEN), default mode (DMN) and cerebellar networks (CB).</w:t>
      </w:r>
    </w:p>
    <w:p/>
    <w:sectPr>
      <w:headerReference r:id="rId4" w:type="first"/>
      <w:footerReference r:id="rId5" w:type="default"/>
      <w:headerReference r:id="rId3" w:type="even"/>
      <w:footerReference r:id="rId6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华文楷体">
    <w:altName w:val="Microsoft JhengHei Light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Microsoft JhengHei Light">
    <w:panose1 w:val="020B0304030504040204"/>
    <w:charset w:val="86"/>
    <w:family w:val="auto"/>
    <w:pitch w:val="default"/>
    <w:sig w:usb0="800002EF" w:usb1="28CFFCFB" w:usb2="00000016" w:usb3="00000000" w:csb0="203E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w:pict>
        <v:shape id="Text Box 56" o:spid="_x0000_s1026" o:spt="202" type="#_x0000_t202" style="position:absolute;left:0pt;margin-left:0pt;margin-top:0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XLnphhUCAAAnBAAADgAAAAAA&#10;AAABACAAAAAhAQAAZHJzL2Uyb0RvYy54bWxQSwUGAAAAAAYABgBZAQAAqAUAAAAA&#10;">
          <v:path/>
          <v:fill on="f" focussize="0,0"/>
          <v:stroke on="f" weight="0.5pt" joinstyle="miter"/>
          <v:imagedata o:title=""/>
          <o:lock v:ext="edit"/>
          <v:textbox style="mso-fit-shape-to-text:t;">
            <w:txbxContent>
              <w:p>
                <w:pPr>
                  <w:jc w:val="right"/>
                  <w:rPr>
                    <w:color w:val="000000" w:themeColor="text1"/>
                    <w:szCs w:val="40"/>
                  </w:rPr>
                </w:pPr>
                <w:r>
                  <w:rPr>
                    <w:color w:val="000000" w:themeColor="text1"/>
                    <w:szCs w:val="40"/>
                  </w:rPr>
                  <w:fldChar w:fldCharType="begin"/>
                </w:r>
                <w:r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>
                  <w:rPr>
                    <w:color w:val="000000" w:themeColor="text1"/>
                    <w:szCs w:val="40"/>
                  </w:rPr>
                  <w:fldChar w:fldCharType="separate"/>
                </w:r>
                <w:r>
                  <w:rPr>
                    <w:color w:val="000000" w:themeColor="text1"/>
                    <w:szCs w:val="40"/>
                  </w:rPr>
                  <w:t>3</w:t>
                </w:r>
                <w:r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w:pict>
        <v:shape id="Text Box 1" o:spid="_x0000_s1027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knen5xUCAAAlBAAADgAAAAAA&#10;AAABACAAAAAhAQAAZHJzL2Uyb0RvYy54bWxQSwUGAAAAAAYABgBZAQAAqAUAAAAA&#10;">
          <v:path/>
          <v:fill on="f" focussize="0,0"/>
          <v:stroke on="f" weight="0.5pt" joinstyle="miter"/>
          <v:imagedata o:title=""/>
          <o:lock v:ext="edit"/>
          <v:textbox style="mso-fit-shape-to-text:t;">
            <w:txbxContent>
              <w:p>
                <w:pPr>
                  <w:jc w:val="right"/>
                  <w:rPr>
                    <w:color w:val="000000" w:themeColor="text1"/>
                    <w:szCs w:val="40"/>
                  </w:rPr>
                </w:pPr>
                <w:r>
                  <w:rPr>
                    <w:color w:val="000000" w:themeColor="text1"/>
                    <w:szCs w:val="40"/>
                  </w:rPr>
                  <w:fldChar w:fldCharType="begin"/>
                </w:r>
                <w:r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>
                  <w:rPr>
                    <w:color w:val="000000" w:themeColor="text1"/>
                    <w:szCs w:val="40"/>
                  </w:rPr>
                  <w:fldChar w:fldCharType="separate"/>
                </w:r>
                <w:r>
                  <w:rPr>
                    <w:color w:val="000000" w:themeColor="text1"/>
                    <w:szCs w:val="40"/>
                  </w:rPr>
                  <w:t>2</w:t>
                </w:r>
                <w:r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5A5A5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ocumentProtection w:enforcement="0"/>
  <w:defaultTabStop w:val="720"/>
  <w:evenAndOddHeaders w:val="1"/>
  <w:noPunctuationKerning w:val="1"/>
  <w:characterSpacingControl w:val="doNotCompress"/>
  <w:hdrShapeDefaults>
    <o:shapelayout v:ext="edit">
      <o:idmap v:ext="edit" data="1"/>
    </o:shapelayout>
  </w:hdrShapeDefaults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D20B5"/>
    <w:rsid w:val="0001436A"/>
    <w:rsid w:val="00034304"/>
    <w:rsid w:val="00035434"/>
    <w:rsid w:val="00052A14"/>
    <w:rsid w:val="00077D53"/>
    <w:rsid w:val="00082179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93E4A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D5D9D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D5B69"/>
    <w:rsid w:val="009151AA"/>
    <w:rsid w:val="0093429D"/>
    <w:rsid w:val="00943573"/>
    <w:rsid w:val="00964134"/>
    <w:rsid w:val="00970F7D"/>
    <w:rsid w:val="00994A3D"/>
    <w:rsid w:val="009C2B12"/>
    <w:rsid w:val="009E5431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0F32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1BE51BB"/>
    <w:rsid w:val="0BC45014"/>
    <w:rsid w:val="0EA24505"/>
    <w:rsid w:val="117740DB"/>
    <w:rsid w:val="11942C43"/>
    <w:rsid w:val="176A0D5F"/>
    <w:rsid w:val="1FD579F2"/>
    <w:rsid w:val="203D1F8C"/>
    <w:rsid w:val="251F483A"/>
    <w:rsid w:val="25FD3FD9"/>
    <w:rsid w:val="29806301"/>
    <w:rsid w:val="2A2238E1"/>
    <w:rsid w:val="2E552F95"/>
    <w:rsid w:val="2F3B1D25"/>
    <w:rsid w:val="33A87A75"/>
    <w:rsid w:val="3E174649"/>
    <w:rsid w:val="3E801826"/>
    <w:rsid w:val="40760B42"/>
    <w:rsid w:val="42072941"/>
    <w:rsid w:val="48373C6A"/>
    <w:rsid w:val="4936409E"/>
    <w:rsid w:val="5C172CA4"/>
    <w:rsid w:val="610D4FB5"/>
    <w:rsid w:val="62BE373A"/>
    <w:rsid w:val="639156AA"/>
    <w:rsid w:val="686027AA"/>
    <w:rsid w:val="69437FF0"/>
    <w:rsid w:val="6DEC7E3A"/>
    <w:rsid w:val="6E6B40FB"/>
    <w:rsid w:val="740A5F58"/>
    <w:rsid w:val="77600064"/>
    <w:rsid w:val="7BF0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3F3F3F" w:themeColor="text1" w:themeTint="BF"/>
    </w:rPr>
  </w:style>
  <w:style w:type="character" w:customStyle="1" w:styleId="49">
    <w:name w:val="引用 Char"/>
    <w:basedOn w:val="22"/>
    <w:link w:val="48"/>
    <w:qFormat/>
    <w:uiPriority w:val="29"/>
    <w:rPr>
      <w:rFonts w:ascii="Times New Roman" w:hAnsi="Times New Roman"/>
      <w:i/>
      <w:iCs/>
      <w:color w:val="3F3F3F" w:themeColor="text1" w:themeTint="BF"/>
      <w:sz w:val="24"/>
    </w:rPr>
  </w:style>
  <w:style w:type="character" w:customStyle="1" w:styleId="50">
    <w:name w:val="不明显强调1"/>
    <w:basedOn w:val="22"/>
    <w:qFormat/>
    <w:uiPriority w:val="19"/>
    <w:rPr>
      <w:rFonts w:ascii="Times New Roman" w:hAnsi="Times New Roman"/>
      <w:i/>
      <w:iCs/>
      <w:color w:val="3F3F3F" w:themeColor="text1" w:themeTint="BF"/>
    </w:rPr>
  </w:style>
  <w:style w:type="character" w:customStyle="1" w:styleId="51">
    <w:name w:val="标题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table"/>
    <w:qFormat/>
    <w:uiPriority w:val="0"/>
    <w:pPr>
      <w:spacing w:after="200" w:line="276" w:lineRule="auto"/>
      <w:jc w:val="center"/>
    </w:pPr>
    <w:rPr>
      <w:rFonts w:ascii="Arial" w:hAnsi="Arial" w:eastAsia="Arial" w:cs="Arial"/>
      <w:sz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EAC0AE-610B-45B5-AB8A-4F5B3503BC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Pages>6</Pages>
  <Words>832</Words>
  <Characters>4747</Characters>
  <Lines>39</Lines>
  <Paragraphs>11</Paragraphs>
  <TotalTime>1</TotalTime>
  <ScaleCrop>false</ScaleCrop>
  <LinksUpToDate>false</LinksUpToDate>
  <CharactersWithSpaces>5568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标</cp:lastModifiedBy>
  <cp:lastPrinted>2013-10-03T12:51:00Z</cp:lastPrinted>
  <dcterms:modified xsi:type="dcterms:W3CDTF">2022-09-08T16:10:04Z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