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Nagwek1"/>
      </w:pPr>
      <w:r w:rsidRPr="00994A3D">
        <w:t>Supplementary Data</w:t>
      </w:r>
    </w:p>
    <w:p w14:paraId="14AF1949" w14:textId="77777777" w:rsidR="005A043A" w:rsidRDefault="005A043A" w:rsidP="005A043A">
      <w:pPr>
        <w:spacing w:line="360" w:lineRule="auto"/>
        <w:jc w:val="both"/>
        <w:rPr>
          <w:b/>
        </w:rPr>
      </w:pPr>
      <w:bookmarkStart w:id="0" w:name="_Hlk104165574"/>
      <w:bookmarkEnd w:id="0"/>
      <w:r>
        <w:rPr>
          <w:b/>
        </w:rPr>
        <w:t>ELECTRONIC SUPPLEMENTARY MATERIAL:</w:t>
      </w:r>
    </w:p>
    <w:p w14:paraId="1C69CAA5" w14:textId="77777777" w:rsidR="005A043A" w:rsidRDefault="005A043A" w:rsidP="005A043A">
      <w:pPr>
        <w:spacing w:line="360" w:lineRule="auto"/>
        <w:jc w:val="both"/>
        <w:rPr>
          <w:b/>
        </w:rPr>
      </w:pPr>
    </w:p>
    <w:p w14:paraId="218FD1DB" w14:textId="77777777" w:rsidR="005A043A" w:rsidRPr="00214F41" w:rsidRDefault="005A043A" w:rsidP="005A043A">
      <w:pPr>
        <w:spacing w:line="360" w:lineRule="auto"/>
        <w:jc w:val="both"/>
        <w:rPr>
          <w:b/>
        </w:rPr>
      </w:pPr>
      <w:r w:rsidRPr="00214F41">
        <w:rPr>
          <w:b/>
        </w:rPr>
        <w:t>Search Strategy and Inclusion/Exclusion Criteria</w:t>
      </w:r>
    </w:p>
    <w:p w14:paraId="25727957" w14:textId="77777777" w:rsidR="005A043A" w:rsidRPr="00214F41" w:rsidRDefault="005A043A" w:rsidP="005A043A">
      <w:pPr>
        <w:spacing w:line="360" w:lineRule="auto"/>
        <w:jc w:val="both"/>
        <w:rPr>
          <w:color w:val="000000"/>
          <w:lang w:val="en-GB"/>
        </w:rPr>
      </w:pPr>
      <w:r w:rsidRPr="00214F41">
        <w:t xml:space="preserve">There were two independent authors (KI and MH) who searched five </w:t>
      </w:r>
      <w:r>
        <w:t xml:space="preserve">certain </w:t>
      </w:r>
      <w:r w:rsidRPr="00214F41">
        <w:t xml:space="preserve">bibliographic </w:t>
      </w:r>
      <w:r w:rsidRPr="00214F41">
        <w:rPr>
          <w:color w:val="000000"/>
        </w:rPr>
        <w:t>databases (</w:t>
      </w:r>
      <w:r w:rsidRPr="00214F41">
        <w:rPr>
          <w:rStyle w:val="Hipercze"/>
          <w:color w:val="000000"/>
        </w:rPr>
        <w:t>PUB MED/</w:t>
      </w:r>
      <w:proofErr w:type="spellStart"/>
      <w:r w:rsidRPr="00214F41">
        <w:rPr>
          <w:rStyle w:val="Hipercze"/>
          <w:color w:val="000000"/>
        </w:rPr>
        <w:t>Cinahl</w:t>
      </w:r>
      <w:proofErr w:type="spellEnd"/>
      <w:r w:rsidRPr="00214F41">
        <w:rPr>
          <w:rStyle w:val="Hipercze"/>
          <w:color w:val="000000"/>
        </w:rPr>
        <w:t xml:space="preserve">/Web of Science/Scopus/Embase) </w:t>
      </w:r>
      <w:r w:rsidRPr="00214F41">
        <w:rPr>
          <w:color w:val="000000"/>
        </w:rPr>
        <w:t xml:space="preserve">from database inception until 08/11/2020 for studies evaluating </w:t>
      </w:r>
      <w:r w:rsidRPr="00214F41">
        <w:rPr>
          <w:color w:val="000000"/>
          <w:lang w:val="en-GB"/>
        </w:rPr>
        <w:t>GI</w:t>
      </w:r>
      <w:r w:rsidRPr="00214F41">
        <w:rPr>
          <w:lang w:val="en-GB"/>
        </w:rPr>
        <w:t xml:space="preserve"> AEs </w:t>
      </w:r>
      <w:r w:rsidRPr="00214F41">
        <w:t xml:space="preserve">of metformin treatment in </w:t>
      </w:r>
      <w:r w:rsidRPr="00214F41">
        <w:rPr>
          <w:lang w:val="en-GB"/>
        </w:rPr>
        <w:t xml:space="preserve">patients with </w:t>
      </w:r>
      <w:r>
        <w:rPr>
          <w:lang w:val="en-GB"/>
        </w:rPr>
        <w:t>type 2 diabetes</w:t>
      </w:r>
      <w:r w:rsidRPr="00214F41">
        <w:rPr>
          <w:lang w:val="en-GB"/>
        </w:rPr>
        <w:t xml:space="preserve">. Our target was data provided in </w:t>
      </w:r>
      <w:r w:rsidRPr="00214F41">
        <w:rPr>
          <w:color w:val="000000"/>
          <w:lang w:val="en-GB"/>
        </w:rPr>
        <w:t>randomized controlled trials only.</w:t>
      </w:r>
    </w:p>
    <w:p w14:paraId="33A5D855" w14:textId="77777777" w:rsidR="005A043A" w:rsidRPr="00214F41" w:rsidRDefault="005A043A" w:rsidP="005A043A">
      <w:pPr>
        <w:spacing w:line="276" w:lineRule="auto"/>
        <w:jc w:val="both"/>
        <w:rPr>
          <w:color w:val="000000"/>
          <w:lang w:eastAsia="de-DE"/>
        </w:rPr>
      </w:pPr>
    </w:p>
    <w:p w14:paraId="7C690F47" w14:textId="77777777" w:rsidR="005A043A" w:rsidRPr="00214F41" w:rsidRDefault="005A043A" w:rsidP="005A043A">
      <w:pPr>
        <w:spacing w:line="276" w:lineRule="auto"/>
        <w:jc w:val="both"/>
        <w:rPr>
          <w:color w:val="000000"/>
        </w:rPr>
      </w:pPr>
      <w:r w:rsidRPr="00214F41">
        <w:rPr>
          <w:color w:val="000000"/>
          <w:lang w:eastAsia="de-DE"/>
        </w:rPr>
        <w:t xml:space="preserve">The following </w:t>
      </w:r>
      <w:r w:rsidRPr="00214F41">
        <w:rPr>
          <w:color w:val="000000"/>
        </w:rPr>
        <w:t>search terms were used:</w:t>
      </w:r>
    </w:p>
    <w:p w14:paraId="657C098B" w14:textId="77777777" w:rsidR="005A043A" w:rsidRPr="00214F41" w:rsidRDefault="005A043A" w:rsidP="005A043A">
      <w:pPr>
        <w:spacing w:line="276" w:lineRule="auto"/>
        <w:jc w:val="both"/>
        <w:rPr>
          <w:color w:val="000000"/>
        </w:rPr>
      </w:pPr>
      <w:r w:rsidRPr="00214F41">
        <w:rPr>
          <w:rStyle w:val="Hipercze"/>
          <w:color w:val="000000"/>
        </w:rPr>
        <w:t>PUB MED/</w:t>
      </w:r>
      <w:proofErr w:type="spellStart"/>
      <w:r w:rsidRPr="00214F41">
        <w:rPr>
          <w:rStyle w:val="Hipercze"/>
          <w:color w:val="000000"/>
        </w:rPr>
        <w:t>Cinahl</w:t>
      </w:r>
      <w:proofErr w:type="spellEnd"/>
      <w:r w:rsidRPr="00214F41">
        <w:rPr>
          <w:rStyle w:val="Hipercze"/>
          <w:color w:val="000000"/>
        </w:rPr>
        <w:t>/Web of Science/Scopus/</w:t>
      </w:r>
    </w:p>
    <w:p w14:paraId="62870D8F" w14:textId="77777777" w:rsidR="005A043A" w:rsidRPr="00214F41" w:rsidRDefault="005A043A" w:rsidP="005A043A">
      <w:pPr>
        <w:spacing w:line="276" w:lineRule="auto"/>
        <w:jc w:val="both"/>
        <w:rPr>
          <w:color w:val="000000"/>
        </w:rPr>
      </w:pPr>
      <w:r w:rsidRPr="00214F41">
        <w:rPr>
          <w:color w:val="000000"/>
        </w:rPr>
        <w:t>(</w:t>
      </w:r>
      <w:r w:rsidRPr="00214F41">
        <w:rPr>
          <w:rStyle w:val="Hipercze"/>
          <w:color w:val="000000"/>
        </w:rPr>
        <w:t>diabetes mellitus</w:t>
      </w:r>
      <w:r w:rsidRPr="00214F41">
        <w:rPr>
          <w:color w:val="000000"/>
        </w:rPr>
        <w:t xml:space="preserve"> OR </w:t>
      </w:r>
      <w:r w:rsidRPr="00214F41">
        <w:rPr>
          <w:rStyle w:val="Hipercze"/>
          <w:color w:val="000000"/>
        </w:rPr>
        <w:t>diabetes</w:t>
      </w:r>
      <w:r w:rsidRPr="00214F41">
        <w:rPr>
          <w:color w:val="000000"/>
        </w:rPr>
        <w:t xml:space="preserve"> OR </w:t>
      </w:r>
      <w:r w:rsidRPr="00214F41">
        <w:rPr>
          <w:rStyle w:val="Hipercze"/>
          <w:color w:val="000000"/>
        </w:rPr>
        <w:t>diabetes mellitus</w:t>
      </w:r>
      <w:r w:rsidRPr="00214F41">
        <w:rPr>
          <w:color w:val="000000"/>
        </w:rPr>
        <w:t xml:space="preserve"> OR </w:t>
      </w:r>
      <w:r w:rsidRPr="00214F41">
        <w:rPr>
          <w:rStyle w:val="Hipercze"/>
          <w:color w:val="000000"/>
        </w:rPr>
        <w:t>diabetic</w:t>
      </w:r>
      <w:r w:rsidRPr="00214F41">
        <w:rPr>
          <w:color w:val="000000"/>
        </w:rPr>
        <w:t xml:space="preserve"> OR </w:t>
      </w:r>
      <w:r w:rsidRPr="00214F41">
        <w:rPr>
          <w:rStyle w:val="Hipercze"/>
          <w:color w:val="000000"/>
        </w:rPr>
        <w:t>insulin resistance</w:t>
      </w:r>
      <w:r w:rsidRPr="00214F41">
        <w:rPr>
          <w:color w:val="000000"/>
        </w:rPr>
        <w:t xml:space="preserve"> OR </w:t>
      </w:r>
      <w:r w:rsidRPr="00214F41">
        <w:rPr>
          <w:rStyle w:val="Hipercze"/>
          <w:color w:val="000000"/>
        </w:rPr>
        <w:t>insulin resistance</w:t>
      </w:r>
      <w:r w:rsidRPr="00214F41">
        <w:rPr>
          <w:color w:val="000000"/>
        </w:rPr>
        <w:t xml:space="preserve"> OR </w:t>
      </w:r>
      <w:r w:rsidRPr="00214F41">
        <w:rPr>
          <w:rStyle w:val="Hipercze"/>
          <w:color w:val="000000"/>
        </w:rPr>
        <w:t xml:space="preserve">resistance, </w:t>
      </w:r>
      <w:proofErr w:type="spellStart"/>
      <w:r w:rsidRPr="00214F41">
        <w:rPr>
          <w:rStyle w:val="Hipercze"/>
          <w:color w:val="000000"/>
        </w:rPr>
        <w:t>insuline</w:t>
      </w:r>
      <w:proofErr w:type="spellEnd"/>
      <w:r w:rsidRPr="00214F41">
        <w:rPr>
          <w:color w:val="000000"/>
        </w:rPr>
        <w:t>) AND (</w:t>
      </w:r>
      <w:r w:rsidRPr="00214F41">
        <w:rPr>
          <w:rStyle w:val="Hipercze"/>
          <w:color w:val="000000"/>
        </w:rPr>
        <w:t>metformin</w:t>
      </w:r>
      <w:r w:rsidRPr="00214F41">
        <w:rPr>
          <w:color w:val="000000"/>
        </w:rPr>
        <w:t xml:space="preserve"> OR </w:t>
      </w:r>
      <w:r w:rsidRPr="00214F41">
        <w:rPr>
          <w:rStyle w:val="Hipercze"/>
          <w:color w:val="000000"/>
        </w:rPr>
        <w:t xml:space="preserve">1, 1 </w:t>
      </w:r>
      <w:proofErr w:type="spellStart"/>
      <w:r w:rsidRPr="00214F41">
        <w:rPr>
          <w:rStyle w:val="Hipercze"/>
          <w:color w:val="000000"/>
        </w:rPr>
        <w:t>dimethylbiguanide</w:t>
      </w:r>
      <w:proofErr w:type="spellEnd"/>
      <w:r w:rsidRPr="00214F41">
        <w:rPr>
          <w:color w:val="000000"/>
        </w:rPr>
        <w:t xml:space="preserve"> OR </w:t>
      </w:r>
      <w:proofErr w:type="spellStart"/>
      <w:r w:rsidRPr="00214F41">
        <w:rPr>
          <w:rStyle w:val="Hipercze"/>
          <w:color w:val="000000"/>
        </w:rPr>
        <w:t>dimethyldiguanide</w:t>
      </w:r>
      <w:proofErr w:type="spellEnd"/>
      <w:r w:rsidRPr="00214F41">
        <w:rPr>
          <w:color w:val="000000"/>
        </w:rPr>
        <w:t xml:space="preserve"> OR </w:t>
      </w:r>
      <w:proofErr w:type="spellStart"/>
      <w:r w:rsidRPr="00214F41">
        <w:rPr>
          <w:rStyle w:val="Hipercze"/>
          <w:color w:val="000000"/>
        </w:rPr>
        <w:t>dimethylbiguanide</w:t>
      </w:r>
      <w:proofErr w:type="spellEnd"/>
      <w:r w:rsidRPr="00214F41">
        <w:rPr>
          <w:color w:val="000000"/>
        </w:rPr>
        <w:t xml:space="preserve"> OR </w:t>
      </w:r>
      <w:r w:rsidRPr="00214F41">
        <w:rPr>
          <w:rStyle w:val="Hipercze"/>
          <w:color w:val="000000"/>
        </w:rPr>
        <w:t>metformin</w:t>
      </w:r>
      <w:r w:rsidRPr="00214F41">
        <w:rPr>
          <w:color w:val="000000"/>
        </w:rPr>
        <w:t xml:space="preserve"> OR </w:t>
      </w:r>
      <w:proofErr w:type="spellStart"/>
      <w:r w:rsidRPr="00214F41">
        <w:rPr>
          <w:rStyle w:val="Hipercze"/>
          <w:color w:val="000000"/>
        </w:rPr>
        <w:t>metformina</w:t>
      </w:r>
      <w:proofErr w:type="spellEnd"/>
      <w:r w:rsidRPr="00214F41">
        <w:rPr>
          <w:color w:val="000000"/>
        </w:rPr>
        <w:t xml:space="preserve"> OR </w:t>
      </w:r>
      <w:proofErr w:type="spellStart"/>
      <w:r w:rsidRPr="00214F41">
        <w:rPr>
          <w:rStyle w:val="Hipercze"/>
          <w:color w:val="000000"/>
        </w:rPr>
        <w:t>metformine</w:t>
      </w:r>
      <w:proofErr w:type="spellEnd"/>
      <w:r w:rsidRPr="00214F41">
        <w:rPr>
          <w:color w:val="000000"/>
        </w:rPr>
        <w:t xml:space="preserve"> OR </w:t>
      </w:r>
      <w:proofErr w:type="spellStart"/>
      <w:r w:rsidRPr="00214F41">
        <w:rPr>
          <w:rStyle w:val="Hipercze"/>
          <w:color w:val="000000"/>
        </w:rPr>
        <w:t>methformin</w:t>
      </w:r>
      <w:proofErr w:type="spellEnd"/>
      <w:r w:rsidRPr="00214F41">
        <w:rPr>
          <w:color w:val="000000"/>
        </w:rPr>
        <w:t xml:space="preserve"> OR </w:t>
      </w:r>
      <w:proofErr w:type="spellStart"/>
      <w:r w:rsidRPr="00214F41">
        <w:rPr>
          <w:rStyle w:val="Hipercze"/>
          <w:color w:val="000000"/>
        </w:rPr>
        <w:t>metiguanide</w:t>
      </w:r>
      <w:proofErr w:type="spellEnd"/>
      <w:r w:rsidRPr="00214F41">
        <w:rPr>
          <w:color w:val="000000"/>
        </w:rPr>
        <w:t xml:space="preserve"> OR </w:t>
      </w:r>
      <w:proofErr w:type="spellStart"/>
      <w:r w:rsidRPr="00214F41">
        <w:rPr>
          <w:rStyle w:val="Hipercze"/>
          <w:color w:val="000000"/>
        </w:rPr>
        <w:t>metphormin</w:t>
      </w:r>
      <w:proofErr w:type="spellEnd"/>
      <w:r w:rsidRPr="00214F41">
        <w:rPr>
          <w:color w:val="000000"/>
        </w:rPr>
        <w:t xml:space="preserve"> OR </w:t>
      </w:r>
      <w:r w:rsidRPr="00214F41">
        <w:rPr>
          <w:rStyle w:val="Hipercze"/>
          <w:color w:val="000000"/>
        </w:rPr>
        <w:t xml:space="preserve">n` </w:t>
      </w:r>
      <w:proofErr w:type="spellStart"/>
      <w:r w:rsidRPr="00214F41">
        <w:rPr>
          <w:rStyle w:val="Hipercze"/>
          <w:color w:val="000000"/>
        </w:rPr>
        <w:t>dimethylguanylguanide</w:t>
      </w:r>
      <w:proofErr w:type="spellEnd"/>
      <w:r w:rsidRPr="00214F41">
        <w:rPr>
          <w:color w:val="000000"/>
        </w:rPr>
        <w:t xml:space="preserve"> OR </w:t>
      </w:r>
      <w:r w:rsidRPr="00214F41">
        <w:rPr>
          <w:rStyle w:val="Hipercze"/>
          <w:color w:val="000000"/>
        </w:rPr>
        <w:t xml:space="preserve">n` </w:t>
      </w:r>
      <w:proofErr w:type="spellStart"/>
      <w:r w:rsidRPr="00214F41">
        <w:rPr>
          <w:rStyle w:val="Hipercze"/>
          <w:color w:val="000000"/>
        </w:rPr>
        <w:t>dimethylguanylguanidine</w:t>
      </w:r>
      <w:proofErr w:type="spellEnd"/>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dimethyldiguanide</w:t>
      </w:r>
      <w:proofErr w:type="spellEnd"/>
      <w:r w:rsidRPr="00214F41">
        <w:rPr>
          <w:color w:val="000000"/>
        </w:rPr>
        <w:t xml:space="preserve"> OR </w:t>
      </w:r>
      <w:r w:rsidRPr="00214F41">
        <w:rPr>
          <w:rStyle w:val="Hipercze"/>
          <w:color w:val="000000"/>
        </w:rPr>
        <w:t xml:space="preserve">n, n dimethyl </w:t>
      </w:r>
      <w:proofErr w:type="spellStart"/>
      <w:r w:rsidRPr="00214F41">
        <w:rPr>
          <w:rStyle w:val="Hipercze"/>
          <w:color w:val="000000"/>
        </w:rPr>
        <w:t>biguanidine</w:t>
      </w:r>
      <w:proofErr w:type="spellEnd"/>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dimethylbiguanide</w:t>
      </w:r>
      <w:proofErr w:type="spellEnd"/>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dimethyldiguanide</w:t>
      </w:r>
      <w:proofErr w:type="spellEnd"/>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dimethylbiguanidine</w:t>
      </w:r>
      <w:proofErr w:type="spellEnd"/>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dimethylbiguanide</w:t>
      </w:r>
      <w:proofErr w:type="spellEnd"/>
      <w:r w:rsidRPr="00214F41">
        <w:rPr>
          <w:rStyle w:val="Hipercze"/>
          <w:color w:val="000000"/>
        </w:rPr>
        <w:t xml:space="preserve"> retard</w:t>
      </w:r>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dimethylguanylguanidine</w:t>
      </w:r>
      <w:proofErr w:type="spellEnd"/>
      <w:r w:rsidRPr="00214F41">
        <w:rPr>
          <w:color w:val="000000"/>
        </w:rPr>
        <w:t>) AND (</w:t>
      </w:r>
      <w:r w:rsidRPr="00214F41">
        <w:rPr>
          <w:rStyle w:val="Hipercze"/>
          <w:color w:val="000000"/>
        </w:rPr>
        <w:t>abdominal pain</w:t>
      </w:r>
      <w:r w:rsidRPr="00214F41">
        <w:rPr>
          <w:color w:val="000000"/>
        </w:rPr>
        <w:t xml:space="preserve"> OR </w:t>
      </w:r>
      <w:r w:rsidRPr="00214F41">
        <w:rPr>
          <w:rStyle w:val="Hipercze"/>
          <w:color w:val="000000"/>
        </w:rPr>
        <w:t>abdomen pain</w:t>
      </w:r>
      <w:r w:rsidRPr="00214F41">
        <w:rPr>
          <w:color w:val="000000"/>
        </w:rPr>
        <w:t xml:space="preserve"> OR </w:t>
      </w:r>
      <w:r w:rsidRPr="00214F41">
        <w:rPr>
          <w:rStyle w:val="Hipercze"/>
          <w:color w:val="000000"/>
        </w:rPr>
        <w:t>abdominal pain</w:t>
      </w:r>
      <w:r w:rsidRPr="00214F41">
        <w:rPr>
          <w:color w:val="000000"/>
        </w:rPr>
        <w:t xml:space="preserve"> OR </w:t>
      </w:r>
      <w:r w:rsidRPr="00214F41">
        <w:rPr>
          <w:rStyle w:val="Hipercze"/>
          <w:color w:val="000000"/>
        </w:rPr>
        <w:t>pain, abdominal</w:t>
      </w:r>
      <w:r w:rsidRPr="00214F41">
        <w:rPr>
          <w:color w:val="000000"/>
        </w:rPr>
        <w:t xml:space="preserve"> OR </w:t>
      </w:r>
      <w:r w:rsidRPr="00214F41">
        <w:rPr>
          <w:rStyle w:val="Hipercze"/>
          <w:color w:val="000000"/>
        </w:rPr>
        <w:t>nausea and vomiting</w:t>
      </w:r>
      <w:r w:rsidRPr="00214F41">
        <w:rPr>
          <w:color w:val="000000"/>
        </w:rPr>
        <w:t xml:space="preserve"> OR </w:t>
      </w:r>
      <w:r w:rsidRPr="00214F41">
        <w:rPr>
          <w:rStyle w:val="Hipercze"/>
          <w:color w:val="000000"/>
        </w:rPr>
        <w:t>nausea and emesis</w:t>
      </w:r>
      <w:r w:rsidRPr="00214F41">
        <w:rPr>
          <w:color w:val="000000"/>
        </w:rPr>
        <w:t xml:space="preserve"> OR </w:t>
      </w:r>
      <w:r w:rsidRPr="00214F41">
        <w:rPr>
          <w:rStyle w:val="Hipercze"/>
          <w:color w:val="000000"/>
        </w:rPr>
        <w:t>nausea and vomiting</w:t>
      </w:r>
      <w:r w:rsidRPr="00214F41">
        <w:rPr>
          <w:color w:val="000000"/>
        </w:rPr>
        <w:t xml:space="preserve"> OR </w:t>
      </w:r>
      <w:r w:rsidRPr="00214F41">
        <w:rPr>
          <w:rStyle w:val="Hipercze"/>
          <w:color w:val="000000"/>
        </w:rPr>
        <w:t>nausea emesis</w:t>
      </w:r>
      <w:r w:rsidRPr="00214F41">
        <w:rPr>
          <w:color w:val="000000"/>
        </w:rPr>
        <w:t xml:space="preserve"> OR </w:t>
      </w:r>
      <w:r w:rsidRPr="00214F41">
        <w:rPr>
          <w:rStyle w:val="Hipercze"/>
          <w:color w:val="000000"/>
        </w:rPr>
        <w:t>bloating</w:t>
      </w:r>
      <w:r w:rsidRPr="00214F41">
        <w:rPr>
          <w:color w:val="000000"/>
        </w:rPr>
        <w:t xml:space="preserve"> OR </w:t>
      </w:r>
      <w:r w:rsidRPr="00214F41">
        <w:rPr>
          <w:rStyle w:val="Hipercze"/>
          <w:color w:val="000000"/>
        </w:rPr>
        <w:t>abdominal bloating</w:t>
      </w:r>
      <w:r w:rsidRPr="00214F41">
        <w:rPr>
          <w:color w:val="000000"/>
        </w:rPr>
        <w:t xml:space="preserve"> OR </w:t>
      </w:r>
      <w:r w:rsidRPr="00214F41">
        <w:rPr>
          <w:rStyle w:val="Hipercze"/>
          <w:color w:val="000000"/>
        </w:rPr>
        <w:t>bloating</w:t>
      </w:r>
      <w:r w:rsidRPr="00214F41">
        <w:rPr>
          <w:color w:val="000000"/>
        </w:rPr>
        <w:t xml:space="preserve"> OR </w:t>
      </w:r>
      <w:r w:rsidRPr="00214F41">
        <w:rPr>
          <w:rStyle w:val="Hipercze"/>
          <w:color w:val="000000"/>
        </w:rPr>
        <w:t>diarrhea</w:t>
      </w:r>
      <w:r w:rsidRPr="00214F41">
        <w:rPr>
          <w:color w:val="000000"/>
        </w:rPr>
        <w:t xml:space="preserve"> OR </w:t>
      </w:r>
      <w:r w:rsidRPr="00214F41">
        <w:rPr>
          <w:rStyle w:val="Hipercze"/>
          <w:color w:val="000000"/>
        </w:rPr>
        <w:t>diarrhea</w:t>
      </w:r>
      <w:r w:rsidRPr="00214F41">
        <w:rPr>
          <w:color w:val="000000"/>
        </w:rPr>
        <w:t xml:space="preserve"> OR </w:t>
      </w:r>
      <w:r w:rsidRPr="00214F41">
        <w:rPr>
          <w:rStyle w:val="Hipercze"/>
          <w:color w:val="000000"/>
        </w:rPr>
        <w:t>diarrhea, toxic</w:t>
      </w:r>
      <w:r w:rsidRPr="00214F41">
        <w:rPr>
          <w:color w:val="000000"/>
        </w:rPr>
        <w:t xml:space="preserve"> OR </w:t>
      </w:r>
      <w:proofErr w:type="spellStart"/>
      <w:r w:rsidRPr="00214F41">
        <w:rPr>
          <w:rStyle w:val="Hipercze"/>
          <w:color w:val="000000"/>
        </w:rPr>
        <w:t>diarrhoea</w:t>
      </w:r>
      <w:proofErr w:type="spellEnd"/>
      <w:r w:rsidRPr="00214F41">
        <w:rPr>
          <w:color w:val="000000"/>
        </w:rPr>
        <w:t xml:space="preserve"> OR </w:t>
      </w:r>
      <w:proofErr w:type="spellStart"/>
      <w:r w:rsidRPr="00214F41">
        <w:rPr>
          <w:rStyle w:val="Hipercze"/>
          <w:color w:val="000000"/>
        </w:rPr>
        <w:t>diarrhoea</w:t>
      </w:r>
      <w:proofErr w:type="spellEnd"/>
      <w:r w:rsidRPr="00214F41">
        <w:rPr>
          <w:rStyle w:val="Hipercze"/>
          <w:color w:val="000000"/>
        </w:rPr>
        <w:t>, toxic</w:t>
      </w:r>
      <w:r w:rsidRPr="00214F41">
        <w:rPr>
          <w:color w:val="000000"/>
        </w:rPr>
        <w:t xml:space="preserve"> OR </w:t>
      </w:r>
      <w:r w:rsidRPr="00214F41">
        <w:rPr>
          <w:rStyle w:val="Hipercze"/>
          <w:color w:val="000000"/>
        </w:rPr>
        <w:t>postoperative diarrhea</w:t>
      </w:r>
      <w:r w:rsidRPr="00214F41">
        <w:rPr>
          <w:color w:val="000000"/>
        </w:rPr>
        <w:t xml:space="preserve"> OR </w:t>
      </w:r>
      <w:r w:rsidRPr="00214F41">
        <w:rPr>
          <w:rStyle w:val="Hipercze"/>
          <w:color w:val="000000"/>
        </w:rPr>
        <w:t xml:space="preserve">postoperative </w:t>
      </w:r>
      <w:proofErr w:type="spellStart"/>
      <w:r w:rsidRPr="00214F41">
        <w:rPr>
          <w:rStyle w:val="Hipercze"/>
          <w:color w:val="000000"/>
        </w:rPr>
        <w:t>diarrhoea</w:t>
      </w:r>
      <w:proofErr w:type="spellEnd"/>
      <w:r w:rsidRPr="00214F41">
        <w:rPr>
          <w:color w:val="000000"/>
        </w:rPr>
        <w:t xml:space="preserve"> OR </w:t>
      </w:r>
      <w:r w:rsidRPr="00214F41">
        <w:rPr>
          <w:rStyle w:val="Hipercze"/>
          <w:color w:val="000000"/>
        </w:rPr>
        <w:t>scour</w:t>
      </w:r>
      <w:r w:rsidRPr="00214F41">
        <w:rPr>
          <w:color w:val="000000"/>
        </w:rPr>
        <w:t xml:space="preserve"> OR </w:t>
      </w:r>
      <w:r w:rsidRPr="00214F41">
        <w:rPr>
          <w:rStyle w:val="Hipercze"/>
          <w:color w:val="000000"/>
        </w:rPr>
        <w:t>toxic diarrhea</w:t>
      </w:r>
      <w:r w:rsidRPr="00214F41">
        <w:rPr>
          <w:color w:val="000000"/>
        </w:rPr>
        <w:t xml:space="preserve"> OR </w:t>
      </w:r>
      <w:r w:rsidRPr="00214F41">
        <w:rPr>
          <w:rStyle w:val="Hipercze"/>
          <w:color w:val="000000"/>
        </w:rPr>
        <w:t xml:space="preserve">toxic </w:t>
      </w:r>
      <w:proofErr w:type="spellStart"/>
      <w:r w:rsidRPr="00214F41">
        <w:rPr>
          <w:rStyle w:val="Hipercze"/>
          <w:color w:val="000000"/>
        </w:rPr>
        <w:t>diarrhoea</w:t>
      </w:r>
      <w:proofErr w:type="spellEnd"/>
      <w:r w:rsidRPr="00214F41">
        <w:rPr>
          <w:color w:val="000000"/>
        </w:rPr>
        <w:t>) NOT (</w:t>
      </w:r>
      <w:r w:rsidRPr="00214F41">
        <w:rPr>
          <w:rStyle w:val="Hipercze"/>
          <w:color w:val="000000"/>
        </w:rPr>
        <w:t>review</w:t>
      </w:r>
      <w:r w:rsidRPr="00214F41">
        <w:rPr>
          <w:color w:val="000000"/>
        </w:rPr>
        <w:t xml:space="preserve"> OR </w:t>
      </w:r>
      <w:proofErr w:type="spellStart"/>
      <w:r w:rsidRPr="00214F41">
        <w:rPr>
          <w:rStyle w:val="Hipercze"/>
          <w:color w:val="000000"/>
        </w:rPr>
        <w:t>meta analysis</w:t>
      </w:r>
      <w:proofErr w:type="spellEnd"/>
      <w:r w:rsidRPr="00214F41">
        <w:rPr>
          <w:color w:val="000000"/>
        </w:rPr>
        <w:t xml:space="preserve"> OR </w:t>
      </w:r>
      <w:r w:rsidRPr="00214F41">
        <w:rPr>
          <w:rStyle w:val="Hipercze"/>
          <w:color w:val="000000"/>
        </w:rPr>
        <w:t>systematic review</w:t>
      </w:r>
      <w:r w:rsidRPr="00214F41">
        <w:rPr>
          <w:color w:val="000000"/>
        </w:rPr>
        <w:t>)</w:t>
      </w:r>
    </w:p>
    <w:p w14:paraId="72200EA6" w14:textId="77777777" w:rsidR="005A043A" w:rsidRPr="00214F41" w:rsidRDefault="005A043A" w:rsidP="005A043A">
      <w:pPr>
        <w:spacing w:line="276" w:lineRule="auto"/>
        <w:jc w:val="both"/>
        <w:rPr>
          <w:rStyle w:val="Hipercze"/>
          <w:color w:val="000000"/>
        </w:rPr>
      </w:pPr>
      <w:r w:rsidRPr="00214F41">
        <w:rPr>
          <w:rStyle w:val="Hipercze"/>
          <w:color w:val="000000"/>
        </w:rPr>
        <w:t>EMBASE</w:t>
      </w:r>
    </w:p>
    <w:p w14:paraId="52DEDF21" w14:textId="77777777" w:rsidR="005A043A" w:rsidRPr="00214F41" w:rsidRDefault="005A043A" w:rsidP="005A043A">
      <w:pPr>
        <w:spacing w:line="276" w:lineRule="auto"/>
        <w:jc w:val="both"/>
        <w:rPr>
          <w:color w:val="000000"/>
        </w:rPr>
      </w:pPr>
      <w:r w:rsidRPr="00214F41">
        <w:rPr>
          <w:color w:val="000000"/>
        </w:rPr>
        <w:t>(</w:t>
      </w:r>
      <w:r w:rsidRPr="00214F41">
        <w:rPr>
          <w:rStyle w:val="Hipercze"/>
          <w:color w:val="000000"/>
        </w:rPr>
        <w:t>'diabetes mellitus'</w:t>
      </w:r>
      <w:r w:rsidRPr="00214F41">
        <w:rPr>
          <w:color w:val="000000"/>
        </w:rPr>
        <w:t xml:space="preserve"> OR </w:t>
      </w:r>
      <w:r w:rsidRPr="00214F41">
        <w:rPr>
          <w:rStyle w:val="Hipercze"/>
          <w:color w:val="000000"/>
        </w:rPr>
        <w:t>'diabetes'</w:t>
      </w:r>
      <w:r w:rsidRPr="00214F41">
        <w:rPr>
          <w:color w:val="000000"/>
        </w:rPr>
        <w:t xml:space="preserve"> OR </w:t>
      </w:r>
      <w:r w:rsidRPr="00214F41">
        <w:rPr>
          <w:rStyle w:val="Hipercze"/>
          <w:color w:val="000000"/>
        </w:rPr>
        <w:t>'diabetes mellitus'</w:t>
      </w:r>
      <w:r w:rsidRPr="00214F41">
        <w:rPr>
          <w:color w:val="000000"/>
        </w:rPr>
        <w:t xml:space="preserve"> OR </w:t>
      </w:r>
      <w:r w:rsidRPr="00214F41">
        <w:rPr>
          <w:rStyle w:val="Hipercze"/>
          <w:color w:val="000000"/>
        </w:rPr>
        <w:t>'diabetic'</w:t>
      </w:r>
      <w:r w:rsidRPr="00214F41">
        <w:rPr>
          <w:color w:val="000000"/>
        </w:rPr>
        <w:t xml:space="preserve"> OR </w:t>
      </w:r>
      <w:r w:rsidRPr="00214F41">
        <w:rPr>
          <w:rStyle w:val="Hipercze"/>
          <w:color w:val="000000"/>
        </w:rPr>
        <w:t>'insulin resistance'</w:t>
      </w:r>
      <w:r w:rsidRPr="00214F41">
        <w:rPr>
          <w:color w:val="000000"/>
        </w:rPr>
        <w:t xml:space="preserve"> OR </w:t>
      </w:r>
      <w:r w:rsidRPr="00214F41">
        <w:rPr>
          <w:rStyle w:val="Hipercze"/>
          <w:color w:val="000000"/>
        </w:rPr>
        <w:t>'insulin resistance'</w:t>
      </w:r>
      <w:r w:rsidRPr="00214F41">
        <w:rPr>
          <w:color w:val="000000"/>
        </w:rPr>
        <w:t xml:space="preserve"> OR </w:t>
      </w:r>
      <w:r w:rsidRPr="00214F41">
        <w:rPr>
          <w:rStyle w:val="Hipercze"/>
          <w:color w:val="000000"/>
        </w:rPr>
        <w:t xml:space="preserve">'resistance, </w:t>
      </w:r>
      <w:proofErr w:type="spellStart"/>
      <w:r w:rsidRPr="00214F41">
        <w:rPr>
          <w:rStyle w:val="Hipercze"/>
          <w:color w:val="000000"/>
        </w:rPr>
        <w:t>insuline</w:t>
      </w:r>
      <w:proofErr w:type="spellEnd"/>
      <w:r w:rsidRPr="00214F41">
        <w:rPr>
          <w:rStyle w:val="Hipercze"/>
          <w:color w:val="000000"/>
        </w:rPr>
        <w:t>'</w:t>
      </w:r>
      <w:r w:rsidRPr="00214F41">
        <w:rPr>
          <w:color w:val="000000"/>
        </w:rPr>
        <w:t>) AND (</w:t>
      </w:r>
      <w:r w:rsidRPr="00214F41">
        <w:rPr>
          <w:rStyle w:val="Hipercze"/>
          <w:color w:val="000000"/>
        </w:rPr>
        <w:t>'metformin'</w:t>
      </w:r>
      <w:r w:rsidRPr="00214F41">
        <w:rPr>
          <w:color w:val="000000"/>
        </w:rPr>
        <w:t xml:space="preserve"> OR </w:t>
      </w:r>
      <w:r w:rsidRPr="00214F41">
        <w:rPr>
          <w:rStyle w:val="Hipercze"/>
          <w:color w:val="000000"/>
        </w:rPr>
        <w:t xml:space="preserve">'1, 1 </w:t>
      </w:r>
      <w:proofErr w:type="spellStart"/>
      <w:r w:rsidRPr="00214F41">
        <w:rPr>
          <w:rStyle w:val="Hipercze"/>
          <w:color w:val="000000"/>
        </w:rPr>
        <w:t>dimethylbiguanide</w:t>
      </w:r>
      <w:proofErr w:type="spellEnd"/>
      <w:r w:rsidRPr="00214F41">
        <w:rPr>
          <w:rStyle w:val="Hipercze"/>
          <w:color w:val="000000"/>
        </w:rPr>
        <w:t>'</w:t>
      </w:r>
      <w:r w:rsidRPr="00214F41">
        <w:rPr>
          <w:color w:val="000000"/>
        </w:rPr>
        <w:t xml:space="preserve"> OR </w:t>
      </w:r>
      <w:r w:rsidRPr="00214F41">
        <w:rPr>
          <w:rStyle w:val="Hipercze"/>
          <w:color w:val="000000"/>
        </w:rPr>
        <w:t>'</w:t>
      </w:r>
      <w:proofErr w:type="spellStart"/>
      <w:r w:rsidRPr="00214F41">
        <w:rPr>
          <w:rStyle w:val="Hipercze"/>
          <w:color w:val="000000"/>
        </w:rPr>
        <w:t>dimethyldiguanide</w:t>
      </w:r>
      <w:proofErr w:type="spellEnd"/>
      <w:r w:rsidRPr="00214F41">
        <w:rPr>
          <w:rStyle w:val="Hipercze"/>
          <w:color w:val="000000"/>
        </w:rPr>
        <w:t>'</w:t>
      </w:r>
      <w:r w:rsidRPr="00214F41">
        <w:rPr>
          <w:color w:val="000000"/>
        </w:rPr>
        <w:t xml:space="preserve"> OR </w:t>
      </w:r>
      <w:r w:rsidRPr="00214F41">
        <w:rPr>
          <w:rStyle w:val="Hipercze"/>
          <w:color w:val="000000"/>
        </w:rPr>
        <w:t>'</w:t>
      </w:r>
      <w:proofErr w:type="spellStart"/>
      <w:r w:rsidRPr="00214F41">
        <w:rPr>
          <w:rStyle w:val="Hipercze"/>
          <w:color w:val="000000"/>
        </w:rPr>
        <w:t>dimethylbiguanide</w:t>
      </w:r>
      <w:proofErr w:type="spellEnd"/>
      <w:r w:rsidRPr="00214F41">
        <w:rPr>
          <w:rStyle w:val="Hipercze"/>
          <w:color w:val="000000"/>
        </w:rPr>
        <w:t>'</w:t>
      </w:r>
      <w:r w:rsidRPr="00214F41">
        <w:rPr>
          <w:color w:val="000000"/>
        </w:rPr>
        <w:t xml:space="preserve"> OR </w:t>
      </w:r>
      <w:r w:rsidRPr="00214F41">
        <w:rPr>
          <w:rStyle w:val="Hipercze"/>
          <w:color w:val="000000"/>
        </w:rPr>
        <w:t>'metformin'</w:t>
      </w:r>
      <w:r w:rsidRPr="00214F41">
        <w:rPr>
          <w:color w:val="000000"/>
        </w:rPr>
        <w:t xml:space="preserve"> OR </w:t>
      </w:r>
      <w:r w:rsidRPr="00214F41">
        <w:rPr>
          <w:rStyle w:val="Hipercze"/>
          <w:color w:val="000000"/>
        </w:rPr>
        <w:t>'</w:t>
      </w:r>
      <w:proofErr w:type="spellStart"/>
      <w:r w:rsidRPr="00214F41">
        <w:rPr>
          <w:rStyle w:val="Hipercze"/>
          <w:color w:val="000000"/>
        </w:rPr>
        <w:t>metformina</w:t>
      </w:r>
      <w:proofErr w:type="spellEnd"/>
      <w:r w:rsidRPr="00214F41">
        <w:rPr>
          <w:rStyle w:val="Hipercze"/>
          <w:color w:val="000000"/>
        </w:rPr>
        <w:t>'</w:t>
      </w:r>
      <w:r w:rsidRPr="00214F41">
        <w:rPr>
          <w:color w:val="000000"/>
        </w:rPr>
        <w:t xml:space="preserve"> OR </w:t>
      </w:r>
      <w:r w:rsidRPr="00214F41">
        <w:rPr>
          <w:rStyle w:val="Hipercze"/>
          <w:color w:val="000000"/>
        </w:rPr>
        <w:t>'</w:t>
      </w:r>
      <w:proofErr w:type="spellStart"/>
      <w:r w:rsidRPr="00214F41">
        <w:rPr>
          <w:rStyle w:val="Hipercze"/>
          <w:color w:val="000000"/>
        </w:rPr>
        <w:t>metformine</w:t>
      </w:r>
      <w:proofErr w:type="spellEnd"/>
      <w:r w:rsidRPr="00214F41">
        <w:rPr>
          <w:rStyle w:val="Hipercze"/>
          <w:color w:val="000000"/>
        </w:rPr>
        <w:t>'</w:t>
      </w:r>
      <w:r w:rsidRPr="00214F41">
        <w:rPr>
          <w:color w:val="000000"/>
        </w:rPr>
        <w:t xml:space="preserve"> OR </w:t>
      </w:r>
      <w:r w:rsidRPr="00214F41">
        <w:rPr>
          <w:rStyle w:val="Hipercze"/>
          <w:color w:val="000000"/>
        </w:rPr>
        <w:t>'</w:t>
      </w:r>
      <w:proofErr w:type="spellStart"/>
      <w:r w:rsidRPr="00214F41">
        <w:rPr>
          <w:rStyle w:val="Hipercze"/>
          <w:color w:val="000000"/>
        </w:rPr>
        <w:t>methformin</w:t>
      </w:r>
      <w:proofErr w:type="spellEnd"/>
      <w:r w:rsidRPr="00214F41">
        <w:rPr>
          <w:rStyle w:val="Hipercze"/>
          <w:color w:val="000000"/>
        </w:rPr>
        <w:t>'</w:t>
      </w:r>
      <w:r w:rsidRPr="00214F41">
        <w:rPr>
          <w:color w:val="000000"/>
        </w:rPr>
        <w:t xml:space="preserve"> OR </w:t>
      </w:r>
      <w:r w:rsidRPr="00214F41">
        <w:rPr>
          <w:rStyle w:val="Hipercze"/>
          <w:color w:val="000000"/>
        </w:rPr>
        <w:t>'</w:t>
      </w:r>
      <w:proofErr w:type="spellStart"/>
      <w:r w:rsidRPr="00214F41">
        <w:rPr>
          <w:rStyle w:val="Hipercze"/>
          <w:color w:val="000000"/>
        </w:rPr>
        <w:t>metiguanide</w:t>
      </w:r>
      <w:proofErr w:type="spellEnd"/>
      <w:r w:rsidRPr="00214F41">
        <w:rPr>
          <w:rStyle w:val="Hipercze"/>
          <w:color w:val="000000"/>
        </w:rPr>
        <w:t>'</w:t>
      </w:r>
      <w:r w:rsidRPr="00214F41">
        <w:rPr>
          <w:color w:val="000000"/>
        </w:rPr>
        <w:t xml:space="preserve"> OR </w:t>
      </w:r>
      <w:r w:rsidRPr="00214F41">
        <w:rPr>
          <w:rStyle w:val="Hipercze"/>
          <w:color w:val="000000"/>
        </w:rPr>
        <w:t>'</w:t>
      </w:r>
      <w:proofErr w:type="spellStart"/>
      <w:r w:rsidRPr="00214F41">
        <w:rPr>
          <w:rStyle w:val="Hipercze"/>
          <w:color w:val="000000"/>
        </w:rPr>
        <w:t>metphormin</w:t>
      </w:r>
      <w:proofErr w:type="spellEnd"/>
      <w:r w:rsidRPr="00214F41">
        <w:rPr>
          <w:rStyle w:val="Hipercze"/>
          <w:color w:val="000000"/>
        </w:rPr>
        <w:t>'</w:t>
      </w:r>
      <w:r w:rsidRPr="00214F41">
        <w:rPr>
          <w:color w:val="000000"/>
        </w:rPr>
        <w:t xml:space="preserve"> OR </w:t>
      </w:r>
      <w:r w:rsidRPr="00214F41">
        <w:rPr>
          <w:rStyle w:val="Hipercze"/>
          <w:color w:val="000000"/>
        </w:rPr>
        <w:t xml:space="preserve">'n` </w:t>
      </w:r>
      <w:proofErr w:type="spellStart"/>
      <w:r w:rsidRPr="00214F41">
        <w:rPr>
          <w:rStyle w:val="Hipercze"/>
          <w:color w:val="000000"/>
        </w:rPr>
        <w:t>dimethylguanylguanide</w:t>
      </w:r>
      <w:proofErr w:type="spellEnd"/>
      <w:r w:rsidRPr="00214F41">
        <w:rPr>
          <w:rStyle w:val="Hipercze"/>
          <w:color w:val="000000"/>
        </w:rPr>
        <w:t>'</w:t>
      </w:r>
      <w:r w:rsidRPr="00214F41">
        <w:rPr>
          <w:color w:val="000000"/>
        </w:rPr>
        <w:t xml:space="preserve"> OR </w:t>
      </w:r>
      <w:r w:rsidRPr="00214F41">
        <w:rPr>
          <w:rStyle w:val="Hipercze"/>
          <w:color w:val="000000"/>
        </w:rPr>
        <w:t xml:space="preserve">'n` </w:t>
      </w:r>
      <w:proofErr w:type="spellStart"/>
      <w:r w:rsidRPr="00214F41">
        <w:rPr>
          <w:rStyle w:val="Hipercze"/>
          <w:color w:val="000000"/>
        </w:rPr>
        <w:t>dimethylguanylguanidine</w:t>
      </w:r>
      <w:proofErr w:type="spellEnd"/>
      <w:r w:rsidRPr="00214F41">
        <w:rPr>
          <w:rStyle w:val="Hipercze"/>
          <w:color w:val="000000"/>
        </w:rPr>
        <w:t>'</w:t>
      </w:r>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dimethyldiguanide</w:t>
      </w:r>
      <w:proofErr w:type="spellEnd"/>
      <w:r w:rsidRPr="00214F41">
        <w:rPr>
          <w:rStyle w:val="Hipercze"/>
          <w:color w:val="000000"/>
        </w:rPr>
        <w:t>'</w:t>
      </w:r>
      <w:r w:rsidRPr="00214F41">
        <w:rPr>
          <w:color w:val="000000"/>
        </w:rPr>
        <w:t xml:space="preserve"> OR </w:t>
      </w:r>
      <w:r w:rsidRPr="00214F41">
        <w:rPr>
          <w:rStyle w:val="Hipercze"/>
          <w:color w:val="000000"/>
        </w:rPr>
        <w:t xml:space="preserve">'n, n dimethyl </w:t>
      </w:r>
      <w:proofErr w:type="spellStart"/>
      <w:r w:rsidRPr="00214F41">
        <w:rPr>
          <w:rStyle w:val="Hipercze"/>
          <w:color w:val="000000"/>
        </w:rPr>
        <w:t>biguanidine</w:t>
      </w:r>
      <w:proofErr w:type="spellEnd"/>
      <w:r w:rsidRPr="00214F41">
        <w:rPr>
          <w:rStyle w:val="Hipercze"/>
          <w:color w:val="000000"/>
        </w:rPr>
        <w:t>'</w:t>
      </w:r>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dimethylbiguanide</w:t>
      </w:r>
      <w:proofErr w:type="spellEnd"/>
      <w:r w:rsidRPr="00214F41">
        <w:rPr>
          <w:rStyle w:val="Hipercze"/>
          <w:color w:val="000000"/>
        </w:rPr>
        <w:t>'</w:t>
      </w:r>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dimethyldiguanide</w:t>
      </w:r>
      <w:proofErr w:type="spellEnd"/>
      <w:r w:rsidRPr="00214F41">
        <w:rPr>
          <w:rStyle w:val="Hipercze"/>
          <w:color w:val="000000"/>
        </w:rPr>
        <w:t>'</w:t>
      </w:r>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dimethylbiguanidine</w:t>
      </w:r>
      <w:proofErr w:type="spellEnd"/>
      <w:r w:rsidRPr="00214F41">
        <w:rPr>
          <w:rStyle w:val="Hipercze"/>
          <w:color w:val="000000"/>
        </w:rPr>
        <w:t>'</w:t>
      </w:r>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dimethylbiguanide</w:t>
      </w:r>
      <w:proofErr w:type="spellEnd"/>
      <w:r w:rsidRPr="00214F41">
        <w:rPr>
          <w:rStyle w:val="Hipercze"/>
          <w:color w:val="000000"/>
        </w:rPr>
        <w:t xml:space="preserve"> retard'</w:t>
      </w:r>
      <w:r w:rsidRPr="00214F41">
        <w:rPr>
          <w:color w:val="000000"/>
        </w:rPr>
        <w:t xml:space="preserve"> OR </w:t>
      </w:r>
      <w:r w:rsidRPr="00214F41">
        <w:rPr>
          <w:rStyle w:val="Hipercze"/>
          <w:color w:val="000000"/>
        </w:rPr>
        <w:t xml:space="preserve">'n, n </w:t>
      </w:r>
      <w:proofErr w:type="spellStart"/>
      <w:r w:rsidRPr="00214F41">
        <w:rPr>
          <w:rStyle w:val="Hipercze"/>
          <w:color w:val="000000"/>
        </w:rPr>
        <w:t>dimethylguanylguanidine</w:t>
      </w:r>
      <w:proofErr w:type="spellEnd"/>
      <w:r w:rsidRPr="00214F41">
        <w:rPr>
          <w:rStyle w:val="Hipercze"/>
          <w:color w:val="000000"/>
        </w:rPr>
        <w:t>'</w:t>
      </w:r>
      <w:r w:rsidRPr="00214F41">
        <w:rPr>
          <w:color w:val="000000"/>
        </w:rPr>
        <w:t>) AND (</w:t>
      </w:r>
      <w:r w:rsidRPr="00214F41">
        <w:rPr>
          <w:rStyle w:val="Hipercze"/>
          <w:color w:val="000000"/>
        </w:rPr>
        <w:t>'abdominal pain'</w:t>
      </w:r>
      <w:r w:rsidRPr="00214F41">
        <w:rPr>
          <w:color w:val="000000"/>
        </w:rPr>
        <w:t xml:space="preserve"> OR </w:t>
      </w:r>
      <w:r w:rsidRPr="00214F41">
        <w:rPr>
          <w:rStyle w:val="Hipercze"/>
          <w:color w:val="000000"/>
        </w:rPr>
        <w:t>'abdomen pain'</w:t>
      </w:r>
      <w:r w:rsidRPr="00214F41">
        <w:rPr>
          <w:color w:val="000000"/>
        </w:rPr>
        <w:t xml:space="preserve"> OR </w:t>
      </w:r>
      <w:r w:rsidRPr="00214F41">
        <w:rPr>
          <w:rStyle w:val="Hipercze"/>
          <w:color w:val="000000"/>
        </w:rPr>
        <w:t>'abdominal pain'</w:t>
      </w:r>
      <w:r w:rsidRPr="00214F41">
        <w:rPr>
          <w:color w:val="000000"/>
        </w:rPr>
        <w:t xml:space="preserve"> OR </w:t>
      </w:r>
      <w:r w:rsidRPr="00214F41">
        <w:rPr>
          <w:rStyle w:val="Hipercze"/>
          <w:color w:val="000000"/>
        </w:rPr>
        <w:t>'pain, abdominal'</w:t>
      </w:r>
      <w:r w:rsidRPr="00214F41">
        <w:rPr>
          <w:color w:val="000000"/>
        </w:rPr>
        <w:t xml:space="preserve"> OR </w:t>
      </w:r>
      <w:r w:rsidRPr="00214F41">
        <w:rPr>
          <w:rStyle w:val="Hipercze"/>
          <w:color w:val="000000"/>
        </w:rPr>
        <w:t>'nausea and vomiting'</w:t>
      </w:r>
      <w:r w:rsidRPr="00214F41">
        <w:rPr>
          <w:color w:val="000000"/>
        </w:rPr>
        <w:t xml:space="preserve"> OR </w:t>
      </w:r>
      <w:r w:rsidRPr="00214F41">
        <w:rPr>
          <w:rStyle w:val="Hipercze"/>
          <w:color w:val="000000"/>
        </w:rPr>
        <w:t xml:space="preserve">'nausea </w:t>
      </w:r>
      <w:r w:rsidRPr="00214F41">
        <w:rPr>
          <w:rStyle w:val="Hipercze"/>
          <w:color w:val="000000"/>
        </w:rPr>
        <w:lastRenderedPageBreak/>
        <w:t>and emesis'</w:t>
      </w:r>
      <w:r w:rsidRPr="00214F41">
        <w:rPr>
          <w:color w:val="000000"/>
        </w:rPr>
        <w:t xml:space="preserve"> OR </w:t>
      </w:r>
      <w:r w:rsidRPr="00214F41">
        <w:rPr>
          <w:rStyle w:val="Hipercze"/>
          <w:color w:val="000000"/>
        </w:rPr>
        <w:t>'nausea and vomiting'</w:t>
      </w:r>
      <w:r w:rsidRPr="00214F41">
        <w:rPr>
          <w:color w:val="000000"/>
        </w:rPr>
        <w:t xml:space="preserve"> OR </w:t>
      </w:r>
      <w:r w:rsidRPr="00214F41">
        <w:rPr>
          <w:rStyle w:val="Hipercze"/>
          <w:color w:val="000000"/>
        </w:rPr>
        <w:t>'</w:t>
      </w:r>
      <w:proofErr w:type="spellStart"/>
      <w:r w:rsidRPr="00214F41">
        <w:rPr>
          <w:rStyle w:val="Hipercze"/>
          <w:color w:val="000000"/>
        </w:rPr>
        <w:t>nauseaemesis</w:t>
      </w:r>
      <w:proofErr w:type="spellEnd"/>
      <w:r w:rsidRPr="00214F41">
        <w:rPr>
          <w:rStyle w:val="Hipercze"/>
          <w:color w:val="000000"/>
        </w:rPr>
        <w:t>'</w:t>
      </w:r>
      <w:r w:rsidRPr="00214F41">
        <w:rPr>
          <w:color w:val="000000"/>
        </w:rPr>
        <w:t xml:space="preserve"> OR </w:t>
      </w:r>
      <w:r w:rsidRPr="00214F41">
        <w:rPr>
          <w:rStyle w:val="Hipercze"/>
          <w:color w:val="000000"/>
        </w:rPr>
        <w:t>'bloating'</w:t>
      </w:r>
      <w:r w:rsidRPr="00214F41">
        <w:rPr>
          <w:color w:val="000000"/>
        </w:rPr>
        <w:t xml:space="preserve"> OR </w:t>
      </w:r>
      <w:r w:rsidRPr="00214F41">
        <w:rPr>
          <w:rStyle w:val="Hipercze"/>
          <w:color w:val="000000"/>
        </w:rPr>
        <w:t>'abdominal bloating'</w:t>
      </w:r>
      <w:r w:rsidRPr="00214F41">
        <w:rPr>
          <w:color w:val="000000"/>
        </w:rPr>
        <w:t xml:space="preserve"> OR </w:t>
      </w:r>
      <w:r w:rsidRPr="00214F41">
        <w:rPr>
          <w:rStyle w:val="Hipercze"/>
          <w:color w:val="000000"/>
        </w:rPr>
        <w:t>'bloating'</w:t>
      </w:r>
      <w:r w:rsidRPr="00214F41">
        <w:rPr>
          <w:color w:val="000000"/>
        </w:rPr>
        <w:t xml:space="preserve"> OR </w:t>
      </w:r>
      <w:r w:rsidRPr="00214F41">
        <w:rPr>
          <w:rStyle w:val="Hipercze"/>
          <w:color w:val="000000"/>
        </w:rPr>
        <w:t>'diarrhea'</w:t>
      </w:r>
      <w:r w:rsidRPr="00214F41">
        <w:rPr>
          <w:color w:val="000000"/>
        </w:rPr>
        <w:t xml:space="preserve"> OR </w:t>
      </w:r>
      <w:r w:rsidRPr="00214F41">
        <w:rPr>
          <w:rStyle w:val="Hipercze"/>
          <w:color w:val="000000"/>
        </w:rPr>
        <w:t>'diarrhea'</w:t>
      </w:r>
      <w:r w:rsidRPr="00214F41">
        <w:rPr>
          <w:color w:val="000000"/>
        </w:rPr>
        <w:t xml:space="preserve"> OR </w:t>
      </w:r>
      <w:r w:rsidRPr="00214F41">
        <w:rPr>
          <w:rStyle w:val="Hipercze"/>
          <w:color w:val="000000"/>
        </w:rPr>
        <w:t>'diarrhea, toxic'</w:t>
      </w:r>
      <w:r w:rsidRPr="00214F41">
        <w:rPr>
          <w:color w:val="000000"/>
        </w:rPr>
        <w:t xml:space="preserve"> OR </w:t>
      </w:r>
      <w:r w:rsidRPr="00214F41">
        <w:rPr>
          <w:rStyle w:val="Hipercze"/>
          <w:color w:val="000000"/>
        </w:rPr>
        <w:t>'</w:t>
      </w:r>
      <w:proofErr w:type="spellStart"/>
      <w:r w:rsidRPr="00214F41">
        <w:rPr>
          <w:rStyle w:val="Hipercze"/>
          <w:color w:val="000000"/>
        </w:rPr>
        <w:t>diarrhoea</w:t>
      </w:r>
      <w:proofErr w:type="spellEnd"/>
      <w:r w:rsidRPr="00214F41">
        <w:rPr>
          <w:rStyle w:val="Hipercze"/>
          <w:color w:val="000000"/>
        </w:rPr>
        <w:t>'</w:t>
      </w:r>
      <w:r w:rsidRPr="00214F41">
        <w:rPr>
          <w:color w:val="000000"/>
        </w:rPr>
        <w:t xml:space="preserve"> OR </w:t>
      </w:r>
      <w:r w:rsidRPr="00214F41">
        <w:rPr>
          <w:rStyle w:val="Hipercze"/>
          <w:color w:val="000000"/>
        </w:rPr>
        <w:t>'</w:t>
      </w:r>
      <w:proofErr w:type="spellStart"/>
      <w:r w:rsidRPr="00214F41">
        <w:rPr>
          <w:rStyle w:val="Hipercze"/>
          <w:color w:val="000000"/>
        </w:rPr>
        <w:t>diarrhoea</w:t>
      </w:r>
      <w:proofErr w:type="spellEnd"/>
      <w:r w:rsidRPr="00214F41">
        <w:rPr>
          <w:rStyle w:val="Hipercze"/>
          <w:color w:val="000000"/>
        </w:rPr>
        <w:t>, toxic'</w:t>
      </w:r>
      <w:r w:rsidRPr="00214F41">
        <w:rPr>
          <w:color w:val="000000"/>
        </w:rPr>
        <w:t xml:space="preserve"> OR </w:t>
      </w:r>
      <w:r w:rsidRPr="00214F41">
        <w:rPr>
          <w:rStyle w:val="Hipercze"/>
          <w:color w:val="000000"/>
        </w:rPr>
        <w:t>'postoperative diarrhea'</w:t>
      </w:r>
      <w:r w:rsidRPr="00214F41">
        <w:rPr>
          <w:color w:val="000000"/>
        </w:rPr>
        <w:t xml:space="preserve"> OR </w:t>
      </w:r>
      <w:r w:rsidRPr="00214F41">
        <w:rPr>
          <w:rStyle w:val="Hipercze"/>
          <w:color w:val="000000"/>
        </w:rPr>
        <w:t xml:space="preserve">'postoperative </w:t>
      </w:r>
      <w:proofErr w:type="spellStart"/>
      <w:r w:rsidRPr="00214F41">
        <w:rPr>
          <w:rStyle w:val="Hipercze"/>
          <w:color w:val="000000"/>
        </w:rPr>
        <w:t>diarrhoea</w:t>
      </w:r>
      <w:proofErr w:type="spellEnd"/>
      <w:r w:rsidRPr="00214F41">
        <w:rPr>
          <w:rStyle w:val="Hipercze"/>
          <w:color w:val="000000"/>
        </w:rPr>
        <w:t>'</w:t>
      </w:r>
      <w:r w:rsidRPr="00214F41">
        <w:rPr>
          <w:color w:val="000000"/>
        </w:rPr>
        <w:t xml:space="preserve"> OR </w:t>
      </w:r>
      <w:r w:rsidRPr="00214F41">
        <w:rPr>
          <w:rStyle w:val="Hipercze"/>
          <w:color w:val="000000"/>
        </w:rPr>
        <w:t>'scour'</w:t>
      </w:r>
      <w:r w:rsidRPr="00214F41">
        <w:rPr>
          <w:color w:val="000000"/>
        </w:rPr>
        <w:t xml:space="preserve"> OR </w:t>
      </w:r>
      <w:r w:rsidRPr="00214F41">
        <w:rPr>
          <w:rStyle w:val="Hipercze"/>
          <w:color w:val="000000"/>
        </w:rPr>
        <w:t>'toxic diarrhea'</w:t>
      </w:r>
      <w:r w:rsidRPr="00214F41">
        <w:rPr>
          <w:color w:val="000000"/>
        </w:rPr>
        <w:t xml:space="preserve"> OR </w:t>
      </w:r>
      <w:r w:rsidRPr="00214F41">
        <w:rPr>
          <w:rStyle w:val="Hipercze"/>
          <w:color w:val="000000"/>
        </w:rPr>
        <w:t xml:space="preserve">'toxic </w:t>
      </w:r>
      <w:proofErr w:type="spellStart"/>
      <w:r w:rsidRPr="00214F41">
        <w:rPr>
          <w:rStyle w:val="Hipercze"/>
          <w:color w:val="000000"/>
        </w:rPr>
        <w:t>diarrhoea</w:t>
      </w:r>
      <w:proofErr w:type="spellEnd"/>
      <w:r w:rsidRPr="00214F41">
        <w:rPr>
          <w:rStyle w:val="Hipercze"/>
          <w:color w:val="000000"/>
        </w:rPr>
        <w:t>'</w:t>
      </w:r>
      <w:r w:rsidRPr="00214F41">
        <w:rPr>
          <w:color w:val="000000"/>
        </w:rPr>
        <w:t>) NOT (</w:t>
      </w:r>
      <w:r w:rsidRPr="00214F41">
        <w:rPr>
          <w:rStyle w:val="Hipercze"/>
          <w:color w:val="000000"/>
        </w:rPr>
        <w:t>'review'</w:t>
      </w:r>
      <w:r w:rsidRPr="00214F41">
        <w:rPr>
          <w:color w:val="000000"/>
        </w:rPr>
        <w:t xml:space="preserve"> OR </w:t>
      </w:r>
      <w:r w:rsidRPr="00214F41">
        <w:rPr>
          <w:rStyle w:val="Hipercze"/>
          <w:color w:val="000000"/>
        </w:rPr>
        <w:t>'</w:t>
      </w:r>
      <w:proofErr w:type="spellStart"/>
      <w:r w:rsidRPr="00214F41">
        <w:rPr>
          <w:rStyle w:val="Hipercze"/>
          <w:color w:val="000000"/>
        </w:rPr>
        <w:t>meta analysis</w:t>
      </w:r>
      <w:proofErr w:type="spellEnd"/>
      <w:r w:rsidRPr="00214F41">
        <w:rPr>
          <w:rStyle w:val="Hipercze"/>
          <w:color w:val="000000"/>
        </w:rPr>
        <w:t>'</w:t>
      </w:r>
      <w:r w:rsidRPr="00214F41">
        <w:rPr>
          <w:color w:val="000000"/>
        </w:rPr>
        <w:t xml:space="preserve"> OR </w:t>
      </w:r>
      <w:r w:rsidRPr="00214F41">
        <w:rPr>
          <w:rStyle w:val="Hipercze"/>
          <w:color w:val="000000"/>
        </w:rPr>
        <w:t>'systematic review'</w:t>
      </w:r>
      <w:r w:rsidRPr="00214F41">
        <w:rPr>
          <w:color w:val="000000"/>
        </w:rPr>
        <w:t>)</w:t>
      </w:r>
    </w:p>
    <w:p w14:paraId="4B22D353" w14:textId="77777777" w:rsidR="005A043A" w:rsidRPr="00214F41" w:rsidRDefault="005A043A" w:rsidP="005A043A">
      <w:pPr>
        <w:spacing w:line="276" w:lineRule="auto"/>
        <w:jc w:val="both"/>
        <w:rPr>
          <w:color w:val="000000"/>
          <w:lang w:val="en-GB"/>
        </w:rPr>
      </w:pPr>
      <w:proofErr w:type="spellStart"/>
      <w:r w:rsidRPr="00214F41">
        <w:rPr>
          <w:color w:val="000000"/>
          <w:lang w:val="en-GB"/>
        </w:rPr>
        <w:t>ClinTrials</w:t>
      </w:r>
      <w:proofErr w:type="spellEnd"/>
      <w:r w:rsidRPr="00214F41">
        <w:rPr>
          <w:color w:val="000000"/>
          <w:lang w:val="en-GB"/>
        </w:rPr>
        <w:t xml:space="preserve">: </w:t>
      </w:r>
      <w:r w:rsidRPr="00214F41">
        <w:rPr>
          <w:color w:val="000000"/>
        </w:rPr>
        <w:t>metformin | Completed Studies | Diabetes Mellitus  (completed studies as a filter)</w:t>
      </w:r>
    </w:p>
    <w:p w14:paraId="1211E4EE" w14:textId="77777777" w:rsidR="005A043A" w:rsidRPr="00052BA8" w:rsidRDefault="005A043A" w:rsidP="005A043A">
      <w:pPr>
        <w:spacing w:line="276" w:lineRule="auto"/>
        <w:jc w:val="both"/>
        <w:rPr>
          <w:color w:val="000000"/>
        </w:rPr>
      </w:pPr>
    </w:p>
    <w:p w14:paraId="538846C4" w14:textId="77777777" w:rsidR="005A043A" w:rsidRPr="009D06B8" w:rsidRDefault="005A043A" w:rsidP="005A043A">
      <w:pPr>
        <w:spacing w:line="276" w:lineRule="auto"/>
        <w:jc w:val="both"/>
        <w:rPr>
          <w:b/>
          <w:bCs/>
          <w:color w:val="000000"/>
          <w:lang w:val="en-GB"/>
        </w:rPr>
      </w:pPr>
      <w:r w:rsidRPr="009D06B8">
        <w:rPr>
          <w:b/>
          <w:bCs/>
          <w:color w:val="000000"/>
        </w:rPr>
        <w:t>Inclusion criteria</w:t>
      </w:r>
      <w:r w:rsidRPr="009D06B8">
        <w:rPr>
          <w:b/>
          <w:bCs/>
          <w:color w:val="000000"/>
          <w:lang w:val="en-GB"/>
        </w:rPr>
        <w:t>:</w:t>
      </w:r>
    </w:p>
    <w:p w14:paraId="2E0FB1E8" w14:textId="77777777" w:rsidR="005A043A" w:rsidRPr="00214F41" w:rsidRDefault="005A043A" w:rsidP="005A043A">
      <w:pPr>
        <w:spacing w:line="276" w:lineRule="auto"/>
        <w:jc w:val="both"/>
        <w:rPr>
          <w:color w:val="000000"/>
          <w:lang w:val="en-GB"/>
        </w:rPr>
      </w:pPr>
    </w:p>
    <w:p w14:paraId="2B28EFEB" w14:textId="77777777" w:rsidR="005A043A" w:rsidRPr="00214F41" w:rsidRDefault="005A043A" w:rsidP="005A043A">
      <w:pPr>
        <w:pStyle w:val="Akapitzlist"/>
        <w:numPr>
          <w:ilvl w:val="0"/>
          <w:numId w:val="23"/>
        </w:numPr>
        <w:spacing w:before="0" w:after="0" w:line="276" w:lineRule="auto"/>
        <w:jc w:val="both"/>
        <w:rPr>
          <w:rFonts w:ascii="Calibri" w:hAnsi="Calibri" w:cs="Calibri"/>
          <w:color w:val="000000"/>
          <w:lang w:val="en-GB"/>
        </w:rPr>
      </w:pPr>
      <w:r w:rsidRPr="00214F41">
        <w:rPr>
          <w:rFonts w:ascii="Calibri" w:hAnsi="Calibri" w:cs="Calibri"/>
          <w:color w:val="000000"/>
          <w:lang w:val="en-GB"/>
        </w:rPr>
        <w:t>randomized controlled trial with MET intervention in patients with type 2 diabetes mellitus</w:t>
      </w:r>
    </w:p>
    <w:p w14:paraId="5C88CDA8" w14:textId="77777777" w:rsidR="005A043A" w:rsidRPr="00214F41" w:rsidRDefault="005A043A" w:rsidP="005A043A">
      <w:pPr>
        <w:pStyle w:val="Akapitzlist"/>
        <w:numPr>
          <w:ilvl w:val="0"/>
          <w:numId w:val="23"/>
        </w:numPr>
        <w:spacing w:before="0" w:after="0" w:line="276" w:lineRule="auto"/>
        <w:jc w:val="both"/>
        <w:rPr>
          <w:rFonts w:ascii="Calibri" w:hAnsi="Calibri" w:cs="Calibri"/>
          <w:color w:val="000000"/>
          <w:lang w:val="en-GB"/>
        </w:rPr>
      </w:pPr>
      <w:r w:rsidRPr="00214F41">
        <w:rPr>
          <w:rFonts w:ascii="Calibri" w:hAnsi="Calibri" w:cs="Calibri"/>
          <w:color w:val="000000"/>
          <w:lang w:val="en-GB"/>
        </w:rPr>
        <w:t xml:space="preserve">populations containing &gt;20 patients, </w:t>
      </w:r>
    </w:p>
    <w:p w14:paraId="07468438" w14:textId="77777777" w:rsidR="005A043A" w:rsidRPr="00214F41" w:rsidRDefault="005A043A" w:rsidP="005A043A">
      <w:pPr>
        <w:pStyle w:val="Akapitzlist"/>
        <w:numPr>
          <w:ilvl w:val="0"/>
          <w:numId w:val="23"/>
        </w:numPr>
        <w:spacing w:before="0" w:after="0" w:line="276" w:lineRule="auto"/>
        <w:jc w:val="both"/>
        <w:rPr>
          <w:rFonts w:ascii="Calibri" w:hAnsi="Calibri" w:cs="Calibri"/>
          <w:color w:val="000000"/>
          <w:lang w:val="en-GB"/>
        </w:rPr>
      </w:pPr>
      <w:r w:rsidRPr="00214F41">
        <w:rPr>
          <w:rFonts w:ascii="Calibri" w:hAnsi="Calibri" w:cs="Calibri"/>
          <w:color w:val="000000"/>
          <w:lang w:val="en-GB"/>
        </w:rPr>
        <w:t>abstraction of data from metformin-treatment arms only (MET-treatment), however in the case of multiple arms data from all containing MET-treatment were abstracted</w:t>
      </w:r>
    </w:p>
    <w:p w14:paraId="374B182F" w14:textId="77777777" w:rsidR="005A043A" w:rsidRPr="005F25B9" w:rsidRDefault="005A043A" w:rsidP="005A043A">
      <w:pPr>
        <w:pStyle w:val="Akapitzlist"/>
        <w:numPr>
          <w:ilvl w:val="0"/>
          <w:numId w:val="23"/>
        </w:numPr>
        <w:spacing w:before="0" w:after="0" w:line="276" w:lineRule="auto"/>
        <w:jc w:val="both"/>
        <w:rPr>
          <w:rFonts w:ascii="Calibri" w:hAnsi="Calibri" w:cs="Calibri"/>
          <w:color w:val="000000"/>
          <w:lang w:val="en-GB"/>
        </w:rPr>
      </w:pPr>
      <w:r w:rsidRPr="00214F41">
        <w:rPr>
          <w:rFonts w:ascii="Calibri" w:hAnsi="Calibri" w:cs="Calibri"/>
          <w:color w:val="000000"/>
          <w:lang w:val="en-GB"/>
        </w:rPr>
        <w:t xml:space="preserve">available data on the incidence of any gastrointestinal adverse event following metformin administration, such as abdominal pain, </w:t>
      </w:r>
      <w:proofErr w:type="spellStart"/>
      <w:r w:rsidRPr="00214F41">
        <w:rPr>
          <w:rFonts w:ascii="Calibri" w:hAnsi="Calibri" w:cs="Calibri"/>
          <w:color w:val="000000"/>
          <w:lang w:val="en-GB"/>
        </w:rPr>
        <w:t>diarrhea</w:t>
      </w:r>
      <w:proofErr w:type="spellEnd"/>
      <w:r w:rsidRPr="00214F41">
        <w:rPr>
          <w:rFonts w:ascii="Calibri" w:hAnsi="Calibri" w:cs="Calibri"/>
          <w:color w:val="000000"/>
          <w:lang w:val="en-GB"/>
        </w:rPr>
        <w:t xml:space="preserve">, bloating, flatulence, </w:t>
      </w:r>
      <w:r w:rsidRPr="005F25B9">
        <w:rPr>
          <w:rFonts w:ascii="Calibri" w:hAnsi="Calibri" w:cs="Calibri"/>
          <w:color w:val="000000"/>
          <w:lang w:val="en-GB"/>
        </w:rPr>
        <w:t>constipation, nausea and vomiting</w:t>
      </w:r>
    </w:p>
    <w:p w14:paraId="56EB939F" w14:textId="77777777" w:rsidR="005A043A" w:rsidRPr="005F25B9" w:rsidRDefault="005A043A" w:rsidP="005A043A">
      <w:pPr>
        <w:pStyle w:val="Akapitzlist"/>
        <w:spacing w:line="276" w:lineRule="auto"/>
        <w:ind w:left="0"/>
        <w:jc w:val="both"/>
        <w:rPr>
          <w:rFonts w:ascii="Calibri" w:hAnsi="Calibri" w:cs="Calibri"/>
          <w:color w:val="000000"/>
          <w:lang w:val="en-GB"/>
        </w:rPr>
      </w:pPr>
    </w:p>
    <w:p w14:paraId="268B1EB8" w14:textId="77777777" w:rsidR="005A043A" w:rsidRPr="009D06B8" w:rsidRDefault="005A043A" w:rsidP="005A043A">
      <w:pPr>
        <w:spacing w:line="276" w:lineRule="auto"/>
        <w:jc w:val="both"/>
        <w:rPr>
          <w:b/>
          <w:bCs/>
          <w:color w:val="000000"/>
          <w:szCs w:val="24"/>
        </w:rPr>
      </w:pPr>
      <w:r w:rsidRPr="009D06B8">
        <w:rPr>
          <w:b/>
          <w:bCs/>
          <w:color w:val="000000"/>
          <w:szCs w:val="24"/>
        </w:rPr>
        <w:t>Exclusion criteria:</w:t>
      </w:r>
    </w:p>
    <w:p w14:paraId="42263829" w14:textId="77777777" w:rsidR="005A043A" w:rsidRPr="005F25B9" w:rsidRDefault="005A043A" w:rsidP="005A043A">
      <w:pPr>
        <w:pStyle w:val="Akapitzlist"/>
        <w:numPr>
          <w:ilvl w:val="0"/>
          <w:numId w:val="23"/>
        </w:numPr>
        <w:spacing w:before="0" w:after="0" w:line="276" w:lineRule="auto"/>
        <w:jc w:val="both"/>
        <w:rPr>
          <w:rFonts w:ascii="Calibri" w:hAnsi="Calibri" w:cs="Calibri"/>
          <w:lang w:val="en-GB"/>
        </w:rPr>
      </w:pPr>
      <w:r w:rsidRPr="005F25B9">
        <w:rPr>
          <w:rFonts w:ascii="Calibri" w:hAnsi="Calibri" w:cs="Calibri"/>
          <w:lang w:val="en-GB"/>
        </w:rPr>
        <w:t>adverse events related to metformin treatment other than gastrointestinal</w:t>
      </w:r>
    </w:p>
    <w:p w14:paraId="4F454307" w14:textId="77777777" w:rsidR="005A043A" w:rsidRPr="005F25B9" w:rsidRDefault="005A043A" w:rsidP="005A043A">
      <w:pPr>
        <w:pStyle w:val="Akapitzlist"/>
        <w:numPr>
          <w:ilvl w:val="0"/>
          <w:numId w:val="23"/>
        </w:numPr>
        <w:spacing w:before="0" w:after="0" w:line="276" w:lineRule="auto"/>
        <w:jc w:val="both"/>
        <w:rPr>
          <w:rFonts w:ascii="Calibri" w:hAnsi="Calibri" w:cs="Calibri"/>
          <w:lang w:val="en-GB"/>
        </w:rPr>
      </w:pPr>
      <w:r w:rsidRPr="005F25B9">
        <w:rPr>
          <w:rFonts w:ascii="Calibri" w:hAnsi="Calibri" w:cs="Calibri"/>
          <w:lang w:val="en-GB"/>
        </w:rPr>
        <w:t xml:space="preserve">another than English language of publication, </w:t>
      </w:r>
    </w:p>
    <w:p w14:paraId="2F293DFC" w14:textId="77777777" w:rsidR="005A043A" w:rsidRDefault="005A043A" w:rsidP="005A043A">
      <w:pPr>
        <w:spacing w:line="360" w:lineRule="auto"/>
        <w:contextualSpacing/>
        <w:jc w:val="both"/>
        <w:rPr>
          <w:rFonts w:eastAsia="MS Mincho"/>
          <w:color w:val="000000"/>
          <w:szCs w:val="24"/>
          <w:lang w:val="en-GB"/>
        </w:rPr>
      </w:pPr>
    </w:p>
    <w:p w14:paraId="5C3BA93D" w14:textId="77777777" w:rsidR="005A043A" w:rsidRPr="009D06B8" w:rsidRDefault="005A043A" w:rsidP="005A043A">
      <w:pPr>
        <w:spacing w:line="360" w:lineRule="auto"/>
        <w:contextualSpacing/>
        <w:jc w:val="both"/>
        <w:rPr>
          <w:rFonts w:eastAsia="MS Mincho"/>
          <w:b/>
          <w:bCs/>
          <w:color w:val="000000"/>
          <w:szCs w:val="24"/>
          <w:lang w:val="en-GB"/>
        </w:rPr>
      </w:pPr>
      <w:r>
        <w:rPr>
          <w:rFonts w:eastAsia="MS Mincho"/>
          <w:b/>
          <w:bCs/>
          <w:color w:val="000000"/>
          <w:szCs w:val="24"/>
          <w:lang w:val="en-GB"/>
        </w:rPr>
        <w:t>D</w:t>
      </w:r>
      <w:r w:rsidRPr="009D06B8">
        <w:rPr>
          <w:rFonts w:eastAsia="MS Mincho"/>
          <w:b/>
          <w:bCs/>
          <w:color w:val="000000"/>
          <w:szCs w:val="24"/>
          <w:lang w:val="en-GB"/>
        </w:rPr>
        <w:t>ecisions made</w:t>
      </w:r>
      <w:r>
        <w:rPr>
          <w:rFonts w:eastAsia="MS Mincho"/>
          <w:b/>
          <w:bCs/>
          <w:color w:val="000000"/>
          <w:szCs w:val="24"/>
          <w:lang w:val="en-GB"/>
        </w:rPr>
        <w:t xml:space="preserve"> during d</w:t>
      </w:r>
      <w:r w:rsidRPr="009D06B8">
        <w:rPr>
          <w:rFonts w:eastAsia="MS Mincho"/>
          <w:b/>
          <w:bCs/>
          <w:color w:val="000000"/>
          <w:szCs w:val="24"/>
          <w:lang w:val="en-GB"/>
        </w:rPr>
        <w:t xml:space="preserve">ata extraction that did not result from inclusion </w:t>
      </w:r>
      <w:r>
        <w:rPr>
          <w:rFonts w:eastAsia="MS Mincho"/>
          <w:b/>
          <w:bCs/>
          <w:color w:val="000000"/>
          <w:szCs w:val="24"/>
          <w:lang w:val="en-GB"/>
        </w:rPr>
        <w:t>or</w:t>
      </w:r>
      <w:r w:rsidRPr="009D06B8">
        <w:rPr>
          <w:rFonts w:eastAsia="MS Mincho"/>
          <w:b/>
          <w:bCs/>
          <w:color w:val="000000"/>
          <w:szCs w:val="24"/>
          <w:lang w:val="en-GB"/>
        </w:rPr>
        <w:t xml:space="preserve"> exclusion criteria.</w:t>
      </w:r>
    </w:p>
    <w:p w14:paraId="77D867F1" w14:textId="77777777" w:rsidR="005A043A" w:rsidRPr="005F25B9" w:rsidRDefault="005A043A" w:rsidP="005A043A">
      <w:pPr>
        <w:spacing w:line="360" w:lineRule="auto"/>
        <w:contextualSpacing/>
        <w:jc w:val="both"/>
        <w:rPr>
          <w:rFonts w:eastAsia="MS Mincho"/>
          <w:color w:val="000000"/>
          <w:szCs w:val="24"/>
          <w:lang w:val="en-GB"/>
        </w:rPr>
      </w:pPr>
      <w:r w:rsidRPr="005F25B9">
        <w:rPr>
          <w:rFonts w:eastAsia="MS Mincho"/>
          <w:color w:val="000000"/>
          <w:szCs w:val="24"/>
          <w:lang w:val="en-GB"/>
        </w:rPr>
        <w:t>If a trial published multiple reports with different follow up duration, data in the report with the longest follow-up, without treatment regimen change in metformin arm or comparator arm according to protocol, was extracted. If a trial had more than one comparator arm, we extracted data from only one of the arms, choosing placebo if available, sulfonylureas instead of thiazolidinediones and thiazolidinediones instead of dipeptidyl peptidase-4 inhibitors (DPP4i). Whenever more than one dose of active comparator was investigated, we collected data only from the arm with the lowest dose used. In case multiple doses of metformin were used during a trial we utilized the mean dose achieved in the arm. The trial population was considered to be White or Asian if at least 88% of the population was described as such, otherwise, it was labelled as diverse.</w:t>
      </w:r>
    </w:p>
    <w:p w14:paraId="44188023" w14:textId="77777777" w:rsidR="005A043A" w:rsidRDefault="005A043A" w:rsidP="005A043A">
      <w:pPr>
        <w:spacing w:line="360" w:lineRule="auto"/>
        <w:contextualSpacing/>
        <w:jc w:val="both"/>
        <w:rPr>
          <w:rFonts w:eastAsia="MS Mincho"/>
          <w:color w:val="000000"/>
          <w:lang w:val="en-GB"/>
        </w:rPr>
        <w:sectPr w:rsidR="005A043A" w:rsidSect="004418D2">
          <w:pgSz w:w="11906" w:h="16838"/>
          <w:pgMar w:top="1417" w:right="1417" w:bottom="1417" w:left="1417" w:header="708" w:footer="708" w:gutter="0"/>
          <w:pgNumType w:start="1"/>
          <w:cols w:space="708"/>
          <w:docGrid w:linePitch="299"/>
        </w:sectPr>
      </w:pPr>
    </w:p>
    <w:p w14:paraId="7AF894A8" w14:textId="77777777" w:rsidR="005A043A" w:rsidRDefault="005A043A" w:rsidP="005A043A">
      <w:pPr>
        <w:spacing w:line="360" w:lineRule="auto"/>
        <w:contextualSpacing/>
        <w:jc w:val="both"/>
        <w:rPr>
          <w:rFonts w:eastAsia="MS Mincho"/>
          <w:color w:val="000000"/>
          <w:lang w:val="en-GB"/>
        </w:rPr>
      </w:pPr>
      <w:r>
        <w:rPr>
          <w:rFonts w:eastAsia="MS Mincho"/>
          <w:color w:val="000000"/>
          <w:lang w:val="en-GB"/>
        </w:rPr>
        <w:lastRenderedPageBreak/>
        <w:t>ESM Figure S1</w:t>
      </w:r>
    </w:p>
    <w:p w14:paraId="2D6BD7FC" w14:textId="77777777" w:rsidR="005A043A" w:rsidRDefault="005A043A" w:rsidP="005A043A">
      <w:pPr>
        <w:spacing w:line="360" w:lineRule="auto"/>
        <w:contextualSpacing/>
        <w:jc w:val="both"/>
        <w:rPr>
          <w:rFonts w:eastAsia="MS Mincho"/>
          <w:color w:val="000000"/>
          <w:lang w:val="en-GB"/>
        </w:rPr>
      </w:pPr>
      <w:r w:rsidRPr="0003236B">
        <w:rPr>
          <w:noProof/>
        </w:rPr>
        <w:drawing>
          <wp:inline distT="0" distB="0" distL="0" distR="0" wp14:anchorId="6E509594" wp14:editId="24873DF6">
            <wp:extent cx="5760720" cy="431355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p>
    <w:p w14:paraId="1D49A834"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S2</w:t>
      </w:r>
      <w:r w:rsidRPr="0003236B">
        <w:rPr>
          <w:noProof/>
        </w:rPr>
        <w:drawing>
          <wp:inline distT="0" distB="0" distL="0" distR="0" wp14:anchorId="7360CF1F" wp14:editId="63F6C069">
            <wp:extent cx="5760720" cy="4313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4944A6">
        <w:rPr>
          <w:rFonts w:eastAsia="MS Mincho"/>
          <w:color w:val="000000"/>
          <w:lang w:val="en-GB"/>
        </w:rPr>
        <w:t xml:space="preserve"> </w:t>
      </w:r>
    </w:p>
    <w:p w14:paraId="2DC69B93"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S3</w:t>
      </w:r>
      <w:r>
        <w:rPr>
          <w:noProof/>
        </w:rPr>
        <w:drawing>
          <wp:inline distT="0" distB="0" distL="0" distR="0" wp14:anchorId="0C406892" wp14:editId="1DF85626">
            <wp:extent cx="5760720" cy="4313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374B1139"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S4</w:t>
      </w:r>
      <w:r w:rsidRPr="00A81E30">
        <w:rPr>
          <w:noProof/>
        </w:rPr>
        <w:drawing>
          <wp:inline distT="0" distB="0" distL="0" distR="0" wp14:anchorId="5B0DB09E" wp14:editId="373D7BCF">
            <wp:extent cx="5760720" cy="4320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200B94">
        <w:rPr>
          <w:rFonts w:eastAsia="MS Mincho"/>
          <w:color w:val="000000"/>
          <w:lang w:val="en-GB"/>
        </w:rPr>
        <w:t xml:space="preserve"> </w:t>
      </w:r>
      <w:r>
        <w:rPr>
          <w:rFonts w:eastAsia="MS Mincho"/>
          <w:color w:val="000000"/>
          <w:lang w:val="en-GB"/>
        </w:rPr>
        <w:t>ESM Figure S5</w:t>
      </w:r>
      <w:r w:rsidRPr="0003236B">
        <w:rPr>
          <w:noProof/>
        </w:rPr>
        <w:drawing>
          <wp:inline distT="0" distB="0" distL="0" distR="0" wp14:anchorId="4CC388F1" wp14:editId="0469701A">
            <wp:extent cx="5760720" cy="2823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823210"/>
                    </a:xfrm>
                    <a:prstGeom prst="rect">
                      <a:avLst/>
                    </a:prstGeom>
                    <a:noFill/>
                    <a:ln>
                      <a:noFill/>
                    </a:ln>
                  </pic:spPr>
                </pic:pic>
              </a:graphicData>
            </a:graphic>
          </wp:inline>
        </w:drawing>
      </w:r>
      <w:r w:rsidRPr="00200B94">
        <w:rPr>
          <w:rFonts w:eastAsia="MS Mincho"/>
          <w:color w:val="000000"/>
          <w:lang w:val="en-GB"/>
        </w:rPr>
        <w:t xml:space="preserve"> </w:t>
      </w:r>
    </w:p>
    <w:p w14:paraId="55E081BC"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S6</w:t>
      </w:r>
      <w:r>
        <w:rPr>
          <w:noProof/>
        </w:rPr>
        <w:drawing>
          <wp:inline distT="0" distB="0" distL="0" distR="0" wp14:anchorId="5BFE5429" wp14:editId="46EF8402">
            <wp:extent cx="5760720" cy="4313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20DDF4D2"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S7</w:t>
      </w:r>
      <w:r>
        <w:rPr>
          <w:noProof/>
        </w:rPr>
        <w:drawing>
          <wp:inline distT="0" distB="0" distL="0" distR="0" wp14:anchorId="6DA815C5" wp14:editId="6458069F">
            <wp:extent cx="5760720" cy="431355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7E05E8DD"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S8</w:t>
      </w:r>
      <w:r w:rsidRPr="00A81E30">
        <w:rPr>
          <w:noProof/>
        </w:rPr>
        <w:drawing>
          <wp:inline distT="0" distB="0" distL="0" distR="0" wp14:anchorId="2002FCDF" wp14:editId="2DABBB33">
            <wp:extent cx="5760720" cy="4320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200B94">
        <w:rPr>
          <w:rFonts w:eastAsia="MS Mincho"/>
          <w:color w:val="000000"/>
          <w:lang w:val="en-GB"/>
        </w:rPr>
        <w:t xml:space="preserve"> </w:t>
      </w:r>
      <w:r>
        <w:rPr>
          <w:rFonts w:eastAsia="MS Mincho"/>
          <w:color w:val="000000"/>
          <w:lang w:val="en-GB"/>
        </w:rPr>
        <w:t>ESM Figure S9</w:t>
      </w:r>
      <w:r>
        <w:rPr>
          <w:noProof/>
        </w:rPr>
        <w:drawing>
          <wp:inline distT="0" distB="0" distL="0" distR="0" wp14:anchorId="3039523E" wp14:editId="2214EFA3">
            <wp:extent cx="5753100" cy="281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2819400"/>
                    </a:xfrm>
                    <a:prstGeom prst="rect">
                      <a:avLst/>
                    </a:prstGeom>
                    <a:noFill/>
                    <a:ln>
                      <a:noFill/>
                    </a:ln>
                  </pic:spPr>
                </pic:pic>
              </a:graphicData>
            </a:graphic>
          </wp:inline>
        </w:drawing>
      </w:r>
      <w:r w:rsidRPr="00200B94">
        <w:rPr>
          <w:rFonts w:eastAsia="MS Mincho"/>
          <w:color w:val="000000"/>
          <w:lang w:val="en-GB"/>
        </w:rPr>
        <w:t xml:space="preserve"> </w:t>
      </w:r>
    </w:p>
    <w:p w14:paraId="43C3588D"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S10</w:t>
      </w:r>
      <w:r w:rsidRPr="00A81E30">
        <w:rPr>
          <w:noProof/>
        </w:rPr>
        <w:drawing>
          <wp:inline distT="0" distB="0" distL="0" distR="0" wp14:anchorId="183A1543" wp14:editId="074E650A">
            <wp:extent cx="5760720" cy="43135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3828F336"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S11</w:t>
      </w:r>
      <w:r>
        <w:rPr>
          <w:noProof/>
        </w:rPr>
        <w:drawing>
          <wp:inline distT="0" distB="0" distL="0" distR="0" wp14:anchorId="6586DEDD" wp14:editId="0220A0E7">
            <wp:extent cx="5760720" cy="4313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16073E3B"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S12</w:t>
      </w:r>
      <w:r>
        <w:rPr>
          <w:noProof/>
        </w:rPr>
        <w:drawing>
          <wp:inline distT="0" distB="0" distL="0" distR="0" wp14:anchorId="38C95E83" wp14:editId="203BA1F5">
            <wp:extent cx="5760720" cy="43135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r>
        <w:rPr>
          <w:rFonts w:eastAsia="MS Mincho"/>
          <w:color w:val="000000"/>
          <w:lang w:val="en-GB"/>
        </w:rPr>
        <w:t>ESM Figure S13</w:t>
      </w:r>
      <w:r>
        <w:rPr>
          <w:noProof/>
        </w:rPr>
        <w:drawing>
          <wp:inline distT="0" distB="0" distL="0" distR="0" wp14:anchorId="2AC100BB" wp14:editId="4945DFC6">
            <wp:extent cx="5753100" cy="2819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3100" cy="2819400"/>
                    </a:xfrm>
                    <a:prstGeom prst="rect">
                      <a:avLst/>
                    </a:prstGeom>
                    <a:noFill/>
                    <a:ln>
                      <a:noFill/>
                    </a:ln>
                  </pic:spPr>
                </pic:pic>
              </a:graphicData>
            </a:graphic>
          </wp:inline>
        </w:drawing>
      </w:r>
      <w:r w:rsidRPr="00200B94">
        <w:rPr>
          <w:rFonts w:eastAsia="MS Mincho"/>
          <w:color w:val="000000"/>
          <w:lang w:val="en-GB"/>
        </w:rPr>
        <w:t xml:space="preserve"> </w:t>
      </w:r>
    </w:p>
    <w:p w14:paraId="2EEB0838"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S14</w:t>
      </w:r>
      <w:r>
        <w:rPr>
          <w:noProof/>
        </w:rPr>
        <w:drawing>
          <wp:inline distT="0" distB="0" distL="0" distR="0" wp14:anchorId="18A6809B" wp14:editId="46A06D56">
            <wp:extent cx="5760720" cy="43135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09A71B52"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S15</w:t>
      </w:r>
      <w:r>
        <w:rPr>
          <w:noProof/>
        </w:rPr>
        <w:drawing>
          <wp:inline distT="0" distB="0" distL="0" distR="0" wp14:anchorId="138F4A78" wp14:editId="7B28A958">
            <wp:extent cx="5760720" cy="4313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6ACFDD7F"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S16</w:t>
      </w:r>
      <w:r w:rsidRPr="00A81E30">
        <w:rPr>
          <w:noProof/>
        </w:rPr>
        <w:drawing>
          <wp:inline distT="0" distB="0" distL="0" distR="0" wp14:anchorId="61F5874F" wp14:editId="2354C2BC">
            <wp:extent cx="5760720" cy="43135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r>
        <w:rPr>
          <w:rFonts w:eastAsia="MS Mincho"/>
          <w:color w:val="000000"/>
          <w:lang w:val="en-GB"/>
        </w:rPr>
        <w:t>ESM Figure S17</w:t>
      </w:r>
      <w:r>
        <w:rPr>
          <w:noProof/>
        </w:rPr>
        <w:drawing>
          <wp:inline distT="0" distB="0" distL="0" distR="0" wp14:anchorId="05BF6265" wp14:editId="1A2E63BB">
            <wp:extent cx="5753100" cy="2819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2819400"/>
                    </a:xfrm>
                    <a:prstGeom prst="rect">
                      <a:avLst/>
                    </a:prstGeom>
                    <a:noFill/>
                    <a:ln>
                      <a:noFill/>
                    </a:ln>
                  </pic:spPr>
                </pic:pic>
              </a:graphicData>
            </a:graphic>
          </wp:inline>
        </w:drawing>
      </w:r>
      <w:r w:rsidRPr="00200B94">
        <w:rPr>
          <w:rFonts w:eastAsia="MS Mincho"/>
          <w:color w:val="000000"/>
          <w:lang w:val="en-GB"/>
        </w:rPr>
        <w:t xml:space="preserve"> </w:t>
      </w:r>
    </w:p>
    <w:p w14:paraId="437140A1"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S18</w:t>
      </w:r>
      <w:r>
        <w:rPr>
          <w:noProof/>
        </w:rPr>
        <w:drawing>
          <wp:inline distT="0" distB="0" distL="0" distR="0" wp14:anchorId="00B4C8C4" wp14:editId="3286B3C9">
            <wp:extent cx="5760720" cy="43205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200B94">
        <w:rPr>
          <w:rFonts w:eastAsia="MS Mincho"/>
          <w:color w:val="000000"/>
          <w:lang w:val="en-GB"/>
        </w:rPr>
        <w:t xml:space="preserve"> </w:t>
      </w:r>
    </w:p>
    <w:p w14:paraId="6AC9451D"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S19</w:t>
      </w:r>
      <w:r>
        <w:rPr>
          <w:noProof/>
        </w:rPr>
        <w:drawing>
          <wp:inline distT="0" distB="0" distL="0" distR="0" wp14:anchorId="74AC02C7" wp14:editId="05F3930E">
            <wp:extent cx="5760720" cy="43135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466D6791"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S20</w:t>
      </w:r>
      <w:r>
        <w:rPr>
          <w:noProof/>
        </w:rPr>
        <w:drawing>
          <wp:inline distT="0" distB="0" distL="0" distR="0" wp14:anchorId="6C5D3A9A" wp14:editId="4F9E20D4">
            <wp:extent cx="5760720" cy="43135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6E2AED3B"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S21</w:t>
      </w:r>
      <w:r w:rsidRPr="00A81E30">
        <w:rPr>
          <w:noProof/>
        </w:rPr>
        <w:drawing>
          <wp:inline distT="0" distB="0" distL="0" distR="0" wp14:anchorId="005E3AAA" wp14:editId="39FD3079">
            <wp:extent cx="5760720" cy="43135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r>
        <w:rPr>
          <w:rFonts w:eastAsia="MS Mincho"/>
          <w:color w:val="000000"/>
          <w:lang w:val="en-GB"/>
        </w:rPr>
        <w:t>ESM Figure S22</w:t>
      </w:r>
      <w:r>
        <w:rPr>
          <w:noProof/>
        </w:rPr>
        <w:drawing>
          <wp:inline distT="0" distB="0" distL="0" distR="0" wp14:anchorId="41396BF3" wp14:editId="52EF10E8">
            <wp:extent cx="5753100" cy="2819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3100" cy="2819400"/>
                    </a:xfrm>
                    <a:prstGeom prst="rect">
                      <a:avLst/>
                    </a:prstGeom>
                    <a:noFill/>
                    <a:ln>
                      <a:noFill/>
                    </a:ln>
                  </pic:spPr>
                </pic:pic>
              </a:graphicData>
            </a:graphic>
          </wp:inline>
        </w:drawing>
      </w:r>
      <w:r w:rsidRPr="00200B94">
        <w:rPr>
          <w:rFonts w:eastAsia="MS Mincho"/>
          <w:color w:val="000000"/>
          <w:lang w:val="en-GB"/>
        </w:rPr>
        <w:t xml:space="preserve"> </w:t>
      </w:r>
    </w:p>
    <w:p w14:paraId="7FDBDC2D"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S23</w:t>
      </w:r>
      <w:r>
        <w:rPr>
          <w:noProof/>
        </w:rPr>
        <w:drawing>
          <wp:inline distT="0" distB="0" distL="0" distR="0" wp14:anchorId="386886FF" wp14:editId="1D0FC200">
            <wp:extent cx="5760720" cy="43135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309AB258"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S24</w:t>
      </w:r>
      <w:r>
        <w:rPr>
          <w:noProof/>
        </w:rPr>
        <w:drawing>
          <wp:inline distT="0" distB="0" distL="0" distR="0" wp14:anchorId="009239EB" wp14:editId="04C49D87">
            <wp:extent cx="5760720" cy="43135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39B8A785" w14:textId="77777777" w:rsidR="005A043A" w:rsidRDefault="005A043A" w:rsidP="005A043A">
      <w:pPr>
        <w:spacing w:line="360" w:lineRule="auto"/>
        <w:contextualSpacing/>
        <w:rPr>
          <w:rFonts w:eastAsia="MS Mincho"/>
          <w:color w:val="000000"/>
          <w:lang w:val="en-GB"/>
        </w:rPr>
      </w:pPr>
      <w:r>
        <w:rPr>
          <w:rFonts w:eastAsia="MS Mincho"/>
          <w:color w:val="000000"/>
          <w:lang w:val="en-GB"/>
        </w:rPr>
        <w:lastRenderedPageBreak/>
        <w:t>ESM Figure S25</w:t>
      </w:r>
      <w:r>
        <w:rPr>
          <w:noProof/>
        </w:rPr>
        <w:drawing>
          <wp:inline distT="0" distB="0" distL="0" distR="0" wp14:anchorId="05DBFD85" wp14:editId="63997C23">
            <wp:extent cx="5760720" cy="43135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p>
    <w:p w14:paraId="7BFF7314" w14:textId="77777777" w:rsidR="005A043A" w:rsidRPr="004418D2" w:rsidRDefault="005A043A" w:rsidP="005A043A">
      <w:pPr>
        <w:spacing w:line="360" w:lineRule="auto"/>
        <w:contextualSpacing/>
        <w:rPr>
          <w:rFonts w:eastAsia="MS Mincho"/>
          <w:color w:val="000000"/>
          <w:lang w:val="en-GB"/>
        </w:rPr>
        <w:sectPr w:rsidR="005A043A" w:rsidRPr="004418D2" w:rsidSect="004418D2">
          <w:pgSz w:w="11906" w:h="16838"/>
          <w:pgMar w:top="1417" w:right="1417" w:bottom="1417" w:left="1417" w:header="708" w:footer="708" w:gutter="0"/>
          <w:pgNumType w:start="1"/>
          <w:cols w:space="708"/>
          <w:docGrid w:linePitch="299"/>
        </w:sectPr>
      </w:pPr>
      <w:r>
        <w:rPr>
          <w:rFonts w:eastAsia="MS Mincho"/>
          <w:color w:val="000000"/>
          <w:lang w:val="en-GB"/>
        </w:rPr>
        <w:lastRenderedPageBreak/>
        <w:t>ESM Figure S26</w:t>
      </w:r>
      <w:r w:rsidRPr="00A81E30">
        <w:rPr>
          <w:noProof/>
        </w:rPr>
        <w:drawing>
          <wp:inline distT="0" distB="0" distL="0" distR="0" wp14:anchorId="123C3AB6" wp14:editId="2BA52106">
            <wp:extent cx="5760720" cy="43135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r w:rsidRPr="00200B94">
        <w:rPr>
          <w:rFonts w:eastAsia="MS Mincho"/>
          <w:color w:val="000000"/>
          <w:lang w:val="en-GB"/>
        </w:rPr>
        <w:t xml:space="preserve"> </w:t>
      </w:r>
      <w:r>
        <w:rPr>
          <w:rFonts w:eastAsia="MS Mincho"/>
          <w:color w:val="000000"/>
          <w:lang w:val="en-GB"/>
        </w:rPr>
        <w:t>ESM Figure S27</w:t>
      </w:r>
      <w:r>
        <w:rPr>
          <w:noProof/>
        </w:rPr>
        <w:drawing>
          <wp:inline distT="0" distB="0" distL="0" distR="0" wp14:anchorId="78F0B2E6" wp14:editId="450C2BF2">
            <wp:extent cx="5753100" cy="2819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3100" cy="2819400"/>
                    </a:xfrm>
                    <a:prstGeom prst="rect">
                      <a:avLst/>
                    </a:prstGeom>
                    <a:noFill/>
                    <a:ln>
                      <a:noFill/>
                    </a:ln>
                  </pic:spPr>
                </pic:pic>
              </a:graphicData>
            </a:graphic>
          </wp:inline>
        </w:drawing>
      </w:r>
    </w:p>
    <w:p w14:paraId="22E19DA7" w14:textId="77777777" w:rsidR="005A043A" w:rsidRPr="007441FC" w:rsidRDefault="005A043A" w:rsidP="005A043A">
      <w:pPr>
        <w:rPr>
          <w:lang w:val="en-GB"/>
        </w:rPr>
      </w:pPr>
    </w:p>
    <w:p w14:paraId="4469C94A" w14:textId="77777777" w:rsidR="005A043A" w:rsidRDefault="005A043A" w:rsidP="005A043A">
      <w:pPr>
        <w:spacing w:line="360" w:lineRule="auto"/>
        <w:contextualSpacing/>
        <w:jc w:val="both"/>
        <w:rPr>
          <w:rFonts w:eastAsia="MS Mincho"/>
          <w:color w:val="000000"/>
        </w:rPr>
      </w:pPr>
    </w:p>
    <w:p w14:paraId="295BE983" w14:textId="7F907678" w:rsidR="005A043A" w:rsidRPr="00027128" w:rsidRDefault="005A043A" w:rsidP="005A043A">
      <w:pPr>
        <w:spacing w:line="360" w:lineRule="auto"/>
        <w:contextualSpacing/>
        <w:jc w:val="both"/>
        <w:rPr>
          <w:rFonts w:eastAsia="MS Mincho"/>
          <w:color w:val="000000"/>
          <w:lang w:val="en-GB"/>
        </w:rPr>
      </w:pPr>
      <w:r>
        <w:rPr>
          <w:rFonts w:eastAsia="MS Mincho"/>
          <w:color w:val="000000"/>
        </w:rPr>
        <w:t>ESM Table S</w:t>
      </w:r>
      <w:r w:rsidR="007441FC">
        <w:rPr>
          <w:rFonts w:eastAsia="MS Mincho"/>
          <w:color w:val="000000"/>
        </w:rPr>
        <w:t>1</w:t>
      </w:r>
      <w:r w:rsidRPr="00214F41">
        <w:rPr>
          <w:rFonts w:eastAsia="MS Mincho"/>
          <w:color w:val="000000"/>
        </w:rPr>
        <w:t xml:space="preserve">. </w:t>
      </w:r>
      <w:r w:rsidRPr="00214F41">
        <w:rPr>
          <w:rFonts w:eastAsia="MS Mincho"/>
          <w:color w:val="000000"/>
          <w:lang w:val="en-GB"/>
        </w:rPr>
        <w:t>Studies included comparing metformin with placebo or active comparator</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8"/>
        <w:gridCol w:w="480"/>
        <w:gridCol w:w="2085"/>
        <w:gridCol w:w="1020"/>
        <w:gridCol w:w="561"/>
        <w:gridCol w:w="1256"/>
        <w:gridCol w:w="908"/>
        <w:gridCol w:w="572"/>
        <w:gridCol w:w="692"/>
        <w:gridCol w:w="1376"/>
        <w:gridCol w:w="1376"/>
        <w:gridCol w:w="25"/>
        <w:gridCol w:w="661"/>
        <w:gridCol w:w="566"/>
        <w:gridCol w:w="48"/>
        <w:gridCol w:w="695"/>
        <w:gridCol w:w="709"/>
        <w:gridCol w:w="36"/>
      </w:tblGrid>
      <w:tr w:rsidR="005A043A" w:rsidRPr="0072287D" w14:paraId="5520A251" w14:textId="77777777" w:rsidTr="00286762">
        <w:trPr>
          <w:gridAfter w:val="1"/>
          <w:wAfter w:w="13" w:type="pct"/>
          <w:trHeight w:val="432"/>
        </w:trPr>
        <w:tc>
          <w:tcPr>
            <w:tcW w:w="1617" w:type="pct"/>
            <w:gridSpan w:val="4"/>
            <w:shd w:val="clear" w:color="auto" w:fill="auto"/>
            <w:vAlign w:val="center"/>
            <w:hideMark/>
          </w:tcPr>
          <w:p w14:paraId="461A00F5" w14:textId="77777777" w:rsidR="005A043A" w:rsidRPr="00214F41" w:rsidRDefault="005A043A" w:rsidP="00286762">
            <w:pPr>
              <w:jc w:val="center"/>
              <w:rPr>
                <w:b/>
                <w:bCs/>
                <w:color w:val="000000"/>
                <w:sz w:val="18"/>
                <w:szCs w:val="18"/>
              </w:rPr>
            </w:pPr>
            <w:bookmarkStart w:id="1" w:name="_Hlk99324229"/>
            <w:r w:rsidRPr="00214F41">
              <w:rPr>
                <w:b/>
                <w:bCs/>
                <w:color w:val="000000"/>
                <w:sz w:val="18"/>
                <w:szCs w:val="18"/>
              </w:rPr>
              <w:t>Study characteristics</w:t>
            </w:r>
          </w:p>
          <w:p w14:paraId="6EA3A3F2" w14:textId="77777777" w:rsidR="005A043A" w:rsidRPr="00214F41" w:rsidRDefault="005A043A" w:rsidP="00286762">
            <w:pPr>
              <w:jc w:val="center"/>
              <w:rPr>
                <w:b/>
                <w:bCs/>
                <w:color w:val="000000"/>
                <w:sz w:val="18"/>
                <w:szCs w:val="18"/>
              </w:rPr>
            </w:pPr>
          </w:p>
        </w:tc>
        <w:tc>
          <w:tcPr>
            <w:tcW w:w="1914" w:type="pct"/>
            <w:gridSpan w:val="6"/>
            <w:shd w:val="clear" w:color="auto" w:fill="auto"/>
            <w:vAlign w:val="center"/>
            <w:hideMark/>
          </w:tcPr>
          <w:p w14:paraId="16D57F2A" w14:textId="77777777" w:rsidR="005A043A" w:rsidRPr="00214F41" w:rsidRDefault="005A043A" w:rsidP="00286762">
            <w:pPr>
              <w:jc w:val="center"/>
              <w:rPr>
                <w:b/>
                <w:bCs/>
                <w:color w:val="000000"/>
                <w:sz w:val="18"/>
                <w:szCs w:val="18"/>
              </w:rPr>
            </w:pPr>
            <w:r w:rsidRPr="00214F41">
              <w:rPr>
                <w:b/>
                <w:bCs/>
                <w:color w:val="000000"/>
                <w:sz w:val="18"/>
                <w:szCs w:val="18"/>
              </w:rPr>
              <w:t>MET treatment</w:t>
            </w:r>
          </w:p>
        </w:tc>
        <w:tc>
          <w:tcPr>
            <w:tcW w:w="500" w:type="pct"/>
            <w:gridSpan w:val="2"/>
            <w:shd w:val="clear" w:color="auto" w:fill="auto"/>
            <w:vAlign w:val="center"/>
            <w:hideMark/>
          </w:tcPr>
          <w:p w14:paraId="177C38AA" w14:textId="77777777" w:rsidR="005A043A" w:rsidRPr="00214F41" w:rsidRDefault="005A043A" w:rsidP="00286762">
            <w:pPr>
              <w:jc w:val="center"/>
              <w:rPr>
                <w:b/>
                <w:bCs/>
                <w:color w:val="000000"/>
                <w:sz w:val="18"/>
                <w:szCs w:val="18"/>
              </w:rPr>
            </w:pPr>
            <w:r w:rsidRPr="00214F41">
              <w:rPr>
                <w:b/>
                <w:bCs/>
                <w:color w:val="000000"/>
                <w:sz w:val="18"/>
                <w:szCs w:val="18"/>
              </w:rPr>
              <w:t>comparator</w:t>
            </w:r>
          </w:p>
        </w:tc>
        <w:tc>
          <w:tcPr>
            <w:tcW w:w="455" w:type="pct"/>
            <w:gridSpan w:val="3"/>
            <w:shd w:val="clear" w:color="auto" w:fill="auto"/>
            <w:vAlign w:val="center"/>
            <w:hideMark/>
          </w:tcPr>
          <w:p w14:paraId="13969366" w14:textId="77777777" w:rsidR="005A043A" w:rsidRPr="00214F41" w:rsidRDefault="005A043A" w:rsidP="00286762">
            <w:pPr>
              <w:jc w:val="center"/>
              <w:rPr>
                <w:b/>
                <w:bCs/>
                <w:color w:val="000000"/>
                <w:sz w:val="18"/>
                <w:szCs w:val="18"/>
              </w:rPr>
            </w:pPr>
            <w:r w:rsidRPr="00214F41">
              <w:rPr>
                <w:b/>
                <w:bCs/>
                <w:color w:val="000000"/>
                <w:sz w:val="18"/>
                <w:szCs w:val="18"/>
              </w:rPr>
              <w:t>Patients  characteristics</w:t>
            </w:r>
          </w:p>
        </w:tc>
        <w:tc>
          <w:tcPr>
            <w:tcW w:w="501" w:type="pct"/>
            <w:gridSpan w:val="2"/>
            <w:shd w:val="clear" w:color="auto" w:fill="auto"/>
            <w:noWrap/>
            <w:vAlign w:val="bottom"/>
            <w:hideMark/>
          </w:tcPr>
          <w:p w14:paraId="12A16807" w14:textId="77777777" w:rsidR="005A043A" w:rsidRPr="00214F41" w:rsidRDefault="005A043A" w:rsidP="00286762">
            <w:pPr>
              <w:rPr>
                <w:b/>
                <w:bCs/>
                <w:sz w:val="18"/>
                <w:szCs w:val="18"/>
                <w:lang w:val="en-GB"/>
              </w:rPr>
            </w:pPr>
            <w:r w:rsidRPr="00214F41">
              <w:rPr>
                <w:b/>
                <w:bCs/>
                <w:sz w:val="18"/>
                <w:szCs w:val="18"/>
                <w:lang w:val="en-GB"/>
              </w:rPr>
              <w:t>BMI (kg/m2) at baseline</w:t>
            </w:r>
          </w:p>
        </w:tc>
      </w:tr>
      <w:bookmarkEnd w:id="1"/>
      <w:tr w:rsidR="005A043A" w:rsidRPr="00214F41" w14:paraId="16EDDD65" w14:textId="77777777" w:rsidTr="00286762">
        <w:trPr>
          <w:trHeight w:val="930"/>
        </w:trPr>
        <w:tc>
          <w:tcPr>
            <w:tcW w:w="338" w:type="pct"/>
            <w:shd w:val="clear" w:color="auto" w:fill="auto"/>
            <w:vAlign w:val="center"/>
            <w:hideMark/>
          </w:tcPr>
          <w:p w14:paraId="5FFFEC18" w14:textId="77777777" w:rsidR="005A043A" w:rsidRPr="00214F41" w:rsidRDefault="005A043A" w:rsidP="00286762">
            <w:pPr>
              <w:jc w:val="center"/>
              <w:rPr>
                <w:b/>
                <w:bCs/>
                <w:color w:val="000000"/>
                <w:sz w:val="18"/>
                <w:szCs w:val="18"/>
              </w:rPr>
            </w:pPr>
            <w:r w:rsidRPr="00214F41">
              <w:rPr>
                <w:b/>
                <w:bCs/>
                <w:color w:val="000000"/>
                <w:sz w:val="18"/>
                <w:szCs w:val="18"/>
              </w:rPr>
              <w:t>Reference</w:t>
            </w:r>
          </w:p>
        </w:tc>
        <w:tc>
          <w:tcPr>
            <w:tcW w:w="171" w:type="pct"/>
            <w:shd w:val="clear" w:color="auto" w:fill="auto"/>
            <w:vAlign w:val="center"/>
            <w:hideMark/>
          </w:tcPr>
          <w:p w14:paraId="7811396B" w14:textId="77777777" w:rsidR="005A043A" w:rsidRPr="00214F41" w:rsidRDefault="005A043A" w:rsidP="00286762">
            <w:pPr>
              <w:jc w:val="center"/>
              <w:rPr>
                <w:b/>
                <w:bCs/>
                <w:color w:val="000000"/>
                <w:sz w:val="18"/>
                <w:szCs w:val="18"/>
              </w:rPr>
            </w:pPr>
            <w:r w:rsidRPr="00214F41">
              <w:rPr>
                <w:b/>
                <w:bCs/>
                <w:color w:val="000000"/>
                <w:sz w:val="18"/>
                <w:szCs w:val="18"/>
              </w:rPr>
              <w:t>ITT/PP</w:t>
            </w:r>
          </w:p>
        </w:tc>
        <w:tc>
          <w:tcPr>
            <w:tcW w:w="744" w:type="pct"/>
            <w:shd w:val="clear" w:color="auto" w:fill="auto"/>
            <w:vAlign w:val="center"/>
            <w:hideMark/>
          </w:tcPr>
          <w:p w14:paraId="47D4C2DE" w14:textId="77777777" w:rsidR="005A043A" w:rsidRPr="00214F41" w:rsidRDefault="005A043A" w:rsidP="00286762">
            <w:pPr>
              <w:jc w:val="center"/>
              <w:rPr>
                <w:b/>
                <w:bCs/>
                <w:color w:val="000000"/>
                <w:sz w:val="18"/>
                <w:szCs w:val="18"/>
              </w:rPr>
            </w:pPr>
            <w:r w:rsidRPr="00214F41">
              <w:rPr>
                <w:b/>
                <w:bCs/>
                <w:color w:val="000000"/>
                <w:sz w:val="18"/>
                <w:szCs w:val="18"/>
              </w:rPr>
              <w:t>Focus of the  study</w:t>
            </w:r>
          </w:p>
        </w:tc>
        <w:tc>
          <w:tcPr>
            <w:tcW w:w="364" w:type="pct"/>
            <w:shd w:val="clear" w:color="auto" w:fill="auto"/>
            <w:vAlign w:val="center"/>
            <w:hideMark/>
          </w:tcPr>
          <w:p w14:paraId="4844A85F" w14:textId="77777777" w:rsidR="005A043A" w:rsidRDefault="005A043A" w:rsidP="00286762">
            <w:pPr>
              <w:jc w:val="center"/>
              <w:rPr>
                <w:b/>
                <w:bCs/>
                <w:color w:val="000000"/>
                <w:sz w:val="18"/>
                <w:szCs w:val="18"/>
              </w:rPr>
            </w:pPr>
            <w:r w:rsidRPr="00214F41">
              <w:rPr>
                <w:b/>
                <w:bCs/>
                <w:color w:val="000000"/>
                <w:sz w:val="18"/>
                <w:szCs w:val="18"/>
              </w:rPr>
              <w:t>N total randomized/</w:t>
            </w:r>
          </w:p>
          <w:p w14:paraId="0CFC29AB" w14:textId="77777777" w:rsidR="005A043A" w:rsidRPr="00214F41" w:rsidRDefault="005A043A" w:rsidP="00286762">
            <w:pPr>
              <w:jc w:val="center"/>
              <w:rPr>
                <w:b/>
                <w:bCs/>
                <w:color w:val="000000"/>
                <w:sz w:val="18"/>
                <w:szCs w:val="18"/>
              </w:rPr>
            </w:pPr>
            <w:r w:rsidRPr="00214F41">
              <w:rPr>
                <w:b/>
                <w:bCs/>
                <w:color w:val="000000"/>
                <w:sz w:val="18"/>
                <w:szCs w:val="18"/>
              </w:rPr>
              <w:t>analyzed</w:t>
            </w:r>
          </w:p>
        </w:tc>
        <w:tc>
          <w:tcPr>
            <w:tcW w:w="200" w:type="pct"/>
            <w:shd w:val="clear" w:color="auto" w:fill="auto"/>
            <w:vAlign w:val="center"/>
            <w:hideMark/>
          </w:tcPr>
          <w:p w14:paraId="40D740D7"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MET (P/S)/p dose</w:t>
            </w:r>
          </w:p>
        </w:tc>
        <w:tc>
          <w:tcPr>
            <w:tcW w:w="448" w:type="pct"/>
            <w:shd w:val="clear" w:color="auto" w:fill="auto"/>
            <w:vAlign w:val="center"/>
            <w:hideMark/>
          </w:tcPr>
          <w:p w14:paraId="1CDF4908" w14:textId="77777777" w:rsidR="005A043A" w:rsidRPr="00214F41" w:rsidRDefault="005A043A" w:rsidP="00286762">
            <w:pPr>
              <w:jc w:val="center"/>
              <w:rPr>
                <w:b/>
                <w:bCs/>
                <w:color w:val="000000"/>
                <w:sz w:val="18"/>
                <w:szCs w:val="18"/>
              </w:rPr>
            </w:pPr>
            <w:r w:rsidRPr="00214F41">
              <w:rPr>
                <w:b/>
                <w:bCs/>
                <w:color w:val="000000"/>
                <w:sz w:val="18"/>
                <w:szCs w:val="18"/>
              </w:rPr>
              <w:t>MET commercial labeling</w:t>
            </w:r>
          </w:p>
        </w:tc>
        <w:tc>
          <w:tcPr>
            <w:tcW w:w="324" w:type="pct"/>
            <w:shd w:val="clear" w:color="auto" w:fill="auto"/>
            <w:vAlign w:val="center"/>
            <w:hideMark/>
          </w:tcPr>
          <w:p w14:paraId="3D0171FA" w14:textId="77777777" w:rsidR="005A043A" w:rsidRPr="00214F41" w:rsidRDefault="005A043A" w:rsidP="00286762">
            <w:pPr>
              <w:jc w:val="center"/>
              <w:rPr>
                <w:b/>
                <w:bCs/>
                <w:color w:val="000000"/>
                <w:sz w:val="18"/>
                <w:szCs w:val="18"/>
              </w:rPr>
            </w:pPr>
            <w:r w:rsidRPr="00214F41">
              <w:rPr>
                <w:b/>
                <w:bCs/>
                <w:color w:val="000000"/>
                <w:sz w:val="18"/>
                <w:szCs w:val="18"/>
              </w:rPr>
              <w:t>Dosage (unit/day)</w:t>
            </w:r>
          </w:p>
        </w:tc>
        <w:tc>
          <w:tcPr>
            <w:tcW w:w="204" w:type="pct"/>
            <w:shd w:val="clear" w:color="auto" w:fill="auto"/>
            <w:vAlign w:val="center"/>
            <w:hideMark/>
          </w:tcPr>
          <w:p w14:paraId="7B7E54E4" w14:textId="77777777" w:rsidR="005A043A" w:rsidRPr="00214F41" w:rsidRDefault="005A043A" w:rsidP="00286762">
            <w:pPr>
              <w:jc w:val="center"/>
              <w:rPr>
                <w:b/>
                <w:bCs/>
                <w:color w:val="000000"/>
                <w:sz w:val="18"/>
                <w:szCs w:val="18"/>
              </w:rPr>
            </w:pPr>
            <w:r w:rsidRPr="00214F41">
              <w:rPr>
                <w:b/>
                <w:bCs/>
                <w:color w:val="000000"/>
                <w:sz w:val="18"/>
                <w:szCs w:val="18"/>
              </w:rPr>
              <w:t>Duration (days)</w:t>
            </w:r>
          </w:p>
        </w:tc>
        <w:tc>
          <w:tcPr>
            <w:tcW w:w="247" w:type="pct"/>
            <w:shd w:val="clear" w:color="auto" w:fill="auto"/>
            <w:vAlign w:val="center"/>
            <w:hideMark/>
          </w:tcPr>
          <w:p w14:paraId="388B9D33" w14:textId="77777777" w:rsidR="005A043A" w:rsidRPr="00214F41" w:rsidRDefault="005A043A" w:rsidP="00286762">
            <w:pPr>
              <w:jc w:val="center"/>
              <w:rPr>
                <w:b/>
                <w:bCs/>
                <w:color w:val="000000"/>
                <w:sz w:val="18"/>
                <w:szCs w:val="18"/>
              </w:rPr>
            </w:pPr>
            <w:r w:rsidRPr="00214F41">
              <w:rPr>
                <w:b/>
                <w:bCs/>
                <w:color w:val="000000"/>
                <w:sz w:val="18"/>
                <w:szCs w:val="18"/>
              </w:rPr>
              <w:t>MET XR/IR</w:t>
            </w:r>
          </w:p>
        </w:tc>
        <w:tc>
          <w:tcPr>
            <w:tcW w:w="491" w:type="pct"/>
            <w:vAlign w:val="center"/>
          </w:tcPr>
          <w:p w14:paraId="5F1A766E" w14:textId="77777777" w:rsidR="005A043A" w:rsidRPr="00214F41" w:rsidRDefault="005A043A" w:rsidP="00286762">
            <w:pPr>
              <w:jc w:val="center"/>
              <w:rPr>
                <w:b/>
                <w:bCs/>
                <w:color w:val="000000"/>
                <w:sz w:val="18"/>
                <w:szCs w:val="18"/>
              </w:rPr>
            </w:pPr>
            <w:r w:rsidRPr="00214F41">
              <w:rPr>
                <w:b/>
                <w:bCs/>
                <w:color w:val="000000"/>
                <w:sz w:val="18"/>
                <w:szCs w:val="18"/>
              </w:rPr>
              <w:t>Active arm</w:t>
            </w:r>
          </w:p>
        </w:tc>
        <w:tc>
          <w:tcPr>
            <w:tcW w:w="491" w:type="pct"/>
            <w:vAlign w:val="center"/>
            <w:hideMark/>
          </w:tcPr>
          <w:p w14:paraId="153E500D" w14:textId="77777777" w:rsidR="005A043A" w:rsidRPr="00214F41" w:rsidRDefault="005A043A" w:rsidP="00286762">
            <w:pPr>
              <w:rPr>
                <w:b/>
                <w:bCs/>
                <w:color w:val="000000"/>
                <w:sz w:val="18"/>
                <w:szCs w:val="18"/>
              </w:rPr>
            </w:pPr>
          </w:p>
        </w:tc>
        <w:tc>
          <w:tcPr>
            <w:tcW w:w="245" w:type="pct"/>
            <w:gridSpan w:val="2"/>
            <w:shd w:val="clear" w:color="auto" w:fill="auto"/>
            <w:vAlign w:val="center"/>
            <w:hideMark/>
          </w:tcPr>
          <w:p w14:paraId="1291C064" w14:textId="77777777" w:rsidR="005A043A" w:rsidRPr="00214F41" w:rsidRDefault="005A043A" w:rsidP="00286762">
            <w:pPr>
              <w:jc w:val="center"/>
              <w:rPr>
                <w:b/>
                <w:bCs/>
                <w:color w:val="000000"/>
                <w:sz w:val="18"/>
                <w:szCs w:val="18"/>
              </w:rPr>
            </w:pPr>
            <w:r w:rsidRPr="00214F41">
              <w:rPr>
                <w:b/>
                <w:bCs/>
                <w:color w:val="000000"/>
                <w:sz w:val="18"/>
                <w:szCs w:val="18"/>
              </w:rPr>
              <w:t>age (Ø ±SD)</w:t>
            </w:r>
          </w:p>
        </w:tc>
        <w:tc>
          <w:tcPr>
            <w:tcW w:w="202" w:type="pct"/>
            <w:shd w:val="clear" w:color="auto" w:fill="auto"/>
            <w:vAlign w:val="center"/>
            <w:hideMark/>
          </w:tcPr>
          <w:p w14:paraId="7C8E829C" w14:textId="77777777" w:rsidR="005A043A" w:rsidRPr="00214F41" w:rsidRDefault="005A043A" w:rsidP="00286762">
            <w:pPr>
              <w:jc w:val="center"/>
              <w:rPr>
                <w:b/>
                <w:bCs/>
                <w:color w:val="000000"/>
                <w:sz w:val="18"/>
                <w:szCs w:val="18"/>
              </w:rPr>
            </w:pPr>
            <w:r w:rsidRPr="00214F41">
              <w:rPr>
                <w:b/>
                <w:bCs/>
                <w:color w:val="000000"/>
                <w:sz w:val="18"/>
                <w:szCs w:val="18"/>
              </w:rPr>
              <w:t>Male (N/%)</w:t>
            </w:r>
          </w:p>
        </w:tc>
        <w:tc>
          <w:tcPr>
            <w:tcW w:w="265" w:type="pct"/>
            <w:gridSpan w:val="2"/>
            <w:shd w:val="clear" w:color="auto" w:fill="auto"/>
            <w:vAlign w:val="center"/>
            <w:hideMark/>
          </w:tcPr>
          <w:p w14:paraId="0235830D" w14:textId="77777777" w:rsidR="005A043A" w:rsidRPr="00214F41" w:rsidRDefault="005A043A" w:rsidP="00286762">
            <w:pPr>
              <w:jc w:val="center"/>
              <w:rPr>
                <w:b/>
                <w:bCs/>
                <w:color w:val="000000"/>
                <w:sz w:val="18"/>
                <w:szCs w:val="18"/>
              </w:rPr>
            </w:pPr>
            <w:proofErr w:type="spellStart"/>
            <w:r w:rsidRPr="00214F41">
              <w:rPr>
                <w:b/>
                <w:bCs/>
                <w:color w:val="000000"/>
                <w:sz w:val="18"/>
                <w:szCs w:val="18"/>
              </w:rPr>
              <w:t>MetforminØ±SD</w:t>
            </w:r>
            <w:proofErr w:type="spellEnd"/>
          </w:p>
        </w:tc>
        <w:tc>
          <w:tcPr>
            <w:tcW w:w="266" w:type="pct"/>
            <w:gridSpan w:val="2"/>
            <w:shd w:val="clear" w:color="auto" w:fill="auto"/>
            <w:vAlign w:val="center"/>
            <w:hideMark/>
          </w:tcPr>
          <w:p w14:paraId="59F13E3F" w14:textId="77777777" w:rsidR="005A043A" w:rsidRPr="00214F41" w:rsidRDefault="005A043A" w:rsidP="00286762">
            <w:pPr>
              <w:jc w:val="center"/>
              <w:rPr>
                <w:b/>
                <w:bCs/>
                <w:color w:val="000000"/>
                <w:sz w:val="18"/>
                <w:szCs w:val="18"/>
              </w:rPr>
            </w:pPr>
            <w:r w:rsidRPr="00214F41">
              <w:rPr>
                <w:b/>
                <w:bCs/>
                <w:color w:val="000000"/>
                <w:sz w:val="18"/>
                <w:szCs w:val="18"/>
              </w:rPr>
              <w:t>Control Ø±SD</w:t>
            </w:r>
          </w:p>
        </w:tc>
      </w:tr>
      <w:tr w:rsidR="005A043A" w:rsidRPr="00214F41" w14:paraId="2DC3895F" w14:textId="77777777" w:rsidTr="00286762">
        <w:trPr>
          <w:trHeight w:val="550"/>
        </w:trPr>
        <w:tc>
          <w:tcPr>
            <w:tcW w:w="338" w:type="pct"/>
            <w:shd w:val="clear" w:color="000000" w:fill="FFFFFF"/>
            <w:vAlign w:val="center"/>
            <w:hideMark/>
          </w:tcPr>
          <w:p w14:paraId="3E532264" w14:textId="77777777" w:rsidR="005A043A" w:rsidRPr="00214F41" w:rsidRDefault="005A043A" w:rsidP="00286762">
            <w:pPr>
              <w:jc w:val="center"/>
              <w:rPr>
                <w:sz w:val="18"/>
                <w:szCs w:val="18"/>
                <w:lang w:val="en-GB"/>
              </w:rPr>
            </w:pPr>
            <w:proofErr w:type="spellStart"/>
            <w:r w:rsidRPr="00214F41">
              <w:rPr>
                <w:sz w:val="18"/>
                <w:szCs w:val="18"/>
              </w:rPr>
              <w:t>Aschner</w:t>
            </w:r>
            <w:proofErr w:type="spellEnd"/>
            <w:r w:rsidRPr="00214F41">
              <w:rPr>
                <w:sz w:val="18"/>
                <w:szCs w:val="18"/>
              </w:rPr>
              <w:t xml:space="preserve"> et al., 2010 </w:t>
            </w:r>
            <w:r w:rsidRPr="00214F41">
              <w:rPr>
                <w:sz w:val="18"/>
                <w:szCs w:val="18"/>
              </w:rPr>
              <w:fldChar w:fldCharType="begin" w:fldLock="1"/>
            </w:r>
            <w:r>
              <w:rPr>
                <w:sz w:val="18"/>
                <w:szCs w:val="18"/>
              </w:rPr>
              <w:instrText>ADDIN CSL_CITATION {"citationItems":[{"id":"ITEM-1","itemData":{"DOI":"10.1111/j.1463-1326.2009.01187.x","ISSN":"1463-1326","PMID":"20070351","abstract":"AIM: To compare the efficacy and safety of monotherapy with sitagliptin and metformin in treatment-naïve patients with type 2 diabetes.\nMETHODS: In a double-blind study, 1050 treatment-naïve patients (i.e. not taking an antihyperglycaemic agent for {\\textgreater} or =16 weeks prior to study entry) with type 2 diabetes and an HbA(1c) 6.5-9\\% were randomized (1:1) to treatment with once-daily sitagliptin 100 mg (N = 528) or twice-daily metformin 1000 mg (N = 522) for 24 weeks. Metformin was up-titrated from 500 to 2000 mg per day (or maximum tolerated daily dose {\\textgreater} or =1000 mg) over a period of 5 weeks. The primary analysis used a per-protocol (PP) approach to assess whether sitagliptin was non-inferior to metformin based on HbA(1c) change from baseline at week 24. Non-inferiority was to be declared if the upper boundary of the 95\\% confidence interval (CI) for the between-group difference in this endpoint was {\\textless}0.40\\%.\nRESULTS: From a mean baseline HbA(1c) of 7.2\\% in the PP population, HbA(1c) change from baseline was -0.43\\% with sitagliptin (n = 455) and -0.57\\% with metformin (n = 439). The between-group difference (95\\% CI) was 0.14\\% (0.06, 0.21), thus confirming non-inferiority. Baseline HbA(1c) influenced treatment response, with larger reductions in HbA(1c) observed in patients with baseline HbA(1c){\\textgreater} or =8\\% in the sitagliptin (-1.13\\%; n = 74) and metformin (-1.24\\%; n = 73) groups. The proportions of patients at week 24 with HbA(1c) values at the goals of {\\textless}7 or {\\textless}6.5\\% were 69 and 34\\% with sitagliptin and 76 and 39\\% with metformin, respectively. Fasting plasma glucose changes from baseline were -11.5 mg/dL (-0.6 mmol/l) and -19.4 mg/dl (-1.1 mmol/l) with sitagliptin and metformin, respectively (difference in LS mean change from baseline [95\\% CI] = 8.0 mg /dl [4.5,11.4]). Both treatments led to similar improvements from baseline in measures of homeostasis model assessment-beta cell function (HOMA-beta) and insulin resistance (HOMA-IR). The incidence of hypoglycaemia was 1.7\\% with sitagliptin and 3.3\\% with metformin (p = 0.116). The incidence of gastrointestinal-related adverse experiences was substantially lower with sitagliptin (11.6\\%) compared with metformin (20.7\\%) (difference in incidence [95\\% CI] = -9.1\\% [-13.6,-4.7]), primarily because of significantly decreased incidences of diarrhoea (3.6 vs. 10.9\\%; p {\\textless} 0.001) and nausea (1.1 vs. 3.1\\%; p = 0.032). Body weight was …","author":[{"dropping-particle":"","family":"Aschner","given":"P","non-dropping-particle":"","parse-names":false,"suffix":""},{"dropping-particle":"","family":"Katzeff","given":"H L","non-dropping-particle":"","parse-names":false,"suffix":""},{"dropping-particle":"","family":"Guo","given":"H","non-dropping-particle":"","parse-names":false,"suffix":""},{"dropping-particle":"","family":"Sunga","given":"S","non-dropping-particle":"","parse-names":false,"suffix":""},{"dropping-particle":"","family":"Williams-Herman","given":"D","non-dropping-particle":"","parse-names":false,"suffix":""},{"dropping-particle":"","family":"Kaufman","given":"K D","non-dropping-particle":"","parse-names":false,"suffix":""},{"dropping-particle":"","family":"Goldstein","given":"B J","non-dropping-particle":"","parse-names":false,"suffix":""},{"dropping-particle":"","family":"Sitagliptin Study 049 Group","given":"","non-dropping-particle":"","parse-names":false,"suffix":""}],"container-title":"Diabetes, Obesity \\&amp; Metabolism","id":"ITEM-1","issue":"3","issued":{"date-parts":[["2010","3"]]},"page":"252-261","title":"Efficacy and safety of monotherapy of sitagliptin compared with metformin in patients with type 2 diabetes","type":"article-journal","volume":"12"},"uris":["http://www.mendeley.com/documents/?uuid=d52c9cb6-5021-4d52-b731-3a70b0f42361"]}],"mendeley":{"formattedCitation":"[1]","plainTextFormattedCitation":"[1]","previouslyFormattedCitation":"[1]"},"properties":{"noteIndex":0},"schema":"https://github.com/citation-style-language/schema/raw/master/csl-citation.json"}</w:instrText>
            </w:r>
            <w:r w:rsidRPr="00214F41">
              <w:rPr>
                <w:sz w:val="18"/>
                <w:szCs w:val="18"/>
              </w:rPr>
              <w:fldChar w:fldCharType="separate"/>
            </w:r>
            <w:r w:rsidRPr="00FF29A9">
              <w:rPr>
                <w:noProof/>
                <w:sz w:val="18"/>
                <w:szCs w:val="18"/>
                <w:lang w:val="en-GB"/>
              </w:rPr>
              <w:t>[1]</w:t>
            </w:r>
            <w:r w:rsidRPr="00214F41">
              <w:rPr>
                <w:sz w:val="18"/>
                <w:szCs w:val="18"/>
              </w:rPr>
              <w:fldChar w:fldCharType="end"/>
            </w:r>
          </w:p>
        </w:tc>
        <w:tc>
          <w:tcPr>
            <w:tcW w:w="171" w:type="pct"/>
            <w:shd w:val="clear" w:color="000000" w:fill="FFFFFF"/>
            <w:vAlign w:val="center"/>
            <w:hideMark/>
          </w:tcPr>
          <w:p w14:paraId="165B20BC"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41038DEF" w14:textId="77777777" w:rsidR="005A043A" w:rsidRPr="00214F41" w:rsidRDefault="005A043A" w:rsidP="00286762">
            <w:pPr>
              <w:jc w:val="center"/>
              <w:rPr>
                <w:sz w:val="18"/>
                <w:szCs w:val="18"/>
                <w:lang w:val="en-GB"/>
              </w:rPr>
            </w:pPr>
            <w:r w:rsidRPr="00214F41">
              <w:rPr>
                <w:sz w:val="18"/>
                <w:szCs w:val="18"/>
                <w:lang w:val="en-GB"/>
              </w:rPr>
              <w:t>To compare the efficacy and safety of monotherapy with sitagliptin and metformin in treatment‐naïve patients with T2DM.</w:t>
            </w:r>
          </w:p>
        </w:tc>
        <w:tc>
          <w:tcPr>
            <w:tcW w:w="364" w:type="pct"/>
            <w:shd w:val="clear" w:color="000000" w:fill="FFFFFF"/>
            <w:vAlign w:val="center"/>
            <w:hideMark/>
          </w:tcPr>
          <w:p w14:paraId="4068E829" w14:textId="77777777" w:rsidR="005A043A" w:rsidRPr="00214F41" w:rsidRDefault="005A043A" w:rsidP="00286762">
            <w:pPr>
              <w:jc w:val="center"/>
              <w:rPr>
                <w:sz w:val="18"/>
                <w:szCs w:val="18"/>
                <w:lang w:val="en-GB"/>
              </w:rPr>
            </w:pPr>
            <w:r w:rsidRPr="00214F41">
              <w:rPr>
                <w:sz w:val="18"/>
                <w:szCs w:val="18"/>
                <w:lang w:val="en-GB"/>
              </w:rPr>
              <w:t>1050/1050</w:t>
            </w:r>
          </w:p>
        </w:tc>
        <w:tc>
          <w:tcPr>
            <w:tcW w:w="200" w:type="pct"/>
            <w:shd w:val="clear" w:color="000000" w:fill="FFFFFF"/>
            <w:vAlign w:val="center"/>
            <w:hideMark/>
          </w:tcPr>
          <w:p w14:paraId="139F3AAC"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5E9AA0CA"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6D174A16" w14:textId="77777777" w:rsidR="005A043A" w:rsidRPr="00214F41" w:rsidRDefault="005A043A" w:rsidP="00286762">
            <w:pPr>
              <w:jc w:val="center"/>
              <w:rPr>
                <w:sz w:val="18"/>
                <w:szCs w:val="18"/>
                <w:lang w:val="en-GB"/>
              </w:rPr>
            </w:pPr>
            <w:r w:rsidRPr="00214F41">
              <w:rPr>
                <w:sz w:val="18"/>
                <w:szCs w:val="18"/>
                <w:lang w:val="en-GB"/>
              </w:rPr>
              <w:t>2000mg/2/d</w:t>
            </w:r>
          </w:p>
        </w:tc>
        <w:tc>
          <w:tcPr>
            <w:tcW w:w="204" w:type="pct"/>
            <w:shd w:val="clear" w:color="000000" w:fill="FFFFFF"/>
            <w:vAlign w:val="center"/>
            <w:hideMark/>
          </w:tcPr>
          <w:p w14:paraId="31820CA1"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shd w:val="clear" w:color="000000" w:fill="FFFFFF"/>
            <w:vAlign w:val="center"/>
            <w:hideMark/>
          </w:tcPr>
          <w:p w14:paraId="652B3FD9"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473D4CFC"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15BF41A2" w14:textId="77777777" w:rsidR="005A043A" w:rsidRPr="00214F41" w:rsidRDefault="005A043A" w:rsidP="00286762">
            <w:pPr>
              <w:jc w:val="center"/>
              <w:rPr>
                <w:sz w:val="18"/>
                <w:szCs w:val="18"/>
                <w:lang w:val="en-GB"/>
              </w:rPr>
            </w:pPr>
            <w:r w:rsidRPr="00214F41">
              <w:rPr>
                <w:sz w:val="18"/>
                <w:szCs w:val="18"/>
                <w:lang w:val="en-GB"/>
              </w:rPr>
              <w:t>sitagliptin/DPP4 inhibitor</w:t>
            </w:r>
          </w:p>
        </w:tc>
        <w:tc>
          <w:tcPr>
            <w:tcW w:w="245" w:type="pct"/>
            <w:gridSpan w:val="2"/>
            <w:shd w:val="clear" w:color="000000" w:fill="FFFFFF"/>
            <w:vAlign w:val="center"/>
            <w:hideMark/>
          </w:tcPr>
          <w:p w14:paraId="65458E69" w14:textId="77777777" w:rsidR="005A043A" w:rsidRPr="00214F41" w:rsidRDefault="005A043A" w:rsidP="00286762">
            <w:pPr>
              <w:jc w:val="center"/>
              <w:rPr>
                <w:sz w:val="18"/>
                <w:szCs w:val="18"/>
                <w:lang w:val="en-GB"/>
              </w:rPr>
            </w:pPr>
            <w:r w:rsidRPr="00214F41">
              <w:rPr>
                <w:sz w:val="18"/>
                <w:szCs w:val="18"/>
                <w:lang w:val="en-GB"/>
              </w:rPr>
              <w:t>56±10.5</w:t>
            </w:r>
          </w:p>
        </w:tc>
        <w:tc>
          <w:tcPr>
            <w:tcW w:w="202" w:type="pct"/>
            <w:shd w:val="clear" w:color="000000" w:fill="FFFFFF"/>
            <w:vAlign w:val="center"/>
            <w:hideMark/>
          </w:tcPr>
          <w:p w14:paraId="38753294" w14:textId="77777777" w:rsidR="005A043A" w:rsidRPr="00214F41" w:rsidRDefault="005A043A" w:rsidP="00286762">
            <w:pPr>
              <w:jc w:val="center"/>
              <w:rPr>
                <w:sz w:val="18"/>
                <w:szCs w:val="18"/>
                <w:lang w:val="en-GB"/>
              </w:rPr>
            </w:pPr>
            <w:r w:rsidRPr="00214F41">
              <w:rPr>
                <w:sz w:val="18"/>
                <w:szCs w:val="18"/>
                <w:lang w:val="en-GB"/>
              </w:rPr>
              <w:t>411/46</w:t>
            </w:r>
          </w:p>
        </w:tc>
        <w:tc>
          <w:tcPr>
            <w:tcW w:w="265" w:type="pct"/>
            <w:gridSpan w:val="2"/>
            <w:shd w:val="clear" w:color="000000" w:fill="FFFFFF"/>
            <w:vAlign w:val="center"/>
            <w:hideMark/>
          </w:tcPr>
          <w:p w14:paraId="032228D8" w14:textId="77777777" w:rsidR="005A043A" w:rsidRPr="00214F41" w:rsidRDefault="005A043A" w:rsidP="00286762">
            <w:pPr>
              <w:jc w:val="center"/>
              <w:rPr>
                <w:sz w:val="18"/>
                <w:szCs w:val="18"/>
                <w:lang w:val="en-GB"/>
              </w:rPr>
            </w:pPr>
            <w:r w:rsidRPr="00214F41">
              <w:rPr>
                <w:sz w:val="18"/>
                <w:szCs w:val="18"/>
                <w:lang w:val="en-GB"/>
              </w:rPr>
              <w:t>30.9±4.9</w:t>
            </w:r>
          </w:p>
        </w:tc>
        <w:tc>
          <w:tcPr>
            <w:tcW w:w="266" w:type="pct"/>
            <w:gridSpan w:val="2"/>
            <w:shd w:val="clear" w:color="000000" w:fill="FFFFFF"/>
            <w:vAlign w:val="center"/>
            <w:hideMark/>
          </w:tcPr>
          <w:p w14:paraId="5085881C" w14:textId="77777777" w:rsidR="005A043A" w:rsidRPr="00214F41" w:rsidRDefault="005A043A" w:rsidP="00286762">
            <w:pPr>
              <w:jc w:val="center"/>
              <w:rPr>
                <w:sz w:val="18"/>
                <w:szCs w:val="18"/>
                <w:lang w:val="en-GB"/>
              </w:rPr>
            </w:pPr>
            <w:r w:rsidRPr="00214F41">
              <w:rPr>
                <w:sz w:val="18"/>
                <w:szCs w:val="18"/>
                <w:lang w:val="en-GB"/>
              </w:rPr>
              <w:t>30.7±4.7</w:t>
            </w:r>
          </w:p>
        </w:tc>
      </w:tr>
      <w:tr w:rsidR="005A043A" w:rsidRPr="0072287D" w14:paraId="58749CDF" w14:textId="77777777" w:rsidTr="00286762">
        <w:trPr>
          <w:trHeight w:val="930"/>
        </w:trPr>
        <w:tc>
          <w:tcPr>
            <w:tcW w:w="338" w:type="pct"/>
            <w:shd w:val="clear" w:color="000000" w:fill="FFFFFF"/>
            <w:vAlign w:val="center"/>
            <w:hideMark/>
          </w:tcPr>
          <w:p w14:paraId="4179BAE8" w14:textId="77777777" w:rsidR="005A043A" w:rsidRPr="00214F41" w:rsidRDefault="005A043A" w:rsidP="00286762">
            <w:pPr>
              <w:jc w:val="center"/>
              <w:rPr>
                <w:sz w:val="18"/>
                <w:szCs w:val="18"/>
                <w:lang w:val="en-GB"/>
              </w:rPr>
            </w:pPr>
            <w:r w:rsidRPr="00214F41">
              <w:rPr>
                <w:sz w:val="18"/>
                <w:szCs w:val="18"/>
                <w:lang w:val="en-GB"/>
              </w:rPr>
              <w:t xml:space="preserve">Blonde et al., 2002 </w:t>
            </w:r>
            <w:r w:rsidRPr="00214F41">
              <w:rPr>
                <w:sz w:val="18"/>
                <w:szCs w:val="18"/>
                <w:lang w:val="en-GB"/>
              </w:rPr>
              <w:fldChar w:fldCharType="begin" w:fldLock="1"/>
            </w:r>
            <w:r>
              <w:rPr>
                <w:sz w:val="18"/>
                <w:szCs w:val="18"/>
                <w:lang w:val="en-GB"/>
              </w:rPr>
              <w:instrText>ADDIN CSL_CITATION {"citationItems":[{"id":"ITEM-1","itemData":{"DOI":"10.1046/j.1463-1326.2002.00229.x","ISSN":"1462-8902","abstract":"Aim: To compare the efficacy, safety and tolerability of a fixed combination glyburide/metformin preparation with those of glyburide or metformin alone in patients with type 2 diabetes inadequately controlled by sulphonylurea, diet and exercise. Methods: In this 16-week, randomized, double-blind, parallel group study, 639 patients with inadequate glycaemic control on at least half-maximal dose of sulphonylurea were randomly assigned to: glyburide 10 mg b.i.d. (n = 164); metformin 500 mg (n = 153); glyburide/metformin 2.5 mg/500 mg (n = 160); or glyburide/metformin 5 mg/500 mg (n = 162). Titration was allowed to maximum doses of 2000 mg for metformin or 10 mg/2000 mg and 20 mg/2000 mg for glyburide/metformin 2.5 mg/500 mg and 5 mg/500 mg respectively. The primary outcome measure was HbA1c, level after 16 weeks; secondary end-points included fasting and 2-h post-prandial plasma glucose. Adverse events (AEs) were recorded and summarized by treatment group. Results: Both strengths of glyburide/metformin equally reduced mean HbA1c, by 1. 7 \\% more than did glyburide alone (p {\\textless} 0.001), and by 1.9\\% more than did metformin alone (p {\\textless} 0.001). Final mean fasting plasma glucose concentrations were also lower in both glyburide/metformin groups than in the glyburide (-2.8 mmol/l, -51.3 mg/dl; p {\\textless} 0.001) and metformin groups (-3.6 mmol/l, -64.2 mg/dl; p {\\textless} 0.001). Safety and tolerability were similar across all treatment groups, except for a higher incidence of gastrointestinal AEs in the metformin monotherapy group, and more patients reporting mild or moderate symptoms of hypoglycaemia while taking glyburide/metformin. Conclusions: Both glyburide/metformin tablet strengths produced, with equal efficacy, significantly better glycaemic control than monotherapy with either agent. These data also confirm that glycaemic efficacy does not require maximal sulphonylurea doses in combination with metformin.","author":[{"dropping-particle":"","family":"Blonde","given":"L","non-dropping-particle":"","parse-names":false,"suffix":""},{"dropping-particle":"","family":"Rosenstock","given":"J","non-dropping-particle":"","parse-names":false,"suffix":""},{"dropping-particle":"","family":"Mooradian","given":"A D","non-dropping-particle":"","parse-names":false,"suffix":""},{"dropping-particle":"","family":"Piper","given":"B.-A.","non-dropping-particle":"","parse-names":false,"suffix":""},{"dropping-particle":"","family":"Henry","given":"D","non-dropping-particle":"","parse-names":false,"suffix":""}],"container-title":"Diabetes, Obesity and Metabolism","id":"ITEM-1","issue":"6","issued":{"date-parts":[["2002"]]},"page":"368-375","title":"Glyburide/metformin combination product is safe and efficacious in patients with type 2 diabetes failing sulphonylurea therapy","type":"article-journal","volume":"4"},"uris":["http://www.mendeley.com/documents/?uuid=7ce42f6d-3971-4656-a210-cde873618065"]}],"mendeley":{"formattedCitation":"[2]","plainTextFormattedCitation":"[2]","previouslyFormattedCitation":"[2]"},"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[2]</w:t>
            </w:r>
            <w:r w:rsidRPr="00214F41">
              <w:rPr>
                <w:sz w:val="18"/>
                <w:szCs w:val="18"/>
                <w:lang w:val="en-GB"/>
              </w:rPr>
              <w:fldChar w:fldCharType="end"/>
            </w:r>
          </w:p>
        </w:tc>
        <w:tc>
          <w:tcPr>
            <w:tcW w:w="171" w:type="pct"/>
            <w:shd w:val="clear" w:color="000000" w:fill="FFFFFF"/>
            <w:vAlign w:val="center"/>
            <w:hideMark/>
          </w:tcPr>
          <w:p w14:paraId="7604355D"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1A801DE2" w14:textId="77777777" w:rsidR="005A043A" w:rsidRPr="00214F41" w:rsidRDefault="005A043A" w:rsidP="00286762">
            <w:pPr>
              <w:jc w:val="center"/>
              <w:rPr>
                <w:sz w:val="18"/>
                <w:szCs w:val="18"/>
                <w:lang w:val="en-GB"/>
              </w:rPr>
            </w:pPr>
            <w:r w:rsidRPr="00214F41">
              <w:rPr>
                <w:sz w:val="18"/>
                <w:szCs w:val="18"/>
                <w:lang w:val="en-GB"/>
              </w:rPr>
              <w:t xml:space="preserve">To compare the efficacy, safety and tolerability of glyburide alone or metformin alone in patients with T2DM inadequately controlled by </w:t>
            </w:r>
            <w:proofErr w:type="spellStart"/>
            <w:r w:rsidRPr="00214F41">
              <w:rPr>
                <w:sz w:val="18"/>
                <w:szCs w:val="18"/>
                <w:lang w:val="en-GB"/>
              </w:rPr>
              <w:t>sulphonylurea</w:t>
            </w:r>
            <w:proofErr w:type="spellEnd"/>
            <w:r w:rsidRPr="00214F41">
              <w:rPr>
                <w:sz w:val="18"/>
                <w:szCs w:val="18"/>
                <w:lang w:val="en-GB"/>
              </w:rPr>
              <w:t>, diet and exercise.</w:t>
            </w:r>
          </w:p>
        </w:tc>
        <w:tc>
          <w:tcPr>
            <w:tcW w:w="364" w:type="pct"/>
            <w:shd w:val="clear" w:color="000000" w:fill="FFFFFF"/>
            <w:vAlign w:val="center"/>
            <w:hideMark/>
          </w:tcPr>
          <w:p w14:paraId="40072C8F" w14:textId="77777777" w:rsidR="005A043A" w:rsidRPr="00214F41" w:rsidRDefault="005A043A" w:rsidP="00286762">
            <w:pPr>
              <w:jc w:val="center"/>
              <w:rPr>
                <w:sz w:val="18"/>
                <w:szCs w:val="18"/>
                <w:lang w:val="en-GB"/>
              </w:rPr>
            </w:pPr>
            <w:r w:rsidRPr="00214F41">
              <w:rPr>
                <w:sz w:val="18"/>
                <w:szCs w:val="18"/>
                <w:lang w:val="en-GB"/>
              </w:rPr>
              <w:t>639/639</w:t>
            </w:r>
          </w:p>
        </w:tc>
        <w:tc>
          <w:tcPr>
            <w:tcW w:w="200" w:type="pct"/>
            <w:shd w:val="clear" w:color="000000" w:fill="FFFFFF"/>
            <w:vAlign w:val="center"/>
            <w:hideMark/>
          </w:tcPr>
          <w:p w14:paraId="6E455266"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7476F4D5"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129B913C" w14:textId="77777777" w:rsidR="005A043A" w:rsidRPr="00214F41" w:rsidRDefault="005A043A" w:rsidP="00286762">
            <w:pPr>
              <w:jc w:val="center"/>
              <w:rPr>
                <w:sz w:val="18"/>
                <w:szCs w:val="18"/>
                <w:lang w:val="en-GB"/>
              </w:rPr>
            </w:pPr>
            <w:r w:rsidRPr="00214F41">
              <w:rPr>
                <w:sz w:val="18"/>
                <w:szCs w:val="18"/>
                <w:lang w:val="en-GB"/>
              </w:rPr>
              <w:t>1840mg/</w:t>
            </w:r>
            <w:proofErr w:type="spellStart"/>
            <w:r w:rsidRPr="00214F41">
              <w:rPr>
                <w:sz w:val="18"/>
                <w:szCs w:val="18"/>
                <w:lang w:val="en-GB"/>
              </w:rPr>
              <w:t>nd</w:t>
            </w:r>
            <w:proofErr w:type="spellEnd"/>
          </w:p>
        </w:tc>
        <w:tc>
          <w:tcPr>
            <w:tcW w:w="204" w:type="pct"/>
            <w:shd w:val="clear" w:color="000000" w:fill="FFFFFF"/>
            <w:vAlign w:val="center"/>
            <w:hideMark/>
          </w:tcPr>
          <w:p w14:paraId="751F5607" w14:textId="77777777" w:rsidR="005A043A" w:rsidRPr="00214F41" w:rsidRDefault="005A043A" w:rsidP="00286762">
            <w:pPr>
              <w:jc w:val="center"/>
              <w:rPr>
                <w:sz w:val="18"/>
                <w:szCs w:val="18"/>
                <w:lang w:val="en-GB"/>
              </w:rPr>
            </w:pPr>
            <w:r w:rsidRPr="00214F41">
              <w:rPr>
                <w:sz w:val="18"/>
                <w:szCs w:val="18"/>
                <w:lang w:val="en-GB"/>
              </w:rPr>
              <w:t>112</w:t>
            </w:r>
          </w:p>
        </w:tc>
        <w:tc>
          <w:tcPr>
            <w:tcW w:w="247" w:type="pct"/>
            <w:shd w:val="clear" w:color="000000" w:fill="FFFFFF"/>
            <w:vAlign w:val="center"/>
            <w:hideMark/>
          </w:tcPr>
          <w:p w14:paraId="4E344354"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4607BFDD"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32584CAA" w14:textId="77777777" w:rsidR="005A043A" w:rsidRPr="00214F41" w:rsidRDefault="005A043A" w:rsidP="00286762">
            <w:pPr>
              <w:jc w:val="center"/>
              <w:rPr>
                <w:sz w:val="18"/>
                <w:szCs w:val="18"/>
                <w:lang w:val="en-GB"/>
              </w:rPr>
            </w:pPr>
            <w:r w:rsidRPr="00214F41">
              <w:rPr>
                <w:sz w:val="18"/>
                <w:szCs w:val="18"/>
                <w:lang w:val="en-GB"/>
              </w:rPr>
              <w:t>glyburide/sulfonylurea derivatives</w:t>
            </w:r>
          </w:p>
        </w:tc>
        <w:tc>
          <w:tcPr>
            <w:tcW w:w="245" w:type="pct"/>
            <w:gridSpan w:val="2"/>
            <w:shd w:val="clear" w:color="000000" w:fill="FFFFFF"/>
            <w:vAlign w:val="center"/>
            <w:hideMark/>
          </w:tcPr>
          <w:p w14:paraId="0081E543" w14:textId="77777777" w:rsidR="005A043A" w:rsidRPr="00214F41" w:rsidRDefault="005A043A" w:rsidP="00286762">
            <w:pPr>
              <w:jc w:val="center"/>
              <w:rPr>
                <w:sz w:val="18"/>
                <w:szCs w:val="18"/>
                <w:lang w:val="en-GB"/>
              </w:rPr>
            </w:pPr>
            <w:r w:rsidRPr="00214F41">
              <w:rPr>
                <w:sz w:val="18"/>
                <w:szCs w:val="18"/>
                <w:lang w:val="en-GB"/>
              </w:rPr>
              <w:t>56.7±9.2</w:t>
            </w:r>
          </w:p>
        </w:tc>
        <w:tc>
          <w:tcPr>
            <w:tcW w:w="202" w:type="pct"/>
            <w:shd w:val="clear" w:color="000000" w:fill="FFFFFF"/>
            <w:vAlign w:val="center"/>
            <w:hideMark/>
          </w:tcPr>
          <w:p w14:paraId="1244E41B" w14:textId="77777777" w:rsidR="005A043A" w:rsidRPr="00214F41" w:rsidRDefault="005A043A" w:rsidP="00286762">
            <w:pPr>
              <w:jc w:val="center"/>
              <w:rPr>
                <w:sz w:val="18"/>
                <w:szCs w:val="18"/>
                <w:lang w:val="en-GB"/>
              </w:rPr>
            </w:pPr>
            <w:r w:rsidRPr="00214F41">
              <w:rPr>
                <w:sz w:val="18"/>
                <w:szCs w:val="18"/>
                <w:lang w:val="en-GB"/>
              </w:rPr>
              <w:t>189/59.6</w:t>
            </w:r>
          </w:p>
        </w:tc>
        <w:tc>
          <w:tcPr>
            <w:tcW w:w="265" w:type="pct"/>
            <w:gridSpan w:val="2"/>
            <w:shd w:val="clear" w:color="000000" w:fill="FFFFFF"/>
            <w:vAlign w:val="center"/>
            <w:hideMark/>
          </w:tcPr>
          <w:p w14:paraId="77EF8C17" w14:textId="77777777" w:rsidR="005A043A" w:rsidRPr="00214F41" w:rsidRDefault="005A043A" w:rsidP="00286762">
            <w:pPr>
              <w:jc w:val="center"/>
              <w:rPr>
                <w:sz w:val="18"/>
                <w:szCs w:val="18"/>
                <w:lang w:val="en-GB"/>
              </w:rPr>
            </w:pPr>
            <w:r w:rsidRPr="00214F41">
              <w:rPr>
                <w:sz w:val="18"/>
                <w:szCs w:val="18"/>
                <w:lang w:val="en-GB"/>
              </w:rPr>
              <w:t>30.6±4.4</w:t>
            </w:r>
          </w:p>
        </w:tc>
        <w:tc>
          <w:tcPr>
            <w:tcW w:w="266" w:type="pct"/>
            <w:gridSpan w:val="2"/>
            <w:shd w:val="clear" w:color="000000" w:fill="FFFFFF"/>
            <w:vAlign w:val="center"/>
            <w:hideMark/>
          </w:tcPr>
          <w:p w14:paraId="3BDE411C" w14:textId="77777777" w:rsidR="005A043A" w:rsidRPr="00214F41" w:rsidRDefault="005A043A" w:rsidP="00286762">
            <w:pPr>
              <w:jc w:val="center"/>
              <w:rPr>
                <w:sz w:val="18"/>
                <w:szCs w:val="18"/>
                <w:lang w:val="en-GB"/>
              </w:rPr>
            </w:pPr>
            <w:r w:rsidRPr="00214F41">
              <w:rPr>
                <w:sz w:val="18"/>
                <w:szCs w:val="18"/>
                <w:lang w:val="en-GB"/>
              </w:rPr>
              <w:t>30.3±4.4</w:t>
            </w:r>
          </w:p>
        </w:tc>
      </w:tr>
      <w:tr w:rsidR="005A043A" w:rsidRPr="0072287D" w14:paraId="4CFAE591" w14:textId="77777777" w:rsidTr="00286762">
        <w:trPr>
          <w:trHeight w:val="930"/>
        </w:trPr>
        <w:tc>
          <w:tcPr>
            <w:tcW w:w="338" w:type="pct"/>
            <w:shd w:val="clear" w:color="000000" w:fill="FFFFFF"/>
            <w:vAlign w:val="center"/>
            <w:hideMark/>
          </w:tcPr>
          <w:p w14:paraId="0CB2FEB7" w14:textId="77777777" w:rsidR="005A043A" w:rsidRPr="00214F41" w:rsidRDefault="005A043A" w:rsidP="00286762">
            <w:pPr>
              <w:jc w:val="center"/>
              <w:rPr>
                <w:sz w:val="18"/>
                <w:szCs w:val="18"/>
                <w:lang w:val="en-GB"/>
              </w:rPr>
            </w:pPr>
            <w:proofErr w:type="spellStart"/>
            <w:r w:rsidRPr="00214F41">
              <w:rPr>
                <w:sz w:val="18"/>
                <w:szCs w:val="18"/>
                <w:lang w:val="en-GB"/>
              </w:rPr>
              <w:t>Ferrannini</w:t>
            </w:r>
            <w:proofErr w:type="spellEnd"/>
            <w:r w:rsidRPr="00214F41">
              <w:rPr>
                <w:sz w:val="18"/>
                <w:szCs w:val="18"/>
                <w:lang w:val="en-GB"/>
              </w:rPr>
              <w:t xml:space="preserve"> et al.., 2013 </w:t>
            </w:r>
            <w:r w:rsidRPr="00214F41">
              <w:rPr>
                <w:sz w:val="18"/>
                <w:szCs w:val="18"/>
                <w:lang w:val="en-GB"/>
              </w:rPr>
              <w:fldChar w:fldCharType="begin" w:fldLock="1"/>
            </w:r>
            <w:r>
              <w:rPr>
                <w:sz w:val="18"/>
                <w:szCs w:val="18"/>
                <w:lang w:val="en-GB"/>
              </w:rPr>
              <w:instrText>ADDIN CSL_CITATION {"citationItems":[{"id":"ITEM-1","itemData":{"DOI":"10.2337/DC13-0663","ISSN":"0149-5992","PMID":"24186878","abstract":"Objective-To investigate the long-term safety and efficacy of empagliflozin, a sodium glucose cotransporter 2 inhibitor; sitagliptin; and metformin in patients with type 2 diabetes. Research design and methods-In this randomized, open-label, 78-week extension study of two 12-week, blinded, dose-finding studies of empagliflozin (monotherapy and add-on to metformin) with open-label comparators, 272 patients received 10 mg empagliflozin (166 as add-on to metformin), 275 received 25 mg empagliflozin (166 as add-on to metformin), 56 patients received metformin, and 56 patients received sitagliptin as add-on to metformin. Results-Changes from baseline in HbA1c at week 90 were -0.34 to -0.63% (23.7 to -6.9 mmol/mol) with empagliflozin, -0.56% (26.1 mmol/mol) with metformin, and -0.40% (24.4 mmol/mol) with sitagliptin. Changes from baseline in weight at week 90 were -2.2 to -4.0 kg with empagliflozin, -1.3 kg with metformin, and -0.4 kg with sitagliptin. Adverse events (AEs) were reported in 63.2-74.1%of patients on empagliflozin and 69.6% on metformin or sitagliptin; most AEs were mild or moderate in intensity. Hypoglycemic events were rare in all treatment groups, and none required assistance. AEs consistent with genital infections were reported in 3.0-5.5% of patients on empagliflozin, 1.8% on metformin, and none on sitagliptin. AEs consistent with urinary tract infections were reported in 3.8-12.7% of patients on empagliflozin, 3.6% on metformin, and 12.5% on sitagliptin. Conclusions-Long-term empagliflozin treatment provided sustained glycemic and weight control and was well tolerated with a low risk of hypoglycemia in patients with type 2 diabetes. © 2013 by the American Diabetes Association.","author":[{"dropping-particle":"","family":"Ferrannini","given":"Ele","non-dropping-particle":"","parse-names":false,"suffix":""},{"dropping-particle":"","family":"Berk","given":"Andreas","non-dropping-particle":"","parse-names":false,"suffix":""},{"dropping-particle":"","family":"Hantel","given":"Stefan","non-dropping-particle":"","parse-names":false,"suffix":""},{"dropping-particle":"","family":"Pinnetti","given":"Sabine","non-dropping-particle":"","parse-names":false,"suffix":""},{"dropping-particle":"","family":"Hach","given":"Thomas","non-dropping-particle":"","parse-names":false,"suffix":""},{"dropping-particle":"","family":"Woerle","given":"Hans J.","non-dropping-particle":"","parse-names":false,"suffix":""},{"dropping-particle":"","family":"Broedl","given":"Uli C.","non-dropping-particle":"","parse-names":false,"suffix":""}],"container-title":"Diabetes Care","id":"ITEM-1","issue":"12","issued":{"date-parts":[["2013","12","1"]]},"page":"4015-4021","publisher":"American Diabetes Association","title":"Long-Term Safety and Efficacy of Empagliflozin, Sitagliptin, and MetforminAn active-controlled, parallel-group, randomized, 78-week open-label extension study in patients with type 2 diabetes","type":"article-journal","volume":"36"},"uris":["http://www.mendeley.com/documents/?uuid=7b7a8a1f-4514-32d9-87db-ec178e29f658"]}],"mendeley":{"formattedCitation":"[3]","plainTextFormattedCitation":"[3]","previouslyFormattedCitation":"[3]"},"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[3]</w:t>
            </w:r>
            <w:r w:rsidRPr="00214F41">
              <w:rPr>
                <w:sz w:val="18"/>
                <w:szCs w:val="18"/>
                <w:lang w:val="en-GB"/>
              </w:rPr>
              <w:fldChar w:fldCharType="end"/>
            </w:r>
            <w:r w:rsidRPr="00214F41">
              <w:rPr>
                <w:sz w:val="18"/>
                <w:szCs w:val="18"/>
                <w:lang w:val="en-GB"/>
              </w:rPr>
              <w:t xml:space="preserve"> </w:t>
            </w:r>
          </w:p>
        </w:tc>
        <w:tc>
          <w:tcPr>
            <w:tcW w:w="171" w:type="pct"/>
            <w:shd w:val="clear" w:color="000000" w:fill="FFFFFF"/>
            <w:vAlign w:val="center"/>
            <w:hideMark/>
          </w:tcPr>
          <w:p w14:paraId="49E274F1"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0FAD1FD0" w14:textId="77777777" w:rsidR="005A043A" w:rsidRPr="00214F41" w:rsidRDefault="005A043A" w:rsidP="00286762">
            <w:pPr>
              <w:jc w:val="center"/>
              <w:rPr>
                <w:sz w:val="18"/>
                <w:szCs w:val="18"/>
                <w:lang w:val="en-GB"/>
              </w:rPr>
            </w:pPr>
            <w:r w:rsidRPr="00214F41">
              <w:rPr>
                <w:sz w:val="18"/>
                <w:szCs w:val="18"/>
                <w:lang w:val="en-GB"/>
              </w:rPr>
              <w:t>To investigate the long-term safety and efficacy of empagliflozin, a sodium glucose cotransporter 2 inhibitor and metformin monotherapies in patients with T2DM.</w:t>
            </w:r>
          </w:p>
        </w:tc>
        <w:tc>
          <w:tcPr>
            <w:tcW w:w="364" w:type="pct"/>
            <w:shd w:val="clear" w:color="000000" w:fill="FFFFFF"/>
            <w:vAlign w:val="center"/>
            <w:hideMark/>
          </w:tcPr>
          <w:p w14:paraId="7FAA355E" w14:textId="77777777" w:rsidR="005A043A" w:rsidRPr="00214F41" w:rsidRDefault="005A043A" w:rsidP="00286762">
            <w:pPr>
              <w:jc w:val="center"/>
              <w:rPr>
                <w:sz w:val="18"/>
                <w:szCs w:val="18"/>
                <w:lang w:val="en-GB"/>
              </w:rPr>
            </w:pPr>
            <w:r w:rsidRPr="00214F41">
              <w:rPr>
                <w:sz w:val="18"/>
                <w:szCs w:val="18"/>
                <w:lang w:val="en-GB"/>
              </w:rPr>
              <w:t>659/659</w:t>
            </w:r>
          </w:p>
        </w:tc>
        <w:tc>
          <w:tcPr>
            <w:tcW w:w="200" w:type="pct"/>
            <w:shd w:val="clear" w:color="000000" w:fill="FFFFFF"/>
            <w:vAlign w:val="center"/>
            <w:hideMark/>
          </w:tcPr>
          <w:p w14:paraId="3FCE49F0" w14:textId="77777777" w:rsidR="005A043A" w:rsidRPr="00214F41" w:rsidRDefault="005A043A" w:rsidP="00286762">
            <w:pPr>
              <w:jc w:val="center"/>
              <w:rPr>
                <w:sz w:val="18"/>
                <w:szCs w:val="18"/>
                <w:lang w:val="en-GB"/>
              </w:rPr>
            </w:pPr>
            <w:r w:rsidRPr="00214F41">
              <w:rPr>
                <w:sz w:val="18"/>
                <w:szCs w:val="18"/>
                <w:lang w:val="en-GB"/>
              </w:rPr>
              <w:t>S (study1)/ P  (study2)≥10 week</w:t>
            </w:r>
            <w:r w:rsidRPr="00214F41">
              <w:rPr>
                <w:sz w:val="18"/>
                <w:szCs w:val="18"/>
                <w:lang w:val="en-GB"/>
              </w:rPr>
              <w:lastRenderedPageBreak/>
              <w:t>s≥1,5 g/d</w:t>
            </w:r>
          </w:p>
        </w:tc>
        <w:tc>
          <w:tcPr>
            <w:tcW w:w="448" w:type="pct"/>
            <w:shd w:val="clear" w:color="000000" w:fill="FFFFFF"/>
            <w:vAlign w:val="center"/>
            <w:hideMark/>
          </w:tcPr>
          <w:p w14:paraId="67F76084" w14:textId="77777777" w:rsidR="005A043A" w:rsidRPr="00214F41" w:rsidRDefault="005A043A" w:rsidP="00286762">
            <w:pPr>
              <w:jc w:val="center"/>
              <w:rPr>
                <w:sz w:val="18"/>
                <w:szCs w:val="18"/>
                <w:lang w:val="en-GB"/>
              </w:rPr>
            </w:pPr>
            <w:proofErr w:type="spellStart"/>
            <w:r w:rsidRPr="00214F41">
              <w:rPr>
                <w:sz w:val="18"/>
                <w:szCs w:val="18"/>
                <w:lang w:val="en-GB"/>
              </w:rPr>
              <w:lastRenderedPageBreak/>
              <w:t>nd</w:t>
            </w:r>
            <w:proofErr w:type="spellEnd"/>
          </w:p>
        </w:tc>
        <w:tc>
          <w:tcPr>
            <w:tcW w:w="324" w:type="pct"/>
            <w:shd w:val="clear" w:color="000000" w:fill="FFFFFF"/>
            <w:vAlign w:val="center"/>
            <w:hideMark/>
          </w:tcPr>
          <w:p w14:paraId="183E8A1D" w14:textId="77777777" w:rsidR="005A043A" w:rsidRPr="00214F41" w:rsidRDefault="005A043A" w:rsidP="00286762">
            <w:pPr>
              <w:jc w:val="center"/>
              <w:rPr>
                <w:sz w:val="18"/>
                <w:szCs w:val="18"/>
                <w:lang w:val="en-GB"/>
              </w:rPr>
            </w:pPr>
            <w:r w:rsidRPr="00214F41">
              <w:rPr>
                <w:sz w:val="18"/>
                <w:szCs w:val="18"/>
                <w:lang w:val="en-GB"/>
              </w:rPr>
              <w:t>2000mg/2/d</w:t>
            </w:r>
          </w:p>
        </w:tc>
        <w:tc>
          <w:tcPr>
            <w:tcW w:w="204" w:type="pct"/>
            <w:shd w:val="clear" w:color="000000" w:fill="FFFFFF"/>
            <w:vAlign w:val="center"/>
            <w:hideMark/>
          </w:tcPr>
          <w:p w14:paraId="32452C10" w14:textId="77777777" w:rsidR="005A043A" w:rsidRPr="00214F41" w:rsidRDefault="005A043A" w:rsidP="00286762">
            <w:pPr>
              <w:jc w:val="center"/>
              <w:rPr>
                <w:sz w:val="18"/>
                <w:szCs w:val="18"/>
                <w:lang w:val="en-GB"/>
              </w:rPr>
            </w:pPr>
            <w:r w:rsidRPr="00214F41">
              <w:rPr>
                <w:sz w:val="18"/>
                <w:szCs w:val="18"/>
                <w:lang w:val="en-GB"/>
              </w:rPr>
              <w:t>546</w:t>
            </w:r>
          </w:p>
        </w:tc>
        <w:tc>
          <w:tcPr>
            <w:tcW w:w="247" w:type="pct"/>
            <w:shd w:val="clear" w:color="000000" w:fill="FFFFFF"/>
            <w:vAlign w:val="center"/>
            <w:hideMark/>
          </w:tcPr>
          <w:p w14:paraId="22B83E20"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11342313"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18325464" w14:textId="77777777" w:rsidR="005A043A" w:rsidRPr="00214F41" w:rsidRDefault="005A043A" w:rsidP="00286762">
            <w:pPr>
              <w:jc w:val="center"/>
              <w:rPr>
                <w:sz w:val="18"/>
                <w:szCs w:val="18"/>
                <w:lang w:val="en-GB"/>
              </w:rPr>
            </w:pPr>
            <w:r w:rsidRPr="00214F41">
              <w:rPr>
                <w:sz w:val="18"/>
                <w:szCs w:val="18"/>
                <w:lang w:val="en-GB"/>
              </w:rPr>
              <w:t>Empagliflozin 10 mg/SGLT2 inhibitor</w:t>
            </w:r>
          </w:p>
        </w:tc>
        <w:tc>
          <w:tcPr>
            <w:tcW w:w="245" w:type="pct"/>
            <w:gridSpan w:val="2"/>
            <w:shd w:val="clear" w:color="000000" w:fill="FFFFFF"/>
            <w:vAlign w:val="center"/>
            <w:hideMark/>
          </w:tcPr>
          <w:p w14:paraId="5DDC348D" w14:textId="77777777" w:rsidR="005A043A" w:rsidRPr="00214F41" w:rsidRDefault="005A043A" w:rsidP="00286762">
            <w:pPr>
              <w:jc w:val="center"/>
              <w:rPr>
                <w:sz w:val="18"/>
                <w:szCs w:val="18"/>
                <w:lang w:val="en-GB"/>
              </w:rPr>
            </w:pPr>
            <w:r w:rsidRPr="00214F41">
              <w:rPr>
                <w:sz w:val="18"/>
                <w:szCs w:val="18"/>
                <w:lang w:val="en-GB"/>
              </w:rPr>
              <w:t>57.78±8.67</w:t>
            </w:r>
          </w:p>
        </w:tc>
        <w:tc>
          <w:tcPr>
            <w:tcW w:w="202" w:type="pct"/>
            <w:shd w:val="clear" w:color="000000" w:fill="FFFFFF"/>
            <w:vAlign w:val="center"/>
            <w:hideMark/>
          </w:tcPr>
          <w:p w14:paraId="63D8F636" w14:textId="77777777" w:rsidR="005A043A" w:rsidRPr="00214F41" w:rsidRDefault="005A043A" w:rsidP="00286762">
            <w:pPr>
              <w:jc w:val="center"/>
              <w:rPr>
                <w:sz w:val="18"/>
                <w:szCs w:val="18"/>
                <w:lang w:val="en-GB"/>
              </w:rPr>
            </w:pPr>
            <w:r w:rsidRPr="00214F41">
              <w:rPr>
                <w:sz w:val="18"/>
                <w:szCs w:val="18"/>
                <w:lang w:val="en-GB"/>
              </w:rPr>
              <w:t>77/47.5</w:t>
            </w:r>
          </w:p>
        </w:tc>
        <w:tc>
          <w:tcPr>
            <w:tcW w:w="265" w:type="pct"/>
            <w:gridSpan w:val="2"/>
            <w:shd w:val="clear" w:color="000000" w:fill="FFFFFF"/>
            <w:vAlign w:val="center"/>
            <w:hideMark/>
          </w:tcPr>
          <w:p w14:paraId="156A7287" w14:textId="77777777" w:rsidR="005A043A" w:rsidRPr="00214F41" w:rsidRDefault="005A043A" w:rsidP="00286762">
            <w:pPr>
              <w:jc w:val="center"/>
              <w:rPr>
                <w:sz w:val="18"/>
                <w:szCs w:val="18"/>
                <w:lang w:val="en-GB"/>
              </w:rPr>
            </w:pPr>
            <w:r w:rsidRPr="00214F41">
              <w:rPr>
                <w:sz w:val="18"/>
                <w:szCs w:val="18"/>
                <w:lang w:val="en-GB"/>
              </w:rPr>
              <w:t>28.6± 22.4-39.3</w:t>
            </w:r>
          </w:p>
        </w:tc>
        <w:tc>
          <w:tcPr>
            <w:tcW w:w="266" w:type="pct"/>
            <w:gridSpan w:val="2"/>
            <w:shd w:val="clear" w:color="000000" w:fill="FFFFFF"/>
            <w:vAlign w:val="center"/>
            <w:hideMark/>
          </w:tcPr>
          <w:p w14:paraId="2FB850A7" w14:textId="77777777" w:rsidR="005A043A" w:rsidRPr="00214F41" w:rsidRDefault="005A043A" w:rsidP="00286762">
            <w:pPr>
              <w:jc w:val="center"/>
              <w:rPr>
                <w:sz w:val="18"/>
                <w:szCs w:val="18"/>
                <w:lang w:val="en-GB"/>
              </w:rPr>
            </w:pPr>
            <w:r w:rsidRPr="00214F41">
              <w:rPr>
                <w:sz w:val="18"/>
                <w:szCs w:val="18"/>
                <w:lang w:val="en-GB"/>
              </w:rPr>
              <w:t>28.9± 20.3-39.2</w:t>
            </w:r>
          </w:p>
        </w:tc>
      </w:tr>
      <w:tr w:rsidR="005A043A" w:rsidRPr="0072287D" w14:paraId="280FD146" w14:textId="77777777" w:rsidTr="00286762">
        <w:trPr>
          <w:trHeight w:val="930"/>
        </w:trPr>
        <w:tc>
          <w:tcPr>
            <w:tcW w:w="338" w:type="pct"/>
            <w:shd w:val="clear" w:color="000000" w:fill="FFFFFF"/>
            <w:vAlign w:val="center"/>
            <w:hideMark/>
          </w:tcPr>
          <w:p w14:paraId="5045CFC8" w14:textId="77777777" w:rsidR="005A043A" w:rsidRPr="00214F41" w:rsidRDefault="005A043A" w:rsidP="00286762">
            <w:pPr>
              <w:jc w:val="center"/>
              <w:rPr>
                <w:sz w:val="18"/>
                <w:szCs w:val="18"/>
                <w:lang w:val="en-GB"/>
              </w:rPr>
            </w:pPr>
            <w:proofErr w:type="spellStart"/>
            <w:r w:rsidRPr="00214F41">
              <w:rPr>
                <w:sz w:val="18"/>
                <w:szCs w:val="18"/>
                <w:lang w:val="en-GB"/>
              </w:rPr>
              <w:t>Bosi</w:t>
            </w:r>
            <w:proofErr w:type="spellEnd"/>
            <w:r w:rsidRPr="00214F41">
              <w:rPr>
                <w:sz w:val="18"/>
                <w:szCs w:val="18"/>
                <w:lang w:val="en-GB"/>
              </w:rPr>
              <w:t xml:space="preserve"> et al., 2009 </w:t>
            </w:r>
            <w:r w:rsidRPr="00214F41">
              <w:rPr>
                <w:sz w:val="18"/>
                <w:szCs w:val="18"/>
                <w:lang w:val="en-GB"/>
              </w:rPr>
              <w:fldChar w:fldCharType="begin" w:fldLock="1"/>
            </w:r>
            <w:r>
              <w:rPr>
                <w:sz w:val="18"/>
                <w:szCs w:val="18"/>
                <w:lang w:val="en-GB"/>
              </w:rPr>
              <w:instrText>ADDIN CSL_CITATION {"citationItems":[{"id":"ITEM-1","itemData":{"DOI":"10.1111/j.1463-1326.2009.01040.x","ISSN":"1463-1326","abstract":"Aim: To compare the efficacy and safety of vildagliptin and metformin initial combination therapy with individual monotherapies in treatment-naive patients with type 2 diabetes mellitus (T2DM). Methods: This was a 24-week, randomized, double-blind, active-controlled study. Treatment-naive patients with T2DM who had a glycated haemoglobin (HbA1c) of 7.5-11\\% (N = 1179) were randomized equally to receive vildagliptin plus high-dose metformin combination therapy (50 mg + 1000 mg twice daily), vildagliptin plus low-dose metformin combination therapy (50 mg + 500 mg twice daily), vildagliptin monotherapy (50 mg twice daily) or high-dose metformin monotherapy (1000 mg twice daily). The primary objective was to demonstrate that HbA1c reduction from baseline with either combination therapy is superior to both monotherapies at the week 24 endpoint. Patients who failed glycaemic-screening criteria [HbA1c {\\textgreater}11\\% or fasting plasma glucose (FPG) {\\textgreater}15 mmol/l (270 mg/dl)] could enter a 24-week, single-arm substudy. These patients (N = 94) received open-label vildagliptin plus high-dose metformin combination therapy (100 mg + 1000 mg twice daily). Results: From comparable baseline values (8.6-8.7\\%), HbA1c decreased in all four treatment groups, to the greatest extent with vildagliptin plus high-dose metformin combination therapy. Mean (SE) HbA1c change from baseline was -1.8\\% (0.06\\%), -1.6\\% (0.06\\%), -1.1\\% (0.06\\%) and -1.4\\% (0.06\\%) with vildagliptin plus high-dose metformin combination therapy, vildagliptin plus low-dose metformin combination therapy, and vildagliptin and metformin monotherapies respectively. The between-group difference was superior with vildagliptin plus high-dose metformin combination therapy (p {\\textless} 0.001 vs. both monotherapies) and vildagliptin plus low-dose metformin combination therapy (p {\\textless} 0.001 and p = 0.004, vs. vildagliptin and metformin monotherapies, respectively). Higher baseline HbA 1c values were linked to greater HbA1creductions, with changes of -3.2\\% (0.22\\%), -2.7\\% (0.22\\%), -1.5\\% (0.24\\%) and -2.6\\% (0.26\\%) respectively, occurring in patients with baseline HbA1c ≥10\\%. Reductions in FPG were superior with vildagliptin plus high-dose metformin combination therapy [change from baseline -2.63 (0.13) mmol/l] compared with both monotherapies [-1.26 (0.13) mmol/l and -1.92 (0.13) mmol/l, respectively; p {\\textless} 0.001]. There was no incidence of hypoglycaemia or severe hypoglycaemia …","author":[{"dropping-particle":"","family":"Bosi","given":"E","non-dropping-particle":"","parse-names":false,"suffix":""},{"dropping-particle":"","family":"Dotta","given":"F","non-dropping-particle":"","parse-names":false,"suffix":""},{"dropping-particle":"","family":"Jia","given":"Y","non-dropping-particle":"","parse-names":false,"suffix":""},{"dropping-particle":"","family":"Goodman","given":"M","non-dropping-particle":"","parse-names":false,"suffix":""}],"container-title":"Diabetes, Obesity and Metabolism","id":"ITEM-1","issue":"5","issued":{"date-parts":[["2009"]]},"page":"506-515","title":"Vildagliptin plus metformin combination therapy provides superior glycaemic control to individual monotherapy in treatment-naive patients with type 2 diabetes mellitus","type":"article-journal","volume":"11"},"uris":["http://www.mendeley.com/documents/?uuid=53c4ea69-e7f8-4f48-84df-635e796adebe"]}],"mendeley":{"formattedCitation":"[4]","plainTextFormattedCitation":"[4]","previouslyFormattedCitation":"[4]"},"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[4]</w:t>
            </w:r>
            <w:r w:rsidRPr="00214F41">
              <w:rPr>
                <w:sz w:val="18"/>
                <w:szCs w:val="18"/>
                <w:lang w:val="en-GB"/>
              </w:rPr>
              <w:fldChar w:fldCharType="end"/>
            </w:r>
          </w:p>
        </w:tc>
        <w:tc>
          <w:tcPr>
            <w:tcW w:w="171" w:type="pct"/>
            <w:shd w:val="clear" w:color="000000" w:fill="FFFFFF"/>
            <w:vAlign w:val="center"/>
            <w:hideMark/>
          </w:tcPr>
          <w:p w14:paraId="2140F8E9"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5499C089" w14:textId="77777777" w:rsidR="005A043A" w:rsidRPr="00214F41" w:rsidRDefault="005A043A" w:rsidP="00286762">
            <w:pPr>
              <w:jc w:val="center"/>
              <w:rPr>
                <w:sz w:val="18"/>
                <w:szCs w:val="18"/>
                <w:lang w:val="en-GB"/>
              </w:rPr>
            </w:pPr>
            <w:r w:rsidRPr="00214F41">
              <w:rPr>
                <w:sz w:val="18"/>
                <w:szCs w:val="18"/>
                <w:lang w:val="en-GB"/>
              </w:rPr>
              <w:t>To compare the efficacy and safety of vildagliptin and metformin individual monotherapies in treatment‐naive patients with T2DM</w:t>
            </w:r>
          </w:p>
        </w:tc>
        <w:tc>
          <w:tcPr>
            <w:tcW w:w="364" w:type="pct"/>
            <w:shd w:val="clear" w:color="000000" w:fill="FFFFFF"/>
            <w:vAlign w:val="center"/>
            <w:hideMark/>
          </w:tcPr>
          <w:p w14:paraId="297C22F5" w14:textId="77777777" w:rsidR="005A043A" w:rsidRPr="00214F41" w:rsidRDefault="005A043A" w:rsidP="00286762">
            <w:pPr>
              <w:jc w:val="center"/>
              <w:rPr>
                <w:sz w:val="18"/>
                <w:szCs w:val="18"/>
                <w:lang w:val="en-GB"/>
              </w:rPr>
            </w:pPr>
            <w:r w:rsidRPr="00214F41">
              <w:rPr>
                <w:sz w:val="18"/>
                <w:szCs w:val="18"/>
                <w:lang w:val="en-GB"/>
              </w:rPr>
              <w:t>1179/1171</w:t>
            </w:r>
          </w:p>
        </w:tc>
        <w:tc>
          <w:tcPr>
            <w:tcW w:w="200" w:type="pct"/>
            <w:shd w:val="clear" w:color="000000" w:fill="FFFFFF"/>
            <w:vAlign w:val="center"/>
            <w:hideMark/>
          </w:tcPr>
          <w:p w14:paraId="1A55ED05"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6D728E63"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5ECD674C" w14:textId="77777777" w:rsidR="005A043A" w:rsidRPr="00214F41" w:rsidRDefault="005A043A" w:rsidP="00286762">
            <w:pPr>
              <w:jc w:val="center"/>
              <w:rPr>
                <w:sz w:val="18"/>
                <w:szCs w:val="18"/>
                <w:lang w:val="en-GB"/>
              </w:rPr>
            </w:pPr>
            <w:r w:rsidRPr="00214F41">
              <w:rPr>
                <w:sz w:val="18"/>
                <w:szCs w:val="18"/>
                <w:lang w:val="en-GB"/>
              </w:rPr>
              <w:t>2000mg/2/d</w:t>
            </w:r>
          </w:p>
        </w:tc>
        <w:tc>
          <w:tcPr>
            <w:tcW w:w="204" w:type="pct"/>
            <w:shd w:val="clear" w:color="000000" w:fill="FFFFFF"/>
            <w:vAlign w:val="center"/>
            <w:hideMark/>
          </w:tcPr>
          <w:p w14:paraId="0900A7DA"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shd w:val="clear" w:color="000000" w:fill="FFFFFF"/>
            <w:vAlign w:val="center"/>
            <w:hideMark/>
          </w:tcPr>
          <w:p w14:paraId="7934167B"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5E4F670A"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2730DC4D" w14:textId="77777777" w:rsidR="005A043A" w:rsidRPr="00214F41" w:rsidRDefault="005A043A" w:rsidP="00286762">
            <w:pPr>
              <w:jc w:val="center"/>
              <w:rPr>
                <w:sz w:val="18"/>
                <w:szCs w:val="18"/>
                <w:lang w:val="en-GB"/>
              </w:rPr>
            </w:pPr>
            <w:r w:rsidRPr="00214F41">
              <w:rPr>
                <w:sz w:val="18"/>
                <w:szCs w:val="18"/>
                <w:lang w:val="en-GB"/>
              </w:rPr>
              <w:t xml:space="preserve">Vildagliptin/DPP4 inhibitor </w:t>
            </w:r>
          </w:p>
        </w:tc>
        <w:tc>
          <w:tcPr>
            <w:tcW w:w="245" w:type="pct"/>
            <w:gridSpan w:val="2"/>
            <w:shd w:val="clear" w:color="000000" w:fill="FFFFFF"/>
            <w:vAlign w:val="center"/>
            <w:hideMark/>
          </w:tcPr>
          <w:p w14:paraId="18803E82" w14:textId="77777777" w:rsidR="005A043A" w:rsidRPr="00214F41" w:rsidRDefault="005A043A" w:rsidP="00286762">
            <w:pPr>
              <w:jc w:val="center"/>
              <w:rPr>
                <w:sz w:val="18"/>
                <w:szCs w:val="18"/>
                <w:lang w:val="en-GB"/>
              </w:rPr>
            </w:pPr>
            <w:r w:rsidRPr="00214F41">
              <w:rPr>
                <w:sz w:val="18"/>
                <w:szCs w:val="18"/>
                <w:lang w:val="en-GB"/>
              </w:rPr>
              <w:t>53±10.9</w:t>
            </w:r>
          </w:p>
        </w:tc>
        <w:tc>
          <w:tcPr>
            <w:tcW w:w="202" w:type="pct"/>
            <w:shd w:val="clear" w:color="000000" w:fill="FFFFFF"/>
            <w:vAlign w:val="center"/>
            <w:hideMark/>
          </w:tcPr>
          <w:p w14:paraId="0AEAAE1D" w14:textId="77777777" w:rsidR="005A043A" w:rsidRPr="00214F41" w:rsidRDefault="005A043A" w:rsidP="00286762">
            <w:pPr>
              <w:jc w:val="center"/>
              <w:rPr>
                <w:sz w:val="18"/>
                <w:szCs w:val="18"/>
                <w:lang w:val="en-GB"/>
              </w:rPr>
            </w:pPr>
            <w:r w:rsidRPr="00214F41">
              <w:rPr>
                <w:sz w:val="18"/>
                <w:szCs w:val="18"/>
                <w:lang w:val="en-GB"/>
              </w:rPr>
              <w:t>351/59.1</w:t>
            </w:r>
          </w:p>
        </w:tc>
        <w:tc>
          <w:tcPr>
            <w:tcW w:w="265" w:type="pct"/>
            <w:gridSpan w:val="2"/>
            <w:shd w:val="clear" w:color="000000" w:fill="FFFFFF"/>
            <w:vAlign w:val="center"/>
            <w:hideMark/>
          </w:tcPr>
          <w:p w14:paraId="68263A71" w14:textId="77777777" w:rsidR="005A043A" w:rsidRPr="00214F41" w:rsidRDefault="005A043A" w:rsidP="00286762">
            <w:pPr>
              <w:jc w:val="center"/>
              <w:rPr>
                <w:sz w:val="18"/>
                <w:szCs w:val="18"/>
                <w:lang w:val="en-GB"/>
              </w:rPr>
            </w:pPr>
            <w:r w:rsidRPr="00214F41">
              <w:rPr>
                <w:sz w:val="18"/>
                <w:szCs w:val="18"/>
                <w:lang w:val="en-GB"/>
              </w:rPr>
              <w:t>31.31±4.58</w:t>
            </w:r>
          </w:p>
        </w:tc>
        <w:tc>
          <w:tcPr>
            <w:tcW w:w="266" w:type="pct"/>
            <w:gridSpan w:val="2"/>
            <w:shd w:val="clear" w:color="000000" w:fill="FFFFFF"/>
            <w:vAlign w:val="center"/>
            <w:hideMark/>
          </w:tcPr>
          <w:p w14:paraId="1D9CEBD3" w14:textId="77777777" w:rsidR="005A043A" w:rsidRPr="00214F41" w:rsidRDefault="005A043A" w:rsidP="00286762">
            <w:pPr>
              <w:jc w:val="center"/>
              <w:rPr>
                <w:sz w:val="18"/>
                <w:szCs w:val="18"/>
                <w:lang w:val="en-GB"/>
              </w:rPr>
            </w:pPr>
            <w:r w:rsidRPr="00214F41">
              <w:rPr>
                <w:sz w:val="18"/>
                <w:szCs w:val="18"/>
                <w:lang w:val="en-GB"/>
              </w:rPr>
              <w:t>31.26±4.82</w:t>
            </w:r>
          </w:p>
        </w:tc>
      </w:tr>
      <w:tr w:rsidR="005A043A" w:rsidRPr="0072287D" w14:paraId="648FAEE5" w14:textId="77777777" w:rsidTr="00286762">
        <w:trPr>
          <w:trHeight w:val="616"/>
        </w:trPr>
        <w:tc>
          <w:tcPr>
            <w:tcW w:w="338" w:type="pct"/>
            <w:shd w:val="clear" w:color="000000" w:fill="FFFFFF"/>
            <w:vAlign w:val="center"/>
            <w:hideMark/>
          </w:tcPr>
          <w:p w14:paraId="01DC392F" w14:textId="77777777" w:rsidR="005A043A" w:rsidRPr="00214F41" w:rsidRDefault="005A043A" w:rsidP="00286762">
            <w:pPr>
              <w:jc w:val="center"/>
              <w:rPr>
                <w:sz w:val="18"/>
                <w:szCs w:val="18"/>
                <w:lang w:val="en-GB"/>
              </w:rPr>
            </w:pPr>
            <w:proofErr w:type="spellStart"/>
            <w:r w:rsidRPr="00214F41">
              <w:rPr>
                <w:sz w:val="18"/>
                <w:szCs w:val="18"/>
                <w:lang w:val="en-GB"/>
              </w:rPr>
              <w:t>DeFronzo</w:t>
            </w:r>
            <w:proofErr w:type="spellEnd"/>
            <w:r w:rsidRPr="00214F41">
              <w:rPr>
                <w:sz w:val="18"/>
                <w:szCs w:val="18"/>
                <w:lang w:val="en-GB"/>
              </w:rPr>
              <w:t xml:space="preserve"> et al., 1995 </w:t>
            </w:r>
            <w:r w:rsidRPr="00214F41">
              <w:rPr>
                <w:sz w:val="18"/>
                <w:szCs w:val="18"/>
                <w:lang w:val="en-GB"/>
              </w:rPr>
              <w:fldChar w:fldCharType="begin" w:fldLock="1"/>
            </w:r>
            <w:r>
              <w:rPr>
                <w:sz w:val="18"/>
                <w:szCs w:val="18"/>
                <w:lang w:val="en-GB"/>
              </w:rPr>
              <w:instrText>ADDIN CSL_CITATION {"citationItems":[{"id":"ITEM-1","itemData":{"DOI":"10.1056/NEJM199508313330902","ISSN":"0028-4793","abstract":"Background. Sulfonylurea drugs have been the only oral therapy available for patients with non-insulin-dependent diabetes mellitus (NIDDM) in the United States. Recently, however, metformin has been approved for the treatment of NIDDM. Methods. We performed two large, randomized, parallel- group, double-blind, controlled studies in which metformin or another treatment was given for 29 weeks to moderately obese patients with NIDDM whose diabetes was inadequately controlled by diet (protocol 1: metformin vs. placebo; 289 patients), or diet plus glyburide (protocol 2: metformin and glyburide vs. metformin vs. glyburide; 632 patients). To determine efficacy we measured plasma glucose (while the patients were fasting and after the oral administration of glucose), lactate, lipids, insulin, and glycosylated hemoglobin before, during, and at the end of the study. Results. In protocol 1, at the end of the study the 143 patients in the metformin group, as compared with the 146 patients in the placebo group, had lower mean (±SE) fasting plasma glucose concentrations (189±5 vs. 244±6 mg per deciliter [10.6±0.3 vs. 13.7±0.3 mmol per liter], P{\\textless}0.001) and glycosylated hemoglobin values (7.1 ±0.1 percent vs. 8.6±0.2 percent, P{\\textless}0.001). In protocol 2, the 213 patients given metformin and glyburide, as compared with the 209 patients treated with glyburide alone, had lower mean fasting plasma glucose concentrations (187</w:instrText>
            </w:r>
            <w:r>
              <w:rPr>
                <w:rFonts w:ascii="Cambria Math" w:hAnsi="Cambria Math" w:cs="Cambria Math"/>
                <w:sz w:val="18"/>
                <w:szCs w:val="18"/>
                <w:lang w:val="en-GB"/>
              </w:rPr>
              <w:instrText>≰</w:instrText>
            </w:r>
            <w:r>
              <w:rPr>
                <w:sz w:val="18"/>
                <w:szCs w:val="18"/>
                <w:lang w:val="en-GB"/>
              </w:rPr>
              <w:instrText xml:space="preserve"> vs. 261±4 mg per deciliter [10.5±0.2 vs. 14.6±0.2 mmol per liter], P{\\textless}0.001) and glycosylated hemoglobin values (7.1±0.1 percent vs. 8.7±0.1 percent, P{\\textless}0.001). The effect of metformin alone was similar to that of glyburide alone. Eighteen percent of the patients given metformin and glyburide had symptoms compatible with hypoglycemia, as compared with 3 percent in the glyburide group and 2 percent in the metformin group. In both protocols the patients given metformin had statistically significant decreases in plasma total and low-density lipoprotein cholesterol and triglyceride concentrations, whereas the values in the respective control groups did not change. There were no significant changes in fasting plasma lactate concentrations in any of the groups. Conclusions. Metformin monotherapy and combination therapy with metformin and sulfonylurea are well tolerated and improve glycemic control and lipid concentrations in patients with NIDDM whose diabetes is poorly controlled with diet or sulfonylurea therapy alone.","author":[{"dropping-particle":"","family":"Defronzo","given":"R A","non-dropping-particle":"","parse-names":false,"suffix":""},{"dropping-particle":"","family":"Goodman","given":"A M","non-dropping-particle":"","parse-names":false,"suffix":""}],"container-title":"New England Journal of Medicine","id":"ITEM-1","issue":"9","issued":{"date-parts":[["1995"]]},"page":"541-549","title":"Efficacy of metformin in patients with non-insulin-dependent diabetes mellitus","type":"article-journal","volume":"333"},"uris":["http://www.mendeley.com/documents/?uuid=58d2fb60-d089-4488-8fa7-869addec847c"]}],"mendeley":{"formattedCitation":"[5]","plainTextFormattedCitation":"[5]","previouslyFormattedCitation":"[5]"},"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[5]</w:t>
            </w:r>
            <w:r w:rsidRPr="00214F41">
              <w:rPr>
                <w:sz w:val="18"/>
                <w:szCs w:val="18"/>
                <w:lang w:val="en-GB"/>
              </w:rPr>
              <w:fldChar w:fldCharType="end"/>
            </w:r>
          </w:p>
        </w:tc>
        <w:tc>
          <w:tcPr>
            <w:tcW w:w="171" w:type="pct"/>
            <w:shd w:val="clear" w:color="000000" w:fill="FFFFFF"/>
            <w:vAlign w:val="center"/>
            <w:hideMark/>
          </w:tcPr>
          <w:p w14:paraId="788A6FE0"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71F2E03B" w14:textId="77777777" w:rsidR="005A043A" w:rsidRPr="00214F41" w:rsidRDefault="005A043A" w:rsidP="00286762">
            <w:pPr>
              <w:jc w:val="center"/>
              <w:rPr>
                <w:sz w:val="18"/>
                <w:szCs w:val="18"/>
                <w:lang w:val="en-GB"/>
              </w:rPr>
            </w:pPr>
            <w:r w:rsidRPr="00214F41">
              <w:rPr>
                <w:sz w:val="18"/>
                <w:szCs w:val="18"/>
                <w:lang w:val="en-GB"/>
              </w:rPr>
              <w:t>To test the efficacy of Metformin in Patients with Non-Insulin-Dependent Diabetes Mellitus</w:t>
            </w:r>
          </w:p>
        </w:tc>
        <w:tc>
          <w:tcPr>
            <w:tcW w:w="364" w:type="pct"/>
            <w:shd w:val="clear" w:color="000000" w:fill="FFFFFF"/>
            <w:vAlign w:val="center"/>
            <w:hideMark/>
          </w:tcPr>
          <w:p w14:paraId="0D9131F2" w14:textId="77777777" w:rsidR="005A043A" w:rsidRPr="00214F41" w:rsidRDefault="005A043A" w:rsidP="00286762">
            <w:pPr>
              <w:jc w:val="center"/>
              <w:rPr>
                <w:sz w:val="18"/>
                <w:szCs w:val="18"/>
                <w:lang w:val="en-GB"/>
              </w:rPr>
            </w:pPr>
            <w:r w:rsidRPr="00214F41">
              <w:rPr>
                <w:sz w:val="18"/>
                <w:szCs w:val="18"/>
                <w:lang w:val="en-GB"/>
              </w:rPr>
              <w:t>289/289</w:t>
            </w:r>
          </w:p>
        </w:tc>
        <w:tc>
          <w:tcPr>
            <w:tcW w:w="200" w:type="pct"/>
            <w:shd w:val="clear" w:color="000000" w:fill="FFFFFF"/>
            <w:vAlign w:val="center"/>
            <w:hideMark/>
          </w:tcPr>
          <w:p w14:paraId="1635C3CB"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27A50309"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00724445" w14:textId="77777777" w:rsidR="005A043A" w:rsidRPr="00214F41" w:rsidRDefault="005A043A" w:rsidP="00286762">
            <w:pPr>
              <w:jc w:val="center"/>
              <w:rPr>
                <w:sz w:val="18"/>
                <w:szCs w:val="18"/>
                <w:lang w:val="en-GB"/>
              </w:rPr>
            </w:pPr>
            <w:r w:rsidRPr="00214F41">
              <w:rPr>
                <w:sz w:val="18"/>
                <w:szCs w:val="18"/>
                <w:lang w:val="en-GB"/>
              </w:rPr>
              <w:t>2550mg/3/d</w:t>
            </w:r>
          </w:p>
        </w:tc>
        <w:tc>
          <w:tcPr>
            <w:tcW w:w="204" w:type="pct"/>
            <w:shd w:val="clear" w:color="000000" w:fill="FFFFFF"/>
            <w:vAlign w:val="center"/>
            <w:hideMark/>
          </w:tcPr>
          <w:p w14:paraId="3AB1AFEF" w14:textId="77777777" w:rsidR="005A043A" w:rsidRPr="00214F41" w:rsidRDefault="005A043A" w:rsidP="00286762">
            <w:pPr>
              <w:jc w:val="center"/>
              <w:rPr>
                <w:sz w:val="18"/>
                <w:szCs w:val="18"/>
                <w:lang w:val="en-GB"/>
              </w:rPr>
            </w:pPr>
            <w:r w:rsidRPr="00214F41">
              <w:rPr>
                <w:sz w:val="18"/>
                <w:szCs w:val="18"/>
                <w:lang w:val="en-GB"/>
              </w:rPr>
              <w:t>203</w:t>
            </w:r>
          </w:p>
        </w:tc>
        <w:tc>
          <w:tcPr>
            <w:tcW w:w="247" w:type="pct"/>
            <w:shd w:val="clear" w:color="000000" w:fill="FFFFFF"/>
            <w:vAlign w:val="center"/>
            <w:hideMark/>
          </w:tcPr>
          <w:p w14:paraId="4DB72563"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062229CD"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67AA40FD" w14:textId="77777777" w:rsidR="005A043A" w:rsidRPr="00214F41" w:rsidRDefault="005A043A" w:rsidP="00286762">
            <w:pPr>
              <w:jc w:val="center"/>
              <w:rPr>
                <w:sz w:val="18"/>
                <w:szCs w:val="18"/>
                <w:lang w:val="en-GB"/>
              </w:rPr>
            </w:pPr>
            <w:r w:rsidRPr="00214F41">
              <w:rPr>
                <w:sz w:val="18"/>
                <w:szCs w:val="18"/>
                <w:lang w:val="en-GB"/>
              </w:rPr>
              <w:t>PBO</w:t>
            </w:r>
          </w:p>
        </w:tc>
        <w:tc>
          <w:tcPr>
            <w:tcW w:w="245" w:type="pct"/>
            <w:gridSpan w:val="2"/>
            <w:shd w:val="clear" w:color="000000" w:fill="FFFFFF"/>
            <w:vAlign w:val="center"/>
            <w:hideMark/>
          </w:tcPr>
          <w:p w14:paraId="098C0780" w14:textId="77777777" w:rsidR="005A043A" w:rsidRPr="00214F41" w:rsidRDefault="005A043A" w:rsidP="00286762">
            <w:pPr>
              <w:jc w:val="center"/>
              <w:rPr>
                <w:sz w:val="18"/>
                <w:szCs w:val="18"/>
                <w:lang w:val="en-GB"/>
              </w:rPr>
            </w:pPr>
            <w:r w:rsidRPr="00214F41">
              <w:rPr>
                <w:sz w:val="18"/>
                <w:szCs w:val="18"/>
                <w:lang w:val="en-GB"/>
              </w:rPr>
              <w:t>53±12.02</w:t>
            </w:r>
          </w:p>
        </w:tc>
        <w:tc>
          <w:tcPr>
            <w:tcW w:w="202" w:type="pct"/>
            <w:shd w:val="clear" w:color="000000" w:fill="FFFFFF"/>
            <w:vAlign w:val="center"/>
            <w:hideMark/>
          </w:tcPr>
          <w:p w14:paraId="5C0867F4" w14:textId="77777777" w:rsidR="005A043A" w:rsidRPr="00214F41" w:rsidRDefault="005A043A" w:rsidP="00286762">
            <w:pPr>
              <w:jc w:val="center"/>
              <w:rPr>
                <w:sz w:val="18"/>
                <w:szCs w:val="18"/>
                <w:lang w:val="en-GB"/>
              </w:rPr>
            </w:pPr>
            <w:r w:rsidRPr="00214F41">
              <w:rPr>
                <w:sz w:val="18"/>
                <w:szCs w:val="18"/>
                <w:lang w:val="en-GB"/>
              </w:rPr>
              <w:t>124/42.9</w:t>
            </w:r>
          </w:p>
        </w:tc>
        <w:tc>
          <w:tcPr>
            <w:tcW w:w="265" w:type="pct"/>
            <w:gridSpan w:val="2"/>
            <w:shd w:val="clear" w:color="000000" w:fill="FFFFFF"/>
            <w:vAlign w:val="center"/>
            <w:hideMark/>
          </w:tcPr>
          <w:p w14:paraId="4988ED28" w14:textId="77777777" w:rsidR="005A043A" w:rsidRPr="00214F41" w:rsidRDefault="005A043A" w:rsidP="00286762">
            <w:pPr>
              <w:jc w:val="center"/>
              <w:rPr>
                <w:sz w:val="18"/>
                <w:szCs w:val="18"/>
                <w:lang w:val="en-GB"/>
              </w:rPr>
            </w:pPr>
            <w:r w:rsidRPr="00214F41">
              <w:rPr>
                <w:sz w:val="18"/>
                <w:szCs w:val="18"/>
                <w:lang w:val="en-GB"/>
              </w:rPr>
              <w:t>29.9±3.6</w:t>
            </w:r>
          </w:p>
        </w:tc>
        <w:tc>
          <w:tcPr>
            <w:tcW w:w="266" w:type="pct"/>
            <w:gridSpan w:val="2"/>
            <w:shd w:val="clear" w:color="000000" w:fill="FFFFFF"/>
            <w:vAlign w:val="center"/>
            <w:hideMark/>
          </w:tcPr>
          <w:p w14:paraId="24FEF87E" w14:textId="77777777" w:rsidR="005A043A" w:rsidRPr="00214F41" w:rsidRDefault="005A043A" w:rsidP="00286762">
            <w:pPr>
              <w:jc w:val="center"/>
              <w:rPr>
                <w:sz w:val="18"/>
                <w:szCs w:val="18"/>
                <w:lang w:val="en-GB"/>
              </w:rPr>
            </w:pPr>
            <w:r w:rsidRPr="00214F41">
              <w:rPr>
                <w:sz w:val="18"/>
                <w:szCs w:val="18"/>
                <w:lang w:val="en-GB"/>
              </w:rPr>
              <w:t>29.2±3.6</w:t>
            </w:r>
          </w:p>
        </w:tc>
      </w:tr>
      <w:tr w:rsidR="005A043A" w:rsidRPr="00214F41" w14:paraId="03CC8F0C" w14:textId="77777777" w:rsidTr="00286762">
        <w:trPr>
          <w:trHeight w:val="930"/>
        </w:trPr>
        <w:tc>
          <w:tcPr>
            <w:tcW w:w="338" w:type="pct"/>
            <w:shd w:val="clear" w:color="000000" w:fill="FFFFFF"/>
            <w:vAlign w:val="center"/>
            <w:hideMark/>
          </w:tcPr>
          <w:p w14:paraId="77357F13" w14:textId="77777777" w:rsidR="005A043A" w:rsidRPr="00214F41" w:rsidRDefault="005A043A" w:rsidP="00286762">
            <w:pPr>
              <w:jc w:val="center"/>
              <w:rPr>
                <w:sz w:val="18"/>
                <w:szCs w:val="18"/>
                <w:lang w:val="en-GB"/>
              </w:rPr>
            </w:pPr>
            <w:r w:rsidRPr="00214F41">
              <w:rPr>
                <w:sz w:val="18"/>
                <w:szCs w:val="18"/>
                <w:lang w:val="en-GB"/>
              </w:rPr>
              <w:t xml:space="preserve">Del Prato et al., 2002 </w:t>
            </w:r>
            <w:r w:rsidRPr="00214F41">
              <w:rPr>
                <w:sz w:val="18"/>
                <w:szCs w:val="18"/>
                <w:lang w:val="en-GB"/>
              </w:rPr>
              <w:fldChar w:fldCharType="begin" w:fldLock="1"/>
            </w:r>
            <w:r>
              <w:rPr>
                <w:sz w:val="18"/>
                <w:szCs w:val="18"/>
                <w:lang w:val="en-GB"/>
              </w:rPr>
              <w:instrText>ADDIN CSL_CITATION {"citationItems":[{"id":"ITEM-1","itemData":{"DOI":"10.1007/s005920300004","ISSN":"0940-5429, 1432-5233","author":[{"dropping-particle":"","family":"Prato","given":"S","non-dropping-particle":"Del","parse-names":false,"suffix":""},{"dropping-particle":"","family":"Erkelens","given":"D W","non-dropping-particle":"","parse-names":false,"suffix":""},{"dropping-particle":"","family":"Leutenegger","given":"M","non-dropping-particle":"","parse-names":false,"suffix":""}],"container-title":"Acta Diabetologica","id":"ITEM-1","issue":"1","issued":{"date-parts":[["2003","3"]]},"page":"20-27","title":"Six-month efficacy of benfluorex vs. placebo or metformin in diet-failed type 2 diabetic patients","type":"article-journal","volume":"40"},"uris":["http://www.mendeley.com/documents/?uuid=953c27d9-b9e5-49bc-85e4-f6727ea78000"]}],"mendeley":{"formattedCitation":"[6]","plainTextFormattedCitation":"[6]","previouslyFormattedCitation":"[6]"},"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[6]</w:t>
            </w:r>
            <w:r w:rsidRPr="00214F41">
              <w:rPr>
                <w:sz w:val="18"/>
                <w:szCs w:val="18"/>
                <w:lang w:val="en-GB"/>
              </w:rPr>
              <w:fldChar w:fldCharType="end"/>
            </w:r>
          </w:p>
        </w:tc>
        <w:tc>
          <w:tcPr>
            <w:tcW w:w="171" w:type="pct"/>
            <w:shd w:val="clear" w:color="000000" w:fill="FFFFFF"/>
            <w:vAlign w:val="center"/>
            <w:hideMark/>
          </w:tcPr>
          <w:p w14:paraId="5A58EDB8"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20A48263" w14:textId="77777777" w:rsidR="005A043A" w:rsidRPr="00214F41" w:rsidRDefault="005A043A" w:rsidP="00286762">
            <w:pPr>
              <w:jc w:val="center"/>
              <w:rPr>
                <w:sz w:val="18"/>
                <w:szCs w:val="18"/>
                <w:lang w:val="en-GB"/>
              </w:rPr>
            </w:pPr>
            <w:r w:rsidRPr="00214F41">
              <w:rPr>
                <w:sz w:val="18"/>
                <w:szCs w:val="18"/>
                <w:lang w:val="en-GB"/>
              </w:rPr>
              <w:t>To compare the efficacy of six-month therapy of benfluorex (Mediator) (150–450 mg/day)  vs. placebo or metformin hydrochloride</w:t>
            </w:r>
          </w:p>
        </w:tc>
        <w:tc>
          <w:tcPr>
            <w:tcW w:w="364" w:type="pct"/>
            <w:shd w:val="clear" w:color="000000" w:fill="FFFFFF"/>
            <w:vAlign w:val="center"/>
            <w:hideMark/>
          </w:tcPr>
          <w:p w14:paraId="622AE1EF" w14:textId="77777777" w:rsidR="005A043A" w:rsidRPr="00214F41" w:rsidRDefault="005A043A" w:rsidP="00286762">
            <w:pPr>
              <w:jc w:val="center"/>
              <w:rPr>
                <w:sz w:val="18"/>
                <w:szCs w:val="18"/>
                <w:lang w:val="en-GB"/>
              </w:rPr>
            </w:pPr>
            <w:r w:rsidRPr="00214F41">
              <w:rPr>
                <w:sz w:val="18"/>
                <w:szCs w:val="18"/>
                <w:lang w:val="en-GB"/>
              </w:rPr>
              <w:t>722/722</w:t>
            </w:r>
          </w:p>
        </w:tc>
        <w:tc>
          <w:tcPr>
            <w:tcW w:w="200" w:type="pct"/>
            <w:shd w:val="clear" w:color="000000" w:fill="FFFFFF"/>
            <w:vAlign w:val="center"/>
            <w:hideMark/>
          </w:tcPr>
          <w:p w14:paraId="222A8317"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53F3C718"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4A29D755" w14:textId="77777777" w:rsidR="005A043A" w:rsidRPr="00214F41" w:rsidRDefault="005A043A" w:rsidP="00286762">
            <w:pPr>
              <w:jc w:val="center"/>
              <w:rPr>
                <w:sz w:val="18"/>
                <w:szCs w:val="18"/>
                <w:lang w:val="en-GB"/>
              </w:rPr>
            </w:pPr>
            <w:r w:rsidRPr="00214F41">
              <w:rPr>
                <w:sz w:val="18"/>
                <w:szCs w:val="18"/>
                <w:lang w:val="en-GB"/>
              </w:rPr>
              <w:t>2125mg/2,5/d</w:t>
            </w:r>
          </w:p>
        </w:tc>
        <w:tc>
          <w:tcPr>
            <w:tcW w:w="204" w:type="pct"/>
            <w:shd w:val="clear" w:color="000000" w:fill="FFFFFF"/>
            <w:vAlign w:val="center"/>
            <w:hideMark/>
          </w:tcPr>
          <w:p w14:paraId="4236BC22" w14:textId="77777777" w:rsidR="005A043A" w:rsidRPr="00214F41" w:rsidRDefault="005A043A" w:rsidP="00286762">
            <w:pPr>
              <w:jc w:val="center"/>
              <w:rPr>
                <w:sz w:val="18"/>
                <w:szCs w:val="18"/>
                <w:lang w:val="en-GB"/>
              </w:rPr>
            </w:pPr>
            <w:r w:rsidRPr="00214F41">
              <w:rPr>
                <w:sz w:val="18"/>
                <w:szCs w:val="18"/>
                <w:lang w:val="en-GB"/>
              </w:rPr>
              <w:t>203</w:t>
            </w:r>
          </w:p>
        </w:tc>
        <w:tc>
          <w:tcPr>
            <w:tcW w:w="247" w:type="pct"/>
            <w:shd w:val="clear" w:color="000000" w:fill="FFFFFF"/>
            <w:vAlign w:val="center"/>
            <w:hideMark/>
          </w:tcPr>
          <w:p w14:paraId="48DC3F8A"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447E6D25"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412E0061" w14:textId="77777777" w:rsidR="005A043A" w:rsidRPr="00214F41" w:rsidRDefault="005A043A" w:rsidP="00286762">
            <w:pPr>
              <w:jc w:val="center"/>
              <w:rPr>
                <w:sz w:val="18"/>
                <w:szCs w:val="18"/>
                <w:lang w:val="en-GB"/>
              </w:rPr>
            </w:pPr>
            <w:r w:rsidRPr="00214F41">
              <w:rPr>
                <w:sz w:val="18"/>
                <w:szCs w:val="18"/>
                <w:lang w:val="en-GB"/>
              </w:rPr>
              <w:t>PBO</w:t>
            </w:r>
          </w:p>
        </w:tc>
        <w:tc>
          <w:tcPr>
            <w:tcW w:w="245" w:type="pct"/>
            <w:gridSpan w:val="2"/>
            <w:shd w:val="clear" w:color="000000" w:fill="FFFFFF"/>
            <w:vAlign w:val="center"/>
            <w:hideMark/>
          </w:tcPr>
          <w:p w14:paraId="1CD15E36" w14:textId="77777777" w:rsidR="005A043A" w:rsidRPr="00214F41" w:rsidRDefault="005A043A" w:rsidP="00286762">
            <w:pPr>
              <w:jc w:val="center"/>
              <w:rPr>
                <w:sz w:val="18"/>
                <w:szCs w:val="18"/>
                <w:lang w:val="en-GB"/>
              </w:rPr>
            </w:pPr>
            <w:r w:rsidRPr="00214F41">
              <w:rPr>
                <w:sz w:val="18"/>
                <w:szCs w:val="18"/>
                <w:lang w:val="en-GB"/>
              </w:rPr>
              <w:t>56±9</w:t>
            </w:r>
          </w:p>
        </w:tc>
        <w:tc>
          <w:tcPr>
            <w:tcW w:w="202" w:type="pct"/>
            <w:shd w:val="clear" w:color="000000" w:fill="FFFFFF"/>
            <w:vAlign w:val="center"/>
            <w:hideMark/>
          </w:tcPr>
          <w:p w14:paraId="2717F058" w14:textId="77777777" w:rsidR="005A043A" w:rsidRPr="00214F41" w:rsidRDefault="005A043A" w:rsidP="00286762">
            <w:pPr>
              <w:jc w:val="center"/>
              <w:rPr>
                <w:sz w:val="18"/>
                <w:szCs w:val="18"/>
                <w:lang w:val="en-GB"/>
              </w:rPr>
            </w:pPr>
            <w:r w:rsidRPr="00214F41">
              <w:rPr>
                <w:sz w:val="18"/>
                <w:szCs w:val="18"/>
                <w:lang w:val="en-GB"/>
              </w:rPr>
              <w:t>259/60.5</w:t>
            </w:r>
          </w:p>
        </w:tc>
        <w:tc>
          <w:tcPr>
            <w:tcW w:w="265" w:type="pct"/>
            <w:gridSpan w:val="2"/>
            <w:shd w:val="clear" w:color="000000" w:fill="FFFFFF"/>
            <w:vAlign w:val="center"/>
            <w:hideMark/>
          </w:tcPr>
          <w:p w14:paraId="5C6C38AF" w14:textId="77777777" w:rsidR="005A043A" w:rsidRPr="00214F41" w:rsidRDefault="005A043A" w:rsidP="00286762">
            <w:pPr>
              <w:jc w:val="center"/>
              <w:rPr>
                <w:sz w:val="18"/>
                <w:szCs w:val="18"/>
                <w:lang w:val="en-GB"/>
              </w:rPr>
            </w:pPr>
            <w:r w:rsidRPr="00214F41">
              <w:rPr>
                <w:sz w:val="18"/>
                <w:szCs w:val="18"/>
                <w:lang w:val="en-GB"/>
              </w:rPr>
              <w:t>29.7±4.2</w:t>
            </w:r>
          </w:p>
        </w:tc>
        <w:tc>
          <w:tcPr>
            <w:tcW w:w="266" w:type="pct"/>
            <w:gridSpan w:val="2"/>
            <w:shd w:val="clear" w:color="000000" w:fill="FFFFFF"/>
            <w:vAlign w:val="center"/>
            <w:hideMark/>
          </w:tcPr>
          <w:p w14:paraId="3EC76DD0" w14:textId="77777777" w:rsidR="005A043A" w:rsidRPr="00214F41" w:rsidRDefault="005A043A" w:rsidP="00286762">
            <w:pPr>
              <w:jc w:val="center"/>
              <w:rPr>
                <w:sz w:val="18"/>
                <w:szCs w:val="18"/>
                <w:lang w:val="en-GB"/>
              </w:rPr>
            </w:pPr>
            <w:r w:rsidRPr="00214F41">
              <w:rPr>
                <w:sz w:val="18"/>
                <w:szCs w:val="18"/>
                <w:lang w:val="en-GB"/>
              </w:rPr>
              <w:t>29.9±3.9</w:t>
            </w:r>
          </w:p>
        </w:tc>
      </w:tr>
      <w:tr w:rsidR="005A043A" w:rsidRPr="00214F41" w14:paraId="2C018E8A" w14:textId="77777777" w:rsidTr="00286762">
        <w:trPr>
          <w:trHeight w:val="930"/>
        </w:trPr>
        <w:tc>
          <w:tcPr>
            <w:tcW w:w="338" w:type="pct"/>
            <w:shd w:val="clear" w:color="000000" w:fill="FFFFFF"/>
            <w:vAlign w:val="center"/>
            <w:hideMark/>
          </w:tcPr>
          <w:p w14:paraId="5998619A" w14:textId="77777777" w:rsidR="005A043A" w:rsidRPr="00214F41" w:rsidRDefault="005A043A" w:rsidP="00286762">
            <w:pPr>
              <w:jc w:val="center"/>
              <w:rPr>
                <w:sz w:val="18"/>
                <w:szCs w:val="18"/>
                <w:lang w:val="en-GB"/>
              </w:rPr>
            </w:pPr>
            <w:r w:rsidRPr="00214F41">
              <w:rPr>
                <w:sz w:val="18"/>
                <w:szCs w:val="18"/>
                <w:lang w:val="en-GB"/>
              </w:rPr>
              <w:t xml:space="preserve">Dou et al., 2017 </w:t>
            </w:r>
            <w:r w:rsidRPr="00214F41">
              <w:rPr>
                <w:sz w:val="18"/>
                <w:szCs w:val="18"/>
                <w:lang w:val="en-GB"/>
              </w:rPr>
              <w:fldChar w:fldCharType="begin" w:fldLock="1"/>
            </w:r>
            <w:r>
              <w:rPr>
                <w:sz w:val="18"/>
                <w:szCs w:val="18"/>
                <w:lang w:val="en-GB"/>
              </w:rPr>
              <w:instrText>ADDIN CSL_CITATION {"citationItems":[{"id":"ITEM-1","itemData":{"DOI":"10.1111/DOM.13117","ISSN":"1463-1326","PMID":"28926170","abstract":"Aim: To assess the efficacy and safety of saxagliptin plus metformin over 24 weeks in pharmacotherapy-naïve Chinese patients with type 2 diabetes mellitus and inadequate glycaemic control (HbA1c, 8.0%-12.0%). Research Design and Methods: In this multicentre, double-blind, active-controlled study (The START study: NCT02273050, clinicaltrials.gov), patients were randomized (1:1:1) to saxagliptin 5 mg plus metformin, saxagliptin 5 mg plus placebo or metformin plus placebo. Saxagliptin was taken once daily; metformin was taken once/twice daily and was titrated from 500 mg to a maximum of 2000 mg/d over 8 weeks. The primary end point was change in HbA1c from baseline to Week 24. Results: Data from 630 patients (66.5% men; mean age, 50.1 years; mean body mass index, 26.6 kg/m2; mean HbA1c, 9.4%; mean diabetes duration, 0.81 years) were analysed. Mean reduction in HbA1c was greater with saxagliptin plus metformin (−3.0%) than with saxagliptin plus placebo (−2.1%; P &lt;.001) or metformin plus placebo (−2.8%; P =.034). Changes in mean fasting plasma glucose, 120-minute postprandial glucose, and 180-minute postprandial glucose area under the curve were greater, and more patients achieved a therapeutic glycaemic response, with saxagliptin plus metformin than with either monotherapy. Hypoglycaemic events were infrequent (&lt;2%). Incidence of adverse events was similar among groups; upper respiratory tract infection and diarrhoea were most common. Conclusions: Saxagliptin 5 mg plus metformin significantly improved glycaemic control compared with either monotherapy in treatment-naïve Chinese patients with type 2 diabetes, and was well tolerated.","author":[{"dropping-particle":"","family":"Dou","given":"Jingtao","non-dropping-particle":"","parse-names":false,"suffix":""},{"dropping-particle":"","family":"Ma","given":"Jianhua","non-dropping-particle":"","parse-names":false,"suffix":""},{"dropping-particle":"","family":"Liu","given":"Jun","non-dropping-particle":"","parse-names":false,"suffix":""},{"dropping-particle":"","family":"Wang","given":"Changjiang","non-dropping-particle":"","parse-names":false,"suffix":""},{"dropping-particle":"","family":"Johnsson","given":"Eva","non-dropping-particle":"","parse-names":false,"suffix":""},{"dropping-particle":"","family":"Yao","given":"Hui","non-dropping-particle":"","parse-names":false,"suffix":""},{"dropping-particle":"","family":"Zhao","given":"June","non-dropping-particle":"","parse-names":false,"suffix":""},{"dropping-particle":"","family":"Pan","given":"Changyu","non-dropping-particle":"","parse-names":false,"suffix":""}],"container-title":"Diabetes, obesity &amp; metabolism","id":"ITEM-1","issue":"3","issued":{"date-parts":[["2018","3","1"]]},"page":"590-598","publisher":"Diabetes Obes Metab","title":"Efficacy and safety of saxagliptin in combination with metformin as initial therapy in Chinese patients with type 2 diabetes: Results from the START study, a multicentre, randomized, double-blind, active-controlled, phase 3 trial","type":"article-journal","volume":"20"},"uris":["http://www.mendeley.com/documents/?uuid=c3f893e1-a646-3f1b-8d57-e041645ff427"]}],"mendeley":{"formattedCitation":"[7]","plainTextFormattedCitation":"[7]","previouslyFormattedCitation":"[7]"},"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[7]</w:t>
            </w:r>
            <w:r w:rsidRPr="00214F41">
              <w:rPr>
                <w:sz w:val="18"/>
                <w:szCs w:val="18"/>
                <w:lang w:val="en-GB"/>
              </w:rPr>
              <w:fldChar w:fldCharType="end"/>
            </w:r>
          </w:p>
        </w:tc>
        <w:tc>
          <w:tcPr>
            <w:tcW w:w="171" w:type="pct"/>
            <w:shd w:val="clear" w:color="000000" w:fill="FFFFFF"/>
            <w:vAlign w:val="center"/>
            <w:hideMark/>
          </w:tcPr>
          <w:p w14:paraId="45E52B29"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03B5920C" w14:textId="77777777" w:rsidR="005A043A" w:rsidRPr="00214F41" w:rsidRDefault="005A043A" w:rsidP="00286762">
            <w:pPr>
              <w:jc w:val="center"/>
              <w:rPr>
                <w:sz w:val="18"/>
                <w:szCs w:val="18"/>
                <w:lang w:val="en-GB"/>
              </w:rPr>
            </w:pPr>
            <w:r w:rsidRPr="00214F41">
              <w:rPr>
                <w:sz w:val="18"/>
                <w:szCs w:val="18"/>
                <w:lang w:val="en-GB"/>
              </w:rPr>
              <w:t xml:space="preserve">To assess the efficacy and safety of </w:t>
            </w:r>
            <w:proofErr w:type="spellStart"/>
            <w:r w:rsidRPr="00214F41">
              <w:rPr>
                <w:sz w:val="18"/>
                <w:szCs w:val="18"/>
                <w:lang w:val="en-GB"/>
              </w:rPr>
              <w:t>saxagliptin</w:t>
            </w:r>
            <w:proofErr w:type="spellEnd"/>
            <w:r w:rsidRPr="00214F41">
              <w:rPr>
                <w:sz w:val="18"/>
                <w:szCs w:val="18"/>
                <w:lang w:val="en-GB"/>
              </w:rPr>
              <w:t xml:space="preserve"> or metformin monotherapies over 24 weeks in pharmacotherapy‐naïve Chinese patients with T2DM and inadequate glycaemic control</w:t>
            </w:r>
          </w:p>
        </w:tc>
        <w:tc>
          <w:tcPr>
            <w:tcW w:w="364" w:type="pct"/>
            <w:shd w:val="clear" w:color="000000" w:fill="FFFFFF"/>
            <w:vAlign w:val="center"/>
            <w:hideMark/>
          </w:tcPr>
          <w:p w14:paraId="67B09B24" w14:textId="77777777" w:rsidR="005A043A" w:rsidRPr="00214F41" w:rsidRDefault="005A043A" w:rsidP="00286762">
            <w:pPr>
              <w:jc w:val="center"/>
              <w:rPr>
                <w:sz w:val="18"/>
                <w:szCs w:val="18"/>
              </w:rPr>
            </w:pPr>
            <w:r w:rsidRPr="00214F41">
              <w:rPr>
                <w:sz w:val="18"/>
                <w:szCs w:val="18"/>
              </w:rPr>
              <w:t>639/639</w:t>
            </w:r>
          </w:p>
        </w:tc>
        <w:tc>
          <w:tcPr>
            <w:tcW w:w="200" w:type="pct"/>
            <w:shd w:val="clear" w:color="000000" w:fill="FFFFFF"/>
            <w:vAlign w:val="center"/>
            <w:hideMark/>
          </w:tcPr>
          <w:p w14:paraId="7D3CAA89" w14:textId="77777777" w:rsidR="005A043A" w:rsidRPr="00214F41" w:rsidRDefault="005A043A" w:rsidP="00286762">
            <w:pPr>
              <w:jc w:val="center"/>
              <w:rPr>
                <w:sz w:val="18"/>
                <w:szCs w:val="18"/>
              </w:rPr>
            </w:pPr>
            <w:r w:rsidRPr="00214F41">
              <w:rPr>
                <w:sz w:val="18"/>
                <w:szCs w:val="18"/>
              </w:rPr>
              <w:t>S</w:t>
            </w:r>
          </w:p>
        </w:tc>
        <w:tc>
          <w:tcPr>
            <w:tcW w:w="448" w:type="pct"/>
            <w:shd w:val="clear" w:color="000000" w:fill="FFFFFF"/>
            <w:vAlign w:val="center"/>
            <w:hideMark/>
          </w:tcPr>
          <w:p w14:paraId="1B6750A5"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324" w:type="pct"/>
            <w:shd w:val="clear" w:color="000000" w:fill="FFFFFF"/>
            <w:vAlign w:val="center"/>
            <w:hideMark/>
          </w:tcPr>
          <w:p w14:paraId="658D7B9E" w14:textId="77777777" w:rsidR="005A043A" w:rsidRPr="00214F41" w:rsidRDefault="005A043A" w:rsidP="00286762">
            <w:pPr>
              <w:jc w:val="center"/>
              <w:rPr>
                <w:sz w:val="18"/>
                <w:szCs w:val="18"/>
              </w:rPr>
            </w:pPr>
            <w:r w:rsidRPr="00214F41">
              <w:rPr>
                <w:sz w:val="18"/>
                <w:szCs w:val="18"/>
              </w:rPr>
              <w:t>2000mg/2/d</w:t>
            </w:r>
          </w:p>
        </w:tc>
        <w:tc>
          <w:tcPr>
            <w:tcW w:w="204" w:type="pct"/>
            <w:shd w:val="clear" w:color="000000" w:fill="FFFFFF"/>
            <w:vAlign w:val="center"/>
            <w:hideMark/>
          </w:tcPr>
          <w:p w14:paraId="7FCC46A5" w14:textId="77777777" w:rsidR="005A043A" w:rsidRPr="00214F41" w:rsidRDefault="005A043A" w:rsidP="00286762">
            <w:pPr>
              <w:jc w:val="center"/>
              <w:rPr>
                <w:sz w:val="18"/>
                <w:szCs w:val="18"/>
              </w:rPr>
            </w:pPr>
            <w:r w:rsidRPr="00214F41">
              <w:rPr>
                <w:sz w:val="18"/>
                <w:szCs w:val="18"/>
              </w:rPr>
              <w:t>168</w:t>
            </w:r>
          </w:p>
        </w:tc>
        <w:tc>
          <w:tcPr>
            <w:tcW w:w="247" w:type="pct"/>
            <w:shd w:val="clear" w:color="000000" w:fill="FFFFFF"/>
            <w:vAlign w:val="center"/>
            <w:hideMark/>
          </w:tcPr>
          <w:p w14:paraId="5ABF1782" w14:textId="77777777" w:rsidR="005A043A" w:rsidRPr="00214F41" w:rsidRDefault="005A043A" w:rsidP="00286762">
            <w:pPr>
              <w:jc w:val="center"/>
              <w:rPr>
                <w:sz w:val="18"/>
                <w:szCs w:val="18"/>
              </w:rPr>
            </w:pPr>
            <w:r w:rsidRPr="00214F41">
              <w:rPr>
                <w:sz w:val="18"/>
                <w:szCs w:val="18"/>
              </w:rPr>
              <w:t>IR</w:t>
            </w:r>
          </w:p>
        </w:tc>
        <w:tc>
          <w:tcPr>
            <w:tcW w:w="491" w:type="pct"/>
            <w:shd w:val="clear" w:color="000000" w:fill="FFFFFF"/>
            <w:vAlign w:val="center"/>
          </w:tcPr>
          <w:p w14:paraId="6FF5C1E5" w14:textId="77777777" w:rsidR="005A043A" w:rsidRPr="00214F41" w:rsidRDefault="005A043A" w:rsidP="00286762">
            <w:pPr>
              <w:jc w:val="center"/>
              <w:rPr>
                <w:sz w:val="18"/>
                <w:szCs w:val="18"/>
              </w:rPr>
            </w:pPr>
            <w:r w:rsidRPr="00214F41">
              <w:rPr>
                <w:sz w:val="18"/>
                <w:szCs w:val="18"/>
              </w:rPr>
              <w:t>Metformin IR</w:t>
            </w:r>
          </w:p>
        </w:tc>
        <w:tc>
          <w:tcPr>
            <w:tcW w:w="491" w:type="pct"/>
            <w:shd w:val="clear" w:color="000000" w:fill="FFFFFF"/>
            <w:vAlign w:val="center"/>
            <w:hideMark/>
          </w:tcPr>
          <w:p w14:paraId="421C6F11" w14:textId="77777777" w:rsidR="005A043A" w:rsidRPr="00214F41" w:rsidRDefault="005A043A" w:rsidP="00286762">
            <w:pPr>
              <w:jc w:val="center"/>
              <w:rPr>
                <w:sz w:val="18"/>
                <w:szCs w:val="18"/>
              </w:rPr>
            </w:pPr>
            <w:proofErr w:type="spellStart"/>
            <w:r w:rsidRPr="00214F41">
              <w:rPr>
                <w:sz w:val="18"/>
                <w:szCs w:val="18"/>
              </w:rPr>
              <w:t>Saxagliptin</w:t>
            </w:r>
            <w:proofErr w:type="spellEnd"/>
            <w:r w:rsidRPr="00214F41">
              <w:rPr>
                <w:sz w:val="18"/>
                <w:szCs w:val="18"/>
              </w:rPr>
              <w:t>/DPP4 inhibitor</w:t>
            </w:r>
          </w:p>
        </w:tc>
        <w:tc>
          <w:tcPr>
            <w:tcW w:w="245" w:type="pct"/>
            <w:gridSpan w:val="2"/>
            <w:shd w:val="clear" w:color="000000" w:fill="FFFFFF"/>
            <w:vAlign w:val="center"/>
            <w:hideMark/>
          </w:tcPr>
          <w:p w14:paraId="57DDC933" w14:textId="77777777" w:rsidR="005A043A" w:rsidRPr="00214F41" w:rsidRDefault="005A043A" w:rsidP="00286762">
            <w:pPr>
              <w:jc w:val="center"/>
              <w:rPr>
                <w:sz w:val="18"/>
                <w:szCs w:val="18"/>
              </w:rPr>
            </w:pPr>
            <w:r w:rsidRPr="00214F41">
              <w:rPr>
                <w:sz w:val="18"/>
                <w:szCs w:val="18"/>
              </w:rPr>
              <w:t>49.8±11</w:t>
            </w:r>
          </w:p>
        </w:tc>
        <w:tc>
          <w:tcPr>
            <w:tcW w:w="202" w:type="pct"/>
            <w:shd w:val="clear" w:color="000000" w:fill="FFFFFF"/>
            <w:vAlign w:val="center"/>
            <w:hideMark/>
          </w:tcPr>
          <w:p w14:paraId="727C8430" w14:textId="77777777" w:rsidR="005A043A" w:rsidRPr="00214F41" w:rsidRDefault="005A043A" w:rsidP="00286762">
            <w:pPr>
              <w:jc w:val="center"/>
              <w:rPr>
                <w:sz w:val="18"/>
                <w:szCs w:val="18"/>
              </w:rPr>
            </w:pPr>
            <w:r w:rsidRPr="00214F41">
              <w:rPr>
                <w:sz w:val="18"/>
                <w:szCs w:val="18"/>
              </w:rPr>
              <w:t>283/67.4</w:t>
            </w:r>
          </w:p>
        </w:tc>
        <w:tc>
          <w:tcPr>
            <w:tcW w:w="265" w:type="pct"/>
            <w:gridSpan w:val="2"/>
            <w:shd w:val="clear" w:color="000000" w:fill="FFFFFF"/>
            <w:vAlign w:val="center"/>
            <w:hideMark/>
          </w:tcPr>
          <w:p w14:paraId="2DE81D66" w14:textId="77777777" w:rsidR="005A043A" w:rsidRPr="00214F41" w:rsidRDefault="005A043A" w:rsidP="00286762">
            <w:pPr>
              <w:jc w:val="center"/>
              <w:rPr>
                <w:sz w:val="18"/>
                <w:szCs w:val="18"/>
              </w:rPr>
            </w:pPr>
            <w:r w:rsidRPr="00214F41">
              <w:rPr>
                <w:sz w:val="18"/>
                <w:szCs w:val="18"/>
              </w:rPr>
              <w:t>26.5±3.6</w:t>
            </w:r>
          </w:p>
        </w:tc>
        <w:tc>
          <w:tcPr>
            <w:tcW w:w="266" w:type="pct"/>
            <w:gridSpan w:val="2"/>
            <w:shd w:val="clear" w:color="000000" w:fill="FFFFFF"/>
            <w:vAlign w:val="center"/>
            <w:hideMark/>
          </w:tcPr>
          <w:p w14:paraId="3CBCA48D" w14:textId="77777777" w:rsidR="005A043A" w:rsidRPr="00214F41" w:rsidRDefault="005A043A" w:rsidP="00286762">
            <w:pPr>
              <w:jc w:val="center"/>
              <w:rPr>
                <w:sz w:val="18"/>
                <w:szCs w:val="18"/>
              </w:rPr>
            </w:pPr>
            <w:r w:rsidRPr="00214F41">
              <w:rPr>
                <w:sz w:val="18"/>
                <w:szCs w:val="18"/>
              </w:rPr>
              <w:t>26.5±3.2</w:t>
            </w:r>
          </w:p>
        </w:tc>
      </w:tr>
      <w:tr w:rsidR="005A043A" w:rsidRPr="0072287D" w14:paraId="0DD486D4" w14:textId="77777777" w:rsidTr="00286762">
        <w:trPr>
          <w:trHeight w:val="376"/>
        </w:trPr>
        <w:tc>
          <w:tcPr>
            <w:tcW w:w="338" w:type="pct"/>
            <w:shd w:val="clear" w:color="000000" w:fill="FFFFFF"/>
            <w:vAlign w:val="center"/>
            <w:hideMark/>
          </w:tcPr>
          <w:p w14:paraId="52C60B64" w14:textId="77777777" w:rsidR="005A043A" w:rsidRPr="00214F41" w:rsidRDefault="005A043A" w:rsidP="00286762">
            <w:pPr>
              <w:jc w:val="center"/>
              <w:rPr>
                <w:sz w:val="18"/>
                <w:szCs w:val="18"/>
                <w:lang w:val="en-GB"/>
              </w:rPr>
            </w:pPr>
            <w:r w:rsidRPr="00214F41">
              <w:rPr>
                <w:sz w:val="18"/>
                <w:szCs w:val="18"/>
              </w:rPr>
              <w:t xml:space="preserve">Henry et al., 2018a </w:t>
            </w:r>
            <w:r w:rsidRPr="00214F41">
              <w:rPr>
                <w:sz w:val="18"/>
                <w:szCs w:val="18"/>
              </w:rPr>
              <w:fldChar w:fldCharType="begin" w:fldLock="1"/>
            </w:r>
            <w:r>
              <w:rPr>
                <w:sz w:val="18"/>
                <w:szCs w:val="18"/>
              </w:rPr>
              <w:instrText>ADDIN CSL_CITATION {"citationItems":[{"id":"ITEM-1","itemData":{"DOI":"10.1371/journal.pone.0203946","ISSN":"1932-6203","abstract":"Objective Metformin use is restricted in patients with renal impairment due to potential excess systemic accumulation. This study evaluated the glycemic effects and safety of metformin delayed-release (Metformin DR), which targets metformin delivery to the ileum to leverage its gut-based mechanisms of action while minimizing systemic exposure. Research designs and methods Participants (T2DM [HbA1c 7–10.5%], eGFR ≥60 mL/min/1.73m2, not taking metformin for ≥2 months) were randomized to QD placebo (PBO); QD Metformin DR 600, 900, 1200, or 1500 mg; or to single-blind BID Metformin immediate-release (IR) 1000 mg. The primary endpoint was change in HbA1c for Metformin DR vs. PBO at 16 weeks in the modified intent-to-treat (mITT) population (≥ 1 post-baseline HbA1c while on study drug), using a mixed-effects repeated measures model. Results 571 subjects were randomized (56 years, 53% male, 80% white; BMI 32.2±5.5 kg/m2; HbA1c 8.6±0.9%; 51% metformin naive); 542 were in the mITT population. Metformin DR 1200 and 1500 mg significantly reduced HbA1c (-0.49±0.13% and -0.62±0.12%, respectively, vs. PBO -0.06±0.13%; p&lt;0.05) and FPG (Caverage Weeks 4–16: -22.3±4.2 mg/dL and -25.1±4.1 mg/dL, respectively vs. -2.5±4.2 mg/dL p&lt;0.05). Metformin IR elicited greater HbA1c improvement (-1.10±0.13%; p&lt;0.01 vs. Placebo and all doses of Metformin DR) but with ~3-fold greater plasma metformin exposure. Normalizing efficacy to systemic exposure, glycemic improvements with Metformin DR were 1.5-fold (HbA1c) and 2.1-fold (FPG) greater than Metformin IR. Adverse events were primarily gastrointestinal but these were less frequent with Metformin DR (&lt;16% incidence) vs. Metformin IR (28%), particularly nausea (1–3% vs 10%). Conclusion Metformin DR exhibited greater efficacy per unit plasma exposure than Metformin IR. Future studies will evaluate the effects of Metformin DR in patients with type 2 diabetes and advanced renal disease. Trial registration Clinicaltrials.gov NCT02526524.","author":[{"dropping-particle":"","family":"Henry","given":"Robert R","non-dropping-particle":"","parse-names":false,"suffix":""},{"dropping-particle":"","family":"Frias","given":"Juan P","non-dropping-particle":"","parse-names":false,"suffix":""},{"dropping-particle":"","family":"Walsh","given":</w:instrText>
            </w:r>
            <w:r w:rsidRPr="00FF29A9">
              <w:rPr>
                <w:sz w:val="18"/>
                <w:szCs w:val="18"/>
                <w:lang w:val="en-GB"/>
              </w:rPr>
              <w:instrText>"Brandon","non-dropping-particle":"","parse-names":false,"suffix":""},{"dropping-particle":"","family":"Skare","given":"Sharon","non-dropping-particle":"","parse-names":false,"suffix":""},{"dropping-particle":"","family":"Hemming","given":"John","non-dropping-particle":"","parse-names":false,"suffix":""},{"dropping-particle":"","family":"Burns","given":"Colleen","non-dropping-particle":"","parse-names":false,"suffix":""},{"dropping-particle":"","family":"Bicsak","given":"Thomas A","non-dropping-particle":"","parse-names":false,"suffix":""},{"dropping-particle":"","family":"Baron","given":"Alain","non-dropping-particle":"","parse-names":false,"suffix":""},{"dropping-particle":"","family":"Fineman","given":"Mark","non-dropping-particle":"","parse-names":false,"suffix":""}],"container-title":"PLOS ONE","id":"ITEM-1","issue":"9","issued":{"date-parts":[["2018","2","27"]]},"language":"en","page":"e0203946","title":"Improved glycemic control with minimal systemic metformin exposure: Effects of Metformin Delayed-Release (Metformin DR) targeting the lower bowel over 16 weeks in a randomized trial in subjects with type 2 diabetes","type":"article-journal","volume":"13"},"uris":["http://www.mendeley.com/documents/?uuid=1c3313bd-7d6e-45b5-bbc5-ba5582c48e06"]}],"mendeley":{"formattedCitation":"[8]","plainTextFormattedCitation":"[8]","previouslyFormattedCitation":"[8]"},"properties":{"noteIndex":0},"schema":"https://github.com/citation-style-language/schema/raw/master/csl-citation.json"}</w:instrText>
            </w:r>
            <w:r w:rsidRPr="00214F41">
              <w:rPr>
                <w:sz w:val="18"/>
                <w:szCs w:val="18"/>
              </w:rPr>
              <w:fldChar w:fldCharType="separate"/>
            </w:r>
            <w:r w:rsidRPr="00FF29A9">
              <w:rPr>
                <w:noProof/>
                <w:sz w:val="18"/>
                <w:szCs w:val="18"/>
                <w:lang w:val="en-GB"/>
              </w:rPr>
              <w:t>[8]</w:t>
            </w:r>
            <w:r w:rsidRPr="00214F41">
              <w:rPr>
                <w:sz w:val="18"/>
                <w:szCs w:val="18"/>
              </w:rPr>
              <w:fldChar w:fldCharType="end"/>
            </w:r>
          </w:p>
        </w:tc>
        <w:tc>
          <w:tcPr>
            <w:tcW w:w="171" w:type="pct"/>
            <w:vMerge w:val="restart"/>
            <w:shd w:val="clear" w:color="000000" w:fill="FFFFFF"/>
            <w:vAlign w:val="center"/>
            <w:hideMark/>
          </w:tcPr>
          <w:p w14:paraId="12AFCB34"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vMerge w:val="restart"/>
            <w:shd w:val="clear" w:color="000000" w:fill="FFFFFF"/>
            <w:vAlign w:val="center"/>
            <w:hideMark/>
          </w:tcPr>
          <w:p w14:paraId="7D13557D" w14:textId="77777777" w:rsidR="005A043A" w:rsidRPr="00214F41" w:rsidRDefault="005A043A" w:rsidP="00286762">
            <w:pPr>
              <w:jc w:val="center"/>
              <w:rPr>
                <w:sz w:val="18"/>
                <w:szCs w:val="18"/>
                <w:lang w:val="en-GB"/>
              </w:rPr>
            </w:pPr>
            <w:r w:rsidRPr="00214F41">
              <w:rPr>
                <w:sz w:val="18"/>
                <w:szCs w:val="18"/>
                <w:lang w:val="en-GB"/>
              </w:rPr>
              <w:t xml:space="preserve">To evaluate the </w:t>
            </w:r>
            <w:proofErr w:type="spellStart"/>
            <w:r w:rsidRPr="00214F41">
              <w:rPr>
                <w:sz w:val="18"/>
                <w:szCs w:val="18"/>
                <w:lang w:val="en-GB"/>
              </w:rPr>
              <w:t>glycemic</w:t>
            </w:r>
            <w:proofErr w:type="spellEnd"/>
            <w:r w:rsidRPr="00214F41">
              <w:rPr>
                <w:sz w:val="18"/>
                <w:szCs w:val="18"/>
                <w:lang w:val="en-GB"/>
              </w:rPr>
              <w:t xml:space="preserve"> effects and safety of DR metformin delayed-release </w:t>
            </w:r>
          </w:p>
        </w:tc>
        <w:tc>
          <w:tcPr>
            <w:tcW w:w="364" w:type="pct"/>
            <w:vMerge w:val="restart"/>
            <w:shd w:val="clear" w:color="000000" w:fill="FFFFFF"/>
            <w:vAlign w:val="center"/>
            <w:hideMark/>
          </w:tcPr>
          <w:p w14:paraId="69C3A72D" w14:textId="77777777" w:rsidR="005A043A" w:rsidRPr="00214F41" w:rsidRDefault="005A043A" w:rsidP="00286762">
            <w:pPr>
              <w:jc w:val="center"/>
              <w:rPr>
                <w:sz w:val="18"/>
                <w:szCs w:val="18"/>
                <w:lang w:val="en-GB"/>
              </w:rPr>
            </w:pPr>
            <w:r w:rsidRPr="00214F41">
              <w:rPr>
                <w:sz w:val="18"/>
                <w:szCs w:val="18"/>
                <w:lang w:val="en-GB"/>
              </w:rPr>
              <w:t>571/571</w:t>
            </w:r>
          </w:p>
          <w:p w14:paraId="11F1527A" w14:textId="77777777" w:rsidR="005A043A" w:rsidRPr="00214F41" w:rsidRDefault="005A043A" w:rsidP="00286762">
            <w:pPr>
              <w:jc w:val="center"/>
              <w:rPr>
                <w:sz w:val="18"/>
                <w:szCs w:val="18"/>
                <w:lang w:val="en-GB"/>
              </w:rPr>
            </w:pPr>
          </w:p>
        </w:tc>
        <w:tc>
          <w:tcPr>
            <w:tcW w:w="200" w:type="pct"/>
            <w:vMerge w:val="restart"/>
            <w:shd w:val="clear" w:color="000000" w:fill="FFFFFF"/>
            <w:vAlign w:val="center"/>
            <w:hideMark/>
          </w:tcPr>
          <w:p w14:paraId="71F5BFB9"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7BC91F41"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6DC0F4F9" w14:textId="77777777" w:rsidR="005A043A" w:rsidRPr="00214F41" w:rsidRDefault="005A043A" w:rsidP="00286762">
            <w:pPr>
              <w:jc w:val="center"/>
              <w:rPr>
                <w:sz w:val="18"/>
                <w:szCs w:val="18"/>
                <w:lang w:val="en-GB"/>
              </w:rPr>
            </w:pPr>
            <w:r w:rsidRPr="00214F41">
              <w:rPr>
                <w:sz w:val="18"/>
                <w:szCs w:val="18"/>
                <w:lang w:val="en-GB"/>
              </w:rPr>
              <w:t>600mg/1/d</w:t>
            </w:r>
          </w:p>
        </w:tc>
        <w:tc>
          <w:tcPr>
            <w:tcW w:w="204" w:type="pct"/>
            <w:vMerge w:val="restart"/>
            <w:shd w:val="clear" w:color="000000" w:fill="FFFFFF"/>
            <w:vAlign w:val="center"/>
            <w:hideMark/>
          </w:tcPr>
          <w:p w14:paraId="1E82F81C" w14:textId="77777777" w:rsidR="005A043A" w:rsidRPr="00214F41" w:rsidRDefault="005A043A" w:rsidP="00286762">
            <w:pPr>
              <w:jc w:val="center"/>
              <w:rPr>
                <w:sz w:val="18"/>
                <w:szCs w:val="18"/>
                <w:lang w:val="en-GB"/>
              </w:rPr>
            </w:pPr>
            <w:r w:rsidRPr="00214F41">
              <w:rPr>
                <w:sz w:val="18"/>
                <w:szCs w:val="18"/>
                <w:lang w:val="en-GB"/>
              </w:rPr>
              <w:t>112</w:t>
            </w:r>
          </w:p>
          <w:p w14:paraId="21750332" w14:textId="77777777" w:rsidR="005A043A" w:rsidRPr="00214F41" w:rsidRDefault="005A043A" w:rsidP="00286762">
            <w:pPr>
              <w:jc w:val="center"/>
              <w:rPr>
                <w:sz w:val="18"/>
                <w:szCs w:val="18"/>
                <w:lang w:val="en-GB"/>
              </w:rPr>
            </w:pPr>
          </w:p>
        </w:tc>
        <w:tc>
          <w:tcPr>
            <w:tcW w:w="247" w:type="pct"/>
            <w:vMerge w:val="restart"/>
            <w:shd w:val="clear" w:color="000000" w:fill="FFFFFF"/>
            <w:vAlign w:val="center"/>
            <w:hideMark/>
          </w:tcPr>
          <w:p w14:paraId="21085169" w14:textId="77777777" w:rsidR="005A043A" w:rsidRPr="00214F41" w:rsidRDefault="005A043A" w:rsidP="00286762">
            <w:pPr>
              <w:jc w:val="center"/>
              <w:rPr>
                <w:sz w:val="18"/>
                <w:szCs w:val="18"/>
                <w:lang w:val="en-GB"/>
              </w:rPr>
            </w:pPr>
            <w:r w:rsidRPr="00214F41">
              <w:rPr>
                <w:sz w:val="18"/>
                <w:szCs w:val="18"/>
                <w:lang w:val="en-GB"/>
              </w:rPr>
              <w:t>DR</w:t>
            </w:r>
          </w:p>
          <w:p w14:paraId="5727DE1E" w14:textId="77777777" w:rsidR="005A043A" w:rsidRPr="00214F41" w:rsidRDefault="005A043A" w:rsidP="00286762">
            <w:pPr>
              <w:jc w:val="center"/>
              <w:rPr>
                <w:sz w:val="18"/>
                <w:szCs w:val="18"/>
                <w:lang w:val="en-GB"/>
              </w:rPr>
            </w:pPr>
          </w:p>
        </w:tc>
        <w:tc>
          <w:tcPr>
            <w:tcW w:w="491" w:type="pct"/>
            <w:shd w:val="clear" w:color="000000" w:fill="FFFFFF"/>
            <w:vAlign w:val="center"/>
          </w:tcPr>
          <w:p w14:paraId="2F810ED9" w14:textId="77777777" w:rsidR="005A043A" w:rsidRPr="00214F41" w:rsidRDefault="005A043A" w:rsidP="00286762">
            <w:pPr>
              <w:jc w:val="center"/>
              <w:rPr>
                <w:sz w:val="18"/>
                <w:szCs w:val="18"/>
                <w:lang w:val="en-GB"/>
              </w:rPr>
            </w:pPr>
            <w:r w:rsidRPr="00214F41">
              <w:rPr>
                <w:sz w:val="18"/>
                <w:szCs w:val="18"/>
                <w:lang w:val="en-GB"/>
              </w:rPr>
              <w:t>Metformin DR</w:t>
            </w:r>
          </w:p>
        </w:tc>
        <w:tc>
          <w:tcPr>
            <w:tcW w:w="491" w:type="pct"/>
            <w:vMerge w:val="restart"/>
            <w:shd w:val="clear" w:color="000000" w:fill="FFFFFF"/>
            <w:vAlign w:val="center"/>
            <w:hideMark/>
          </w:tcPr>
          <w:p w14:paraId="05236E88" w14:textId="77777777" w:rsidR="005A043A" w:rsidRPr="00214F41" w:rsidRDefault="005A043A" w:rsidP="00286762">
            <w:pPr>
              <w:jc w:val="center"/>
              <w:rPr>
                <w:sz w:val="18"/>
                <w:szCs w:val="18"/>
                <w:lang w:val="en-GB"/>
              </w:rPr>
            </w:pPr>
            <w:r w:rsidRPr="00214F41">
              <w:rPr>
                <w:sz w:val="18"/>
                <w:szCs w:val="18"/>
                <w:lang w:val="en-GB"/>
              </w:rPr>
              <w:t>PBO</w:t>
            </w:r>
          </w:p>
          <w:p w14:paraId="3B5406C3"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219438E3" w14:textId="77777777" w:rsidR="005A043A" w:rsidRPr="00214F41" w:rsidRDefault="005A043A" w:rsidP="00286762">
            <w:pPr>
              <w:jc w:val="center"/>
              <w:rPr>
                <w:sz w:val="18"/>
                <w:szCs w:val="18"/>
                <w:lang w:val="en-GB"/>
              </w:rPr>
            </w:pPr>
            <w:r w:rsidRPr="00214F41">
              <w:rPr>
                <w:sz w:val="18"/>
                <w:szCs w:val="18"/>
                <w:lang w:val="en-GB"/>
              </w:rPr>
              <w:t>56.5±10.5</w:t>
            </w:r>
          </w:p>
        </w:tc>
        <w:tc>
          <w:tcPr>
            <w:tcW w:w="202" w:type="pct"/>
            <w:shd w:val="clear" w:color="000000" w:fill="FFFFFF"/>
            <w:vAlign w:val="center"/>
            <w:hideMark/>
          </w:tcPr>
          <w:p w14:paraId="4E573255" w14:textId="77777777" w:rsidR="005A043A" w:rsidRPr="00214F41" w:rsidRDefault="005A043A" w:rsidP="00286762">
            <w:pPr>
              <w:jc w:val="center"/>
              <w:rPr>
                <w:sz w:val="18"/>
                <w:szCs w:val="18"/>
                <w:lang w:val="en-GB"/>
              </w:rPr>
            </w:pPr>
            <w:r w:rsidRPr="00214F41">
              <w:rPr>
                <w:sz w:val="18"/>
                <w:szCs w:val="18"/>
                <w:lang w:val="en-GB"/>
              </w:rPr>
              <w:t>91/47.9</w:t>
            </w:r>
          </w:p>
        </w:tc>
        <w:tc>
          <w:tcPr>
            <w:tcW w:w="265" w:type="pct"/>
            <w:gridSpan w:val="2"/>
            <w:shd w:val="clear" w:color="000000" w:fill="FFFFFF"/>
            <w:vAlign w:val="center"/>
            <w:hideMark/>
          </w:tcPr>
          <w:p w14:paraId="0232C6DE" w14:textId="77777777" w:rsidR="005A043A" w:rsidRPr="00214F41" w:rsidRDefault="005A043A" w:rsidP="00286762">
            <w:pPr>
              <w:jc w:val="center"/>
              <w:rPr>
                <w:sz w:val="18"/>
                <w:szCs w:val="18"/>
                <w:lang w:val="en-GB"/>
              </w:rPr>
            </w:pPr>
            <w:r w:rsidRPr="00214F41">
              <w:rPr>
                <w:sz w:val="18"/>
                <w:szCs w:val="18"/>
                <w:lang w:val="en-GB"/>
              </w:rPr>
              <w:t>33±5</w:t>
            </w:r>
          </w:p>
        </w:tc>
        <w:tc>
          <w:tcPr>
            <w:tcW w:w="266" w:type="pct"/>
            <w:gridSpan w:val="2"/>
            <w:vMerge w:val="restart"/>
            <w:shd w:val="clear" w:color="000000" w:fill="FFFFFF"/>
            <w:vAlign w:val="center"/>
            <w:hideMark/>
          </w:tcPr>
          <w:p w14:paraId="7103D9E8" w14:textId="77777777" w:rsidR="005A043A" w:rsidRPr="00214F41" w:rsidRDefault="005A043A" w:rsidP="00286762">
            <w:pPr>
              <w:jc w:val="center"/>
              <w:rPr>
                <w:sz w:val="18"/>
                <w:szCs w:val="18"/>
                <w:lang w:val="en-GB"/>
              </w:rPr>
            </w:pPr>
            <w:r w:rsidRPr="00214F41">
              <w:rPr>
                <w:sz w:val="18"/>
                <w:szCs w:val="18"/>
                <w:lang w:val="en-GB"/>
              </w:rPr>
              <w:t>31±5</w:t>
            </w:r>
          </w:p>
          <w:p w14:paraId="3BCBA061" w14:textId="77777777" w:rsidR="005A043A" w:rsidRPr="00214F41" w:rsidRDefault="005A043A" w:rsidP="00286762">
            <w:pPr>
              <w:jc w:val="center"/>
              <w:rPr>
                <w:sz w:val="18"/>
                <w:szCs w:val="18"/>
                <w:lang w:val="en-GB"/>
              </w:rPr>
            </w:pPr>
          </w:p>
        </w:tc>
      </w:tr>
      <w:tr w:rsidR="005A043A" w:rsidRPr="0072287D" w14:paraId="66FF2C5E" w14:textId="77777777" w:rsidTr="00286762">
        <w:trPr>
          <w:trHeight w:val="58"/>
        </w:trPr>
        <w:tc>
          <w:tcPr>
            <w:tcW w:w="338" w:type="pct"/>
            <w:shd w:val="clear" w:color="000000" w:fill="FFFFFF"/>
            <w:vAlign w:val="center"/>
            <w:hideMark/>
          </w:tcPr>
          <w:p w14:paraId="2D452179" w14:textId="77777777" w:rsidR="005A043A" w:rsidRPr="00214F41" w:rsidRDefault="005A043A" w:rsidP="00286762">
            <w:pPr>
              <w:jc w:val="center"/>
              <w:rPr>
                <w:sz w:val="18"/>
                <w:szCs w:val="18"/>
                <w:lang w:val="en-GB"/>
              </w:rPr>
            </w:pPr>
            <w:r w:rsidRPr="00214F41">
              <w:rPr>
                <w:sz w:val="18"/>
                <w:szCs w:val="18"/>
                <w:lang w:val="en-GB"/>
              </w:rPr>
              <w:lastRenderedPageBreak/>
              <w:t>Henry et al., 2018b</w:t>
            </w:r>
          </w:p>
        </w:tc>
        <w:tc>
          <w:tcPr>
            <w:tcW w:w="171" w:type="pct"/>
            <w:vMerge/>
            <w:shd w:val="clear" w:color="000000" w:fill="FFFFFF"/>
            <w:vAlign w:val="center"/>
          </w:tcPr>
          <w:p w14:paraId="5021EA1C" w14:textId="77777777" w:rsidR="005A043A" w:rsidRPr="00214F41" w:rsidRDefault="005A043A" w:rsidP="00286762">
            <w:pPr>
              <w:jc w:val="center"/>
              <w:rPr>
                <w:sz w:val="18"/>
                <w:szCs w:val="18"/>
                <w:lang w:val="en-GB"/>
              </w:rPr>
            </w:pPr>
          </w:p>
        </w:tc>
        <w:tc>
          <w:tcPr>
            <w:tcW w:w="744" w:type="pct"/>
            <w:vMerge/>
            <w:shd w:val="clear" w:color="000000" w:fill="FFFFFF"/>
            <w:vAlign w:val="center"/>
          </w:tcPr>
          <w:p w14:paraId="401F1521" w14:textId="77777777" w:rsidR="005A043A" w:rsidRPr="00214F41" w:rsidRDefault="005A043A" w:rsidP="00286762">
            <w:pPr>
              <w:jc w:val="center"/>
              <w:rPr>
                <w:sz w:val="18"/>
                <w:szCs w:val="18"/>
                <w:lang w:val="en-GB"/>
              </w:rPr>
            </w:pPr>
          </w:p>
        </w:tc>
        <w:tc>
          <w:tcPr>
            <w:tcW w:w="364" w:type="pct"/>
            <w:vMerge/>
            <w:shd w:val="clear" w:color="000000" w:fill="FFFFFF"/>
            <w:vAlign w:val="center"/>
            <w:hideMark/>
          </w:tcPr>
          <w:p w14:paraId="037A6E7B" w14:textId="77777777" w:rsidR="005A043A" w:rsidRPr="00214F41" w:rsidRDefault="005A043A" w:rsidP="00286762">
            <w:pPr>
              <w:jc w:val="center"/>
              <w:rPr>
                <w:sz w:val="18"/>
                <w:szCs w:val="18"/>
                <w:lang w:val="en-GB"/>
              </w:rPr>
            </w:pPr>
          </w:p>
        </w:tc>
        <w:tc>
          <w:tcPr>
            <w:tcW w:w="200" w:type="pct"/>
            <w:vMerge/>
            <w:shd w:val="clear" w:color="000000" w:fill="FFFFFF"/>
            <w:vAlign w:val="center"/>
          </w:tcPr>
          <w:p w14:paraId="0AED0FD9" w14:textId="77777777" w:rsidR="005A043A" w:rsidRPr="00214F41" w:rsidRDefault="005A043A" w:rsidP="00286762">
            <w:pPr>
              <w:jc w:val="center"/>
              <w:rPr>
                <w:sz w:val="18"/>
                <w:szCs w:val="18"/>
                <w:lang w:val="en-GB"/>
              </w:rPr>
            </w:pPr>
          </w:p>
        </w:tc>
        <w:tc>
          <w:tcPr>
            <w:tcW w:w="448" w:type="pct"/>
            <w:shd w:val="clear" w:color="000000" w:fill="FFFFFF"/>
            <w:vAlign w:val="center"/>
            <w:hideMark/>
          </w:tcPr>
          <w:p w14:paraId="43859CEC"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77E1E033" w14:textId="77777777" w:rsidR="005A043A" w:rsidRPr="00214F41" w:rsidRDefault="005A043A" w:rsidP="00286762">
            <w:pPr>
              <w:jc w:val="center"/>
              <w:rPr>
                <w:sz w:val="18"/>
                <w:szCs w:val="18"/>
                <w:lang w:val="en-GB"/>
              </w:rPr>
            </w:pPr>
            <w:r w:rsidRPr="00214F41">
              <w:rPr>
                <w:sz w:val="18"/>
                <w:szCs w:val="18"/>
                <w:lang w:val="en-GB"/>
              </w:rPr>
              <w:t>900mg/1/d</w:t>
            </w:r>
          </w:p>
        </w:tc>
        <w:tc>
          <w:tcPr>
            <w:tcW w:w="204" w:type="pct"/>
            <w:vMerge/>
            <w:shd w:val="clear" w:color="000000" w:fill="FFFFFF"/>
            <w:vAlign w:val="center"/>
            <w:hideMark/>
          </w:tcPr>
          <w:p w14:paraId="2F62F5E5" w14:textId="77777777" w:rsidR="005A043A" w:rsidRPr="00214F41" w:rsidRDefault="005A043A" w:rsidP="00286762">
            <w:pPr>
              <w:jc w:val="center"/>
              <w:rPr>
                <w:sz w:val="18"/>
                <w:szCs w:val="18"/>
                <w:lang w:val="en-GB"/>
              </w:rPr>
            </w:pPr>
          </w:p>
        </w:tc>
        <w:tc>
          <w:tcPr>
            <w:tcW w:w="247" w:type="pct"/>
            <w:vMerge/>
            <w:shd w:val="clear" w:color="000000" w:fill="FFFFFF"/>
            <w:vAlign w:val="center"/>
            <w:hideMark/>
          </w:tcPr>
          <w:p w14:paraId="0280254A" w14:textId="77777777" w:rsidR="005A043A" w:rsidRPr="00214F41" w:rsidRDefault="005A043A" w:rsidP="00286762">
            <w:pPr>
              <w:jc w:val="center"/>
              <w:rPr>
                <w:sz w:val="18"/>
                <w:szCs w:val="18"/>
                <w:lang w:val="en-GB"/>
              </w:rPr>
            </w:pPr>
          </w:p>
        </w:tc>
        <w:tc>
          <w:tcPr>
            <w:tcW w:w="491" w:type="pct"/>
            <w:shd w:val="clear" w:color="000000" w:fill="FFFFFF"/>
            <w:vAlign w:val="center"/>
          </w:tcPr>
          <w:p w14:paraId="09234C39" w14:textId="77777777" w:rsidR="005A043A" w:rsidRPr="00214F41" w:rsidRDefault="005A043A" w:rsidP="00286762">
            <w:pPr>
              <w:jc w:val="center"/>
              <w:rPr>
                <w:sz w:val="18"/>
                <w:szCs w:val="18"/>
                <w:lang w:val="en-GB"/>
              </w:rPr>
            </w:pPr>
            <w:r w:rsidRPr="00214F41">
              <w:rPr>
                <w:sz w:val="18"/>
                <w:szCs w:val="18"/>
                <w:lang w:val="en-GB"/>
              </w:rPr>
              <w:t>Metformin DR</w:t>
            </w:r>
          </w:p>
        </w:tc>
        <w:tc>
          <w:tcPr>
            <w:tcW w:w="491" w:type="pct"/>
            <w:vMerge/>
            <w:shd w:val="clear" w:color="000000" w:fill="FFFFFF"/>
            <w:vAlign w:val="center"/>
            <w:hideMark/>
          </w:tcPr>
          <w:p w14:paraId="2A2FCD00"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06D83C81" w14:textId="77777777" w:rsidR="005A043A" w:rsidRPr="00214F41" w:rsidRDefault="005A043A" w:rsidP="00286762">
            <w:pPr>
              <w:jc w:val="center"/>
              <w:rPr>
                <w:sz w:val="18"/>
                <w:szCs w:val="18"/>
                <w:lang w:val="en-GB"/>
              </w:rPr>
            </w:pPr>
            <w:r w:rsidRPr="00214F41">
              <w:rPr>
                <w:sz w:val="18"/>
                <w:szCs w:val="18"/>
                <w:lang w:val="en-GB"/>
              </w:rPr>
              <w:t>56±10.6</w:t>
            </w:r>
          </w:p>
        </w:tc>
        <w:tc>
          <w:tcPr>
            <w:tcW w:w="202" w:type="pct"/>
            <w:shd w:val="clear" w:color="000000" w:fill="FFFFFF"/>
            <w:vAlign w:val="center"/>
            <w:hideMark/>
          </w:tcPr>
          <w:p w14:paraId="3095DE58" w14:textId="77777777" w:rsidR="005A043A" w:rsidRPr="00214F41" w:rsidRDefault="005A043A" w:rsidP="00286762">
            <w:pPr>
              <w:jc w:val="center"/>
              <w:rPr>
                <w:sz w:val="18"/>
                <w:szCs w:val="18"/>
                <w:lang w:val="en-GB"/>
              </w:rPr>
            </w:pPr>
            <w:r w:rsidRPr="00214F41">
              <w:rPr>
                <w:sz w:val="18"/>
                <w:szCs w:val="18"/>
                <w:lang w:val="en-GB"/>
              </w:rPr>
              <w:t>100/52.5</w:t>
            </w:r>
          </w:p>
        </w:tc>
        <w:tc>
          <w:tcPr>
            <w:tcW w:w="265" w:type="pct"/>
            <w:gridSpan w:val="2"/>
            <w:shd w:val="clear" w:color="000000" w:fill="FFFFFF"/>
            <w:vAlign w:val="center"/>
            <w:hideMark/>
          </w:tcPr>
          <w:p w14:paraId="007F9E04" w14:textId="77777777" w:rsidR="005A043A" w:rsidRPr="00214F41" w:rsidRDefault="005A043A" w:rsidP="00286762">
            <w:pPr>
              <w:jc w:val="center"/>
              <w:rPr>
                <w:sz w:val="18"/>
                <w:szCs w:val="18"/>
                <w:lang w:val="en-GB"/>
              </w:rPr>
            </w:pPr>
            <w:r w:rsidRPr="00214F41">
              <w:rPr>
                <w:sz w:val="18"/>
                <w:szCs w:val="18"/>
                <w:lang w:val="en-GB"/>
              </w:rPr>
              <w:t>32±6</w:t>
            </w:r>
          </w:p>
        </w:tc>
        <w:tc>
          <w:tcPr>
            <w:tcW w:w="266" w:type="pct"/>
            <w:gridSpan w:val="2"/>
            <w:vMerge/>
            <w:shd w:val="clear" w:color="000000" w:fill="FFFFFF"/>
            <w:vAlign w:val="center"/>
            <w:hideMark/>
          </w:tcPr>
          <w:p w14:paraId="3ADDB896" w14:textId="77777777" w:rsidR="005A043A" w:rsidRPr="00214F41" w:rsidRDefault="005A043A" w:rsidP="00286762">
            <w:pPr>
              <w:jc w:val="center"/>
              <w:rPr>
                <w:sz w:val="18"/>
                <w:szCs w:val="18"/>
                <w:lang w:val="en-GB"/>
              </w:rPr>
            </w:pPr>
          </w:p>
        </w:tc>
      </w:tr>
      <w:tr w:rsidR="005A043A" w:rsidRPr="0072287D" w14:paraId="40459DB8" w14:textId="77777777" w:rsidTr="00286762">
        <w:trPr>
          <w:trHeight w:val="416"/>
        </w:trPr>
        <w:tc>
          <w:tcPr>
            <w:tcW w:w="338" w:type="pct"/>
            <w:shd w:val="clear" w:color="000000" w:fill="FFFFFF"/>
            <w:vAlign w:val="center"/>
            <w:hideMark/>
          </w:tcPr>
          <w:p w14:paraId="665605FC" w14:textId="77777777" w:rsidR="005A043A" w:rsidRPr="00214F41" w:rsidRDefault="005A043A" w:rsidP="00286762">
            <w:pPr>
              <w:jc w:val="center"/>
              <w:rPr>
                <w:sz w:val="18"/>
                <w:szCs w:val="18"/>
                <w:lang w:val="en-GB"/>
              </w:rPr>
            </w:pPr>
            <w:r w:rsidRPr="00214F41">
              <w:rPr>
                <w:sz w:val="18"/>
                <w:szCs w:val="18"/>
                <w:lang w:val="en-GB"/>
              </w:rPr>
              <w:t>Henry et al., 2018c</w:t>
            </w:r>
          </w:p>
        </w:tc>
        <w:tc>
          <w:tcPr>
            <w:tcW w:w="171" w:type="pct"/>
            <w:vMerge/>
            <w:shd w:val="clear" w:color="000000" w:fill="FFFFFF"/>
            <w:vAlign w:val="center"/>
          </w:tcPr>
          <w:p w14:paraId="0D308DB6" w14:textId="77777777" w:rsidR="005A043A" w:rsidRPr="00214F41" w:rsidRDefault="005A043A" w:rsidP="00286762">
            <w:pPr>
              <w:jc w:val="center"/>
              <w:rPr>
                <w:sz w:val="18"/>
                <w:szCs w:val="18"/>
                <w:lang w:val="en-GB"/>
              </w:rPr>
            </w:pPr>
          </w:p>
        </w:tc>
        <w:tc>
          <w:tcPr>
            <w:tcW w:w="744" w:type="pct"/>
            <w:vMerge/>
            <w:shd w:val="clear" w:color="000000" w:fill="FFFFFF"/>
            <w:vAlign w:val="center"/>
          </w:tcPr>
          <w:p w14:paraId="1AB92795" w14:textId="77777777" w:rsidR="005A043A" w:rsidRPr="00214F41" w:rsidRDefault="005A043A" w:rsidP="00286762">
            <w:pPr>
              <w:jc w:val="center"/>
              <w:rPr>
                <w:sz w:val="18"/>
                <w:szCs w:val="18"/>
                <w:lang w:val="en-GB"/>
              </w:rPr>
            </w:pPr>
          </w:p>
        </w:tc>
        <w:tc>
          <w:tcPr>
            <w:tcW w:w="364" w:type="pct"/>
            <w:vMerge/>
            <w:shd w:val="clear" w:color="000000" w:fill="FFFFFF"/>
            <w:vAlign w:val="center"/>
            <w:hideMark/>
          </w:tcPr>
          <w:p w14:paraId="4C3035E7" w14:textId="77777777" w:rsidR="005A043A" w:rsidRPr="00214F41" w:rsidRDefault="005A043A" w:rsidP="00286762">
            <w:pPr>
              <w:jc w:val="center"/>
              <w:rPr>
                <w:sz w:val="18"/>
                <w:szCs w:val="18"/>
                <w:lang w:val="en-GB"/>
              </w:rPr>
            </w:pPr>
          </w:p>
        </w:tc>
        <w:tc>
          <w:tcPr>
            <w:tcW w:w="200" w:type="pct"/>
            <w:vMerge/>
            <w:shd w:val="clear" w:color="000000" w:fill="FFFFFF"/>
            <w:vAlign w:val="center"/>
          </w:tcPr>
          <w:p w14:paraId="7090B04A" w14:textId="77777777" w:rsidR="005A043A" w:rsidRPr="00214F41" w:rsidRDefault="005A043A" w:rsidP="00286762">
            <w:pPr>
              <w:jc w:val="center"/>
              <w:rPr>
                <w:sz w:val="18"/>
                <w:szCs w:val="18"/>
                <w:lang w:val="en-GB"/>
              </w:rPr>
            </w:pPr>
          </w:p>
        </w:tc>
        <w:tc>
          <w:tcPr>
            <w:tcW w:w="448" w:type="pct"/>
            <w:shd w:val="clear" w:color="000000" w:fill="FFFFFF"/>
            <w:vAlign w:val="center"/>
            <w:hideMark/>
          </w:tcPr>
          <w:p w14:paraId="79C7EAC2"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058619A1" w14:textId="77777777" w:rsidR="005A043A" w:rsidRPr="00214F41" w:rsidRDefault="005A043A" w:rsidP="00286762">
            <w:pPr>
              <w:jc w:val="center"/>
              <w:rPr>
                <w:sz w:val="18"/>
                <w:szCs w:val="18"/>
                <w:lang w:val="en-GB"/>
              </w:rPr>
            </w:pPr>
            <w:r w:rsidRPr="00214F41">
              <w:rPr>
                <w:sz w:val="18"/>
                <w:szCs w:val="18"/>
                <w:lang w:val="en-GB"/>
              </w:rPr>
              <w:t>1200mg/1/d</w:t>
            </w:r>
          </w:p>
        </w:tc>
        <w:tc>
          <w:tcPr>
            <w:tcW w:w="204" w:type="pct"/>
            <w:vMerge/>
            <w:shd w:val="clear" w:color="000000" w:fill="FFFFFF"/>
            <w:vAlign w:val="center"/>
            <w:hideMark/>
          </w:tcPr>
          <w:p w14:paraId="0491E06D" w14:textId="77777777" w:rsidR="005A043A" w:rsidRPr="00214F41" w:rsidRDefault="005A043A" w:rsidP="00286762">
            <w:pPr>
              <w:jc w:val="center"/>
              <w:rPr>
                <w:sz w:val="18"/>
                <w:szCs w:val="18"/>
                <w:lang w:val="en-GB"/>
              </w:rPr>
            </w:pPr>
          </w:p>
        </w:tc>
        <w:tc>
          <w:tcPr>
            <w:tcW w:w="247" w:type="pct"/>
            <w:vMerge/>
            <w:shd w:val="clear" w:color="000000" w:fill="FFFFFF"/>
            <w:vAlign w:val="center"/>
            <w:hideMark/>
          </w:tcPr>
          <w:p w14:paraId="6B5B6C25" w14:textId="77777777" w:rsidR="005A043A" w:rsidRPr="00214F41" w:rsidRDefault="005A043A" w:rsidP="00286762">
            <w:pPr>
              <w:jc w:val="center"/>
              <w:rPr>
                <w:sz w:val="18"/>
                <w:szCs w:val="18"/>
                <w:lang w:val="en-GB"/>
              </w:rPr>
            </w:pPr>
          </w:p>
        </w:tc>
        <w:tc>
          <w:tcPr>
            <w:tcW w:w="491" w:type="pct"/>
            <w:shd w:val="clear" w:color="000000" w:fill="FFFFFF"/>
            <w:vAlign w:val="center"/>
          </w:tcPr>
          <w:p w14:paraId="2D50AA46" w14:textId="77777777" w:rsidR="005A043A" w:rsidRPr="00214F41" w:rsidRDefault="005A043A" w:rsidP="00286762">
            <w:pPr>
              <w:jc w:val="center"/>
              <w:rPr>
                <w:sz w:val="18"/>
                <w:szCs w:val="18"/>
                <w:lang w:val="en-GB"/>
              </w:rPr>
            </w:pPr>
            <w:r w:rsidRPr="00214F41">
              <w:rPr>
                <w:sz w:val="18"/>
                <w:szCs w:val="18"/>
                <w:lang w:val="en-GB"/>
              </w:rPr>
              <w:t>Metformin DR</w:t>
            </w:r>
          </w:p>
        </w:tc>
        <w:tc>
          <w:tcPr>
            <w:tcW w:w="491" w:type="pct"/>
            <w:vMerge/>
            <w:shd w:val="clear" w:color="000000" w:fill="FFFFFF"/>
            <w:vAlign w:val="center"/>
            <w:hideMark/>
          </w:tcPr>
          <w:p w14:paraId="0AA10963"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5EF1D927" w14:textId="77777777" w:rsidR="005A043A" w:rsidRPr="00214F41" w:rsidRDefault="005A043A" w:rsidP="00286762">
            <w:pPr>
              <w:jc w:val="center"/>
              <w:rPr>
                <w:sz w:val="18"/>
                <w:szCs w:val="18"/>
                <w:lang w:val="en-GB"/>
              </w:rPr>
            </w:pPr>
            <w:r w:rsidRPr="00214F41">
              <w:rPr>
                <w:sz w:val="18"/>
                <w:szCs w:val="18"/>
                <w:lang w:val="en-GB"/>
              </w:rPr>
              <w:t>56±11</w:t>
            </w:r>
          </w:p>
        </w:tc>
        <w:tc>
          <w:tcPr>
            <w:tcW w:w="202" w:type="pct"/>
            <w:shd w:val="clear" w:color="000000" w:fill="FFFFFF"/>
            <w:vAlign w:val="center"/>
            <w:hideMark/>
          </w:tcPr>
          <w:p w14:paraId="7F24A43A" w14:textId="77777777" w:rsidR="005A043A" w:rsidRPr="00214F41" w:rsidRDefault="005A043A" w:rsidP="00286762">
            <w:pPr>
              <w:jc w:val="center"/>
              <w:rPr>
                <w:sz w:val="18"/>
                <w:szCs w:val="18"/>
                <w:lang w:val="en-GB"/>
              </w:rPr>
            </w:pPr>
            <w:r w:rsidRPr="00214F41">
              <w:rPr>
                <w:sz w:val="18"/>
                <w:szCs w:val="18"/>
                <w:lang w:val="en-GB"/>
              </w:rPr>
              <w:t>94/49</w:t>
            </w:r>
          </w:p>
        </w:tc>
        <w:tc>
          <w:tcPr>
            <w:tcW w:w="265" w:type="pct"/>
            <w:gridSpan w:val="2"/>
            <w:shd w:val="clear" w:color="000000" w:fill="FFFFFF"/>
            <w:vAlign w:val="center"/>
            <w:hideMark/>
          </w:tcPr>
          <w:p w14:paraId="3BBD36F6" w14:textId="77777777" w:rsidR="005A043A" w:rsidRPr="00214F41" w:rsidRDefault="005A043A" w:rsidP="00286762">
            <w:pPr>
              <w:jc w:val="center"/>
              <w:rPr>
                <w:sz w:val="18"/>
                <w:szCs w:val="18"/>
                <w:lang w:val="en-GB"/>
              </w:rPr>
            </w:pPr>
            <w:r w:rsidRPr="00214F41">
              <w:rPr>
                <w:sz w:val="18"/>
                <w:szCs w:val="18"/>
                <w:lang w:val="en-GB"/>
              </w:rPr>
              <w:t>32±6</w:t>
            </w:r>
          </w:p>
        </w:tc>
        <w:tc>
          <w:tcPr>
            <w:tcW w:w="266" w:type="pct"/>
            <w:gridSpan w:val="2"/>
            <w:vMerge/>
            <w:shd w:val="clear" w:color="000000" w:fill="FFFFFF"/>
            <w:vAlign w:val="center"/>
            <w:hideMark/>
          </w:tcPr>
          <w:p w14:paraId="64F258CD" w14:textId="77777777" w:rsidR="005A043A" w:rsidRPr="00214F41" w:rsidRDefault="005A043A" w:rsidP="00286762">
            <w:pPr>
              <w:jc w:val="center"/>
              <w:rPr>
                <w:sz w:val="18"/>
                <w:szCs w:val="18"/>
                <w:lang w:val="en-GB"/>
              </w:rPr>
            </w:pPr>
          </w:p>
        </w:tc>
      </w:tr>
      <w:tr w:rsidR="005A043A" w:rsidRPr="0072287D" w14:paraId="47F9CD5D" w14:textId="77777777" w:rsidTr="00286762">
        <w:trPr>
          <w:trHeight w:val="308"/>
        </w:trPr>
        <w:tc>
          <w:tcPr>
            <w:tcW w:w="338" w:type="pct"/>
            <w:shd w:val="clear" w:color="000000" w:fill="FFFFFF"/>
            <w:vAlign w:val="center"/>
            <w:hideMark/>
          </w:tcPr>
          <w:p w14:paraId="49C06F3D" w14:textId="77777777" w:rsidR="005A043A" w:rsidRPr="00214F41" w:rsidRDefault="005A043A" w:rsidP="00286762">
            <w:pPr>
              <w:jc w:val="center"/>
              <w:rPr>
                <w:sz w:val="18"/>
                <w:szCs w:val="18"/>
                <w:lang w:val="en-GB"/>
              </w:rPr>
            </w:pPr>
            <w:r w:rsidRPr="00214F41">
              <w:rPr>
                <w:sz w:val="18"/>
                <w:szCs w:val="18"/>
                <w:lang w:val="en-GB"/>
              </w:rPr>
              <w:t>Henry et al., 2018d</w:t>
            </w:r>
          </w:p>
        </w:tc>
        <w:tc>
          <w:tcPr>
            <w:tcW w:w="171" w:type="pct"/>
            <w:vMerge/>
            <w:shd w:val="clear" w:color="000000" w:fill="FFFFFF"/>
            <w:vAlign w:val="center"/>
          </w:tcPr>
          <w:p w14:paraId="7678575D" w14:textId="77777777" w:rsidR="005A043A" w:rsidRPr="00214F41" w:rsidRDefault="005A043A" w:rsidP="00286762">
            <w:pPr>
              <w:jc w:val="center"/>
              <w:rPr>
                <w:sz w:val="18"/>
                <w:szCs w:val="18"/>
                <w:lang w:val="en-GB"/>
              </w:rPr>
            </w:pPr>
          </w:p>
        </w:tc>
        <w:tc>
          <w:tcPr>
            <w:tcW w:w="744" w:type="pct"/>
            <w:vMerge/>
            <w:shd w:val="clear" w:color="000000" w:fill="FFFFFF"/>
            <w:vAlign w:val="center"/>
          </w:tcPr>
          <w:p w14:paraId="01BC93AF" w14:textId="77777777" w:rsidR="005A043A" w:rsidRPr="00214F41" w:rsidRDefault="005A043A" w:rsidP="00286762">
            <w:pPr>
              <w:jc w:val="center"/>
              <w:rPr>
                <w:sz w:val="18"/>
                <w:szCs w:val="18"/>
                <w:lang w:val="en-GB"/>
              </w:rPr>
            </w:pPr>
          </w:p>
        </w:tc>
        <w:tc>
          <w:tcPr>
            <w:tcW w:w="364" w:type="pct"/>
            <w:vMerge/>
            <w:shd w:val="clear" w:color="000000" w:fill="FFFFFF"/>
            <w:vAlign w:val="center"/>
            <w:hideMark/>
          </w:tcPr>
          <w:p w14:paraId="3A7A4EA8" w14:textId="77777777" w:rsidR="005A043A" w:rsidRPr="00214F41" w:rsidRDefault="005A043A" w:rsidP="00286762">
            <w:pPr>
              <w:jc w:val="center"/>
              <w:rPr>
                <w:sz w:val="18"/>
                <w:szCs w:val="18"/>
                <w:lang w:val="en-GB"/>
              </w:rPr>
            </w:pPr>
          </w:p>
        </w:tc>
        <w:tc>
          <w:tcPr>
            <w:tcW w:w="200" w:type="pct"/>
            <w:vMerge/>
            <w:shd w:val="clear" w:color="000000" w:fill="FFFFFF"/>
            <w:vAlign w:val="center"/>
          </w:tcPr>
          <w:p w14:paraId="012851B6" w14:textId="77777777" w:rsidR="005A043A" w:rsidRPr="00214F41" w:rsidRDefault="005A043A" w:rsidP="00286762">
            <w:pPr>
              <w:jc w:val="center"/>
              <w:rPr>
                <w:sz w:val="18"/>
                <w:szCs w:val="18"/>
                <w:lang w:val="en-GB"/>
              </w:rPr>
            </w:pPr>
          </w:p>
        </w:tc>
        <w:tc>
          <w:tcPr>
            <w:tcW w:w="448" w:type="pct"/>
            <w:shd w:val="clear" w:color="000000" w:fill="FFFFFF"/>
            <w:vAlign w:val="center"/>
            <w:hideMark/>
          </w:tcPr>
          <w:p w14:paraId="02D372F6"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04EDF18F" w14:textId="77777777" w:rsidR="005A043A" w:rsidRPr="00214F41" w:rsidRDefault="005A043A" w:rsidP="00286762">
            <w:pPr>
              <w:jc w:val="center"/>
              <w:rPr>
                <w:sz w:val="18"/>
                <w:szCs w:val="18"/>
                <w:lang w:val="en-GB"/>
              </w:rPr>
            </w:pPr>
            <w:r w:rsidRPr="00214F41">
              <w:rPr>
                <w:sz w:val="18"/>
                <w:szCs w:val="18"/>
                <w:lang w:val="en-GB"/>
              </w:rPr>
              <w:t>1500mg/1/d</w:t>
            </w:r>
          </w:p>
        </w:tc>
        <w:tc>
          <w:tcPr>
            <w:tcW w:w="204" w:type="pct"/>
            <w:vMerge/>
            <w:shd w:val="clear" w:color="000000" w:fill="FFFFFF"/>
            <w:vAlign w:val="center"/>
            <w:hideMark/>
          </w:tcPr>
          <w:p w14:paraId="37589DAD" w14:textId="77777777" w:rsidR="005A043A" w:rsidRPr="00214F41" w:rsidRDefault="005A043A" w:rsidP="00286762">
            <w:pPr>
              <w:jc w:val="center"/>
              <w:rPr>
                <w:sz w:val="18"/>
                <w:szCs w:val="18"/>
                <w:lang w:val="en-GB"/>
              </w:rPr>
            </w:pPr>
          </w:p>
        </w:tc>
        <w:tc>
          <w:tcPr>
            <w:tcW w:w="247" w:type="pct"/>
            <w:vMerge/>
            <w:shd w:val="clear" w:color="000000" w:fill="FFFFFF"/>
            <w:vAlign w:val="center"/>
            <w:hideMark/>
          </w:tcPr>
          <w:p w14:paraId="5DA5D32E" w14:textId="77777777" w:rsidR="005A043A" w:rsidRPr="00214F41" w:rsidRDefault="005A043A" w:rsidP="00286762">
            <w:pPr>
              <w:jc w:val="center"/>
              <w:rPr>
                <w:sz w:val="18"/>
                <w:szCs w:val="18"/>
                <w:lang w:val="en-GB"/>
              </w:rPr>
            </w:pPr>
          </w:p>
        </w:tc>
        <w:tc>
          <w:tcPr>
            <w:tcW w:w="491" w:type="pct"/>
            <w:shd w:val="clear" w:color="000000" w:fill="FFFFFF"/>
            <w:vAlign w:val="center"/>
          </w:tcPr>
          <w:p w14:paraId="3DA36A92" w14:textId="77777777" w:rsidR="005A043A" w:rsidRPr="00214F41" w:rsidRDefault="005A043A" w:rsidP="00286762">
            <w:pPr>
              <w:jc w:val="center"/>
              <w:rPr>
                <w:sz w:val="18"/>
                <w:szCs w:val="18"/>
                <w:lang w:val="en-GB"/>
              </w:rPr>
            </w:pPr>
            <w:r w:rsidRPr="00214F41">
              <w:rPr>
                <w:sz w:val="18"/>
                <w:szCs w:val="18"/>
                <w:lang w:val="en-GB"/>
              </w:rPr>
              <w:t>Metformin DR</w:t>
            </w:r>
          </w:p>
        </w:tc>
        <w:tc>
          <w:tcPr>
            <w:tcW w:w="491" w:type="pct"/>
            <w:vMerge/>
            <w:shd w:val="clear" w:color="000000" w:fill="FFFFFF"/>
            <w:vAlign w:val="center"/>
            <w:hideMark/>
          </w:tcPr>
          <w:p w14:paraId="413C3B3B"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3EB91841" w14:textId="77777777" w:rsidR="005A043A" w:rsidRPr="00214F41" w:rsidRDefault="005A043A" w:rsidP="00286762">
            <w:pPr>
              <w:jc w:val="center"/>
              <w:rPr>
                <w:sz w:val="18"/>
                <w:szCs w:val="18"/>
                <w:lang w:val="en-GB"/>
              </w:rPr>
            </w:pPr>
            <w:r w:rsidRPr="00214F41">
              <w:rPr>
                <w:sz w:val="18"/>
                <w:szCs w:val="18"/>
                <w:lang w:val="en-GB"/>
              </w:rPr>
              <w:t>56±10.1</w:t>
            </w:r>
          </w:p>
        </w:tc>
        <w:tc>
          <w:tcPr>
            <w:tcW w:w="202" w:type="pct"/>
            <w:shd w:val="clear" w:color="000000" w:fill="FFFFFF"/>
            <w:vAlign w:val="center"/>
            <w:hideMark/>
          </w:tcPr>
          <w:p w14:paraId="5DE45CF0" w14:textId="77777777" w:rsidR="005A043A" w:rsidRPr="00214F41" w:rsidRDefault="005A043A" w:rsidP="00286762">
            <w:pPr>
              <w:jc w:val="center"/>
              <w:rPr>
                <w:sz w:val="18"/>
                <w:szCs w:val="18"/>
                <w:lang w:val="en-GB"/>
              </w:rPr>
            </w:pPr>
            <w:r w:rsidRPr="00214F41">
              <w:rPr>
                <w:sz w:val="18"/>
                <w:szCs w:val="18"/>
                <w:lang w:val="en-GB"/>
              </w:rPr>
              <w:t>97/50.5</w:t>
            </w:r>
          </w:p>
        </w:tc>
        <w:tc>
          <w:tcPr>
            <w:tcW w:w="265" w:type="pct"/>
            <w:gridSpan w:val="2"/>
            <w:shd w:val="clear" w:color="000000" w:fill="FFFFFF"/>
            <w:vAlign w:val="center"/>
            <w:hideMark/>
          </w:tcPr>
          <w:p w14:paraId="1CCE4F89" w14:textId="77777777" w:rsidR="005A043A" w:rsidRPr="00214F41" w:rsidRDefault="005A043A" w:rsidP="00286762">
            <w:pPr>
              <w:jc w:val="center"/>
              <w:rPr>
                <w:sz w:val="18"/>
                <w:szCs w:val="18"/>
                <w:lang w:val="en-GB"/>
              </w:rPr>
            </w:pPr>
            <w:r w:rsidRPr="00214F41">
              <w:rPr>
                <w:sz w:val="18"/>
                <w:szCs w:val="18"/>
                <w:lang w:val="en-GB"/>
              </w:rPr>
              <w:t>33±6</w:t>
            </w:r>
          </w:p>
        </w:tc>
        <w:tc>
          <w:tcPr>
            <w:tcW w:w="266" w:type="pct"/>
            <w:gridSpan w:val="2"/>
            <w:vMerge/>
            <w:shd w:val="clear" w:color="000000" w:fill="FFFFFF"/>
            <w:vAlign w:val="center"/>
            <w:hideMark/>
          </w:tcPr>
          <w:p w14:paraId="31CE0746" w14:textId="77777777" w:rsidR="005A043A" w:rsidRPr="00214F41" w:rsidRDefault="005A043A" w:rsidP="00286762">
            <w:pPr>
              <w:jc w:val="center"/>
              <w:rPr>
                <w:sz w:val="18"/>
                <w:szCs w:val="18"/>
                <w:lang w:val="en-GB"/>
              </w:rPr>
            </w:pPr>
          </w:p>
        </w:tc>
      </w:tr>
      <w:tr w:rsidR="005A043A" w:rsidRPr="0072287D" w14:paraId="7EB1B217" w14:textId="77777777" w:rsidTr="00286762">
        <w:trPr>
          <w:trHeight w:val="550"/>
        </w:trPr>
        <w:tc>
          <w:tcPr>
            <w:tcW w:w="338" w:type="pct"/>
            <w:shd w:val="clear" w:color="000000" w:fill="FFFFFF"/>
            <w:vAlign w:val="center"/>
            <w:hideMark/>
          </w:tcPr>
          <w:p w14:paraId="554846D2" w14:textId="77777777" w:rsidR="005A043A" w:rsidRPr="00214F41" w:rsidRDefault="005A043A" w:rsidP="00286762">
            <w:pPr>
              <w:jc w:val="center"/>
              <w:rPr>
                <w:sz w:val="18"/>
                <w:szCs w:val="18"/>
                <w:lang w:val="en-GB"/>
              </w:rPr>
            </w:pPr>
            <w:r w:rsidRPr="00214F41">
              <w:rPr>
                <w:sz w:val="18"/>
                <w:szCs w:val="18"/>
                <w:lang w:val="en-GB"/>
              </w:rPr>
              <w:t>Henry et al., 2018e</w:t>
            </w:r>
          </w:p>
        </w:tc>
        <w:tc>
          <w:tcPr>
            <w:tcW w:w="171" w:type="pct"/>
            <w:vMerge/>
            <w:shd w:val="clear" w:color="000000" w:fill="FFFFFF"/>
            <w:vAlign w:val="center"/>
            <w:hideMark/>
          </w:tcPr>
          <w:p w14:paraId="50D1BE8E" w14:textId="77777777" w:rsidR="005A043A" w:rsidRPr="00214F41" w:rsidRDefault="005A043A" w:rsidP="00286762">
            <w:pPr>
              <w:jc w:val="center"/>
              <w:rPr>
                <w:sz w:val="18"/>
                <w:szCs w:val="18"/>
                <w:lang w:val="en-GB"/>
              </w:rPr>
            </w:pPr>
          </w:p>
        </w:tc>
        <w:tc>
          <w:tcPr>
            <w:tcW w:w="744" w:type="pct"/>
            <w:vMerge/>
            <w:shd w:val="clear" w:color="000000" w:fill="FFFFFF"/>
            <w:vAlign w:val="center"/>
          </w:tcPr>
          <w:p w14:paraId="19882661" w14:textId="77777777" w:rsidR="005A043A" w:rsidRPr="00214F41" w:rsidRDefault="005A043A" w:rsidP="00286762">
            <w:pPr>
              <w:jc w:val="center"/>
              <w:rPr>
                <w:sz w:val="18"/>
                <w:szCs w:val="18"/>
                <w:lang w:val="en-GB"/>
              </w:rPr>
            </w:pPr>
          </w:p>
        </w:tc>
        <w:tc>
          <w:tcPr>
            <w:tcW w:w="364" w:type="pct"/>
            <w:vMerge/>
            <w:shd w:val="clear" w:color="000000" w:fill="FFFFFF"/>
            <w:vAlign w:val="center"/>
            <w:hideMark/>
          </w:tcPr>
          <w:p w14:paraId="17351415" w14:textId="77777777" w:rsidR="005A043A" w:rsidRPr="00214F41" w:rsidRDefault="005A043A" w:rsidP="00286762">
            <w:pPr>
              <w:jc w:val="center"/>
              <w:rPr>
                <w:sz w:val="18"/>
                <w:szCs w:val="18"/>
                <w:lang w:val="en-GB"/>
              </w:rPr>
            </w:pPr>
          </w:p>
        </w:tc>
        <w:tc>
          <w:tcPr>
            <w:tcW w:w="200" w:type="pct"/>
            <w:vMerge/>
            <w:shd w:val="clear" w:color="000000" w:fill="FFFFFF"/>
            <w:vAlign w:val="center"/>
          </w:tcPr>
          <w:p w14:paraId="6A502FFC" w14:textId="77777777" w:rsidR="005A043A" w:rsidRPr="00214F41" w:rsidRDefault="005A043A" w:rsidP="00286762">
            <w:pPr>
              <w:jc w:val="center"/>
              <w:rPr>
                <w:sz w:val="18"/>
                <w:szCs w:val="18"/>
                <w:lang w:val="en-GB"/>
              </w:rPr>
            </w:pPr>
          </w:p>
        </w:tc>
        <w:tc>
          <w:tcPr>
            <w:tcW w:w="448" w:type="pct"/>
            <w:shd w:val="clear" w:color="000000" w:fill="FFFFFF"/>
            <w:vAlign w:val="center"/>
            <w:hideMark/>
          </w:tcPr>
          <w:p w14:paraId="214DC5E4" w14:textId="77777777" w:rsidR="005A043A" w:rsidRPr="00214F41" w:rsidRDefault="005A043A" w:rsidP="00286762">
            <w:pPr>
              <w:jc w:val="center"/>
              <w:rPr>
                <w:sz w:val="18"/>
                <w:szCs w:val="18"/>
                <w:lang w:val="en-GB"/>
              </w:rPr>
            </w:pPr>
            <w:r w:rsidRPr="00214F41">
              <w:rPr>
                <w:sz w:val="18"/>
                <w:szCs w:val="18"/>
                <w:lang w:val="en-GB"/>
              </w:rPr>
              <w:t>Metformin IR Glucophage1 (Bristol-Myers Squibb; Princeton, NJ)</w:t>
            </w:r>
          </w:p>
        </w:tc>
        <w:tc>
          <w:tcPr>
            <w:tcW w:w="324" w:type="pct"/>
            <w:shd w:val="clear" w:color="000000" w:fill="FFFFFF"/>
            <w:vAlign w:val="center"/>
            <w:hideMark/>
          </w:tcPr>
          <w:p w14:paraId="3FAD9285" w14:textId="77777777" w:rsidR="005A043A" w:rsidRPr="00214F41" w:rsidRDefault="005A043A" w:rsidP="00286762">
            <w:pPr>
              <w:jc w:val="center"/>
              <w:rPr>
                <w:sz w:val="18"/>
                <w:szCs w:val="18"/>
                <w:lang w:val="en-GB"/>
              </w:rPr>
            </w:pPr>
            <w:r w:rsidRPr="00214F41">
              <w:rPr>
                <w:sz w:val="18"/>
                <w:szCs w:val="18"/>
                <w:lang w:val="en-GB"/>
              </w:rPr>
              <w:t>2000mg/2/d</w:t>
            </w:r>
          </w:p>
        </w:tc>
        <w:tc>
          <w:tcPr>
            <w:tcW w:w="204" w:type="pct"/>
            <w:vMerge/>
            <w:shd w:val="clear" w:color="000000" w:fill="FFFFFF"/>
            <w:vAlign w:val="center"/>
            <w:hideMark/>
          </w:tcPr>
          <w:p w14:paraId="00DAD83B" w14:textId="77777777" w:rsidR="005A043A" w:rsidRPr="00214F41" w:rsidRDefault="005A043A" w:rsidP="00286762">
            <w:pPr>
              <w:jc w:val="center"/>
              <w:rPr>
                <w:sz w:val="18"/>
                <w:szCs w:val="18"/>
                <w:lang w:val="en-GB"/>
              </w:rPr>
            </w:pPr>
          </w:p>
        </w:tc>
        <w:tc>
          <w:tcPr>
            <w:tcW w:w="247" w:type="pct"/>
            <w:shd w:val="clear" w:color="000000" w:fill="FFFFFF"/>
            <w:vAlign w:val="center"/>
            <w:hideMark/>
          </w:tcPr>
          <w:p w14:paraId="66A5EFBA"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06EA976E"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vMerge/>
            <w:shd w:val="clear" w:color="000000" w:fill="FFFFFF"/>
            <w:vAlign w:val="center"/>
            <w:hideMark/>
          </w:tcPr>
          <w:p w14:paraId="70C00244"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1123EA76" w14:textId="77777777" w:rsidR="005A043A" w:rsidRPr="00214F41" w:rsidRDefault="005A043A" w:rsidP="00286762">
            <w:pPr>
              <w:jc w:val="center"/>
              <w:rPr>
                <w:sz w:val="18"/>
                <w:szCs w:val="18"/>
                <w:lang w:val="en-GB"/>
              </w:rPr>
            </w:pPr>
            <w:r w:rsidRPr="00214F41">
              <w:rPr>
                <w:sz w:val="18"/>
                <w:szCs w:val="18"/>
                <w:lang w:val="en-GB"/>
              </w:rPr>
              <w:t>57±11</w:t>
            </w:r>
          </w:p>
        </w:tc>
        <w:tc>
          <w:tcPr>
            <w:tcW w:w="202" w:type="pct"/>
            <w:shd w:val="clear" w:color="000000" w:fill="FFFFFF"/>
            <w:vAlign w:val="center"/>
            <w:hideMark/>
          </w:tcPr>
          <w:p w14:paraId="29E658CE" w14:textId="77777777" w:rsidR="005A043A" w:rsidRPr="00214F41" w:rsidRDefault="005A043A" w:rsidP="00286762">
            <w:pPr>
              <w:jc w:val="center"/>
              <w:rPr>
                <w:sz w:val="18"/>
                <w:szCs w:val="18"/>
                <w:lang w:val="en-GB"/>
              </w:rPr>
            </w:pPr>
            <w:r w:rsidRPr="00214F41">
              <w:rPr>
                <w:sz w:val="18"/>
                <w:szCs w:val="18"/>
                <w:lang w:val="en-GB"/>
              </w:rPr>
              <w:t>92/48.5</w:t>
            </w:r>
          </w:p>
        </w:tc>
        <w:tc>
          <w:tcPr>
            <w:tcW w:w="265" w:type="pct"/>
            <w:gridSpan w:val="2"/>
            <w:shd w:val="clear" w:color="000000" w:fill="FFFFFF"/>
            <w:vAlign w:val="center"/>
            <w:hideMark/>
          </w:tcPr>
          <w:p w14:paraId="04E9A990" w14:textId="77777777" w:rsidR="005A043A" w:rsidRPr="00214F41" w:rsidRDefault="005A043A" w:rsidP="00286762">
            <w:pPr>
              <w:jc w:val="center"/>
              <w:rPr>
                <w:sz w:val="18"/>
                <w:szCs w:val="18"/>
                <w:lang w:val="en-GB"/>
              </w:rPr>
            </w:pPr>
            <w:r w:rsidRPr="00214F41">
              <w:rPr>
                <w:sz w:val="18"/>
                <w:szCs w:val="18"/>
                <w:lang w:val="en-GB"/>
              </w:rPr>
              <w:t>32±5</w:t>
            </w:r>
          </w:p>
        </w:tc>
        <w:tc>
          <w:tcPr>
            <w:tcW w:w="266" w:type="pct"/>
            <w:gridSpan w:val="2"/>
            <w:vMerge/>
            <w:shd w:val="clear" w:color="000000" w:fill="FFFFFF"/>
            <w:vAlign w:val="center"/>
            <w:hideMark/>
          </w:tcPr>
          <w:p w14:paraId="131A9ACF" w14:textId="77777777" w:rsidR="005A043A" w:rsidRPr="00214F41" w:rsidRDefault="005A043A" w:rsidP="00286762">
            <w:pPr>
              <w:jc w:val="center"/>
              <w:rPr>
                <w:sz w:val="18"/>
                <w:szCs w:val="18"/>
                <w:lang w:val="en-GB"/>
              </w:rPr>
            </w:pPr>
          </w:p>
        </w:tc>
      </w:tr>
      <w:tr w:rsidR="005A043A" w:rsidRPr="0072287D" w14:paraId="48DFA9BF" w14:textId="77777777" w:rsidTr="00286762">
        <w:trPr>
          <w:trHeight w:val="930"/>
        </w:trPr>
        <w:tc>
          <w:tcPr>
            <w:tcW w:w="338" w:type="pct"/>
            <w:shd w:val="clear" w:color="000000" w:fill="FFFFFF"/>
            <w:vAlign w:val="center"/>
            <w:hideMark/>
          </w:tcPr>
          <w:p w14:paraId="020A13B8" w14:textId="77777777" w:rsidR="005A043A" w:rsidRPr="00214F41" w:rsidRDefault="005A043A" w:rsidP="00286762">
            <w:pPr>
              <w:jc w:val="center"/>
              <w:rPr>
                <w:sz w:val="18"/>
                <w:szCs w:val="18"/>
                <w:lang w:val="en-GB"/>
              </w:rPr>
            </w:pPr>
            <w:proofErr w:type="spellStart"/>
            <w:r w:rsidRPr="00214F41">
              <w:rPr>
                <w:sz w:val="18"/>
                <w:szCs w:val="18"/>
                <w:lang w:val="en-GB"/>
              </w:rPr>
              <w:t>Feinglos</w:t>
            </w:r>
            <w:proofErr w:type="spellEnd"/>
            <w:r w:rsidRPr="00214F41">
              <w:rPr>
                <w:sz w:val="18"/>
                <w:szCs w:val="18"/>
                <w:lang w:val="en-GB"/>
              </w:rPr>
              <w:t xml:space="preserve"> et al., 2005 </w:t>
            </w:r>
            <w:r w:rsidRPr="00214F41">
              <w:rPr>
                <w:sz w:val="18"/>
                <w:szCs w:val="18"/>
              </w:rPr>
              <w:fldChar w:fldCharType="begin" w:fldLock="1"/>
            </w:r>
            <w:r>
              <w:rPr>
                <w:sz w:val="18"/>
                <w:szCs w:val="18"/>
                <w:lang w:val="en-GB"/>
              </w:rPr>
              <w:instrText>ADDIN CSL_CITATION {"citationItems":[{"id":"ITEM-1","itemData":{"DOI":"10.1111/J.1464-5491.2005.01567.X","ISSN":"0742-3071","PMID":"16026367","abstract":"Aims: Liraglutide (NN2211) is a long-acting GLP-1 analogue, with a pharmacokinetic profile suitable for once-daily administration. This multicentre, double-blind, parallel-group, double-dummy study explored the dose-response relationship of liraglutide effects on bodyweight and glycaemic control in subjects with Type 2 diabetes. Methods: Subjects (BMI 27-42 kg/m 2) with Type 2 diabetes who were previously treated with an OAD (oral anti-diabetic drug) monotherapy (69% with metformin), and had HbA1c ≤ 10% were enrolled. After a 4-week metformin run-in period, 210 subjects (27-73 years, 60% female) were randomised to receive liraglutide (0.045-0.75 mg) once daily or continued on metformin 1000 mg b.d. for 12 weeks. Results: Mean baseline values for the six treatment groups ranged from 6.8 to 7.5% for HbA1c, and 8.06-9.44 mmol/l (145-170 mg/dl) for fasting plasma glucose. After 12-week treatment, a weight change of - 0.05 to - 1.9% was observed for the six treatment groups. Mean HbA1c changes from baseline for 0.045, 0.225, 0.45, 0.6, 0.75 mg liraglutide and metformin were +1.28%, +0.86%, +0.22%, +0.16%, +0.30% and +0.09%, respectively. No significant differences in HbA1c were observed between liraglutide and metformin groups at the three highest liraglutide dose levels (0.45, 0.6 and 0.75 mg). The lowest two liraglutide doses (0.045 mg and 0.225 mg) were not sufficient to maintain the fasting plasma glucose values achieved by metformin. No major hypoglycaemic episodes were reported. Episodes of nausea and/or vomiting were reported by 11 patients (6.3%) receiving liraglutide and three (8.8%) receiving metformin. Conclusions: Once-daily liraglutide improved glycaemic control and weight, in a comparable degree to metformin. Liraglutide appeared to be safe and generally well tolerated. Higher doses of liraglutide merit study in future clinical trials. © 2005 Diabetes UK.","author":[{"dropping-particle":"","family":"Feinglos","given":"Mark N.","non-dropping-particle":"","parse-names":false,"suffix":""},{"dropping-particle":"","family":"Saad","given":"M. F.","non-dropping-particle":"","parse-names":false,"suffix":""},{"dropping-particle":"","family":"Pi-Sunyer","given":"F. X.","non-dropping-particle":"","parse-names":false,"suffix":""},{"dropping-particle":"","family":"An","given":"B.","non-dropping-particle":"","parse-names":false,"suffix":""},{"dropping-particle":"","family":"Santiago","given":"O.","non-dropping-particle":"","parse-names":false,"suffix":""}],"container-title":"Diabetic medicine : a journal of the British Diabetic Association","id":"ITEM-1","issue":"8","issued":{"date-parts":[["2005","8"]]},"page":"1016-1023","publisher":"Diabet Med","title":"Effects of liraglutide (NN2211), a long-acting GLP-1 analogue, on glycaemic control and bodyweight in subjects with Type 2 diabetes","type":"article-journal","volume":"22"},"uris":["http://www.mendeley.com/documents/?uuid=646b7ec9-909d-39a0-9d2e-f98e028fef97"]}],"mendeley":{"formattedCitation":"[9]","plainTextFormattedCitation":"[9]","previouslyFormattedCitation":"[9]"},"properties":{"noteIndex":0},"schema":"https://github.com/citation-style-language/schema/raw/master/csl-citation.json"}</w:instrText>
            </w:r>
            <w:r w:rsidRPr="00214F41">
              <w:rPr>
                <w:sz w:val="18"/>
                <w:szCs w:val="18"/>
              </w:rPr>
              <w:fldChar w:fldCharType="separate"/>
            </w:r>
            <w:r w:rsidRPr="00FF29A9">
              <w:rPr>
                <w:noProof/>
                <w:sz w:val="18"/>
                <w:szCs w:val="18"/>
                <w:lang w:val="en-GB"/>
              </w:rPr>
              <w:t>[9]</w:t>
            </w:r>
            <w:r w:rsidRPr="00214F41">
              <w:rPr>
                <w:sz w:val="18"/>
                <w:szCs w:val="18"/>
              </w:rPr>
              <w:fldChar w:fldCharType="end"/>
            </w:r>
          </w:p>
        </w:tc>
        <w:tc>
          <w:tcPr>
            <w:tcW w:w="171" w:type="pct"/>
            <w:shd w:val="clear" w:color="000000" w:fill="FFFFFF"/>
            <w:vAlign w:val="center"/>
            <w:hideMark/>
          </w:tcPr>
          <w:p w14:paraId="57A33AF5"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2C199CED" w14:textId="77777777" w:rsidR="005A043A" w:rsidRPr="00214F41" w:rsidRDefault="005A043A" w:rsidP="00286762">
            <w:pPr>
              <w:jc w:val="center"/>
              <w:rPr>
                <w:sz w:val="18"/>
                <w:szCs w:val="18"/>
                <w:lang w:val="en-GB"/>
              </w:rPr>
            </w:pPr>
            <w:r w:rsidRPr="00214F41">
              <w:rPr>
                <w:sz w:val="18"/>
                <w:szCs w:val="18"/>
                <w:lang w:val="en-GB"/>
              </w:rPr>
              <w:t>To explore the dose–response relationship of metformin effects on bodyweight and glycaemic control in subjects with T2DM</w:t>
            </w:r>
          </w:p>
        </w:tc>
        <w:tc>
          <w:tcPr>
            <w:tcW w:w="364" w:type="pct"/>
            <w:shd w:val="clear" w:color="000000" w:fill="FFFFFF"/>
            <w:vAlign w:val="center"/>
            <w:hideMark/>
          </w:tcPr>
          <w:p w14:paraId="6DA60B5C" w14:textId="77777777" w:rsidR="005A043A" w:rsidRPr="00214F41" w:rsidRDefault="005A043A" w:rsidP="00286762">
            <w:pPr>
              <w:jc w:val="center"/>
              <w:rPr>
                <w:sz w:val="18"/>
                <w:szCs w:val="18"/>
                <w:lang w:val="en-GB"/>
              </w:rPr>
            </w:pPr>
            <w:r w:rsidRPr="00214F41">
              <w:rPr>
                <w:sz w:val="18"/>
                <w:szCs w:val="18"/>
                <w:lang w:val="en-GB"/>
              </w:rPr>
              <w:t>210/210</w:t>
            </w:r>
          </w:p>
        </w:tc>
        <w:tc>
          <w:tcPr>
            <w:tcW w:w="200" w:type="pct"/>
            <w:shd w:val="clear" w:color="000000" w:fill="FFFFFF"/>
            <w:vAlign w:val="center"/>
            <w:hideMark/>
          </w:tcPr>
          <w:p w14:paraId="160EAB68" w14:textId="77777777" w:rsidR="005A043A" w:rsidRPr="00214F41" w:rsidRDefault="005A043A" w:rsidP="00286762">
            <w:pPr>
              <w:jc w:val="center"/>
              <w:rPr>
                <w:sz w:val="18"/>
                <w:szCs w:val="18"/>
                <w:lang w:val="en-GB"/>
              </w:rPr>
            </w:pPr>
            <w:r w:rsidRPr="00214F41">
              <w:rPr>
                <w:sz w:val="18"/>
                <w:szCs w:val="18"/>
                <w:lang w:val="en-GB"/>
              </w:rPr>
              <w:t>P/4 weeks/1.5g/d</w:t>
            </w:r>
          </w:p>
        </w:tc>
        <w:tc>
          <w:tcPr>
            <w:tcW w:w="448" w:type="pct"/>
            <w:shd w:val="clear" w:color="000000" w:fill="FFFFFF"/>
            <w:vAlign w:val="center"/>
            <w:hideMark/>
          </w:tcPr>
          <w:p w14:paraId="4BD2664F" w14:textId="77777777" w:rsidR="005A043A" w:rsidRPr="00214F41" w:rsidRDefault="005A043A" w:rsidP="00286762">
            <w:pPr>
              <w:jc w:val="center"/>
              <w:rPr>
                <w:sz w:val="18"/>
                <w:szCs w:val="18"/>
                <w:lang w:val="en-GB"/>
              </w:rPr>
            </w:pPr>
            <w:r w:rsidRPr="00214F41">
              <w:rPr>
                <w:sz w:val="18"/>
                <w:szCs w:val="18"/>
                <w:lang w:val="en-GB"/>
              </w:rPr>
              <w:t>Glucophage®</w:t>
            </w:r>
          </w:p>
        </w:tc>
        <w:tc>
          <w:tcPr>
            <w:tcW w:w="324" w:type="pct"/>
            <w:shd w:val="clear" w:color="000000" w:fill="FFFFFF"/>
            <w:vAlign w:val="center"/>
            <w:hideMark/>
          </w:tcPr>
          <w:p w14:paraId="61ABC102" w14:textId="77777777" w:rsidR="005A043A" w:rsidRPr="00214F41" w:rsidRDefault="005A043A" w:rsidP="00286762">
            <w:pPr>
              <w:jc w:val="center"/>
              <w:rPr>
                <w:sz w:val="18"/>
                <w:szCs w:val="18"/>
                <w:lang w:val="en-GB"/>
              </w:rPr>
            </w:pPr>
            <w:r w:rsidRPr="00214F41">
              <w:rPr>
                <w:sz w:val="18"/>
                <w:szCs w:val="18"/>
                <w:lang w:val="en-GB"/>
              </w:rPr>
              <w:t>2000mg/2/d</w:t>
            </w:r>
          </w:p>
        </w:tc>
        <w:tc>
          <w:tcPr>
            <w:tcW w:w="204" w:type="pct"/>
            <w:shd w:val="clear" w:color="000000" w:fill="FFFFFF"/>
            <w:vAlign w:val="center"/>
            <w:hideMark/>
          </w:tcPr>
          <w:p w14:paraId="1518618A" w14:textId="77777777" w:rsidR="005A043A" w:rsidRPr="00214F41" w:rsidRDefault="005A043A" w:rsidP="00286762">
            <w:pPr>
              <w:jc w:val="center"/>
              <w:rPr>
                <w:sz w:val="18"/>
                <w:szCs w:val="18"/>
                <w:lang w:val="en-GB"/>
              </w:rPr>
            </w:pPr>
            <w:r w:rsidRPr="00214F41">
              <w:rPr>
                <w:sz w:val="18"/>
                <w:szCs w:val="18"/>
                <w:lang w:val="en-GB"/>
              </w:rPr>
              <w:t>84</w:t>
            </w:r>
          </w:p>
        </w:tc>
        <w:tc>
          <w:tcPr>
            <w:tcW w:w="247" w:type="pct"/>
            <w:shd w:val="clear" w:color="000000" w:fill="FFFFFF"/>
            <w:vAlign w:val="center"/>
            <w:hideMark/>
          </w:tcPr>
          <w:p w14:paraId="6362AF9E"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5BF81AFC"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5830268A" w14:textId="77777777" w:rsidR="005A043A" w:rsidRPr="00214F41" w:rsidRDefault="005A043A" w:rsidP="00286762">
            <w:pPr>
              <w:jc w:val="center"/>
              <w:rPr>
                <w:sz w:val="18"/>
                <w:szCs w:val="18"/>
                <w:lang w:val="en-GB"/>
              </w:rPr>
            </w:pPr>
            <w:r w:rsidRPr="00214F41">
              <w:rPr>
                <w:sz w:val="18"/>
                <w:szCs w:val="18"/>
                <w:lang w:val="en-GB"/>
              </w:rPr>
              <w:t>Liraglutide 0,045 mg/GLP-1 inhibitor</w:t>
            </w:r>
          </w:p>
        </w:tc>
        <w:tc>
          <w:tcPr>
            <w:tcW w:w="245" w:type="pct"/>
            <w:gridSpan w:val="2"/>
            <w:shd w:val="clear" w:color="000000" w:fill="FFFFFF"/>
            <w:vAlign w:val="center"/>
            <w:hideMark/>
          </w:tcPr>
          <w:p w14:paraId="4A4352AD" w14:textId="77777777" w:rsidR="005A043A" w:rsidRPr="00214F41" w:rsidRDefault="005A043A" w:rsidP="00286762">
            <w:pPr>
              <w:jc w:val="center"/>
              <w:rPr>
                <w:sz w:val="18"/>
                <w:szCs w:val="18"/>
                <w:lang w:val="en-GB"/>
              </w:rPr>
            </w:pPr>
            <w:r w:rsidRPr="00214F41">
              <w:rPr>
                <w:sz w:val="18"/>
                <w:szCs w:val="18"/>
                <w:lang w:val="en-GB"/>
              </w:rPr>
              <w:t>53.3±9.2</w:t>
            </w:r>
          </w:p>
        </w:tc>
        <w:tc>
          <w:tcPr>
            <w:tcW w:w="202" w:type="pct"/>
            <w:shd w:val="clear" w:color="000000" w:fill="FFFFFF"/>
            <w:vAlign w:val="center"/>
            <w:hideMark/>
          </w:tcPr>
          <w:p w14:paraId="13C788D2" w14:textId="77777777" w:rsidR="005A043A" w:rsidRPr="00214F41" w:rsidRDefault="005A043A" w:rsidP="00286762">
            <w:pPr>
              <w:jc w:val="center"/>
              <w:rPr>
                <w:sz w:val="18"/>
                <w:szCs w:val="18"/>
                <w:lang w:val="en-GB"/>
              </w:rPr>
            </w:pPr>
            <w:r w:rsidRPr="00214F41">
              <w:rPr>
                <w:sz w:val="18"/>
                <w:szCs w:val="18"/>
                <w:lang w:val="en-GB"/>
              </w:rPr>
              <w:t>32/45.1</w:t>
            </w:r>
          </w:p>
        </w:tc>
        <w:tc>
          <w:tcPr>
            <w:tcW w:w="265" w:type="pct"/>
            <w:gridSpan w:val="2"/>
            <w:shd w:val="clear" w:color="000000" w:fill="FFFFFF"/>
            <w:vAlign w:val="center"/>
            <w:hideMark/>
          </w:tcPr>
          <w:p w14:paraId="68D8AF30" w14:textId="77777777" w:rsidR="005A043A" w:rsidRPr="00214F41" w:rsidRDefault="005A043A" w:rsidP="00286762">
            <w:pPr>
              <w:jc w:val="center"/>
              <w:rPr>
                <w:sz w:val="18"/>
                <w:szCs w:val="18"/>
                <w:lang w:val="en-GB"/>
              </w:rPr>
            </w:pPr>
            <w:r w:rsidRPr="00214F41">
              <w:rPr>
                <w:sz w:val="18"/>
                <w:szCs w:val="18"/>
                <w:lang w:val="en-GB"/>
              </w:rPr>
              <w:t>33.9±3.7</w:t>
            </w:r>
          </w:p>
        </w:tc>
        <w:tc>
          <w:tcPr>
            <w:tcW w:w="266" w:type="pct"/>
            <w:gridSpan w:val="2"/>
            <w:shd w:val="clear" w:color="000000" w:fill="FFFFFF"/>
            <w:vAlign w:val="center"/>
            <w:hideMark/>
          </w:tcPr>
          <w:p w14:paraId="5BC5A88A" w14:textId="77777777" w:rsidR="005A043A" w:rsidRPr="00214F41" w:rsidRDefault="005A043A" w:rsidP="00286762">
            <w:pPr>
              <w:jc w:val="center"/>
              <w:rPr>
                <w:sz w:val="18"/>
                <w:szCs w:val="18"/>
                <w:lang w:val="en-GB"/>
              </w:rPr>
            </w:pPr>
            <w:r w:rsidRPr="00214F41">
              <w:rPr>
                <w:sz w:val="18"/>
                <w:szCs w:val="18"/>
                <w:lang w:val="en-GB"/>
              </w:rPr>
              <w:t>34.3±4.1</w:t>
            </w:r>
          </w:p>
        </w:tc>
      </w:tr>
      <w:tr w:rsidR="005A043A" w:rsidRPr="0072287D" w14:paraId="6D4E9A88" w14:textId="77777777" w:rsidTr="00286762">
        <w:trPr>
          <w:trHeight w:val="930"/>
        </w:trPr>
        <w:tc>
          <w:tcPr>
            <w:tcW w:w="338" w:type="pct"/>
            <w:shd w:val="clear" w:color="000000" w:fill="FFFFFF"/>
            <w:vAlign w:val="center"/>
            <w:hideMark/>
          </w:tcPr>
          <w:p w14:paraId="477FE8A4" w14:textId="77777777" w:rsidR="005A043A" w:rsidRPr="00214F41" w:rsidRDefault="005A043A" w:rsidP="00286762">
            <w:pPr>
              <w:jc w:val="center"/>
              <w:rPr>
                <w:sz w:val="18"/>
                <w:szCs w:val="18"/>
                <w:lang w:val="en-GB"/>
              </w:rPr>
            </w:pPr>
            <w:proofErr w:type="spellStart"/>
            <w:r w:rsidRPr="00214F41">
              <w:rPr>
                <w:sz w:val="18"/>
                <w:szCs w:val="18"/>
                <w:lang w:val="en-GB"/>
              </w:rPr>
              <w:t>Fuangchan</w:t>
            </w:r>
            <w:proofErr w:type="spellEnd"/>
            <w:r w:rsidRPr="00214F41">
              <w:rPr>
                <w:sz w:val="18"/>
                <w:szCs w:val="18"/>
                <w:lang w:val="en-GB"/>
              </w:rPr>
              <w:t xml:space="preserve"> et al., 2011 </w:t>
            </w:r>
            <w:r w:rsidRPr="00214F41">
              <w:rPr>
                <w:sz w:val="18"/>
                <w:szCs w:val="18"/>
              </w:rPr>
              <w:fldChar w:fldCharType="begin" w:fldLock="1"/>
            </w:r>
            <w:r>
              <w:rPr>
                <w:sz w:val="18"/>
                <w:szCs w:val="18"/>
                <w:lang w:val="en-GB"/>
              </w:rPr>
              <w:instrText>ADDIN CSL_CITATION {"citationItems":[{"id":"ITEM-1","itemData":{"DOI":"10.1016/j.jep.2010.12.045","ISSN":"0378-8741","abstract":"Ethnopharmacological relevance: Bitter melon (Momordica charantia L.) has been widely used as an traditional medicine treatment for diabetic patients in Asia. In vitro and animal studies suggested its hypoglycemic activity, but limited human studies are available to support its use. Aim of study: This study was conducted to assess the efficacy and safety of three doses of bitter melon compared with metformin. Materials and methods: This is a 4-week, multicenter, randomized, double-blind, active-control trial. Patients were randomized into 4 groups to receive bitter melon 500 mg/day, 1000 mg/day, and 2000 mg/day or metformin 1000 mg/day. All patients were followed for 4 weeks. Results: There was a significant decline in fructosamine at week 4 of the metformin group (-16.8; 95\\% CI, -31.2, -2.4 μmol/L) and the bitter melon 2000 mg/day group (-10.2; 95\\% CI, -19.1, -1.3 μmol/L). Bitter melon 500 and 1000 mg/day did not significantly decrease fructosamine levels (-3.5; 95\\% CI -11.7, 4.6 and -10.3; 95\\% CI -22.7, 2.2 μmol/L, respectively). Conclusions: Bitter melon had a modest hypoglycemic effect and significantly reduced fructosamine levels from baseline among patients with type 2 diabetes who received 2000 mg/day. However, the hypoglycemic effect of bitter melon was less than metformin 1000 mg/day. © 2011 Elsevier Ireland Ltd.","author":[{"dropping-particle":"","family":"Fuangchan","given":"A","non-dropping-particle":"","parse-names":false,"suffix":""},{"dropping-particle":"","family":"Sonthisombat","given":"P","non-dropping-particle":"","parse-names":false,"suffix":""},{"dropping-particle":"","family":"Seubnukarn","given":"T","non-dropping-particle":"","parse-names":false,"suffix":""},{"dropping-particle":"","family":"Chanouan","given":"R","non-dropping-particle":"","parse-names":false,"suffix":""},{"dropping-particle":"","family":"Chotchaisuwat","given":"P","non-dropping-particle":"","parse-names":false,"suffix":""},{"dropping-particle":"","family":"Sirigulsatien","given":"V","non-dropping-particle":"","parse-names":false,"suffix":""},{"dropping-particle":"","family":"Ingkaninan","given":"K","non-dropping-particle":"","parse-names":false,"suffix":""},{"dropping-particle":"","family":"Plianbangchang","given":"P","non-dropping-particle":"","parse-names":false,"suffix":""},{"dropping-particle":"","family":"Haines","given":"S T","non-dropping-particle":"","parse-names":false,"suffix":""}],"container-title":"Journal of Ethnopharmacology","id":"ITEM-1","issue":"2","issued":{"date-parts":[["2011"]]},"page":"422-428","title":"Hypoglycemic effect of bitter melon compared with metformin in newly diagnosed type 2 diabetes patients","type":"article-journal","volume":"134"},"uris":["http://www.mendeley.com/documents/?uuid=301c38b2-2a7a-4d56-abfd-76f912fe39e0"]}],"mendeley":{"formattedCitation":"[10]","plainTextFormattedCitation":"[10]","previouslyFormattedCitation":"[10]"},"properties":{"noteIndex":0},"schema":"https://github.com/citation-style-language/schema/raw/master/csl-citation.json"}</w:instrText>
            </w:r>
            <w:r w:rsidRPr="00214F41">
              <w:rPr>
                <w:sz w:val="18"/>
                <w:szCs w:val="18"/>
              </w:rPr>
              <w:fldChar w:fldCharType="separate"/>
            </w:r>
            <w:r w:rsidRPr="00FF29A9">
              <w:rPr>
                <w:noProof/>
                <w:sz w:val="18"/>
                <w:szCs w:val="18"/>
                <w:lang w:val="en-GB"/>
              </w:rPr>
              <w:t>[10]</w:t>
            </w:r>
            <w:r w:rsidRPr="00214F41">
              <w:rPr>
                <w:sz w:val="18"/>
                <w:szCs w:val="18"/>
              </w:rPr>
              <w:fldChar w:fldCharType="end"/>
            </w:r>
          </w:p>
        </w:tc>
        <w:tc>
          <w:tcPr>
            <w:tcW w:w="171" w:type="pct"/>
            <w:shd w:val="clear" w:color="000000" w:fill="FFFFFF"/>
            <w:vAlign w:val="center"/>
            <w:hideMark/>
          </w:tcPr>
          <w:p w14:paraId="110CB6C5" w14:textId="77777777" w:rsidR="005A043A" w:rsidRPr="00214F41" w:rsidRDefault="005A043A" w:rsidP="00286762">
            <w:pPr>
              <w:jc w:val="center"/>
              <w:rPr>
                <w:sz w:val="18"/>
                <w:szCs w:val="18"/>
                <w:lang w:val="en-GB"/>
              </w:rPr>
            </w:pPr>
            <w:r w:rsidRPr="00214F41">
              <w:rPr>
                <w:sz w:val="18"/>
                <w:szCs w:val="18"/>
                <w:lang w:val="en-GB"/>
              </w:rPr>
              <w:t xml:space="preserve">ITT </w:t>
            </w:r>
          </w:p>
        </w:tc>
        <w:tc>
          <w:tcPr>
            <w:tcW w:w="744" w:type="pct"/>
            <w:shd w:val="clear" w:color="000000" w:fill="FFFFFF"/>
            <w:vAlign w:val="center"/>
            <w:hideMark/>
          </w:tcPr>
          <w:p w14:paraId="2FCC5937" w14:textId="77777777" w:rsidR="005A043A" w:rsidRPr="00214F41" w:rsidRDefault="005A043A" w:rsidP="00286762">
            <w:pPr>
              <w:jc w:val="center"/>
              <w:rPr>
                <w:sz w:val="18"/>
                <w:szCs w:val="18"/>
                <w:lang w:val="en-GB"/>
              </w:rPr>
            </w:pPr>
            <w:r w:rsidRPr="00214F41">
              <w:rPr>
                <w:sz w:val="18"/>
                <w:szCs w:val="18"/>
                <w:lang w:val="en-GB"/>
              </w:rPr>
              <w:t>This study was conducted to assess the efficacy and safety of three doses of bitter melon compared with metformin.</w:t>
            </w:r>
          </w:p>
        </w:tc>
        <w:tc>
          <w:tcPr>
            <w:tcW w:w="364" w:type="pct"/>
            <w:shd w:val="clear" w:color="000000" w:fill="FFFFFF"/>
            <w:vAlign w:val="center"/>
            <w:hideMark/>
          </w:tcPr>
          <w:p w14:paraId="4D876EEB" w14:textId="77777777" w:rsidR="005A043A" w:rsidRPr="00214F41" w:rsidRDefault="005A043A" w:rsidP="00286762">
            <w:pPr>
              <w:jc w:val="center"/>
              <w:rPr>
                <w:sz w:val="18"/>
                <w:szCs w:val="18"/>
                <w:lang w:val="en-GB"/>
              </w:rPr>
            </w:pPr>
            <w:r w:rsidRPr="00214F41">
              <w:rPr>
                <w:sz w:val="18"/>
                <w:szCs w:val="18"/>
                <w:lang w:val="en-GB"/>
              </w:rPr>
              <w:t>129/127</w:t>
            </w:r>
          </w:p>
        </w:tc>
        <w:tc>
          <w:tcPr>
            <w:tcW w:w="200" w:type="pct"/>
            <w:shd w:val="clear" w:color="000000" w:fill="FFFFFF"/>
            <w:vAlign w:val="center"/>
            <w:hideMark/>
          </w:tcPr>
          <w:p w14:paraId="5FB70257"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0AE19CB3"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0C453162" w14:textId="77777777" w:rsidR="005A043A" w:rsidRPr="00214F41" w:rsidRDefault="005A043A" w:rsidP="00286762">
            <w:pPr>
              <w:jc w:val="center"/>
              <w:rPr>
                <w:sz w:val="18"/>
                <w:szCs w:val="18"/>
                <w:lang w:val="en-GB"/>
              </w:rPr>
            </w:pPr>
            <w:r w:rsidRPr="00214F41">
              <w:rPr>
                <w:sz w:val="18"/>
                <w:szCs w:val="18"/>
                <w:lang w:val="en-GB"/>
              </w:rPr>
              <w:t>1000mg/</w:t>
            </w:r>
            <w:proofErr w:type="spellStart"/>
            <w:r w:rsidRPr="00214F41">
              <w:rPr>
                <w:sz w:val="18"/>
                <w:szCs w:val="18"/>
                <w:lang w:val="en-GB"/>
              </w:rPr>
              <w:t>nd</w:t>
            </w:r>
            <w:proofErr w:type="spellEnd"/>
          </w:p>
        </w:tc>
        <w:tc>
          <w:tcPr>
            <w:tcW w:w="204" w:type="pct"/>
            <w:shd w:val="clear" w:color="000000" w:fill="FFFFFF"/>
            <w:vAlign w:val="center"/>
            <w:hideMark/>
          </w:tcPr>
          <w:p w14:paraId="55843279" w14:textId="77777777" w:rsidR="005A043A" w:rsidRPr="00214F41" w:rsidRDefault="005A043A" w:rsidP="00286762">
            <w:pPr>
              <w:jc w:val="center"/>
              <w:rPr>
                <w:sz w:val="18"/>
                <w:szCs w:val="18"/>
                <w:lang w:val="en-GB"/>
              </w:rPr>
            </w:pPr>
            <w:r w:rsidRPr="00214F41">
              <w:rPr>
                <w:sz w:val="18"/>
                <w:szCs w:val="18"/>
                <w:lang w:val="en-GB"/>
              </w:rPr>
              <w:t>28</w:t>
            </w:r>
          </w:p>
        </w:tc>
        <w:tc>
          <w:tcPr>
            <w:tcW w:w="247" w:type="pct"/>
            <w:shd w:val="clear" w:color="000000" w:fill="FFFFFF"/>
            <w:vAlign w:val="center"/>
            <w:hideMark/>
          </w:tcPr>
          <w:p w14:paraId="4B913CCC"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1DD64D15"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4157D27B" w14:textId="77777777" w:rsidR="005A043A" w:rsidRPr="00214F41" w:rsidRDefault="005A043A" w:rsidP="00286762">
            <w:pPr>
              <w:jc w:val="center"/>
              <w:rPr>
                <w:sz w:val="18"/>
                <w:szCs w:val="18"/>
                <w:lang w:val="en-GB"/>
              </w:rPr>
            </w:pPr>
            <w:r w:rsidRPr="00214F41">
              <w:rPr>
                <w:sz w:val="18"/>
                <w:szCs w:val="18"/>
                <w:lang w:val="en-GB"/>
              </w:rPr>
              <w:t>bitter melon 500 mg/Other</w:t>
            </w:r>
          </w:p>
        </w:tc>
        <w:tc>
          <w:tcPr>
            <w:tcW w:w="245" w:type="pct"/>
            <w:gridSpan w:val="2"/>
            <w:shd w:val="clear" w:color="000000" w:fill="FFFFFF"/>
            <w:vAlign w:val="center"/>
            <w:hideMark/>
          </w:tcPr>
          <w:p w14:paraId="613286D5" w14:textId="77777777" w:rsidR="005A043A" w:rsidRPr="00214F41" w:rsidRDefault="005A043A" w:rsidP="00286762">
            <w:pPr>
              <w:jc w:val="center"/>
              <w:rPr>
                <w:sz w:val="18"/>
                <w:szCs w:val="18"/>
                <w:lang w:val="en-GB"/>
              </w:rPr>
            </w:pPr>
            <w:r w:rsidRPr="00214F41">
              <w:rPr>
                <w:sz w:val="18"/>
                <w:szCs w:val="18"/>
                <w:lang w:val="en-GB"/>
              </w:rPr>
              <w:t>52.4±8.8</w:t>
            </w:r>
          </w:p>
        </w:tc>
        <w:tc>
          <w:tcPr>
            <w:tcW w:w="202" w:type="pct"/>
            <w:shd w:val="clear" w:color="000000" w:fill="FFFFFF"/>
            <w:vAlign w:val="center"/>
            <w:hideMark/>
          </w:tcPr>
          <w:p w14:paraId="6A6B8486" w14:textId="77777777" w:rsidR="005A043A" w:rsidRPr="00214F41" w:rsidRDefault="005A043A" w:rsidP="00286762">
            <w:pPr>
              <w:jc w:val="center"/>
              <w:rPr>
                <w:sz w:val="18"/>
                <w:szCs w:val="18"/>
                <w:lang w:val="en-GB"/>
              </w:rPr>
            </w:pPr>
            <w:r w:rsidRPr="00214F41">
              <w:rPr>
                <w:sz w:val="18"/>
                <w:szCs w:val="18"/>
                <w:lang w:val="en-GB"/>
              </w:rPr>
              <w:t>17/25.8</w:t>
            </w:r>
          </w:p>
        </w:tc>
        <w:tc>
          <w:tcPr>
            <w:tcW w:w="265" w:type="pct"/>
            <w:gridSpan w:val="2"/>
            <w:shd w:val="clear" w:color="000000" w:fill="FFFFFF"/>
            <w:vAlign w:val="center"/>
            <w:hideMark/>
          </w:tcPr>
          <w:p w14:paraId="39C7FF24" w14:textId="77777777" w:rsidR="005A043A" w:rsidRPr="00214F41" w:rsidRDefault="005A043A" w:rsidP="00286762">
            <w:pPr>
              <w:jc w:val="center"/>
              <w:rPr>
                <w:sz w:val="18"/>
                <w:szCs w:val="18"/>
                <w:lang w:val="en-GB"/>
              </w:rPr>
            </w:pPr>
            <w:r w:rsidRPr="00214F41">
              <w:rPr>
                <w:sz w:val="18"/>
                <w:szCs w:val="18"/>
                <w:lang w:val="en-GB"/>
              </w:rPr>
              <w:t>24.4±3.1</w:t>
            </w:r>
          </w:p>
        </w:tc>
        <w:tc>
          <w:tcPr>
            <w:tcW w:w="266" w:type="pct"/>
            <w:gridSpan w:val="2"/>
            <w:shd w:val="clear" w:color="000000" w:fill="FFFFFF"/>
            <w:vAlign w:val="center"/>
            <w:hideMark/>
          </w:tcPr>
          <w:p w14:paraId="4893E896" w14:textId="77777777" w:rsidR="005A043A" w:rsidRPr="00214F41" w:rsidRDefault="005A043A" w:rsidP="00286762">
            <w:pPr>
              <w:jc w:val="center"/>
              <w:rPr>
                <w:sz w:val="18"/>
                <w:szCs w:val="18"/>
                <w:lang w:val="en-GB"/>
              </w:rPr>
            </w:pPr>
            <w:r w:rsidRPr="00214F41">
              <w:rPr>
                <w:sz w:val="18"/>
                <w:szCs w:val="18"/>
                <w:lang w:val="en-GB"/>
              </w:rPr>
              <w:t>25±3.4</w:t>
            </w:r>
          </w:p>
        </w:tc>
      </w:tr>
      <w:tr w:rsidR="005A043A" w:rsidRPr="0072287D" w14:paraId="2D9C4828" w14:textId="77777777" w:rsidTr="00286762">
        <w:trPr>
          <w:trHeight w:val="462"/>
        </w:trPr>
        <w:tc>
          <w:tcPr>
            <w:tcW w:w="338" w:type="pct"/>
            <w:shd w:val="clear" w:color="000000" w:fill="FFFFFF"/>
            <w:vAlign w:val="center"/>
            <w:hideMark/>
          </w:tcPr>
          <w:p w14:paraId="7B8B3DA7" w14:textId="77777777" w:rsidR="005A043A" w:rsidRPr="00214F41" w:rsidRDefault="005A043A" w:rsidP="00286762">
            <w:pPr>
              <w:jc w:val="center"/>
              <w:rPr>
                <w:sz w:val="18"/>
                <w:szCs w:val="18"/>
                <w:lang w:val="en-GB"/>
              </w:rPr>
            </w:pPr>
            <w:r w:rsidRPr="00214F41">
              <w:rPr>
                <w:sz w:val="18"/>
                <w:szCs w:val="18"/>
                <w:lang w:val="en-GB"/>
              </w:rPr>
              <w:t xml:space="preserve">Fujioka et al., 2005a </w:t>
            </w:r>
            <w:r w:rsidRPr="00214F41">
              <w:rPr>
                <w:sz w:val="18"/>
                <w:szCs w:val="18"/>
              </w:rPr>
              <w:fldChar w:fldCharType="begin" w:fldLock="1"/>
            </w:r>
            <w:r>
              <w:rPr>
                <w:sz w:val="18"/>
                <w:szCs w:val="18"/>
                <w:lang w:val="en-GB"/>
              </w:rPr>
              <w:instrText>ADDIN CSL_CITATION {"citationItems":[{"id":"ITEM-1","itemData":{"DOI":"10.1111/J.1463-1326.2004.00369.X","ISSN":"1462-8902","PMID":"15642073","abstract":"Aim: The efficacy, dose-response relationships and safety of an extended-release formulation of metformin (Glucophage® XR) were evaluated in two double-blind, randomized, placebo-controlled studies of 24 and 16 weeks' duration, in patients with inadequate glycaemic control despite diet and exercise. Protocol 1 provided an evaluation of metformin XR at a commonly used dosage. Protocol 2 evaluated different dosages of metformin XR. Methods: In Protocol 1, 240 patients were randomized to receive metformin XR 1000 mg once daily, or placebo in a 2:1 ratio for 12 weeks (patients could receive metformin XR 1500 mg during weeks 12-24 if required). In Protocol 2, 742 patients were randomized to receive metformin XR 500 mg once daily, 1000 mg once daily, 1500 mg once daily, 2000 mg once daily, 1000 mg twice daily or placebo for 16 weeks. The primary endpoint in each study was the change from baseline in HbA1C at 12 weeks (Protocol 1) or 16 weeks (Protocol 2). Results: Metformin XR reduced HbA1C in Protocol 1, with mean treatment differences for 1000 mg once daily vs. placebo of -0.7% at 12 weeks and -0.8% at 24 weeks (p &lt; 0.001 for each). In Protocol 2, a clear dose-response relationship was evident at doses up to 1500 mg, with treatment differences vs. placebo of -0.6% (500 mg once daily), -0.7% (1000 mg once daily), -1.0% (1500 mg once daily) and -1.0% (2000 mg once daily). The efficacy of metformin XR 2000 mg once daily and 1000 mg twice daily were similar (mean treatment differences vs. placebo in HbA1C were -1.0% and -1.2%, respectively). More patients achieved HbA1C &lt; 7.0% with metformin XR vs. placebo in Protocol 1 (29% vs. 14% at 12 weeks) and with once-daily metformin XR in Protocol 2 (up to 36% vs. 10% at 16 weeks). No significant changes in fasting insulin or body weight occurred. Total and low-density lipoprotein (LDL)-cholesterol improved (p &lt; 0.05-p &lt; 0.001) in metformin XR groups in Protocol 2. Metformin XR was well tolerated; gastrointestinal side effects were more common with metformin XR vs. placebo, but few patients withdrew for this reason (1.3% vs. 1.3% in Protocol 1 and 1.6% vs. 0.9% in Protocol 2). Conclusions: Once-daily metformin XR presents an effective and well-tolerated therapeutic option for delivering metformin in a convenient manner, which supports good compliance with therapy. © 2004 Blackwell Publishing Ltd.","author":[{"dropping-particle":"","family":"Fujioka","given":"Ken","non-dropping-particle":"","parse-names":false,"suffix":""},{"dropping-particle":"","family":"Brazg","given":"R. L.","non-dropping-particle":"","parse-names":false,"suffix":""},{"dropping-particle":"","family":"Raz","given":"I.","non-dropping-particle":"","parse-names":false,"suffix":""},{"dropping-particle":"","family":"Bruce","given":"S.","non-dropping-particle":"","parse-names":false,"suffix":""},{"dropping-particle":"","family":"Joyal","given":"S.","non-dropping-particle":"","parse-names":false,"suffix":""},{"dropping-particle":"","family":"Swanink","given":"R.","non-dropping-particle":"","parse-names":false,"suffix":""},{"dropping-particle":"","family":"Pans","given":"M.","non-dropping-particle":"","parse-names":false,"suffix":""}],"container-title":"Diabetes, obesity &amp; metabolism","id":"ITEM-1","issue":"1","issued":{"date-parts":[["2005"]]},"page":"28-39","publisher":"Diabetes Obes Metab","title":"Efficacy, dose-response relationship and safety of once-daily extended-release metformin (Glucophage XR) in type 2 diabetic patients with inadequate glycaemic control despite prior treatment with diet and exercise: results from two double-blind, placebo-controlled studies","type":"article-journal","volume":"7"},"uris":["http://www.mendeley.com/documents/?uuid=e7974e1b-37d6-33cf-8785-bdaad4f6dc60"]}],"mendeley":{"formattedCitation":"[11]","plainTextFormattedCitation":"[11]","previouslyFormattedCitation":"[11]"},"properties":{"noteIndex":0},"schema":"https://github.com/citation-style-language/schema/raw/master/csl-citation.json"}</w:instrText>
            </w:r>
            <w:r w:rsidRPr="00214F41">
              <w:rPr>
                <w:sz w:val="18"/>
                <w:szCs w:val="18"/>
              </w:rPr>
              <w:fldChar w:fldCharType="separate"/>
            </w:r>
            <w:r w:rsidRPr="00FF29A9">
              <w:rPr>
                <w:noProof/>
                <w:sz w:val="18"/>
                <w:szCs w:val="18"/>
                <w:lang w:val="en-GB"/>
              </w:rPr>
              <w:t>[11]</w:t>
            </w:r>
            <w:r w:rsidRPr="00214F41">
              <w:rPr>
                <w:sz w:val="18"/>
                <w:szCs w:val="18"/>
              </w:rPr>
              <w:fldChar w:fldCharType="end"/>
            </w:r>
          </w:p>
        </w:tc>
        <w:tc>
          <w:tcPr>
            <w:tcW w:w="171" w:type="pct"/>
            <w:vMerge w:val="restart"/>
            <w:shd w:val="clear" w:color="000000" w:fill="FFFFFF"/>
            <w:vAlign w:val="center"/>
            <w:hideMark/>
          </w:tcPr>
          <w:p w14:paraId="27C91F63" w14:textId="77777777" w:rsidR="005A043A" w:rsidRPr="00214F41" w:rsidRDefault="005A043A" w:rsidP="00286762">
            <w:pPr>
              <w:jc w:val="center"/>
              <w:rPr>
                <w:sz w:val="18"/>
                <w:szCs w:val="18"/>
                <w:lang w:val="en-GB"/>
              </w:rPr>
            </w:pPr>
            <w:r w:rsidRPr="00214F41">
              <w:rPr>
                <w:sz w:val="18"/>
                <w:szCs w:val="18"/>
                <w:lang w:val="en-GB"/>
              </w:rPr>
              <w:t>ITT</w:t>
            </w:r>
          </w:p>
          <w:p w14:paraId="69C5EC35" w14:textId="77777777" w:rsidR="005A043A" w:rsidRPr="00214F41" w:rsidRDefault="005A043A" w:rsidP="00286762">
            <w:pPr>
              <w:jc w:val="center"/>
              <w:rPr>
                <w:sz w:val="18"/>
                <w:szCs w:val="18"/>
                <w:lang w:val="en-GB"/>
              </w:rPr>
            </w:pPr>
          </w:p>
        </w:tc>
        <w:tc>
          <w:tcPr>
            <w:tcW w:w="744" w:type="pct"/>
            <w:vMerge w:val="restart"/>
            <w:shd w:val="clear" w:color="000000" w:fill="FFFFFF"/>
            <w:vAlign w:val="center"/>
            <w:hideMark/>
          </w:tcPr>
          <w:p w14:paraId="6903A5E3" w14:textId="77777777" w:rsidR="005A043A" w:rsidRPr="00214F41" w:rsidRDefault="005A043A" w:rsidP="00286762">
            <w:pPr>
              <w:jc w:val="center"/>
              <w:rPr>
                <w:sz w:val="18"/>
                <w:szCs w:val="18"/>
                <w:lang w:val="en-GB"/>
              </w:rPr>
            </w:pPr>
            <w:r w:rsidRPr="00214F41">
              <w:rPr>
                <w:sz w:val="18"/>
                <w:szCs w:val="18"/>
                <w:lang w:val="en-GB"/>
              </w:rPr>
              <w:t xml:space="preserve">The efficacy, dose–response relationships and safety of an extended‐release formulation of metformin (Glucophage® XR) were evaluated in two double‐blind, randomized, </w:t>
            </w:r>
            <w:r w:rsidRPr="00214F41">
              <w:rPr>
                <w:sz w:val="18"/>
                <w:szCs w:val="18"/>
                <w:lang w:val="en-GB"/>
              </w:rPr>
              <w:lastRenderedPageBreak/>
              <w:t>placebo‐controlled studies of 24 and 16</w:t>
            </w:r>
            <w:r w:rsidRPr="00214F41">
              <w:rPr>
                <w:sz w:val="18"/>
                <w:szCs w:val="18"/>
              </w:rPr>
              <w:t> </w:t>
            </w:r>
            <w:r w:rsidRPr="00214F41">
              <w:rPr>
                <w:sz w:val="18"/>
                <w:szCs w:val="18"/>
                <w:lang w:val="en-GB"/>
              </w:rPr>
              <w:t>weeks' duration, in patients with inadequate glycaemic control despite diet and exercise. Protocol 1 provided an evaluation of metformin XR at a commonly used dosage.</w:t>
            </w:r>
          </w:p>
        </w:tc>
        <w:tc>
          <w:tcPr>
            <w:tcW w:w="364" w:type="pct"/>
            <w:shd w:val="clear" w:color="000000" w:fill="FFFFFF"/>
            <w:vAlign w:val="center"/>
            <w:hideMark/>
          </w:tcPr>
          <w:p w14:paraId="4BFFE03D" w14:textId="77777777" w:rsidR="005A043A" w:rsidRPr="00214F41" w:rsidRDefault="005A043A" w:rsidP="00286762">
            <w:pPr>
              <w:jc w:val="center"/>
              <w:rPr>
                <w:sz w:val="18"/>
                <w:szCs w:val="18"/>
                <w:lang w:val="en-GB"/>
              </w:rPr>
            </w:pPr>
            <w:r w:rsidRPr="00214F41">
              <w:rPr>
                <w:sz w:val="18"/>
                <w:szCs w:val="18"/>
                <w:lang w:val="en-GB"/>
              </w:rPr>
              <w:lastRenderedPageBreak/>
              <w:t>240/238</w:t>
            </w:r>
          </w:p>
        </w:tc>
        <w:tc>
          <w:tcPr>
            <w:tcW w:w="200" w:type="pct"/>
            <w:vMerge w:val="restart"/>
            <w:shd w:val="clear" w:color="000000" w:fill="FFFFFF"/>
            <w:vAlign w:val="center"/>
            <w:hideMark/>
          </w:tcPr>
          <w:p w14:paraId="324A57C8" w14:textId="77777777" w:rsidR="005A043A" w:rsidRPr="00214F41" w:rsidRDefault="005A043A" w:rsidP="00286762">
            <w:pPr>
              <w:jc w:val="center"/>
              <w:rPr>
                <w:sz w:val="18"/>
                <w:szCs w:val="18"/>
                <w:lang w:val="en-GB"/>
              </w:rPr>
            </w:pPr>
            <w:r w:rsidRPr="00214F41">
              <w:rPr>
                <w:sz w:val="18"/>
                <w:szCs w:val="18"/>
                <w:lang w:val="en-GB"/>
              </w:rPr>
              <w:t>S</w:t>
            </w:r>
          </w:p>
          <w:p w14:paraId="69166267" w14:textId="77777777" w:rsidR="005A043A" w:rsidRPr="00214F41" w:rsidRDefault="005A043A" w:rsidP="00286762">
            <w:pPr>
              <w:jc w:val="center"/>
              <w:rPr>
                <w:sz w:val="18"/>
                <w:szCs w:val="18"/>
                <w:lang w:val="en-GB"/>
              </w:rPr>
            </w:pPr>
          </w:p>
        </w:tc>
        <w:tc>
          <w:tcPr>
            <w:tcW w:w="448" w:type="pct"/>
            <w:vMerge w:val="restart"/>
            <w:shd w:val="clear" w:color="000000" w:fill="FFFFFF"/>
            <w:vAlign w:val="center"/>
            <w:hideMark/>
          </w:tcPr>
          <w:p w14:paraId="1ACA05F4" w14:textId="77777777" w:rsidR="005A043A" w:rsidRPr="00214F41" w:rsidRDefault="005A043A" w:rsidP="00286762">
            <w:pPr>
              <w:jc w:val="center"/>
              <w:rPr>
                <w:sz w:val="18"/>
                <w:szCs w:val="18"/>
                <w:lang w:val="en-GB"/>
              </w:rPr>
            </w:pPr>
            <w:r w:rsidRPr="00214F41">
              <w:rPr>
                <w:sz w:val="18"/>
                <w:szCs w:val="18"/>
                <w:lang w:val="en-GB"/>
              </w:rPr>
              <w:t>Glucophage XR</w:t>
            </w:r>
          </w:p>
        </w:tc>
        <w:tc>
          <w:tcPr>
            <w:tcW w:w="324" w:type="pct"/>
            <w:shd w:val="clear" w:color="000000" w:fill="FFFFFF"/>
            <w:vAlign w:val="center"/>
            <w:hideMark/>
          </w:tcPr>
          <w:p w14:paraId="535310C5" w14:textId="77777777" w:rsidR="005A043A" w:rsidRPr="00214F41" w:rsidRDefault="005A043A" w:rsidP="00286762">
            <w:pPr>
              <w:jc w:val="center"/>
              <w:rPr>
                <w:sz w:val="18"/>
                <w:szCs w:val="18"/>
                <w:lang w:val="en-GB"/>
              </w:rPr>
            </w:pPr>
            <w:r w:rsidRPr="00214F41">
              <w:rPr>
                <w:sz w:val="18"/>
                <w:szCs w:val="18"/>
                <w:lang w:val="en-GB"/>
              </w:rPr>
              <w:t>1000mg/1/d</w:t>
            </w:r>
          </w:p>
        </w:tc>
        <w:tc>
          <w:tcPr>
            <w:tcW w:w="204" w:type="pct"/>
            <w:shd w:val="clear" w:color="000000" w:fill="FFFFFF"/>
            <w:vAlign w:val="center"/>
            <w:hideMark/>
          </w:tcPr>
          <w:p w14:paraId="34B73912"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vMerge w:val="restart"/>
            <w:shd w:val="clear" w:color="000000" w:fill="FFFFFF"/>
            <w:vAlign w:val="center"/>
            <w:hideMark/>
          </w:tcPr>
          <w:p w14:paraId="741549C4" w14:textId="77777777" w:rsidR="005A043A" w:rsidRPr="00214F41" w:rsidRDefault="005A043A" w:rsidP="00286762">
            <w:pPr>
              <w:jc w:val="center"/>
              <w:rPr>
                <w:sz w:val="18"/>
                <w:szCs w:val="18"/>
                <w:lang w:val="en-GB"/>
              </w:rPr>
            </w:pPr>
            <w:r w:rsidRPr="00214F41">
              <w:rPr>
                <w:sz w:val="18"/>
                <w:szCs w:val="18"/>
                <w:lang w:val="en-GB"/>
              </w:rPr>
              <w:t>XR</w:t>
            </w:r>
          </w:p>
          <w:p w14:paraId="6FBBE96C" w14:textId="77777777" w:rsidR="005A043A" w:rsidRPr="00214F41" w:rsidRDefault="005A043A" w:rsidP="00286762">
            <w:pPr>
              <w:jc w:val="center"/>
              <w:rPr>
                <w:sz w:val="18"/>
                <w:szCs w:val="18"/>
                <w:lang w:val="en-GB"/>
              </w:rPr>
            </w:pPr>
          </w:p>
        </w:tc>
        <w:tc>
          <w:tcPr>
            <w:tcW w:w="491" w:type="pct"/>
            <w:shd w:val="clear" w:color="000000" w:fill="FFFFFF"/>
            <w:vAlign w:val="center"/>
          </w:tcPr>
          <w:p w14:paraId="16F6D2F1" w14:textId="77777777" w:rsidR="005A043A" w:rsidRPr="00214F41" w:rsidRDefault="005A043A" w:rsidP="00286762">
            <w:pPr>
              <w:jc w:val="center"/>
              <w:rPr>
                <w:sz w:val="18"/>
                <w:szCs w:val="18"/>
                <w:lang w:val="en-GB"/>
              </w:rPr>
            </w:pPr>
            <w:r w:rsidRPr="00214F41">
              <w:rPr>
                <w:sz w:val="18"/>
                <w:szCs w:val="18"/>
                <w:lang w:val="en-GB"/>
              </w:rPr>
              <w:t>Metformin XR</w:t>
            </w:r>
          </w:p>
        </w:tc>
        <w:tc>
          <w:tcPr>
            <w:tcW w:w="491" w:type="pct"/>
            <w:vMerge w:val="restart"/>
            <w:shd w:val="clear" w:color="000000" w:fill="FFFFFF"/>
            <w:vAlign w:val="center"/>
            <w:hideMark/>
          </w:tcPr>
          <w:p w14:paraId="16072106" w14:textId="77777777" w:rsidR="005A043A" w:rsidRPr="00214F41" w:rsidRDefault="005A043A" w:rsidP="00286762">
            <w:pPr>
              <w:jc w:val="center"/>
              <w:rPr>
                <w:sz w:val="18"/>
                <w:szCs w:val="18"/>
                <w:lang w:val="en-GB"/>
              </w:rPr>
            </w:pPr>
            <w:r w:rsidRPr="00214F41">
              <w:rPr>
                <w:sz w:val="18"/>
                <w:szCs w:val="18"/>
                <w:lang w:val="en-GB"/>
              </w:rPr>
              <w:t>PBO</w:t>
            </w:r>
          </w:p>
          <w:p w14:paraId="2A8AA2DF"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239707A0" w14:textId="77777777" w:rsidR="005A043A" w:rsidRPr="00214F41" w:rsidRDefault="005A043A" w:rsidP="00286762">
            <w:pPr>
              <w:jc w:val="center"/>
              <w:rPr>
                <w:sz w:val="18"/>
                <w:szCs w:val="18"/>
                <w:lang w:val="en-GB"/>
              </w:rPr>
            </w:pPr>
            <w:r w:rsidRPr="00214F41">
              <w:rPr>
                <w:sz w:val="18"/>
                <w:szCs w:val="18"/>
                <w:lang w:val="en-GB"/>
              </w:rPr>
              <w:t>56±11.1</w:t>
            </w:r>
          </w:p>
        </w:tc>
        <w:tc>
          <w:tcPr>
            <w:tcW w:w="202" w:type="pct"/>
            <w:shd w:val="clear" w:color="000000" w:fill="FFFFFF"/>
            <w:vAlign w:val="center"/>
            <w:hideMark/>
          </w:tcPr>
          <w:p w14:paraId="740C4AF5" w14:textId="77777777" w:rsidR="005A043A" w:rsidRPr="00214F41" w:rsidRDefault="005A043A" w:rsidP="00286762">
            <w:pPr>
              <w:jc w:val="center"/>
              <w:rPr>
                <w:sz w:val="18"/>
                <w:szCs w:val="18"/>
                <w:lang w:val="en-GB"/>
              </w:rPr>
            </w:pPr>
            <w:r w:rsidRPr="00214F41">
              <w:rPr>
                <w:sz w:val="18"/>
                <w:szCs w:val="18"/>
                <w:lang w:val="en-GB"/>
              </w:rPr>
              <w:t>143/59.6</w:t>
            </w:r>
          </w:p>
        </w:tc>
        <w:tc>
          <w:tcPr>
            <w:tcW w:w="265" w:type="pct"/>
            <w:gridSpan w:val="2"/>
            <w:shd w:val="clear" w:color="000000" w:fill="FFFFFF"/>
            <w:vAlign w:val="center"/>
            <w:hideMark/>
          </w:tcPr>
          <w:p w14:paraId="16A47DEF" w14:textId="77777777" w:rsidR="005A043A" w:rsidRPr="00214F41" w:rsidRDefault="005A043A" w:rsidP="00286762">
            <w:pPr>
              <w:jc w:val="center"/>
              <w:rPr>
                <w:sz w:val="18"/>
                <w:szCs w:val="18"/>
                <w:lang w:val="en-GB"/>
              </w:rPr>
            </w:pPr>
            <w:r w:rsidRPr="00214F41">
              <w:rPr>
                <w:sz w:val="18"/>
                <w:szCs w:val="18"/>
                <w:lang w:val="en-GB"/>
              </w:rPr>
              <w:t>28.7±3.9</w:t>
            </w:r>
          </w:p>
        </w:tc>
        <w:tc>
          <w:tcPr>
            <w:tcW w:w="266" w:type="pct"/>
            <w:gridSpan w:val="2"/>
            <w:shd w:val="clear" w:color="000000" w:fill="FFFFFF"/>
            <w:vAlign w:val="center"/>
            <w:hideMark/>
          </w:tcPr>
          <w:p w14:paraId="3F800713" w14:textId="77777777" w:rsidR="005A043A" w:rsidRPr="00214F41" w:rsidRDefault="005A043A" w:rsidP="00286762">
            <w:pPr>
              <w:jc w:val="center"/>
              <w:rPr>
                <w:sz w:val="18"/>
                <w:szCs w:val="18"/>
                <w:lang w:val="en-GB"/>
              </w:rPr>
            </w:pPr>
            <w:r w:rsidRPr="00214F41">
              <w:rPr>
                <w:sz w:val="18"/>
                <w:szCs w:val="18"/>
                <w:lang w:val="en-GB"/>
              </w:rPr>
              <w:t>28.9±3.5</w:t>
            </w:r>
          </w:p>
        </w:tc>
      </w:tr>
      <w:tr w:rsidR="005A043A" w:rsidRPr="0072287D" w14:paraId="2BA7D9EE" w14:textId="77777777" w:rsidTr="00286762">
        <w:trPr>
          <w:trHeight w:val="412"/>
        </w:trPr>
        <w:tc>
          <w:tcPr>
            <w:tcW w:w="338" w:type="pct"/>
            <w:shd w:val="clear" w:color="000000" w:fill="FFFFFF"/>
            <w:vAlign w:val="center"/>
            <w:hideMark/>
          </w:tcPr>
          <w:p w14:paraId="5F8901B8" w14:textId="77777777" w:rsidR="005A043A" w:rsidRPr="00214F41" w:rsidRDefault="005A043A" w:rsidP="00286762">
            <w:pPr>
              <w:jc w:val="center"/>
              <w:rPr>
                <w:sz w:val="18"/>
                <w:szCs w:val="18"/>
                <w:lang w:val="en-GB"/>
              </w:rPr>
            </w:pPr>
            <w:r w:rsidRPr="00214F41">
              <w:rPr>
                <w:sz w:val="18"/>
                <w:szCs w:val="18"/>
                <w:lang w:val="en-GB"/>
              </w:rPr>
              <w:t>Fujioka et al., 2005b</w:t>
            </w:r>
          </w:p>
        </w:tc>
        <w:tc>
          <w:tcPr>
            <w:tcW w:w="171" w:type="pct"/>
            <w:vMerge/>
            <w:shd w:val="clear" w:color="000000" w:fill="FFFFFF"/>
            <w:vAlign w:val="center"/>
            <w:hideMark/>
          </w:tcPr>
          <w:p w14:paraId="2613CBDC" w14:textId="77777777" w:rsidR="005A043A" w:rsidRPr="00214F41" w:rsidRDefault="005A043A" w:rsidP="00286762">
            <w:pPr>
              <w:jc w:val="center"/>
              <w:rPr>
                <w:sz w:val="18"/>
                <w:szCs w:val="18"/>
                <w:lang w:val="en-GB"/>
              </w:rPr>
            </w:pPr>
          </w:p>
        </w:tc>
        <w:tc>
          <w:tcPr>
            <w:tcW w:w="744" w:type="pct"/>
            <w:vMerge/>
            <w:shd w:val="clear" w:color="000000" w:fill="FFFFFF"/>
            <w:vAlign w:val="center"/>
            <w:hideMark/>
          </w:tcPr>
          <w:p w14:paraId="60806C7E" w14:textId="77777777" w:rsidR="005A043A" w:rsidRPr="00214F41" w:rsidRDefault="005A043A" w:rsidP="00286762">
            <w:pPr>
              <w:jc w:val="center"/>
              <w:rPr>
                <w:sz w:val="18"/>
                <w:szCs w:val="18"/>
                <w:lang w:val="en-GB"/>
              </w:rPr>
            </w:pPr>
          </w:p>
        </w:tc>
        <w:tc>
          <w:tcPr>
            <w:tcW w:w="364" w:type="pct"/>
            <w:shd w:val="clear" w:color="000000" w:fill="FFFFFF"/>
            <w:vAlign w:val="center"/>
            <w:hideMark/>
          </w:tcPr>
          <w:p w14:paraId="39CF191B" w14:textId="77777777" w:rsidR="005A043A" w:rsidRPr="00214F41" w:rsidRDefault="005A043A" w:rsidP="00286762">
            <w:pPr>
              <w:jc w:val="center"/>
              <w:rPr>
                <w:sz w:val="18"/>
                <w:szCs w:val="18"/>
                <w:lang w:val="en-GB"/>
              </w:rPr>
            </w:pPr>
            <w:r w:rsidRPr="00214F41">
              <w:rPr>
                <w:sz w:val="18"/>
                <w:szCs w:val="18"/>
                <w:lang w:val="en-GB"/>
              </w:rPr>
              <w:t>742/738</w:t>
            </w:r>
          </w:p>
        </w:tc>
        <w:tc>
          <w:tcPr>
            <w:tcW w:w="200" w:type="pct"/>
            <w:vMerge/>
            <w:shd w:val="clear" w:color="000000" w:fill="FFFFFF"/>
            <w:vAlign w:val="center"/>
            <w:hideMark/>
          </w:tcPr>
          <w:p w14:paraId="5902F9E6" w14:textId="77777777" w:rsidR="005A043A" w:rsidRPr="00214F41" w:rsidRDefault="005A043A" w:rsidP="00286762">
            <w:pPr>
              <w:jc w:val="center"/>
              <w:rPr>
                <w:sz w:val="18"/>
                <w:szCs w:val="18"/>
                <w:lang w:val="en-GB"/>
              </w:rPr>
            </w:pPr>
          </w:p>
        </w:tc>
        <w:tc>
          <w:tcPr>
            <w:tcW w:w="448" w:type="pct"/>
            <w:vMerge/>
            <w:shd w:val="clear" w:color="000000" w:fill="FFFFFF"/>
            <w:vAlign w:val="center"/>
          </w:tcPr>
          <w:p w14:paraId="6239C545"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5D51C44D" w14:textId="77777777" w:rsidR="005A043A" w:rsidRPr="00214F41" w:rsidRDefault="005A043A" w:rsidP="00286762">
            <w:pPr>
              <w:jc w:val="center"/>
              <w:rPr>
                <w:sz w:val="18"/>
                <w:szCs w:val="18"/>
                <w:lang w:val="en-GB"/>
              </w:rPr>
            </w:pPr>
            <w:r w:rsidRPr="00214F41">
              <w:rPr>
                <w:sz w:val="18"/>
                <w:szCs w:val="18"/>
                <w:lang w:val="en-GB"/>
              </w:rPr>
              <w:t>500mg/1/d</w:t>
            </w:r>
          </w:p>
        </w:tc>
        <w:tc>
          <w:tcPr>
            <w:tcW w:w="204" w:type="pct"/>
            <w:vMerge w:val="restart"/>
            <w:shd w:val="clear" w:color="000000" w:fill="FFFFFF"/>
            <w:vAlign w:val="center"/>
            <w:hideMark/>
          </w:tcPr>
          <w:p w14:paraId="24E4AED1" w14:textId="77777777" w:rsidR="005A043A" w:rsidRPr="00214F41" w:rsidRDefault="005A043A" w:rsidP="00286762">
            <w:pPr>
              <w:jc w:val="center"/>
              <w:rPr>
                <w:sz w:val="18"/>
                <w:szCs w:val="18"/>
                <w:lang w:val="en-GB"/>
              </w:rPr>
            </w:pPr>
            <w:r w:rsidRPr="00214F41">
              <w:rPr>
                <w:sz w:val="18"/>
                <w:szCs w:val="18"/>
                <w:lang w:val="en-GB"/>
              </w:rPr>
              <w:t>112</w:t>
            </w:r>
          </w:p>
          <w:p w14:paraId="74135087" w14:textId="77777777" w:rsidR="005A043A" w:rsidRPr="00214F41" w:rsidRDefault="005A043A" w:rsidP="00286762">
            <w:pPr>
              <w:jc w:val="center"/>
              <w:rPr>
                <w:sz w:val="18"/>
                <w:szCs w:val="18"/>
                <w:lang w:val="en-GB"/>
              </w:rPr>
            </w:pPr>
          </w:p>
        </w:tc>
        <w:tc>
          <w:tcPr>
            <w:tcW w:w="247" w:type="pct"/>
            <w:vMerge/>
            <w:shd w:val="clear" w:color="000000" w:fill="FFFFFF"/>
            <w:vAlign w:val="center"/>
            <w:hideMark/>
          </w:tcPr>
          <w:p w14:paraId="24054B9F" w14:textId="77777777" w:rsidR="005A043A" w:rsidRPr="00214F41" w:rsidRDefault="005A043A" w:rsidP="00286762">
            <w:pPr>
              <w:jc w:val="center"/>
              <w:rPr>
                <w:sz w:val="18"/>
                <w:szCs w:val="18"/>
                <w:lang w:val="en-GB"/>
              </w:rPr>
            </w:pPr>
          </w:p>
        </w:tc>
        <w:tc>
          <w:tcPr>
            <w:tcW w:w="491" w:type="pct"/>
            <w:shd w:val="clear" w:color="000000" w:fill="FFFFFF"/>
            <w:vAlign w:val="center"/>
          </w:tcPr>
          <w:p w14:paraId="7A32E0E9" w14:textId="77777777" w:rsidR="005A043A" w:rsidRPr="00214F41" w:rsidRDefault="005A043A" w:rsidP="00286762">
            <w:pPr>
              <w:jc w:val="center"/>
              <w:rPr>
                <w:sz w:val="18"/>
                <w:szCs w:val="18"/>
                <w:lang w:val="en-GB"/>
              </w:rPr>
            </w:pPr>
            <w:r w:rsidRPr="00214F41">
              <w:rPr>
                <w:sz w:val="18"/>
                <w:szCs w:val="18"/>
                <w:lang w:val="en-GB"/>
              </w:rPr>
              <w:t>Metformin XR</w:t>
            </w:r>
          </w:p>
        </w:tc>
        <w:tc>
          <w:tcPr>
            <w:tcW w:w="491" w:type="pct"/>
            <w:vMerge/>
            <w:shd w:val="clear" w:color="000000" w:fill="FFFFFF"/>
            <w:vAlign w:val="center"/>
            <w:hideMark/>
          </w:tcPr>
          <w:p w14:paraId="0CEB35CC"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367B7CFF" w14:textId="77777777" w:rsidR="005A043A" w:rsidRPr="00214F41" w:rsidRDefault="005A043A" w:rsidP="00286762">
            <w:pPr>
              <w:jc w:val="center"/>
              <w:rPr>
                <w:sz w:val="18"/>
                <w:szCs w:val="18"/>
                <w:lang w:val="en-GB"/>
              </w:rPr>
            </w:pPr>
            <w:r w:rsidRPr="00214F41">
              <w:rPr>
                <w:sz w:val="18"/>
                <w:szCs w:val="18"/>
                <w:lang w:val="en-GB"/>
              </w:rPr>
              <w:t>54.5±10.5</w:t>
            </w:r>
          </w:p>
        </w:tc>
        <w:tc>
          <w:tcPr>
            <w:tcW w:w="202" w:type="pct"/>
            <w:shd w:val="clear" w:color="000000" w:fill="FFFFFF"/>
            <w:vAlign w:val="center"/>
            <w:hideMark/>
          </w:tcPr>
          <w:p w14:paraId="3A770AB8" w14:textId="77777777" w:rsidR="005A043A" w:rsidRPr="00214F41" w:rsidRDefault="005A043A" w:rsidP="00286762">
            <w:pPr>
              <w:jc w:val="center"/>
              <w:rPr>
                <w:sz w:val="18"/>
                <w:szCs w:val="18"/>
                <w:lang w:val="en-GB"/>
              </w:rPr>
            </w:pPr>
            <w:r w:rsidRPr="00214F41">
              <w:rPr>
                <w:sz w:val="18"/>
                <w:szCs w:val="18"/>
                <w:lang w:val="en-GB"/>
              </w:rPr>
              <w:t>114/46.5</w:t>
            </w:r>
          </w:p>
        </w:tc>
        <w:tc>
          <w:tcPr>
            <w:tcW w:w="265" w:type="pct"/>
            <w:gridSpan w:val="2"/>
            <w:shd w:val="clear" w:color="000000" w:fill="FFFFFF"/>
            <w:vAlign w:val="center"/>
            <w:hideMark/>
          </w:tcPr>
          <w:p w14:paraId="03E304A5" w14:textId="77777777" w:rsidR="005A043A" w:rsidRPr="00214F41" w:rsidRDefault="005A043A" w:rsidP="00286762">
            <w:pPr>
              <w:jc w:val="center"/>
              <w:rPr>
                <w:sz w:val="18"/>
                <w:szCs w:val="18"/>
                <w:lang w:val="en-GB"/>
              </w:rPr>
            </w:pPr>
            <w:r w:rsidRPr="00214F41">
              <w:rPr>
                <w:sz w:val="18"/>
                <w:szCs w:val="18"/>
                <w:lang w:val="en-GB"/>
              </w:rPr>
              <w:t>30.1±4</w:t>
            </w:r>
          </w:p>
        </w:tc>
        <w:tc>
          <w:tcPr>
            <w:tcW w:w="266" w:type="pct"/>
            <w:gridSpan w:val="2"/>
            <w:shd w:val="clear" w:color="000000" w:fill="FFFFFF"/>
            <w:vAlign w:val="center"/>
            <w:hideMark/>
          </w:tcPr>
          <w:p w14:paraId="3735F294" w14:textId="77777777" w:rsidR="005A043A" w:rsidRPr="00214F41" w:rsidRDefault="005A043A" w:rsidP="00286762">
            <w:pPr>
              <w:jc w:val="center"/>
              <w:rPr>
                <w:sz w:val="18"/>
                <w:szCs w:val="18"/>
                <w:lang w:val="en-GB"/>
              </w:rPr>
            </w:pPr>
            <w:r w:rsidRPr="00214F41">
              <w:rPr>
                <w:sz w:val="18"/>
                <w:szCs w:val="18"/>
                <w:lang w:val="en-GB"/>
              </w:rPr>
              <w:t>30.7±4.1</w:t>
            </w:r>
          </w:p>
        </w:tc>
      </w:tr>
      <w:tr w:rsidR="005A043A" w:rsidRPr="0072287D" w14:paraId="107D457E" w14:textId="77777777" w:rsidTr="00286762">
        <w:trPr>
          <w:trHeight w:val="418"/>
        </w:trPr>
        <w:tc>
          <w:tcPr>
            <w:tcW w:w="338" w:type="pct"/>
            <w:shd w:val="clear" w:color="000000" w:fill="FFFFFF"/>
            <w:vAlign w:val="center"/>
            <w:hideMark/>
          </w:tcPr>
          <w:p w14:paraId="616041D8" w14:textId="77777777" w:rsidR="005A043A" w:rsidRPr="00214F41" w:rsidRDefault="005A043A" w:rsidP="00286762">
            <w:pPr>
              <w:jc w:val="center"/>
              <w:rPr>
                <w:sz w:val="18"/>
                <w:szCs w:val="18"/>
                <w:lang w:val="en-GB"/>
              </w:rPr>
            </w:pPr>
            <w:r w:rsidRPr="00214F41">
              <w:rPr>
                <w:sz w:val="18"/>
                <w:szCs w:val="18"/>
                <w:lang w:val="en-GB"/>
              </w:rPr>
              <w:lastRenderedPageBreak/>
              <w:t>Fujioka et al., 2005c</w:t>
            </w:r>
          </w:p>
        </w:tc>
        <w:tc>
          <w:tcPr>
            <w:tcW w:w="171" w:type="pct"/>
            <w:vMerge/>
            <w:shd w:val="clear" w:color="000000" w:fill="FFFFFF"/>
            <w:vAlign w:val="center"/>
            <w:hideMark/>
          </w:tcPr>
          <w:p w14:paraId="44CAF920" w14:textId="77777777" w:rsidR="005A043A" w:rsidRPr="00214F41" w:rsidRDefault="005A043A" w:rsidP="00286762">
            <w:pPr>
              <w:jc w:val="center"/>
              <w:rPr>
                <w:sz w:val="18"/>
                <w:szCs w:val="18"/>
                <w:lang w:val="en-GB"/>
              </w:rPr>
            </w:pPr>
          </w:p>
        </w:tc>
        <w:tc>
          <w:tcPr>
            <w:tcW w:w="744" w:type="pct"/>
            <w:vMerge/>
            <w:shd w:val="clear" w:color="000000" w:fill="FFFFFF"/>
            <w:vAlign w:val="center"/>
            <w:hideMark/>
          </w:tcPr>
          <w:p w14:paraId="39C40B8E" w14:textId="77777777" w:rsidR="005A043A" w:rsidRPr="00214F41" w:rsidRDefault="005A043A" w:rsidP="00286762">
            <w:pPr>
              <w:jc w:val="center"/>
              <w:rPr>
                <w:sz w:val="18"/>
                <w:szCs w:val="18"/>
                <w:lang w:val="en-GB"/>
              </w:rPr>
            </w:pPr>
          </w:p>
        </w:tc>
        <w:tc>
          <w:tcPr>
            <w:tcW w:w="364" w:type="pct"/>
            <w:shd w:val="clear" w:color="000000" w:fill="FFFFFF"/>
            <w:vAlign w:val="center"/>
            <w:hideMark/>
          </w:tcPr>
          <w:p w14:paraId="30FC12A4" w14:textId="77777777" w:rsidR="005A043A" w:rsidRPr="00214F41" w:rsidRDefault="005A043A" w:rsidP="00286762">
            <w:pPr>
              <w:jc w:val="center"/>
              <w:rPr>
                <w:sz w:val="18"/>
                <w:szCs w:val="18"/>
                <w:lang w:val="en-GB"/>
              </w:rPr>
            </w:pPr>
            <w:r w:rsidRPr="00214F41">
              <w:rPr>
                <w:sz w:val="18"/>
                <w:szCs w:val="18"/>
                <w:lang w:val="en-GB"/>
              </w:rPr>
              <w:t>742/738</w:t>
            </w:r>
          </w:p>
        </w:tc>
        <w:tc>
          <w:tcPr>
            <w:tcW w:w="200" w:type="pct"/>
            <w:vMerge/>
            <w:shd w:val="clear" w:color="000000" w:fill="FFFFFF"/>
            <w:vAlign w:val="center"/>
            <w:hideMark/>
          </w:tcPr>
          <w:p w14:paraId="5163DF11" w14:textId="77777777" w:rsidR="005A043A" w:rsidRPr="00214F41" w:rsidRDefault="005A043A" w:rsidP="00286762">
            <w:pPr>
              <w:jc w:val="center"/>
              <w:rPr>
                <w:sz w:val="18"/>
                <w:szCs w:val="18"/>
                <w:lang w:val="en-GB"/>
              </w:rPr>
            </w:pPr>
          </w:p>
        </w:tc>
        <w:tc>
          <w:tcPr>
            <w:tcW w:w="448" w:type="pct"/>
            <w:vMerge/>
            <w:shd w:val="clear" w:color="000000" w:fill="FFFFFF"/>
            <w:vAlign w:val="center"/>
          </w:tcPr>
          <w:p w14:paraId="7F715F92"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3B6C606C" w14:textId="77777777" w:rsidR="005A043A" w:rsidRPr="00214F41" w:rsidRDefault="005A043A" w:rsidP="00286762">
            <w:pPr>
              <w:jc w:val="center"/>
              <w:rPr>
                <w:sz w:val="18"/>
                <w:szCs w:val="18"/>
                <w:lang w:val="en-GB"/>
              </w:rPr>
            </w:pPr>
            <w:r w:rsidRPr="00214F41">
              <w:rPr>
                <w:sz w:val="18"/>
                <w:szCs w:val="18"/>
                <w:lang w:val="en-GB"/>
              </w:rPr>
              <w:t>1000mg/1/d</w:t>
            </w:r>
          </w:p>
        </w:tc>
        <w:tc>
          <w:tcPr>
            <w:tcW w:w="204" w:type="pct"/>
            <w:vMerge/>
            <w:shd w:val="clear" w:color="000000" w:fill="FFFFFF"/>
            <w:vAlign w:val="center"/>
            <w:hideMark/>
          </w:tcPr>
          <w:p w14:paraId="47BBD6CA" w14:textId="77777777" w:rsidR="005A043A" w:rsidRPr="00214F41" w:rsidRDefault="005A043A" w:rsidP="00286762">
            <w:pPr>
              <w:jc w:val="center"/>
              <w:rPr>
                <w:sz w:val="18"/>
                <w:szCs w:val="18"/>
                <w:lang w:val="en-GB"/>
              </w:rPr>
            </w:pPr>
          </w:p>
        </w:tc>
        <w:tc>
          <w:tcPr>
            <w:tcW w:w="247" w:type="pct"/>
            <w:vMerge/>
            <w:shd w:val="clear" w:color="000000" w:fill="FFFFFF"/>
            <w:vAlign w:val="center"/>
            <w:hideMark/>
          </w:tcPr>
          <w:p w14:paraId="0C2BEF22" w14:textId="77777777" w:rsidR="005A043A" w:rsidRPr="00214F41" w:rsidRDefault="005A043A" w:rsidP="00286762">
            <w:pPr>
              <w:jc w:val="center"/>
              <w:rPr>
                <w:sz w:val="18"/>
                <w:szCs w:val="18"/>
                <w:lang w:val="en-GB"/>
              </w:rPr>
            </w:pPr>
          </w:p>
        </w:tc>
        <w:tc>
          <w:tcPr>
            <w:tcW w:w="491" w:type="pct"/>
            <w:shd w:val="clear" w:color="000000" w:fill="FFFFFF"/>
            <w:vAlign w:val="center"/>
          </w:tcPr>
          <w:p w14:paraId="0C81A679" w14:textId="77777777" w:rsidR="005A043A" w:rsidRPr="00214F41" w:rsidRDefault="005A043A" w:rsidP="00286762">
            <w:pPr>
              <w:jc w:val="center"/>
              <w:rPr>
                <w:sz w:val="18"/>
                <w:szCs w:val="18"/>
                <w:lang w:val="en-GB"/>
              </w:rPr>
            </w:pPr>
            <w:r w:rsidRPr="00214F41">
              <w:rPr>
                <w:sz w:val="18"/>
                <w:szCs w:val="18"/>
                <w:lang w:val="en-GB"/>
              </w:rPr>
              <w:t>Metformin XR</w:t>
            </w:r>
          </w:p>
        </w:tc>
        <w:tc>
          <w:tcPr>
            <w:tcW w:w="491" w:type="pct"/>
            <w:vMerge/>
            <w:shd w:val="clear" w:color="000000" w:fill="FFFFFF"/>
            <w:vAlign w:val="center"/>
            <w:hideMark/>
          </w:tcPr>
          <w:p w14:paraId="64DC2F7F"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6E16F62C" w14:textId="77777777" w:rsidR="005A043A" w:rsidRPr="00214F41" w:rsidRDefault="005A043A" w:rsidP="00286762">
            <w:pPr>
              <w:jc w:val="center"/>
              <w:rPr>
                <w:sz w:val="18"/>
                <w:szCs w:val="18"/>
                <w:lang w:val="en-GB"/>
              </w:rPr>
            </w:pPr>
            <w:r w:rsidRPr="00214F41">
              <w:rPr>
                <w:sz w:val="18"/>
                <w:szCs w:val="18"/>
                <w:lang w:val="en-GB"/>
              </w:rPr>
              <w:t>55±10</w:t>
            </w:r>
          </w:p>
        </w:tc>
        <w:tc>
          <w:tcPr>
            <w:tcW w:w="202" w:type="pct"/>
            <w:shd w:val="clear" w:color="000000" w:fill="FFFFFF"/>
            <w:vAlign w:val="center"/>
            <w:hideMark/>
          </w:tcPr>
          <w:p w14:paraId="01EEEA6D" w14:textId="77777777" w:rsidR="005A043A" w:rsidRPr="00214F41" w:rsidRDefault="005A043A" w:rsidP="00286762">
            <w:pPr>
              <w:jc w:val="center"/>
              <w:rPr>
                <w:sz w:val="18"/>
                <w:szCs w:val="18"/>
                <w:lang w:val="en-GB"/>
              </w:rPr>
            </w:pPr>
            <w:r w:rsidRPr="00214F41">
              <w:rPr>
                <w:sz w:val="18"/>
                <w:szCs w:val="18"/>
                <w:lang w:val="en-GB"/>
              </w:rPr>
              <w:t>127/53.6</w:t>
            </w:r>
          </w:p>
        </w:tc>
        <w:tc>
          <w:tcPr>
            <w:tcW w:w="265" w:type="pct"/>
            <w:gridSpan w:val="2"/>
            <w:shd w:val="clear" w:color="000000" w:fill="FFFFFF"/>
            <w:vAlign w:val="center"/>
            <w:hideMark/>
          </w:tcPr>
          <w:p w14:paraId="45A41590" w14:textId="77777777" w:rsidR="005A043A" w:rsidRPr="00214F41" w:rsidRDefault="005A043A" w:rsidP="00286762">
            <w:pPr>
              <w:jc w:val="center"/>
              <w:rPr>
                <w:sz w:val="18"/>
                <w:szCs w:val="18"/>
                <w:lang w:val="en-GB"/>
              </w:rPr>
            </w:pPr>
            <w:r w:rsidRPr="00214F41">
              <w:rPr>
                <w:sz w:val="18"/>
                <w:szCs w:val="18"/>
                <w:lang w:val="en-GB"/>
              </w:rPr>
              <w:t>30.6±4.2</w:t>
            </w:r>
          </w:p>
        </w:tc>
        <w:tc>
          <w:tcPr>
            <w:tcW w:w="266" w:type="pct"/>
            <w:gridSpan w:val="2"/>
            <w:shd w:val="clear" w:color="000000" w:fill="FFFFFF"/>
            <w:vAlign w:val="center"/>
            <w:hideMark/>
          </w:tcPr>
          <w:p w14:paraId="42DC1779" w14:textId="77777777" w:rsidR="005A043A" w:rsidRPr="00214F41" w:rsidRDefault="005A043A" w:rsidP="00286762">
            <w:pPr>
              <w:jc w:val="center"/>
              <w:rPr>
                <w:sz w:val="18"/>
                <w:szCs w:val="18"/>
                <w:lang w:val="en-GB"/>
              </w:rPr>
            </w:pPr>
            <w:r w:rsidRPr="00214F41">
              <w:rPr>
                <w:sz w:val="18"/>
                <w:szCs w:val="18"/>
                <w:lang w:val="en-GB"/>
              </w:rPr>
              <w:t>30.7±4.1</w:t>
            </w:r>
          </w:p>
        </w:tc>
      </w:tr>
      <w:tr w:rsidR="005A043A" w:rsidRPr="0072287D" w14:paraId="4BDDAF82" w14:textId="77777777" w:rsidTr="00286762">
        <w:trPr>
          <w:trHeight w:val="410"/>
        </w:trPr>
        <w:tc>
          <w:tcPr>
            <w:tcW w:w="338" w:type="pct"/>
            <w:shd w:val="clear" w:color="000000" w:fill="FFFFFF"/>
            <w:vAlign w:val="center"/>
            <w:hideMark/>
          </w:tcPr>
          <w:p w14:paraId="30DF9FA8" w14:textId="77777777" w:rsidR="005A043A" w:rsidRPr="00214F41" w:rsidRDefault="005A043A" w:rsidP="00286762">
            <w:pPr>
              <w:jc w:val="center"/>
              <w:rPr>
                <w:sz w:val="18"/>
                <w:szCs w:val="18"/>
                <w:lang w:val="en-GB"/>
              </w:rPr>
            </w:pPr>
            <w:r w:rsidRPr="00214F41">
              <w:rPr>
                <w:sz w:val="18"/>
                <w:szCs w:val="18"/>
                <w:lang w:val="en-GB"/>
              </w:rPr>
              <w:t>Fujioka et al., 2005d</w:t>
            </w:r>
          </w:p>
        </w:tc>
        <w:tc>
          <w:tcPr>
            <w:tcW w:w="171" w:type="pct"/>
            <w:vMerge/>
            <w:shd w:val="clear" w:color="000000" w:fill="FFFFFF"/>
            <w:vAlign w:val="center"/>
            <w:hideMark/>
          </w:tcPr>
          <w:p w14:paraId="0DFCC24E" w14:textId="77777777" w:rsidR="005A043A" w:rsidRPr="00214F41" w:rsidRDefault="005A043A" w:rsidP="00286762">
            <w:pPr>
              <w:jc w:val="center"/>
              <w:rPr>
                <w:sz w:val="18"/>
                <w:szCs w:val="18"/>
                <w:lang w:val="en-GB"/>
              </w:rPr>
            </w:pPr>
          </w:p>
        </w:tc>
        <w:tc>
          <w:tcPr>
            <w:tcW w:w="744" w:type="pct"/>
            <w:vMerge/>
            <w:shd w:val="clear" w:color="000000" w:fill="FFFFFF"/>
            <w:vAlign w:val="center"/>
            <w:hideMark/>
          </w:tcPr>
          <w:p w14:paraId="34B6EEBF" w14:textId="77777777" w:rsidR="005A043A" w:rsidRPr="00214F41" w:rsidRDefault="005A043A" w:rsidP="00286762">
            <w:pPr>
              <w:jc w:val="center"/>
              <w:rPr>
                <w:sz w:val="18"/>
                <w:szCs w:val="18"/>
                <w:lang w:val="en-GB"/>
              </w:rPr>
            </w:pPr>
          </w:p>
        </w:tc>
        <w:tc>
          <w:tcPr>
            <w:tcW w:w="364" w:type="pct"/>
            <w:shd w:val="clear" w:color="000000" w:fill="FFFFFF"/>
            <w:vAlign w:val="center"/>
            <w:hideMark/>
          </w:tcPr>
          <w:p w14:paraId="68F1E901" w14:textId="77777777" w:rsidR="005A043A" w:rsidRPr="00214F41" w:rsidRDefault="005A043A" w:rsidP="00286762">
            <w:pPr>
              <w:jc w:val="center"/>
              <w:rPr>
                <w:sz w:val="18"/>
                <w:szCs w:val="18"/>
                <w:lang w:val="en-GB"/>
              </w:rPr>
            </w:pPr>
            <w:r w:rsidRPr="00214F41">
              <w:rPr>
                <w:sz w:val="18"/>
                <w:szCs w:val="18"/>
                <w:lang w:val="en-GB"/>
              </w:rPr>
              <w:t>742/738</w:t>
            </w:r>
          </w:p>
        </w:tc>
        <w:tc>
          <w:tcPr>
            <w:tcW w:w="200" w:type="pct"/>
            <w:vMerge/>
            <w:shd w:val="clear" w:color="000000" w:fill="FFFFFF"/>
            <w:vAlign w:val="center"/>
            <w:hideMark/>
          </w:tcPr>
          <w:p w14:paraId="2384C07A" w14:textId="77777777" w:rsidR="005A043A" w:rsidRPr="00214F41" w:rsidRDefault="005A043A" w:rsidP="00286762">
            <w:pPr>
              <w:jc w:val="center"/>
              <w:rPr>
                <w:sz w:val="18"/>
                <w:szCs w:val="18"/>
                <w:lang w:val="en-GB"/>
              </w:rPr>
            </w:pPr>
          </w:p>
        </w:tc>
        <w:tc>
          <w:tcPr>
            <w:tcW w:w="448" w:type="pct"/>
            <w:vMerge/>
            <w:shd w:val="clear" w:color="000000" w:fill="FFFFFF"/>
            <w:vAlign w:val="center"/>
          </w:tcPr>
          <w:p w14:paraId="36D8DE7D"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38DC36E7" w14:textId="77777777" w:rsidR="005A043A" w:rsidRPr="00214F41" w:rsidRDefault="005A043A" w:rsidP="00286762">
            <w:pPr>
              <w:jc w:val="center"/>
              <w:rPr>
                <w:sz w:val="18"/>
                <w:szCs w:val="18"/>
                <w:lang w:val="en-GB"/>
              </w:rPr>
            </w:pPr>
            <w:r w:rsidRPr="00214F41">
              <w:rPr>
                <w:sz w:val="18"/>
                <w:szCs w:val="18"/>
                <w:lang w:val="en-GB"/>
              </w:rPr>
              <w:t>1500mg/1/d</w:t>
            </w:r>
          </w:p>
        </w:tc>
        <w:tc>
          <w:tcPr>
            <w:tcW w:w="204" w:type="pct"/>
            <w:vMerge/>
            <w:shd w:val="clear" w:color="000000" w:fill="FFFFFF"/>
            <w:vAlign w:val="center"/>
            <w:hideMark/>
          </w:tcPr>
          <w:p w14:paraId="73331F6C" w14:textId="77777777" w:rsidR="005A043A" w:rsidRPr="00214F41" w:rsidRDefault="005A043A" w:rsidP="00286762">
            <w:pPr>
              <w:jc w:val="center"/>
              <w:rPr>
                <w:sz w:val="18"/>
                <w:szCs w:val="18"/>
                <w:lang w:val="en-GB"/>
              </w:rPr>
            </w:pPr>
          </w:p>
        </w:tc>
        <w:tc>
          <w:tcPr>
            <w:tcW w:w="247" w:type="pct"/>
            <w:vMerge/>
            <w:shd w:val="clear" w:color="000000" w:fill="FFFFFF"/>
            <w:vAlign w:val="center"/>
            <w:hideMark/>
          </w:tcPr>
          <w:p w14:paraId="0B495478" w14:textId="77777777" w:rsidR="005A043A" w:rsidRPr="00214F41" w:rsidRDefault="005A043A" w:rsidP="00286762">
            <w:pPr>
              <w:jc w:val="center"/>
              <w:rPr>
                <w:sz w:val="18"/>
                <w:szCs w:val="18"/>
                <w:lang w:val="en-GB"/>
              </w:rPr>
            </w:pPr>
          </w:p>
        </w:tc>
        <w:tc>
          <w:tcPr>
            <w:tcW w:w="491" w:type="pct"/>
            <w:shd w:val="clear" w:color="000000" w:fill="FFFFFF"/>
            <w:vAlign w:val="center"/>
          </w:tcPr>
          <w:p w14:paraId="173A382B" w14:textId="77777777" w:rsidR="005A043A" w:rsidRPr="00214F41" w:rsidRDefault="005A043A" w:rsidP="00286762">
            <w:pPr>
              <w:jc w:val="center"/>
              <w:rPr>
                <w:sz w:val="18"/>
                <w:szCs w:val="18"/>
                <w:lang w:val="en-GB"/>
              </w:rPr>
            </w:pPr>
            <w:r w:rsidRPr="00214F41">
              <w:rPr>
                <w:sz w:val="18"/>
                <w:szCs w:val="18"/>
                <w:lang w:val="en-GB"/>
              </w:rPr>
              <w:t>Metformin XR</w:t>
            </w:r>
          </w:p>
        </w:tc>
        <w:tc>
          <w:tcPr>
            <w:tcW w:w="491" w:type="pct"/>
            <w:vMerge/>
            <w:shd w:val="clear" w:color="000000" w:fill="FFFFFF"/>
            <w:vAlign w:val="center"/>
            <w:hideMark/>
          </w:tcPr>
          <w:p w14:paraId="2F89826B"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495D1092" w14:textId="77777777" w:rsidR="005A043A" w:rsidRPr="00214F41" w:rsidRDefault="005A043A" w:rsidP="00286762">
            <w:pPr>
              <w:jc w:val="center"/>
              <w:rPr>
                <w:sz w:val="18"/>
                <w:szCs w:val="18"/>
                <w:lang w:val="en-GB"/>
              </w:rPr>
            </w:pPr>
            <w:r w:rsidRPr="00214F41">
              <w:rPr>
                <w:sz w:val="18"/>
                <w:szCs w:val="18"/>
                <w:lang w:val="en-GB"/>
              </w:rPr>
              <w:t>55±10.6</w:t>
            </w:r>
          </w:p>
        </w:tc>
        <w:tc>
          <w:tcPr>
            <w:tcW w:w="202" w:type="pct"/>
            <w:shd w:val="clear" w:color="000000" w:fill="FFFFFF"/>
            <w:vAlign w:val="center"/>
            <w:hideMark/>
          </w:tcPr>
          <w:p w14:paraId="125198BE" w14:textId="77777777" w:rsidR="005A043A" w:rsidRPr="00214F41" w:rsidRDefault="005A043A" w:rsidP="00286762">
            <w:pPr>
              <w:jc w:val="center"/>
              <w:rPr>
                <w:sz w:val="18"/>
                <w:szCs w:val="18"/>
                <w:lang w:val="en-GB"/>
              </w:rPr>
            </w:pPr>
            <w:r w:rsidRPr="00214F41">
              <w:rPr>
                <w:sz w:val="18"/>
                <w:szCs w:val="18"/>
                <w:lang w:val="en-GB"/>
              </w:rPr>
              <w:t>115/48.5</w:t>
            </w:r>
          </w:p>
        </w:tc>
        <w:tc>
          <w:tcPr>
            <w:tcW w:w="265" w:type="pct"/>
            <w:gridSpan w:val="2"/>
            <w:shd w:val="clear" w:color="000000" w:fill="FFFFFF"/>
            <w:vAlign w:val="center"/>
            <w:hideMark/>
          </w:tcPr>
          <w:p w14:paraId="5F5D737C" w14:textId="77777777" w:rsidR="005A043A" w:rsidRPr="00214F41" w:rsidRDefault="005A043A" w:rsidP="00286762">
            <w:pPr>
              <w:jc w:val="center"/>
              <w:rPr>
                <w:sz w:val="18"/>
                <w:szCs w:val="18"/>
                <w:lang w:val="en-GB"/>
              </w:rPr>
            </w:pPr>
            <w:r w:rsidRPr="00214F41">
              <w:rPr>
                <w:sz w:val="18"/>
                <w:szCs w:val="18"/>
                <w:lang w:val="en-GB"/>
              </w:rPr>
              <w:t>29.7±4</w:t>
            </w:r>
          </w:p>
        </w:tc>
        <w:tc>
          <w:tcPr>
            <w:tcW w:w="266" w:type="pct"/>
            <w:gridSpan w:val="2"/>
            <w:shd w:val="clear" w:color="000000" w:fill="FFFFFF"/>
            <w:vAlign w:val="center"/>
            <w:hideMark/>
          </w:tcPr>
          <w:p w14:paraId="1F243A4F" w14:textId="77777777" w:rsidR="005A043A" w:rsidRPr="00214F41" w:rsidRDefault="005A043A" w:rsidP="00286762">
            <w:pPr>
              <w:jc w:val="center"/>
              <w:rPr>
                <w:sz w:val="18"/>
                <w:szCs w:val="18"/>
                <w:lang w:val="en-GB"/>
              </w:rPr>
            </w:pPr>
            <w:r w:rsidRPr="00214F41">
              <w:rPr>
                <w:sz w:val="18"/>
                <w:szCs w:val="18"/>
                <w:lang w:val="en-GB"/>
              </w:rPr>
              <w:t>30.7±4.1</w:t>
            </w:r>
          </w:p>
        </w:tc>
      </w:tr>
      <w:tr w:rsidR="005A043A" w:rsidRPr="0072287D" w14:paraId="579904FE" w14:textId="77777777" w:rsidTr="00286762">
        <w:trPr>
          <w:trHeight w:val="274"/>
        </w:trPr>
        <w:tc>
          <w:tcPr>
            <w:tcW w:w="338" w:type="pct"/>
            <w:shd w:val="clear" w:color="000000" w:fill="FFFFFF"/>
            <w:vAlign w:val="center"/>
            <w:hideMark/>
          </w:tcPr>
          <w:p w14:paraId="12A2DAA8" w14:textId="77777777" w:rsidR="005A043A" w:rsidRPr="00214F41" w:rsidRDefault="005A043A" w:rsidP="00286762">
            <w:pPr>
              <w:jc w:val="center"/>
              <w:rPr>
                <w:sz w:val="18"/>
                <w:szCs w:val="18"/>
                <w:lang w:val="en-GB"/>
              </w:rPr>
            </w:pPr>
            <w:r w:rsidRPr="00214F41">
              <w:rPr>
                <w:sz w:val="18"/>
                <w:szCs w:val="18"/>
                <w:lang w:val="en-GB"/>
              </w:rPr>
              <w:t>Fujioka et al., 2005e</w:t>
            </w:r>
          </w:p>
        </w:tc>
        <w:tc>
          <w:tcPr>
            <w:tcW w:w="171" w:type="pct"/>
            <w:vMerge/>
            <w:shd w:val="clear" w:color="000000" w:fill="FFFFFF"/>
            <w:vAlign w:val="center"/>
            <w:hideMark/>
          </w:tcPr>
          <w:p w14:paraId="0CAB1D00" w14:textId="77777777" w:rsidR="005A043A" w:rsidRPr="00214F41" w:rsidRDefault="005A043A" w:rsidP="00286762">
            <w:pPr>
              <w:jc w:val="center"/>
              <w:rPr>
                <w:sz w:val="18"/>
                <w:szCs w:val="18"/>
                <w:lang w:val="en-GB"/>
              </w:rPr>
            </w:pPr>
          </w:p>
        </w:tc>
        <w:tc>
          <w:tcPr>
            <w:tcW w:w="744" w:type="pct"/>
            <w:vMerge/>
            <w:shd w:val="clear" w:color="000000" w:fill="FFFFFF"/>
            <w:vAlign w:val="center"/>
            <w:hideMark/>
          </w:tcPr>
          <w:p w14:paraId="1B8444CC" w14:textId="77777777" w:rsidR="005A043A" w:rsidRPr="00214F41" w:rsidRDefault="005A043A" w:rsidP="00286762">
            <w:pPr>
              <w:jc w:val="center"/>
              <w:rPr>
                <w:sz w:val="18"/>
                <w:szCs w:val="18"/>
                <w:lang w:val="en-GB"/>
              </w:rPr>
            </w:pPr>
          </w:p>
        </w:tc>
        <w:tc>
          <w:tcPr>
            <w:tcW w:w="364" w:type="pct"/>
            <w:shd w:val="clear" w:color="000000" w:fill="FFFFFF"/>
            <w:vAlign w:val="center"/>
            <w:hideMark/>
          </w:tcPr>
          <w:p w14:paraId="3C4FF7A3" w14:textId="77777777" w:rsidR="005A043A" w:rsidRPr="00214F41" w:rsidRDefault="005A043A" w:rsidP="00286762">
            <w:pPr>
              <w:jc w:val="center"/>
              <w:rPr>
                <w:sz w:val="18"/>
                <w:szCs w:val="18"/>
                <w:lang w:val="en-GB"/>
              </w:rPr>
            </w:pPr>
            <w:r w:rsidRPr="00214F41">
              <w:rPr>
                <w:sz w:val="18"/>
                <w:szCs w:val="18"/>
                <w:lang w:val="en-GB"/>
              </w:rPr>
              <w:t>742/738</w:t>
            </w:r>
          </w:p>
        </w:tc>
        <w:tc>
          <w:tcPr>
            <w:tcW w:w="200" w:type="pct"/>
            <w:vMerge/>
            <w:shd w:val="clear" w:color="000000" w:fill="FFFFFF"/>
            <w:vAlign w:val="center"/>
            <w:hideMark/>
          </w:tcPr>
          <w:p w14:paraId="62DC0486" w14:textId="77777777" w:rsidR="005A043A" w:rsidRPr="00214F41" w:rsidRDefault="005A043A" w:rsidP="00286762">
            <w:pPr>
              <w:jc w:val="center"/>
              <w:rPr>
                <w:sz w:val="18"/>
                <w:szCs w:val="18"/>
                <w:lang w:val="en-GB"/>
              </w:rPr>
            </w:pPr>
          </w:p>
        </w:tc>
        <w:tc>
          <w:tcPr>
            <w:tcW w:w="448" w:type="pct"/>
            <w:vMerge/>
            <w:shd w:val="clear" w:color="000000" w:fill="FFFFFF"/>
            <w:vAlign w:val="center"/>
          </w:tcPr>
          <w:p w14:paraId="2DA6807E"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679C2641" w14:textId="77777777" w:rsidR="005A043A" w:rsidRPr="00214F41" w:rsidRDefault="005A043A" w:rsidP="00286762">
            <w:pPr>
              <w:jc w:val="center"/>
              <w:rPr>
                <w:sz w:val="18"/>
                <w:szCs w:val="18"/>
                <w:lang w:val="en-GB"/>
              </w:rPr>
            </w:pPr>
            <w:r w:rsidRPr="00214F41">
              <w:rPr>
                <w:sz w:val="18"/>
                <w:szCs w:val="18"/>
                <w:lang w:val="en-GB"/>
              </w:rPr>
              <w:t>2000mg/1/d</w:t>
            </w:r>
          </w:p>
        </w:tc>
        <w:tc>
          <w:tcPr>
            <w:tcW w:w="204" w:type="pct"/>
            <w:vMerge/>
            <w:shd w:val="clear" w:color="000000" w:fill="FFFFFF"/>
            <w:vAlign w:val="center"/>
            <w:hideMark/>
          </w:tcPr>
          <w:p w14:paraId="6C748C90" w14:textId="77777777" w:rsidR="005A043A" w:rsidRPr="00214F41" w:rsidRDefault="005A043A" w:rsidP="00286762">
            <w:pPr>
              <w:jc w:val="center"/>
              <w:rPr>
                <w:sz w:val="18"/>
                <w:szCs w:val="18"/>
                <w:lang w:val="en-GB"/>
              </w:rPr>
            </w:pPr>
          </w:p>
        </w:tc>
        <w:tc>
          <w:tcPr>
            <w:tcW w:w="247" w:type="pct"/>
            <w:vMerge/>
            <w:shd w:val="clear" w:color="000000" w:fill="FFFFFF"/>
            <w:vAlign w:val="center"/>
            <w:hideMark/>
          </w:tcPr>
          <w:p w14:paraId="4E41614E" w14:textId="77777777" w:rsidR="005A043A" w:rsidRPr="00214F41" w:rsidRDefault="005A043A" w:rsidP="00286762">
            <w:pPr>
              <w:jc w:val="center"/>
              <w:rPr>
                <w:sz w:val="18"/>
                <w:szCs w:val="18"/>
                <w:lang w:val="en-GB"/>
              </w:rPr>
            </w:pPr>
          </w:p>
        </w:tc>
        <w:tc>
          <w:tcPr>
            <w:tcW w:w="491" w:type="pct"/>
            <w:shd w:val="clear" w:color="000000" w:fill="FFFFFF"/>
            <w:vAlign w:val="center"/>
          </w:tcPr>
          <w:p w14:paraId="3D3EC3E1" w14:textId="77777777" w:rsidR="005A043A" w:rsidRPr="00214F41" w:rsidRDefault="005A043A" w:rsidP="00286762">
            <w:pPr>
              <w:jc w:val="center"/>
              <w:rPr>
                <w:sz w:val="18"/>
                <w:szCs w:val="18"/>
                <w:lang w:val="en-GB"/>
              </w:rPr>
            </w:pPr>
            <w:r w:rsidRPr="00214F41">
              <w:rPr>
                <w:sz w:val="18"/>
                <w:szCs w:val="18"/>
                <w:lang w:val="en-GB"/>
              </w:rPr>
              <w:t>Metformin XR</w:t>
            </w:r>
          </w:p>
        </w:tc>
        <w:tc>
          <w:tcPr>
            <w:tcW w:w="491" w:type="pct"/>
            <w:vMerge/>
            <w:shd w:val="clear" w:color="000000" w:fill="FFFFFF"/>
            <w:vAlign w:val="center"/>
            <w:hideMark/>
          </w:tcPr>
          <w:p w14:paraId="2BED60B6"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4CA3F504" w14:textId="77777777" w:rsidR="005A043A" w:rsidRPr="00214F41" w:rsidRDefault="005A043A" w:rsidP="00286762">
            <w:pPr>
              <w:jc w:val="center"/>
              <w:rPr>
                <w:sz w:val="18"/>
                <w:szCs w:val="18"/>
                <w:lang w:val="en-GB"/>
              </w:rPr>
            </w:pPr>
            <w:r w:rsidRPr="00214F41">
              <w:rPr>
                <w:sz w:val="18"/>
                <w:szCs w:val="18"/>
                <w:lang w:val="en-GB"/>
              </w:rPr>
              <w:t>54.5±10.6</w:t>
            </w:r>
          </w:p>
        </w:tc>
        <w:tc>
          <w:tcPr>
            <w:tcW w:w="202" w:type="pct"/>
            <w:shd w:val="clear" w:color="000000" w:fill="FFFFFF"/>
            <w:vAlign w:val="center"/>
            <w:hideMark/>
          </w:tcPr>
          <w:p w14:paraId="48FB7E8F" w14:textId="77777777" w:rsidR="005A043A" w:rsidRPr="00214F41" w:rsidRDefault="005A043A" w:rsidP="00286762">
            <w:pPr>
              <w:jc w:val="center"/>
              <w:rPr>
                <w:sz w:val="18"/>
                <w:szCs w:val="18"/>
                <w:lang w:val="en-GB"/>
              </w:rPr>
            </w:pPr>
            <w:r w:rsidRPr="00214F41">
              <w:rPr>
                <w:sz w:val="18"/>
                <w:szCs w:val="18"/>
                <w:lang w:val="en-GB"/>
              </w:rPr>
              <w:t>112/44.6</w:t>
            </w:r>
          </w:p>
        </w:tc>
        <w:tc>
          <w:tcPr>
            <w:tcW w:w="265" w:type="pct"/>
            <w:gridSpan w:val="2"/>
            <w:shd w:val="clear" w:color="000000" w:fill="FFFFFF"/>
            <w:vAlign w:val="center"/>
            <w:hideMark/>
          </w:tcPr>
          <w:p w14:paraId="73330133" w14:textId="77777777" w:rsidR="005A043A" w:rsidRPr="00214F41" w:rsidRDefault="005A043A" w:rsidP="00286762">
            <w:pPr>
              <w:jc w:val="center"/>
              <w:rPr>
                <w:sz w:val="18"/>
                <w:szCs w:val="18"/>
                <w:lang w:val="en-GB"/>
              </w:rPr>
            </w:pPr>
            <w:r w:rsidRPr="00214F41">
              <w:rPr>
                <w:sz w:val="18"/>
                <w:szCs w:val="18"/>
                <w:lang w:val="en-GB"/>
              </w:rPr>
              <w:t>30.9±4</w:t>
            </w:r>
          </w:p>
        </w:tc>
        <w:tc>
          <w:tcPr>
            <w:tcW w:w="266" w:type="pct"/>
            <w:gridSpan w:val="2"/>
            <w:shd w:val="clear" w:color="000000" w:fill="FFFFFF"/>
            <w:vAlign w:val="center"/>
            <w:hideMark/>
          </w:tcPr>
          <w:p w14:paraId="06C1E5C9" w14:textId="77777777" w:rsidR="005A043A" w:rsidRPr="00214F41" w:rsidRDefault="005A043A" w:rsidP="00286762">
            <w:pPr>
              <w:jc w:val="center"/>
              <w:rPr>
                <w:sz w:val="18"/>
                <w:szCs w:val="18"/>
                <w:lang w:val="en-GB"/>
              </w:rPr>
            </w:pPr>
            <w:r w:rsidRPr="00214F41">
              <w:rPr>
                <w:sz w:val="18"/>
                <w:szCs w:val="18"/>
                <w:lang w:val="en-GB"/>
              </w:rPr>
              <w:t>30.7±4.1</w:t>
            </w:r>
          </w:p>
        </w:tc>
      </w:tr>
      <w:tr w:rsidR="005A043A" w:rsidRPr="0072287D" w14:paraId="3EC39F8E" w14:textId="77777777" w:rsidTr="00286762">
        <w:trPr>
          <w:trHeight w:val="930"/>
        </w:trPr>
        <w:tc>
          <w:tcPr>
            <w:tcW w:w="338" w:type="pct"/>
            <w:shd w:val="clear" w:color="000000" w:fill="FFFFFF"/>
            <w:vAlign w:val="center"/>
            <w:hideMark/>
          </w:tcPr>
          <w:p w14:paraId="24616E39" w14:textId="77777777" w:rsidR="005A043A" w:rsidRPr="00214F41" w:rsidRDefault="005A043A" w:rsidP="00286762">
            <w:pPr>
              <w:jc w:val="center"/>
              <w:rPr>
                <w:sz w:val="18"/>
                <w:szCs w:val="18"/>
                <w:lang w:val="en-GB"/>
              </w:rPr>
            </w:pPr>
            <w:r w:rsidRPr="00214F41">
              <w:rPr>
                <w:sz w:val="18"/>
                <w:szCs w:val="18"/>
                <w:lang w:val="en-GB"/>
              </w:rPr>
              <w:t>Fujioka et al., 2005f</w:t>
            </w:r>
          </w:p>
        </w:tc>
        <w:tc>
          <w:tcPr>
            <w:tcW w:w="171" w:type="pct"/>
            <w:vMerge/>
            <w:shd w:val="clear" w:color="000000" w:fill="FFFFFF"/>
            <w:vAlign w:val="center"/>
            <w:hideMark/>
          </w:tcPr>
          <w:p w14:paraId="48CE5467" w14:textId="77777777" w:rsidR="005A043A" w:rsidRPr="00214F41" w:rsidRDefault="005A043A" w:rsidP="00286762">
            <w:pPr>
              <w:jc w:val="center"/>
              <w:rPr>
                <w:sz w:val="18"/>
                <w:szCs w:val="18"/>
                <w:lang w:val="en-GB"/>
              </w:rPr>
            </w:pPr>
          </w:p>
        </w:tc>
        <w:tc>
          <w:tcPr>
            <w:tcW w:w="744" w:type="pct"/>
            <w:vMerge/>
            <w:shd w:val="clear" w:color="000000" w:fill="FFFFFF"/>
            <w:vAlign w:val="center"/>
            <w:hideMark/>
          </w:tcPr>
          <w:p w14:paraId="2E88C923" w14:textId="77777777" w:rsidR="005A043A" w:rsidRPr="00214F41" w:rsidRDefault="005A043A" w:rsidP="00286762">
            <w:pPr>
              <w:jc w:val="center"/>
              <w:rPr>
                <w:sz w:val="18"/>
                <w:szCs w:val="18"/>
                <w:lang w:val="en-GB"/>
              </w:rPr>
            </w:pPr>
          </w:p>
        </w:tc>
        <w:tc>
          <w:tcPr>
            <w:tcW w:w="364" w:type="pct"/>
            <w:shd w:val="clear" w:color="000000" w:fill="FFFFFF"/>
            <w:vAlign w:val="center"/>
            <w:hideMark/>
          </w:tcPr>
          <w:p w14:paraId="509915C3" w14:textId="77777777" w:rsidR="005A043A" w:rsidRPr="00214F41" w:rsidRDefault="005A043A" w:rsidP="00286762">
            <w:pPr>
              <w:jc w:val="center"/>
              <w:rPr>
                <w:sz w:val="18"/>
                <w:szCs w:val="18"/>
                <w:lang w:val="en-GB"/>
              </w:rPr>
            </w:pPr>
            <w:r w:rsidRPr="00214F41">
              <w:rPr>
                <w:sz w:val="18"/>
                <w:szCs w:val="18"/>
                <w:lang w:val="en-GB"/>
              </w:rPr>
              <w:t>742/738</w:t>
            </w:r>
          </w:p>
        </w:tc>
        <w:tc>
          <w:tcPr>
            <w:tcW w:w="200" w:type="pct"/>
            <w:vMerge/>
            <w:shd w:val="clear" w:color="000000" w:fill="FFFFFF"/>
            <w:vAlign w:val="center"/>
            <w:hideMark/>
          </w:tcPr>
          <w:p w14:paraId="1BE4AFB6" w14:textId="77777777" w:rsidR="005A043A" w:rsidRPr="00214F41" w:rsidRDefault="005A043A" w:rsidP="00286762">
            <w:pPr>
              <w:jc w:val="center"/>
              <w:rPr>
                <w:sz w:val="18"/>
                <w:szCs w:val="18"/>
                <w:lang w:val="en-GB"/>
              </w:rPr>
            </w:pPr>
          </w:p>
        </w:tc>
        <w:tc>
          <w:tcPr>
            <w:tcW w:w="448" w:type="pct"/>
            <w:vMerge/>
            <w:shd w:val="clear" w:color="000000" w:fill="FFFFFF"/>
            <w:vAlign w:val="center"/>
          </w:tcPr>
          <w:p w14:paraId="2F3592BD"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354B2A49" w14:textId="77777777" w:rsidR="005A043A" w:rsidRPr="00214F41" w:rsidRDefault="005A043A" w:rsidP="00286762">
            <w:pPr>
              <w:jc w:val="center"/>
              <w:rPr>
                <w:sz w:val="18"/>
                <w:szCs w:val="18"/>
                <w:lang w:val="en-GB"/>
              </w:rPr>
            </w:pPr>
            <w:r w:rsidRPr="00214F41">
              <w:rPr>
                <w:sz w:val="18"/>
                <w:szCs w:val="18"/>
                <w:lang w:val="en-GB"/>
              </w:rPr>
              <w:t>2000mg/2/d</w:t>
            </w:r>
          </w:p>
        </w:tc>
        <w:tc>
          <w:tcPr>
            <w:tcW w:w="204" w:type="pct"/>
            <w:vMerge/>
            <w:shd w:val="clear" w:color="000000" w:fill="FFFFFF"/>
            <w:vAlign w:val="center"/>
            <w:hideMark/>
          </w:tcPr>
          <w:p w14:paraId="1FA21341" w14:textId="77777777" w:rsidR="005A043A" w:rsidRPr="00214F41" w:rsidRDefault="005A043A" w:rsidP="00286762">
            <w:pPr>
              <w:jc w:val="center"/>
              <w:rPr>
                <w:sz w:val="18"/>
                <w:szCs w:val="18"/>
                <w:lang w:val="en-GB"/>
              </w:rPr>
            </w:pPr>
          </w:p>
        </w:tc>
        <w:tc>
          <w:tcPr>
            <w:tcW w:w="247" w:type="pct"/>
            <w:vMerge/>
            <w:shd w:val="clear" w:color="000000" w:fill="FFFFFF"/>
            <w:vAlign w:val="center"/>
            <w:hideMark/>
          </w:tcPr>
          <w:p w14:paraId="27C96B33" w14:textId="77777777" w:rsidR="005A043A" w:rsidRPr="00214F41" w:rsidRDefault="005A043A" w:rsidP="00286762">
            <w:pPr>
              <w:jc w:val="center"/>
              <w:rPr>
                <w:sz w:val="18"/>
                <w:szCs w:val="18"/>
                <w:lang w:val="en-GB"/>
              </w:rPr>
            </w:pPr>
          </w:p>
        </w:tc>
        <w:tc>
          <w:tcPr>
            <w:tcW w:w="491" w:type="pct"/>
            <w:shd w:val="clear" w:color="000000" w:fill="FFFFFF"/>
            <w:vAlign w:val="center"/>
          </w:tcPr>
          <w:p w14:paraId="75223B0C" w14:textId="77777777" w:rsidR="005A043A" w:rsidRPr="00214F41" w:rsidRDefault="005A043A" w:rsidP="00286762">
            <w:pPr>
              <w:jc w:val="center"/>
              <w:rPr>
                <w:sz w:val="18"/>
                <w:szCs w:val="18"/>
                <w:lang w:val="en-GB"/>
              </w:rPr>
            </w:pPr>
            <w:r w:rsidRPr="00214F41">
              <w:rPr>
                <w:sz w:val="18"/>
                <w:szCs w:val="18"/>
                <w:lang w:val="en-GB"/>
              </w:rPr>
              <w:t>Metformin XR</w:t>
            </w:r>
          </w:p>
        </w:tc>
        <w:tc>
          <w:tcPr>
            <w:tcW w:w="491" w:type="pct"/>
            <w:vMerge/>
            <w:shd w:val="clear" w:color="000000" w:fill="FFFFFF"/>
            <w:vAlign w:val="center"/>
            <w:hideMark/>
          </w:tcPr>
          <w:p w14:paraId="3D402C0D"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61E6CFC1" w14:textId="77777777" w:rsidR="005A043A" w:rsidRPr="00214F41" w:rsidRDefault="005A043A" w:rsidP="00286762">
            <w:pPr>
              <w:jc w:val="center"/>
              <w:rPr>
                <w:sz w:val="18"/>
                <w:szCs w:val="18"/>
                <w:lang w:val="en-GB"/>
              </w:rPr>
            </w:pPr>
            <w:r w:rsidRPr="00214F41">
              <w:rPr>
                <w:sz w:val="18"/>
                <w:szCs w:val="18"/>
                <w:lang w:val="en-GB"/>
              </w:rPr>
              <w:t>55.5±10.1</w:t>
            </w:r>
          </w:p>
        </w:tc>
        <w:tc>
          <w:tcPr>
            <w:tcW w:w="202" w:type="pct"/>
            <w:shd w:val="clear" w:color="000000" w:fill="FFFFFF"/>
            <w:vAlign w:val="center"/>
            <w:hideMark/>
          </w:tcPr>
          <w:p w14:paraId="6EBD0191" w14:textId="77777777" w:rsidR="005A043A" w:rsidRPr="00214F41" w:rsidRDefault="005A043A" w:rsidP="00286762">
            <w:pPr>
              <w:jc w:val="center"/>
              <w:rPr>
                <w:sz w:val="18"/>
                <w:szCs w:val="18"/>
                <w:lang w:val="en-GB"/>
              </w:rPr>
            </w:pPr>
            <w:r w:rsidRPr="00214F41">
              <w:rPr>
                <w:sz w:val="18"/>
                <w:szCs w:val="18"/>
                <w:lang w:val="en-GB"/>
              </w:rPr>
              <w:t>115/47.9</w:t>
            </w:r>
          </w:p>
        </w:tc>
        <w:tc>
          <w:tcPr>
            <w:tcW w:w="265" w:type="pct"/>
            <w:gridSpan w:val="2"/>
            <w:shd w:val="clear" w:color="000000" w:fill="FFFFFF"/>
            <w:vAlign w:val="center"/>
            <w:hideMark/>
          </w:tcPr>
          <w:p w14:paraId="63F20B70" w14:textId="77777777" w:rsidR="005A043A" w:rsidRPr="00214F41" w:rsidRDefault="005A043A" w:rsidP="00286762">
            <w:pPr>
              <w:jc w:val="center"/>
              <w:rPr>
                <w:sz w:val="18"/>
                <w:szCs w:val="18"/>
                <w:lang w:val="en-GB"/>
              </w:rPr>
            </w:pPr>
            <w:r w:rsidRPr="00214F41">
              <w:rPr>
                <w:sz w:val="18"/>
                <w:szCs w:val="18"/>
                <w:lang w:val="en-GB"/>
              </w:rPr>
              <w:t>30.6±4.6</w:t>
            </w:r>
          </w:p>
        </w:tc>
        <w:tc>
          <w:tcPr>
            <w:tcW w:w="266" w:type="pct"/>
            <w:gridSpan w:val="2"/>
            <w:shd w:val="clear" w:color="000000" w:fill="FFFFFF"/>
            <w:vAlign w:val="center"/>
            <w:hideMark/>
          </w:tcPr>
          <w:p w14:paraId="57ADB9F4" w14:textId="77777777" w:rsidR="005A043A" w:rsidRPr="00214F41" w:rsidRDefault="005A043A" w:rsidP="00286762">
            <w:pPr>
              <w:jc w:val="center"/>
              <w:rPr>
                <w:sz w:val="18"/>
                <w:szCs w:val="18"/>
                <w:lang w:val="en-GB"/>
              </w:rPr>
            </w:pPr>
            <w:r w:rsidRPr="00214F41">
              <w:rPr>
                <w:sz w:val="18"/>
                <w:szCs w:val="18"/>
                <w:lang w:val="en-GB"/>
              </w:rPr>
              <w:t>30.7±4.1</w:t>
            </w:r>
          </w:p>
        </w:tc>
      </w:tr>
      <w:tr w:rsidR="005A043A" w:rsidRPr="0072287D" w14:paraId="5F643158" w14:textId="77777777" w:rsidTr="00286762">
        <w:trPr>
          <w:trHeight w:val="336"/>
        </w:trPr>
        <w:tc>
          <w:tcPr>
            <w:tcW w:w="338" w:type="pct"/>
            <w:shd w:val="clear" w:color="000000" w:fill="FFFFFF"/>
            <w:vAlign w:val="center"/>
            <w:hideMark/>
          </w:tcPr>
          <w:p w14:paraId="71CCE339" w14:textId="77777777" w:rsidR="005A043A" w:rsidRPr="00214F41" w:rsidRDefault="005A043A" w:rsidP="00286762">
            <w:pPr>
              <w:jc w:val="center"/>
              <w:rPr>
                <w:sz w:val="18"/>
                <w:szCs w:val="18"/>
                <w:lang w:val="en-GB"/>
              </w:rPr>
            </w:pPr>
            <w:r w:rsidRPr="00214F41">
              <w:rPr>
                <w:sz w:val="18"/>
                <w:szCs w:val="18"/>
                <w:lang w:val="en-GB"/>
              </w:rPr>
              <w:t xml:space="preserve">Garber et al., 1997a </w:t>
            </w:r>
            <w:r w:rsidRPr="00214F41">
              <w:rPr>
                <w:sz w:val="18"/>
                <w:szCs w:val="18"/>
              </w:rPr>
              <w:fldChar w:fldCharType="begin" w:fldLock="1"/>
            </w:r>
            <w:r>
              <w:rPr>
                <w:sz w:val="18"/>
                <w:szCs w:val="18"/>
                <w:lang w:val="en-GB"/>
              </w:rPr>
              <w:instrText>ADDIN CSL_CITATION {"citationItems":[{"id":"ITEM-1","itemData":{"DOI":"10.1016/S0002-9343(97)00254-4","ISSN":"0002-9343","PMID":"9428832","abstract":"PURPOSE: To study the efficacy and safety of various dosages of metformin as compared with placebo in patients with type II diabetes mellitus. PATIENTS AND METHODS: A 14-week, multicenter, double-blind, dose- response study was conducted. After a 3-week, single-blind, placebo- controlled washout, 451 patients with fasting plasma glucose levels of at least 180 mg/dL were randomized to receive an 11-week course of placebo or metformin given at 500, 1000, 1500, 2000, or 2500 mg daily. RESULTS: Metformin improved glucose variables as compared with placebo. The adjusted mean changes in fasting plasma glucose from baseline associated with each metformin group at week 7, 11, or at endpoint exceeded those associated with placebo by 19 to 84 mg/dL at dosages of 500 to 2000 mg daily, respectively. The corresponding between-group differences in glycated hemoglobin (HbA(1C)) ranged from 0.6% to 2.0% at dosages of 500 to 2000 mg daily, respectively. All between-group differences were significant (P &lt; 0.05) for both fasting plasma glucose and HbA(1C) at week 7, week 11, and endpoint, except for the difference between placebo and metformin 500 mg in fasting plasma glucose at endpoint (P = 0.054). Treatment-related adverse events occurred in 15% of patients in the placebo group and in 28% in the metformin group (P = 0.02); these were primarily manifested as digestive disturbances, such as diarrhea. CONCLUSIONS: Metformin lowered fasting plasma glucose and HbA(1C) generally in a dose-related manner. Benefits were observed with as little as 500 mg of metformin; maximal benefits were observed at the upper limits of the recommended daily dosage. All dosages were well tolerated. Metformin appears to be a useful therapeutic option for physicians who wish to titrate drug therapy to achieve target glucose concentrations.","author":[{"dropping-particle":"","family":"Garber","given":"Alan J.","non-dropping-particle":"","parse-names":false,"suffix":""},{"dropping-particle":"","family":"Duncan","given":"Theodore G.","non-dropping-particle":"","parse-names":false,"suffix":""},{"dropping-particle":"","family":"Goodman","given":"Anita M.","non-dropping-particle":"","parse-names":false,"suffix":""},{"dropping-particle":"","family":"Mills","given":"Donna J.","non-dropping-particle":"","parse-names":false,"suffix":""},{"dropping-particle":"","family":"Rohlf","given":"Jane L.","non-dropping-particle":"","parse-names":false,"suffix":""}],"container-title":"The American Journal of Medicine","id":"ITEM-1","issue":"6","issued":{"date-parts":[["1997","12","1"]]},"page":"491-497","publisher":"Elsevier","title":"Efficacy of Metformin in Type II Diabetes: Results of a Double-Blind, Placebo-controlled, Dose-Response Trial","type":"article-journal","volume":"103"},"uris":["http://www.mendeley.com/documents/?uuid=e4313214-53c0-3094-84ce-53ff4721ea59"]}],"mendeley":{"formattedCitation":"[12]","plainTextFormattedCitation":"[12]","previouslyFormattedCitation":"[12]"},"properties":{"noteIndex":0},"schema":"https://github.com/citation-style-language/schema/raw/master/csl-citation.json"}</w:instrText>
            </w:r>
            <w:r w:rsidRPr="00214F41">
              <w:rPr>
                <w:sz w:val="18"/>
                <w:szCs w:val="18"/>
              </w:rPr>
              <w:fldChar w:fldCharType="separate"/>
            </w:r>
            <w:r w:rsidRPr="00FF29A9">
              <w:rPr>
                <w:noProof/>
                <w:sz w:val="18"/>
                <w:szCs w:val="18"/>
                <w:lang w:val="en-GB"/>
              </w:rPr>
              <w:t>[12]</w:t>
            </w:r>
            <w:r w:rsidRPr="00214F41">
              <w:rPr>
                <w:sz w:val="18"/>
                <w:szCs w:val="18"/>
              </w:rPr>
              <w:fldChar w:fldCharType="end"/>
            </w:r>
          </w:p>
        </w:tc>
        <w:tc>
          <w:tcPr>
            <w:tcW w:w="171" w:type="pct"/>
            <w:vMerge w:val="restart"/>
            <w:shd w:val="clear" w:color="000000" w:fill="FFFFFF"/>
            <w:vAlign w:val="center"/>
            <w:hideMark/>
          </w:tcPr>
          <w:p w14:paraId="5C35FD56" w14:textId="77777777" w:rsidR="005A043A" w:rsidRPr="00214F41" w:rsidRDefault="005A043A" w:rsidP="00286762">
            <w:pPr>
              <w:jc w:val="center"/>
              <w:rPr>
                <w:sz w:val="18"/>
                <w:szCs w:val="18"/>
                <w:lang w:val="en-GB"/>
              </w:rPr>
            </w:pPr>
            <w:r w:rsidRPr="00214F41">
              <w:rPr>
                <w:sz w:val="18"/>
                <w:szCs w:val="18"/>
                <w:lang w:val="en-GB"/>
              </w:rPr>
              <w:t>ITT</w:t>
            </w:r>
          </w:p>
          <w:p w14:paraId="1E44C15C" w14:textId="77777777" w:rsidR="005A043A" w:rsidRPr="00214F41" w:rsidRDefault="005A043A" w:rsidP="00286762">
            <w:pPr>
              <w:jc w:val="center"/>
              <w:rPr>
                <w:sz w:val="18"/>
                <w:szCs w:val="18"/>
                <w:lang w:val="en-GB"/>
              </w:rPr>
            </w:pPr>
          </w:p>
        </w:tc>
        <w:tc>
          <w:tcPr>
            <w:tcW w:w="744" w:type="pct"/>
            <w:vMerge w:val="restart"/>
            <w:shd w:val="clear" w:color="000000" w:fill="FFFFFF"/>
            <w:vAlign w:val="center"/>
            <w:hideMark/>
          </w:tcPr>
          <w:p w14:paraId="4EBA963A" w14:textId="77777777" w:rsidR="005A043A" w:rsidRPr="00214F41" w:rsidRDefault="005A043A" w:rsidP="00286762">
            <w:pPr>
              <w:jc w:val="center"/>
              <w:rPr>
                <w:sz w:val="18"/>
                <w:szCs w:val="18"/>
                <w:lang w:val="en-GB"/>
              </w:rPr>
            </w:pPr>
            <w:r w:rsidRPr="00214F41">
              <w:rPr>
                <w:sz w:val="18"/>
                <w:szCs w:val="18"/>
                <w:lang w:val="en-GB"/>
              </w:rPr>
              <w:t>To study the efficacy and safety of various dosages of metformin  in patients with T2DM</w:t>
            </w:r>
          </w:p>
        </w:tc>
        <w:tc>
          <w:tcPr>
            <w:tcW w:w="364" w:type="pct"/>
            <w:vMerge w:val="restart"/>
            <w:shd w:val="clear" w:color="000000" w:fill="FFFFFF"/>
            <w:vAlign w:val="center"/>
            <w:hideMark/>
          </w:tcPr>
          <w:p w14:paraId="67220490" w14:textId="77777777" w:rsidR="005A043A" w:rsidRPr="00214F41" w:rsidRDefault="005A043A" w:rsidP="00286762">
            <w:pPr>
              <w:jc w:val="center"/>
              <w:rPr>
                <w:sz w:val="18"/>
                <w:szCs w:val="18"/>
                <w:lang w:val="en-GB"/>
              </w:rPr>
            </w:pPr>
            <w:r w:rsidRPr="00214F41">
              <w:rPr>
                <w:sz w:val="18"/>
                <w:szCs w:val="18"/>
                <w:lang w:val="en-GB"/>
              </w:rPr>
              <w:t>451/451</w:t>
            </w:r>
          </w:p>
          <w:p w14:paraId="1F15EBD2" w14:textId="77777777" w:rsidR="005A043A" w:rsidRPr="00214F41" w:rsidRDefault="005A043A" w:rsidP="00286762">
            <w:pPr>
              <w:jc w:val="center"/>
              <w:rPr>
                <w:sz w:val="18"/>
                <w:szCs w:val="18"/>
                <w:lang w:val="en-GB"/>
              </w:rPr>
            </w:pPr>
          </w:p>
        </w:tc>
        <w:tc>
          <w:tcPr>
            <w:tcW w:w="200" w:type="pct"/>
            <w:vMerge w:val="restart"/>
            <w:shd w:val="clear" w:color="000000" w:fill="FFFFFF"/>
            <w:vAlign w:val="center"/>
            <w:hideMark/>
          </w:tcPr>
          <w:p w14:paraId="27049329" w14:textId="77777777" w:rsidR="005A043A" w:rsidRPr="00214F41" w:rsidRDefault="005A043A" w:rsidP="00286762">
            <w:pPr>
              <w:jc w:val="center"/>
              <w:rPr>
                <w:sz w:val="18"/>
                <w:szCs w:val="18"/>
                <w:lang w:val="en-GB"/>
              </w:rPr>
            </w:pPr>
            <w:r w:rsidRPr="00214F41">
              <w:rPr>
                <w:sz w:val="18"/>
                <w:szCs w:val="18"/>
                <w:lang w:val="en-GB"/>
              </w:rPr>
              <w:t>S</w:t>
            </w:r>
          </w:p>
        </w:tc>
        <w:tc>
          <w:tcPr>
            <w:tcW w:w="448" w:type="pct"/>
            <w:vMerge w:val="restart"/>
            <w:shd w:val="clear" w:color="000000" w:fill="FFFFFF"/>
            <w:vAlign w:val="center"/>
            <w:hideMark/>
          </w:tcPr>
          <w:p w14:paraId="758E4463"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6DE28884" w14:textId="77777777" w:rsidR="005A043A" w:rsidRPr="00214F41" w:rsidRDefault="005A043A" w:rsidP="00286762">
            <w:pPr>
              <w:jc w:val="center"/>
              <w:rPr>
                <w:sz w:val="18"/>
                <w:szCs w:val="18"/>
                <w:lang w:val="en-GB"/>
              </w:rPr>
            </w:pPr>
            <w:r w:rsidRPr="00214F41">
              <w:rPr>
                <w:sz w:val="18"/>
                <w:szCs w:val="18"/>
                <w:lang w:val="en-GB"/>
              </w:rPr>
              <w:t>500mg/1/d</w:t>
            </w:r>
          </w:p>
        </w:tc>
        <w:tc>
          <w:tcPr>
            <w:tcW w:w="204" w:type="pct"/>
            <w:vMerge w:val="restart"/>
            <w:shd w:val="clear" w:color="000000" w:fill="FFFFFF"/>
            <w:vAlign w:val="center"/>
            <w:hideMark/>
          </w:tcPr>
          <w:p w14:paraId="269C2837" w14:textId="77777777" w:rsidR="005A043A" w:rsidRPr="00214F41" w:rsidRDefault="005A043A" w:rsidP="00286762">
            <w:pPr>
              <w:jc w:val="center"/>
              <w:rPr>
                <w:sz w:val="18"/>
                <w:szCs w:val="18"/>
                <w:lang w:val="en-GB"/>
              </w:rPr>
            </w:pPr>
            <w:r w:rsidRPr="00214F41">
              <w:rPr>
                <w:sz w:val="18"/>
                <w:szCs w:val="18"/>
                <w:lang w:val="en-GB"/>
              </w:rPr>
              <w:t>77</w:t>
            </w:r>
          </w:p>
          <w:p w14:paraId="4FBF8DFC" w14:textId="77777777" w:rsidR="005A043A" w:rsidRPr="00214F41" w:rsidRDefault="005A043A" w:rsidP="00286762">
            <w:pPr>
              <w:jc w:val="center"/>
              <w:rPr>
                <w:sz w:val="18"/>
                <w:szCs w:val="18"/>
                <w:lang w:val="en-GB"/>
              </w:rPr>
            </w:pPr>
          </w:p>
        </w:tc>
        <w:tc>
          <w:tcPr>
            <w:tcW w:w="247" w:type="pct"/>
            <w:vMerge w:val="restart"/>
            <w:shd w:val="clear" w:color="000000" w:fill="FFFFFF"/>
            <w:vAlign w:val="center"/>
            <w:hideMark/>
          </w:tcPr>
          <w:p w14:paraId="02B6EBBF"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3E7EA0C7"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vMerge w:val="restart"/>
            <w:shd w:val="clear" w:color="000000" w:fill="FFFFFF"/>
            <w:vAlign w:val="center"/>
            <w:hideMark/>
          </w:tcPr>
          <w:p w14:paraId="1AEADA73" w14:textId="77777777" w:rsidR="005A043A" w:rsidRPr="00214F41" w:rsidRDefault="005A043A" w:rsidP="00286762">
            <w:pPr>
              <w:jc w:val="center"/>
              <w:rPr>
                <w:sz w:val="18"/>
                <w:szCs w:val="18"/>
                <w:lang w:val="en-GB"/>
              </w:rPr>
            </w:pPr>
            <w:r w:rsidRPr="00214F41">
              <w:rPr>
                <w:sz w:val="18"/>
                <w:szCs w:val="18"/>
                <w:lang w:val="en-GB"/>
              </w:rPr>
              <w:t>PBO</w:t>
            </w:r>
          </w:p>
        </w:tc>
        <w:tc>
          <w:tcPr>
            <w:tcW w:w="245" w:type="pct"/>
            <w:gridSpan w:val="2"/>
            <w:shd w:val="clear" w:color="000000" w:fill="FFFFFF"/>
            <w:vAlign w:val="center"/>
            <w:hideMark/>
          </w:tcPr>
          <w:p w14:paraId="3ECB2453" w14:textId="77777777" w:rsidR="005A043A" w:rsidRPr="00214F41" w:rsidRDefault="005A043A" w:rsidP="00286762">
            <w:pPr>
              <w:jc w:val="center"/>
              <w:rPr>
                <w:sz w:val="18"/>
                <w:szCs w:val="18"/>
                <w:lang w:val="en-GB"/>
              </w:rPr>
            </w:pPr>
            <w:r w:rsidRPr="00214F41">
              <w:rPr>
                <w:sz w:val="18"/>
                <w:szCs w:val="18"/>
                <w:lang w:val="en-GB"/>
              </w:rPr>
              <w:t>56±10.6</w:t>
            </w:r>
          </w:p>
        </w:tc>
        <w:tc>
          <w:tcPr>
            <w:tcW w:w="202" w:type="pct"/>
            <w:shd w:val="clear" w:color="000000" w:fill="FFFFFF"/>
            <w:vAlign w:val="center"/>
            <w:hideMark/>
          </w:tcPr>
          <w:p w14:paraId="123D66FC" w14:textId="77777777" w:rsidR="005A043A" w:rsidRPr="00214F41" w:rsidRDefault="005A043A" w:rsidP="00286762">
            <w:pPr>
              <w:jc w:val="center"/>
              <w:rPr>
                <w:sz w:val="18"/>
                <w:szCs w:val="18"/>
                <w:lang w:val="en-GB"/>
              </w:rPr>
            </w:pPr>
            <w:r w:rsidRPr="00214F41">
              <w:rPr>
                <w:sz w:val="18"/>
                <w:szCs w:val="18"/>
                <w:lang w:val="en-GB"/>
              </w:rPr>
              <w:t>89/58.6</w:t>
            </w:r>
          </w:p>
        </w:tc>
        <w:tc>
          <w:tcPr>
            <w:tcW w:w="265" w:type="pct"/>
            <w:gridSpan w:val="2"/>
            <w:shd w:val="clear" w:color="000000" w:fill="FFFFFF"/>
            <w:vAlign w:val="center"/>
            <w:hideMark/>
          </w:tcPr>
          <w:p w14:paraId="58A49B6D" w14:textId="77777777" w:rsidR="005A043A" w:rsidRPr="00214F41" w:rsidRDefault="005A043A" w:rsidP="00286762">
            <w:pPr>
              <w:jc w:val="center"/>
              <w:rPr>
                <w:sz w:val="18"/>
                <w:szCs w:val="18"/>
                <w:lang w:val="en-GB"/>
              </w:rPr>
            </w:pPr>
            <w:r w:rsidRPr="00214F41">
              <w:rPr>
                <w:sz w:val="18"/>
                <w:szCs w:val="18"/>
                <w:lang w:val="en-GB"/>
              </w:rPr>
              <w:t>31.9±nd</w:t>
            </w:r>
          </w:p>
        </w:tc>
        <w:tc>
          <w:tcPr>
            <w:tcW w:w="266" w:type="pct"/>
            <w:gridSpan w:val="2"/>
            <w:vMerge w:val="restart"/>
            <w:shd w:val="clear" w:color="000000" w:fill="FFFFFF"/>
            <w:vAlign w:val="center"/>
            <w:hideMark/>
          </w:tcPr>
          <w:p w14:paraId="3DEB822F" w14:textId="77777777" w:rsidR="005A043A" w:rsidRPr="00214F41" w:rsidRDefault="005A043A" w:rsidP="00286762">
            <w:pPr>
              <w:jc w:val="center"/>
              <w:rPr>
                <w:sz w:val="18"/>
                <w:szCs w:val="18"/>
                <w:lang w:val="en-GB"/>
              </w:rPr>
            </w:pPr>
            <w:r w:rsidRPr="00214F41">
              <w:rPr>
                <w:sz w:val="18"/>
                <w:szCs w:val="18"/>
                <w:lang w:val="en-GB"/>
              </w:rPr>
              <w:t>32.21±nd</w:t>
            </w:r>
          </w:p>
          <w:p w14:paraId="0EEE19E5" w14:textId="77777777" w:rsidR="005A043A" w:rsidRPr="00214F41" w:rsidRDefault="005A043A" w:rsidP="00286762">
            <w:pPr>
              <w:jc w:val="center"/>
              <w:rPr>
                <w:sz w:val="18"/>
                <w:szCs w:val="18"/>
                <w:lang w:val="en-GB"/>
              </w:rPr>
            </w:pPr>
          </w:p>
        </w:tc>
      </w:tr>
      <w:tr w:rsidR="005A043A" w:rsidRPr="0072287D" w14:paraId="310EB41B" w14:textId="77777777" w:rsidTr="00286762">
        <w:trPr>
          <w:trHeight w:val="260"/>
        </w:trPr>
        <w:tc>
          <w:tcPr>
            <w:tcW w:w="338" w:type="pct"/>
            <w:shd w:val="clear" w:color="000000" w:fill="FFFFFF"/>
            <w:vAlign w:val="center"/>
            <w:hideMark/>
          </w:tcPr>
          <w:p w14:paraId="21C5DDEE" w14:textId="77777777" w:rsidR="005A043A" w:rsidRPr="00214F41" w:rsidRDefault="005A043A" w:rsidP="00286762">
            <w:pPr>
              <w:jc w:val="center"/>
              <w:rPr>
                <w:sz w:val="18"/>
                <w:szCs w:val="18"/>
                <w:lang w:val="en-GB"/>
              </w:rPr>
            </w:pPr>
            <w:r w:rsidRPr="00214F41">
              <w:rPr>
                <w:sz w:val="18"/>
                <w:szCs w:val="18"/>
                <w:lang w:val="en-GB"/>
              </w:rPr>
              <w:t>Garber et al., 1997b</w:t>
            </w:r>
          </w:p>
        </w:tc>
        <w:tc>
          <w:tcPr>
            <w:tcW w:w="171" w:type="pct"/>
            <w:vMerge/>
            <w:shd w:val="clear" w:color="000000" w:fill="FFFFFF"/>
            <w:vAlign w:val="center"/>
            <w:hideMark/>
          </w:tcPr>
          <w:p w14:paraId="3EDFA896" w14:textId="77777777" w:rsidR="005A043A" w:rsidRPr="00214F41" w:rsidRDefault="005A043A" w:rsidP="00286762">
            <w:pPr>
              <w:jc w:val="center"/>
              <w:rPr>
                <w:sz w:val="18"/>
                <w:szCs w:val="18"/>
                <w:lang w:val="en-GB"/>
              </w:rPr>
            </w:pPr>
          </w:p>
        </w:tc>
        <w:tc>
          <w:tcPr>
            <w:tcW w:w="744" w:type="pct"/>
            <w:vMerge/>
            <w:shd w:val="clear" w:color="000000" w:fill="FFFFFF"/>
            <w:vAlign w:val="center"/>
            <w:hideMark/>
          </w:tcPr>
          <w:p w14:paraId="25535404" w14:textId="77777777" w:rsidR="005A043A" w:rsidRPr="00214F41" w:rsidRDefault="005A043A" w:rsidP="00286762">
            <w:pPr>
              <w:jc w:val="center"/>
              <w:rPr>
                <w:sz w:val="18"/>
                <w:szCs w:val="18"/>
                <w:lang w:val="en-GB"/>
              </w:rPr>
            </w:pPr>
          </w:p>
        </w:tc>
        <w:tc>
          <w:tcPr>
            <w:tcW w:w="364" w:type="pct"/>
            <w:vMerge/>
            <w:shd w:val="clear" w:color="000000" w:fill="FFFFFF"/>
            <w:vAlign w:val="center"/>
            <w:hideMark/>
          </w:tcPr>
          <w:p w14:paraId="08CAE8E9" w14:textId="77777777" w:rsidR="005A043A" w:rsidRPr="00214F41" w:rsidRDefault="005A043A" w:rsidP="00286762">
            <w:pPr>
              <w:jc w:val="center"/>
              <w:rPr>
                <w:sz w:val="18"/>
                <w:szCs w:val="18"/>
                <w:lang w:val="en-GB"/>
              </w:rPr>
            </w:pPr>
          </w:p>
        </w:tc>
        <w:tc>
          <w:tcPr>
            <w:tcW w:w="200" w:type="pct"/>
            <w:vMerge/>
            <w:shd w:val="clear" w:color="000000" w:fill="FFFFFF"/>
            <w:vAlign w:val="center"/>
          </w:tcPr>
          <w:p w14:paraId="6B55E2BF" w14:textId="77777777" w:rsidR="005A043A" w:rsidRPr="00214F41" w:rsidRDefault="005A043A" w:rsidP="00286762">
            <w:pPr>
              <w:jc w:val="center"/>
              <w:rPr>
                <w:sz w:val="18"/>
                <w:szCs w:val="18"/>
                <w:lang w:val="en-GB"/>
              </w:rPr>
            </w:pPr>
          </w:p>
        </w:tc>
        <w:tc>
          <w:tcPr>
            <w:tcW w:w="448" w:type="pct"/>
            <w:vMerge/>
            <w:shd w:val="clear" w:color="000000" w:fill="FFFFFF"/>
            <w:vAlign w:val="center"/>
          </w:tcPr>
          <w:p w14:paraId="58E8AAC1"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70EB8135" w14:textId="77777777" w:rsidR="005A043A" w:rsidRPr="00214F41" w:rsidRDefault="005A043A" w:rsidP="00286762">
            <w:pPr>
              <w:jc w:val="center"/>
              <w:rPr>
                <w:sz w:val="18"/>
                <w:szCs w:val="18"/>
                <w:lang w:val="en-GB"/>
              </w:rPr>
            </w:pPr>
            <w:r w:rsidRPr="00214F41">
              <w:rPr>
                <w:sz w:val="18"/>
                <w:szCs w:val="18"/>
                <w:lang w:val="en-GB"/>
              </w:rPr>
              <w:t>1000mg/2/d</w:t>
            </w:r>
          </w:p>
        </w:tc>
        <w:tc>
          <w:tcPr>
            <w:tcW w:w="204" w:type="pct"/>
            <w:vMerge/>
            <w:shd w:val="clear" w:color="000000" w:fill="FFFFFF"/>
            <w:vAlign w:val="center"/>
            <w:hideMark/>
          </w:tcPr>
          <w:p w14:paraId="15C8B8F4" w14:textId="77777777" w:rsidR="005A043A" w:rsidRPr="00214F41" w:rsidRDefault="005A043A" w:rsidP="00286762">
            <w:pPr>
              <w:jc w:val="center"/>
              <w:rPr>
                <w:sz w:val="18"/>
                <w:szCs w:val="18"/>
                <w:lang w:val="en-GB"/>
              </w:rPr>
            </w:pPr>
          </w:p>
        </w:tc>
        <w:tc>
          <w:tcPr>
            <w:tcW w:w="247" w:type="pct"/>
            <w:vMerge/>
            <w:shd w:val="clear" w:color="000000" w:fill="FFFFFF"/>
            <w:vAlign w:val="center"/>
          </w:tcPr>
          <w:p w14:paraId="506C354B" w14:textId="77777777" w:rsidR="005A043A" w:rsidRPr="00214F41" w:rsidRDefault="005A043A" w:rsidP="00286762">
            <w:pPr>
              <w:jc w:val="center"/>
              <w:rPr>
                <w:sz w:val="18"/>
                <w:szCs w:val="18"/>
                <w:lang w:val="en-GB"/>
              </w:rPr>
            </w:pPr>
          </w:p>
        </w:tc>
        <w:tc>
          <w:tcPr>
            <w:tcW w:w="491" w:type="pct"/>
            <w:shd w:val="clear" w:color="000000" w:fill="FFFFFF"/>
            <w:vAlign w:val="center"/>
          </w:tcPr>
          <w:p w14:paraId="6245511D"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vMerge/>
            <w:shd w:val="clear" w:color="000000" w:fill="FFFFFF"/>
            <w:vAlign w:val="center"/>
          </w:tcPr>
          <w:p w14:paraId="1845C1B2"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47247C51" w14:textId="77777777" w:rsidR="005A043A" w:rsidRPr="00214F41" w:rsidRDefault="005A043A" w:rsidP="00286762">
            <w:pPr>
              <w:jc w:val="center"/>
              <w:rPr>
                <w:sz w:val="18"/>
                <w:szCs w:val="18"/>
                <w:lang w:val="en-GB"/>
              </w:rPr>
            </w:pPr>
            <w:r w:rsidRPr="00214F41">
              <w:rPr>
                <w:sz w:val="18"/>
                <w:szCs w:val="18"/>
                <w:lang w:val="en-GB"/>
              </w:rPr>
              <w:t>55±10.5</w:t>
            </w:r>
          </w:p>
        </w:tc>
        <w:tc>
          <w:tcPr>
            <w:tcW w:w="202" w:type="pct"/>
            <w:shd w:val="clear" w:color="000000" w:fill="FFFFFF"/>
            <w:vAlign w:val="center"/>
            <w:hideMark/>
          </w:tcPr>
          <w:p w14:paraId="5DC2012C" w14:textId="77777777" w:rsidR="005A043A" w:rsidRPr="00214F41" w:rsidRDefault="005A043A" w:rsidP="00286762">
            <w:pPr>
              <w:jc w:val="center"/>
              <w:rPr>
                <w:sz w:val="18"/>
                <w:szCs w:val="18"/>
                <w:lang w:val="en-GB"/>
              </w:rPr>
            </w:pPr>
            <w:r w:rsidRPr="00214F41">
              <w:rPr>
                <w:sz w:val="18"/>
                <w:szCs w:val="18"/>
                <w:lang w:val="en-GB"/>
              </w:rPr>
              <w:t>84/55.3</w:t>
            </w:r>
          </w:p>
        </w:tc>
        <w:tc>
          <w:tcPr>
            <w:tcW w:w="265" w:type="pct"/>
            <w:gridSpan w:val="2"/>
            <w:shd w:val="clear" w:color="000000" w:fill="FFFFFF"/>
            <w:vAlign w:val="center"/>
            <w:hideMark/>
          </w:tcPr>
          <w:p w14:paraId="76B3D557" w14:textId="77777777" w:rsidR="005A043A" w:rsidRPr="00214F41" w:rsidRDefault="005A043A" w:rsidP="00286762">
            <w:pPr>
              <w:jc w:val="center"/>
              <w:rPr>
                <w:sz w:val="18"/>
                <w:szCs w:val="18"/>
                <w:lang w:val="en-GB"/>
              </w:rPr>
            </w:pPr>
            <w:r w:rsidRPr="00214F41">
              <w:rPr>
                <w:sz w:val="18"/>
                <w:szCs w:val="18"/>
                <w:lang w:val="en-GB"/>
              </w:rPr>
              <w:t>31.9±nd</w:t>
            </w:r>
          </w:p>
        </w:tc>
        <w:tc>
          <w:tcPr>
            <w:tcW w:w="266" w:type="pct"/>
            <w:gridSpan w:val="2"/>
            <w:vMerge/>
            <w:shd w:val="clear" w:color="000000" w:fill="FFFFFF"/>
            <w:vAlign w:val="center"/>
            <w:hideMark/>
          </w:tcPr>
          <w:p w14:paraId="6C0C5B12" w14:textId="77777777" w:rsidR="005A043A" w:rsidRPr="00214F41" w:rsidRDefault="005A043A" w:rsidP="00286762">
            <w:pPr>
              <w:jc w:val="center"/>
              <w:rPr>
                <w:sz w:val="18"/>
                <w:szCs w:val="18"/>
                <w:lang w:val="en-GB"/>
              </w:rPr>
            </w:pPr>
          </w:p>
        </w:tc>
      </w:tr>
      <w:tr w:rsidR="005A043A" w:rsidRPr="0072287D" w14:paraId="270B39CB" w14:textId="77777777" w:rsidTr="00286762">
        <w:trPr>
          <w:trHeight w:val="418"/>
        </w:trPr>
        <w:tc>
          <w:tcPr>
            <w:tcW w:w="338" w:type="pct"/>
            <w:shd w:val="clear" w:color="000000" w:fill="FFFFFF"/>
            <w:vAlign w:val="center"/>
            <w:hideMark/>
          </w:tcPr>
          <w:p w14:paraId="1C203F4F" w14:textId="77777777" w:rsidR="005A043A" w:rsidRPr="00214F41" w:rsidRDefault="005A043A" w:rsidP="00286762">
            <w:pPr>
              <w:jc w:val="center"/>
              <w:rPr>
                <w:sz w:val="18"/>
                <w:szCs w:val="18"/>
                <w:lang w:val="en-GB"/>
              </w:rPr>
            </w:pPr>
            <w:r w:rsidRPr="00214F41">
              <w:rPr>
                <w:sz w:val="18"/>
                <w:szCs w:val="18"/>
                <w:lang w:val="en-GB"/>
              </w:rPr>
              <w:t>Garber et al., 1997c</w:t>
            </w:r>
          </w:p>
        </w:tc>
        <w:tc>
          <w:tcPr>
            <w:tcW w:w="171" w:type="pct"/>
            <w:vMerge/>
            <w:shd w:val="clear" w:color="000000" w:fill="FFFFFF"/>
            <w:vAlign w:val="center"/>
            <w:hideMark/>
          </w:tcPr>
          <w:p w14:paraId="1C2988D3" w14:textId="77777777" w:rsidR="005A043A" w:rsidRPr="00214F41" w:rsidRDefault="005A043A" w:rsidP="00286762">
            <w:pPr>
              <w:jc w:val="center"/>
              <w:rPr>
                <w:sz w:val="18"/>
                <w:szCs w:val="18"/>
                <w:lang w:val="en-GB"/>
              </w:rPr>
            </w:pPr>
          </w:p>
        </w:tc>
        <w:tc>
          <w:tcPr>
            <w:tcW w:w="744" w:type="pct"/>
            <w:vMerge/>
            <w:shd w:val="clear" w:color="000000" w:fill="FFFFFF"/>
            <w:vAlign w:val="center"/>
          </w:tcPr>
          <w:p w14:paraId="0072D94D" w14:textId="77777777" w:rsidR="005A043A" w:rsidRPr="00214F41" w:rsidRDefault="005A043A" w:rsidP="00286762">
            <w:pPr>
              <w:jc w:val="center"/>
              <w:rPr>
                <w:sz w:val="18"/>
                <w:szCs w:val="18"/>
                <w:lang w:val="en-GB"/>
              </w:rPr>
            </w:pPr>
          </w:p>
        </w:tc>
        <w:tc>
          <w:tcPr>
            <w:tcW w:w="364" w:type="pct"/>
            <w:vMerge/>
            <w:shd w:val="clear" w:color="000000" w:fill="FFFFFF"/>
            <w:vAlign w:val="center"/>
            <w:hideMark/>
          </w:tcPr>
          <w:p w14:paraId="51071FDC" w14:textId="77777777" w:rsidR="005A043A" w:rsidRPr="00214F41" w:rsidRDefault="005A043A" w:rsidP="00286762">
            <w:pPr>
              <w:jc w:val="center"/>
              <w:rPr>
                <w:sz w:val="18"/>
                <w:szCs w:val="18"/>
                <w:lang w:val="en-GB"/>
              </w:rPr>
            </w:pPr>
          </w:p>
        </w:tc>
        <w:tc>
          <w:tcPr>
            <w:tcW w:w="200" w:type="pct"/>
            <w:vMerge/>
            <w:shd w:val="clear" w:color="000000" w:fill="FFFFFF"/>
            <w:vAlign w:val="center"/>
          </w:tcPr>
          <w:p w14:paraId="195E204E" w14:textId="77777777" w:rsidR="005A043A" w:rsidRPr="00214F41" w:rsidRDefault="005A043A" w:rsidP="00286762">
            <w:pPr>
              <w:jc w:val="center"/>
              <w:rPr>
                <w:sz w:val="18"/>
                <w:szCs w:val="18"/>
                <w:lang w:val="en-GB"/>
              </w:rPr>
            </w:pPr>
          </w:p>
        </w:tc>
        <w:tc>
          <w:tcPr>
            <w:tcW w:w="448" w:type="pct"/>
            <w:vMerge/>
            <w:shd w:val="clear" w:color="000000" w:fill="FFFFFF"/>
            <w:vAlign w:val="center"/>
          </w:tcPr>
          <w:p w14:paraId="4B0A060F"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5A97505A" w14:textId="77777777" w:rsidR="005A043A" w:rsidRPr="00214F41" w:rsidRDefault="005A043A" w:rsidP="00286762">
            <w:pPr>
              <w:jc w:val="center"/>
              <w:rPr>
                <w:sz w:val="18"/>
                <w:szCs w:val="18"/>
                <w:lang w:val="en-GB"/>
              </w:rPr>
            </w:pPr>
            <w:r w:rsidRPr="00214F41">
              <w:rPr>
                <w:sz w:val="18"/>
                <w:szCs w:val="18"/>
                <w:lang w:val="en-GB"/>
              </w:rPr>
              <w:t>1500mg/3/d</w:t>
            </w:r>
          </w:p>
        </w:tc>
        <w:tc>
          <w:tcPr>
            <w:tcW w:w="204" w:type="pct"/>
            <w:vMerge/>
            <w:shd w:val="clear" w:color="000000" w:fill="FFFFFF"/>
            <w:vAlign w:val="center"/>
            <w:hideMark/>
          </w:tcPr>
          <w:p w14:paraId="79F283E7" w14:textId="77777777" w:rsidR="005A043A" w:rsidRPr="00214F41" w:rsidRDefault="005A043A" w:rsidP="00286762">
            <w:pPr>
              <w:jc w:val="center"/>
              <w:rPr>
                <w:sz w:val="18"/>
                <w:szCs w:val="18"/>
                <w:lang w:val="en-GB"/>
              </w:rPr>
            </w:pPr>
          </w:p>
        </w:tc>
        <w:tc>
          <w:tcPr>
            <w:tcW w:w="247" w:type="pct"/>
            <w:vMerge/>
            <w:shd w:val="clear" w:color="000000" w:fill="FFFFFF"/>
            <w:vAlign w:val="center"/>
          </w:tcPr>
          <w:p w14:paraId="67BB34BE" w14:textId="77777777" w:rsidR="005A043A" w:rsidRPr="00214F41" w:rsidRDefault="005A043A" w:rsidP="00286762">
            <w:pPr>
              <w:jc w:val="center"/>
              <w:rPr>
                <w:sz w:val="18"/>
                <w:szCs w:val="18"/>
                <w:lang w:val="en-GB"/>
              </w:rPr>
            </w:pPr>
          </w:p>
        </w:tc>
        <w:tc>
          <w:tcPr>
            <w:tcW w:w="491" w:type="pct"/>
            <w:shd w:val="clear" w:color="000000" w:fill="FFFFFF"/>
            <w:vAlign w:val="center"/>
          </w:tcPr>
          <w:p w14:paraId="13E358BC"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vMerge/>
            <w:shd w:val="clear" w:color="000000" w:fill="FFFFFF"/>
            <w:vAlign w:val="center"/>
          </w:tcPr>
          <w:p w14:paraId="13CFD381"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26F1BFFA" w14:textId="77777777" w:rsidR="005A043A" w:rsidRPr="00214F41" w:rsidRDefault="005A043A" w:rsidP="00286762">
            <w:pPr>
              <w:jc w:val="center"/>
              <w:rPr>
                <w:sz w:val="18"/>
                <w:szCs w:val="18"/>
                <w:lang w:val="en-GB"/>
              </w:rPr>
            </w:pPr>
            <w:r w:rsidRPr="00214F41">
              <w:rPr>
                <w:sz w:val="18"/>
                <w:szCs w:val="18"/>
                <w:lang w:val="en-GB"/>
              </w:rPr>
              <w:t>57±10.7</w:t>
            </w:r>
          </w:p>
        </w:tc>
        <w:tc>
          <w:tcPr>
            <w:tcW w:w="202" w:type="pct"/>
            <w:shd w:val="clear" w:color="000000" w:fill="FFFFFF"/>
            <w:vAlign w:val="center"/>
            <w:hideMark/>
          </w:tcPr>
          <w:p w14:paraId="235E9192" w14:textId="77777777" w:rsidR="005A043A" w:rsidRPr="00214F41" w:rsidRDefault="005A043A" w:rsidP="00286762">
            <w:pPr>
              <w:jc w:val="center"/>
              <w:rPr>
                <w:sz w:val="18"/>
                <w:szCs w:val="18"/>
                <w:lang w:val="en-GB"/>
              </w:rPr>
            </w:pPr>
            <w:r w:rsidRPr="00214F41">
              <w:rPr>
                <w:sz w:val="18"/>
                <w:szCs w:val="18"/>
                <w:lang w:val="en-GB"/>
              </w:rPr>
              <w:t>92/59.4</w:t>
            </w:r>
          </w:p>
        </w:tc>
        <w:tc>
          <w:tcPr>
            <w:tcW w:w="265" w:type="pct"/>
            <w:gridSpan w:val="2"/>
            <w:shd w:val="clear" w:color="000000" w:fill="FFFFFF"/>
            <w:vAlign w:val="center"/>
            <w:hideMark/>
          </w:tcPr>
          <w:p w14:paraId="7E0346E8" w14:textId="77777777" w:rsidR="005A043A" w:rsidRPr="00214F41" w:rsidRDefault="005A043A" w:rsidP="00286762">
            <w:pPr>
              <w:jc w:val="center"/>
              <w:rPr>
                <w:sz w:val="18"/>
                <w:szCs w:val="18"/>
                <w:lang w:val="en-GB"/>
              </w:rPr>
            </w:pPr>
            <w:r w:rsidRPr="00214F41">
              <w:rPr>
                <w:sz w:val="18"/>
                <w:szCs w:val="18"/>
                <w:lang w:val="en-GB"/>
              </w:rPr>
              <w:t>31.7±nd</w:t>
            </w:r>
          </w:p>
        </w:tc>
        <w:tc>
          <w:tcPr>
            <w:tcW w:w="266" w:type="pct"/>
            <w:gridSpan w:val="2"/>
            <w:vMerge/>
            <w:shd w:val="clear" w:color="000000" w:fill="FFFFFF"/>
            <w:vAlign w:val="center"/>
            <w:hideMark/>
          </w:tcPr>
          <w:p w14:paraId="5EC42D50" w14:textId="77777777" w:rsidR="005A043A" w:rsidRPr="00214F41" w:rsidRDefault="005A043A" w:rsidP="00286762">
            <w:pPr>
              <w:jc w:val="center"/>
              <w:rPr>
                <w:sz w:val="18"/>
                <w:szCs w:val="18"/>
                <w:lang w:val="en-GB"/>
              </w:rPr>
            </w:pPr>
          </w:p>
        </w:tc>
      </w:tr>
      <w:tr w:rsidR="005A043A" w:rsidRPr="0072287D" w14:paraId="06EF51C6" w14:textId="77777777" w:rsidTr="00286762">
        <w:trPr>
          <w:trHeight w:val="282"/>
        </w:trPr>
        <w:tc>
          <w:tcPr>
            <w:tcW w:w="338" w:type="pct"/>
            <w:shd w:val="clear" w:color="000000" w:fill="FFFFFF"/>
            <w:vAlign w:val="center"/>
            <w:hideMark/>
          </w:tcPr>
          <w:p w14:paraId="74B4F184" w14:textId="77777777" w:rsidR="005A043A" w:rsidRPr="00214F41" w:rsidRDefault="005A043A" w:rsidP="00286762">
            <w:pPr>
              <w:jc w:val="center"/>
              <w:rPr>
                <w:sz w:val="18"/>
                <w:szCs w:val="18"/>
                <w:lang w:val="en-GB"/>
              </w:rPr>
            </w:pPr>
            <w:r w:rsidRPr="00214F41">
              <w:rPr>
                <w:sz w:val="18"/>
                <w:szCs w:val="18"/>
                <w:lang w:val="en-GB"/>
              </w:rPr>
              <w:t>Garber et al., 1997d</w:t>
            </w:r>
          </w:p>
        </w:tc>
        <w:tc>
          <w:tcPr>
            <w:tcW w:w="171" w:type="pct"/>
            <w:vMerge/>
            <w:shd w:val="clear" w:color="000000" w:fill="FFFFFF"/>
            <w:vAlign w:val="center"/>
            <w:hideMark/>
          </w:tcPr>
          <w:p w14:paraId="5CA24DD0" w14:textId="77777777" w:rsidR="005A043A" w:rsidRPr="00214F41" w:rsidRDefault="005A043A" w:rsidP="00286762">
            <w:pPr>
              <w:jc w:val="center"/>
              <w:rPr>
                <w:sz w:val="18"/>
                <w:szCs w:val="18"/>
                <w:lang w:val="en-GB"/>
              </w:rPr>
            </w:pPr>
          </w:p>
        </w:tc>
        <w:tc>
          <w:tcPr>
            <w:tcW w:w="744" w:type="pct"/>
            <w:vMerge/>
            <w:shd w:val="clear" w:color="000000" w:fill="FFFFFF"/>
            <w:vAlign w:val="center"/>
          </w:tcPr>
          <w:p w14:paraId="598FFDF3" w14:textId="77777777" w:rsidR="005A043A" w:rsidRPr="00214F41" w:rsidRDefault="005A043A" w:rsidP="00286762">
            <w:pPr>
              <w:jc w:val="center"/>
              <w:rPr>
                <w:sz w:val="18"/>
                <w:szCs w:val="18"/>
                <w:lang w:val="en-GB"/>
              </w:rPr>
            </w:pPr>
          </w:p>
        </w:tc>
        <w:tc>
          <w:tcPr>
            <w:tcW w:w="364" w:type="pct"/>
            <w:vMerge/>
            <w:shd w:val="clear" w:color="000000" w:fill="FFFFFF"/>
            <w:vAlign w:val="center"/>
            <w:hideMark/>
          </w:tcPr>
          <w:p w14:paraId="040E47DF" w14:textId="77777777" w:rsidR="005A043A" w:rsidRPr="00214F41" w:rsidRDefault="005A043A" w:rsidP="00286762">
            <w:pPr>
              <w:jc w:val="center"/>
              <w:rPr>
                <w:sz w:val="18"/>
                <w:szCs w:val="18"/>
                <w:lang w:val="en-GB"/>
              </w:rPr>
            </w:pPr>
          </w:p>
        </w:tc>
        <w:tc>
          <w:tcPr>
            <w:tcW w:w="200" w:type="pct"/>
            <w:vMerge/>
            <w:shd w:val="clear" w:color="000000" w:fill="FFFFFF"/>
            <w:vAlign w:val="center"/>
          </w:tcPr>
          <w:p w14:paraId="32E7DB67" w14:textId="77777777" w:rsidR="005A043A" w:rsidRPr="00214F41" w:rsidRDefault="005A043A" w:rsidP="00286762">
            <w:pPr>
              <w:jc w:val="center"/>
              <w:rPr>
                <w:sz w:val="18"/>
                <w:szCs w:val="18"/>
                <w:lang w:val="en-GB"/>
              </w:rPr>
            </w:pPr>
          </w:p>
        </w:tc>
        <w:tc>
          <w:tcPr>
            <w:tcW w:w="448" w:type="pct"/>
            <w:vMerge/>
            <w:shd w:val="clear" w:color="000000" w:fill="FFFFFF"/>
            <w:vAlign w:val="center"/>
          </w:tcPr>
          <w:p w14:paraId="03D8CA66"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2ED96593" w14:textId="77777777" w:rsidR="005A043A" w:rsidRPr="00214F41" w:rsidRDefault="005A043A" w:rsidP="00286762">
            <w:pPr>
              <w:jc w:val="center"/>
              <w:rPr>
                <w:sz w:val="18"/>
                <w:szCs w:val="18"/>
                <w:lang w:val="en-GB"/>
              </w:rPr>
            </w:pPr>
            <w:r w:rsidRPr="00214F41">
              <w:rPr>
                <w:sz w:val="18"/>
                <w:szCs w:val="18"/>
                <w:lang w:val="en-GB"/>
              </w:rPr>
              <w:t>1000mg/2/d</w:t>
            </w:r>
          </w:p>
        </w:tc>
        <w:tc>
          <w:tcPr>
            <w:tcW w:w="204" w:type="pct"/>
            <w:vMerge/>
            <w:shd w:val="clear" w:color="000000" w:fill="FFFFFF"/>
            <w:vAlign w:val="center"/>
            <w:hideMark/>
          </w:tcPr>
          <w:p w14:paraId="651A8CEB" w14:textId="77777777" w:rsidR="005A043A" w:rsidRPr="00214F41" w:rsidRDefault="005A043A" w:rsidP="00286762">
            <w:pPr>
              <w:jc w:val="center"/>
              <w:rPr>
                <w:sz w:val="18"/>
                <w:szCs w:val="18"/>
                <w:lang w:val="en-GB"/>
              </w:rPr>
            </w:pPr>
          </w:p>
        </w:tc>
        <w:tc>
          <w:tcPr>
            <w:tcW w:w="247" w:type="pct"/>
            <w:vMerge/>
            <w:shd w:val="clear" w:color="000000" w:fill="FFFFFF"/>
            <w:vAlign w:val="center"/>
          </w:tcPr>
          <w:p w14:paraId="469D0F61" w14:textId="77777777" w:rsidR="005A043A" w:rsidRPr="00214F41" w:rsidRDefault="005A043A" w:rsidP="00286762">
            <w:pPr>
              <w:jc w:val="center"/>
              <w:rPr>
                <w:sz w:val="18"/>
                <w:szCs w:val="18"/>
                <w:lang w:val="en-GB"/>
              </w:rPr>
            </w:pPr>
          </w:p>
        </w:tc>
        <w:tc>
          <w:tcPr>
            <w:tcW w:w="491" w:type="pct"/>
            <w:shd w:val="clear" w:color="000000" w:fill="FFFFFF"/>
            <w:vAlign w:val="center"/>
          </w:tcPr>
          <w:p w14:paraId="1263C752"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vMerge/>
            <w:shd w:val="clear" w:color="000000" w:fill="FFFFFF"/>
            <w:vAlign w:val="center"/>
          </w:tcPr>
          <w:p w14:paraId="18E2486B"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3C00EA1E" w14:textId="77777777" w:rsidR="005A043A" w:rsidRPr="00214F41" w:rsidRDefault="005A043A" w:rsidP="00286762">
            <w:pPr>
              <w:jc w:val="center"/>
              <w:rPr>
                <w:sz w:val="18"/>
                <w:szCs w:val="18"/>
                <w:lang w:val="en-GB"/>
              </w:rPr>
            </w:pPr>
            <w:r w:rsidRPr="00214F41">
              <w:rPr>
                <w:sz w:val="18"/>
                <w:szCs w:val="18"/>
                <w:lang w:val="en-GB"/>
              </w:rPr>
              <w:t>57.4±11.3</w:t>
            </w:r>
          </w:p>
        </w:tc>
        <w:tc>
          <w:tcPr>
            <w:tcW w:w="202" w:type="pct"/>
            <w:shd w:val="clear" w:color="000000" w:fill="FFFFFF"/>
            <w:vAlign w:val="center"/>
            <w:hideMark/>
          </w:tcPr>
          <w:p w14:paraId="0A22520D" w14:textId="77777777" w:rsidR="005A043A" w:rsidRPr="00214F41" w:rsidRDefault="005A043A" w:rsidP="00286762">
            <w:pPr>
              <w:jc w:val="center"/>
              <w:rPr>
                <w:sz w:val="18"/>
                <w:szCs w:val="18"/>
                <w:lang w:val="en-GB"/>
              </w:rPr>
            </w:pPr>
            <w:r w:rsidRPr="00214F41">
              <w:rPr>
                <w:sz w:val="18"/>
                <w:szCs w:val="18"/>
                <w:lang w:val="en-GB"/>
              </w:rPr>
              <w:t>83/54.6</w:t>
            </w:r>
          </w:p>
        </w:tc>
        <w:tc>
          <w:tcPr>
            <w:tcW w:w="265" w:type="pct"/>
            <w:gridSpan w:val="2"/>
            <w:shd w:val="clear" w:color="000000" w:fill="FFFFFF"/>
            <w:vAlign w:val="center"/>
            <w:hideMark/>
          </w:tcPr>
          <w:p w14:paraId="61B26555" w14:textId="77777777" w:rsidR="005A043A" w:rsidRPr="00214F41" w:rsidRDefault="005A043A" w:rsidP="00286762">
            <w:pPr>
              <w:jc w:val="center"/>
              <w:rPr>
                <w:sz w:val="18"/>
                <w:szCs w:val="18"/>
                <w:lang w:val="en-GB"/>
              </w:rPr>
            </w:pPr>
            <w:r w:rsidRPr="00214F41">
              <w:rPr>
                <w:sz w:val="18"/>
                <w:szCs w:val="18"/>
                <w:lang w:val="en-GB"/>
              </w:rPr>
              <w:t>31.04±nd</w:t>
            </w:r>
          </w:p>
        </w:tc>
        <w:tc>
          <w:tcPr>
            <w:tcW w:w="266" w:type="pct"/>
            <w:gridSpan w:val="2"/>
            <w:vMerge/>
            <w:shd w:val="clear" w:color="000000" w:fill="FFFFFF"/>
            <w:vAlign w:val="center"/>
            <w:hideMark/>
          </w:tcPr>
          <w:p w14:paraId="13E658F4" w14:textId="77777777" w:rsidR="005A043A" w:rsidRPr="00214F41" w:rsidRDefault="005A043A" w:rsidP="00286762">
            <w:pPr>
              <w:jc w:val="center"/>
              <w:rPr>
                <w:sz w:val="18"/>
                <w:szCs w:val="18"/>
                <w:lang w:val="en-GB"/>
              </w:rPr>
            </w:pPr>
          </w:p>
        </w:tc>
      </w:tr>
      <w:tr w:rsidR="005A043A" w:rsidRPr="0072287D" w14:paraId="04BE6D15" w14:textId="77777777" w:rsidTr="00286762">
        <w:trPr>
          <w:trHeight w:val="331"/>
        </w:trPr>
        <w:tc>
          <w:tcPr>
            <w:tcW w:w="338" w:type="pct"/>
            <w:shd w:val="clear" w:color="000000" w:fill="FFFFFF"/>
            <w:vAlign w:val="center"/>
            <w:hideMark/>
          </w:tcPr>
          <w:p w14:paraId="2620D732" w14:textId="77777777" w:rsidR="005A043A" w:rsidRPr="00214F41" w:rsidRDefault="005A043A" w:rsidP="00286762">
            <w:pPr>
              <w:jc w:val="center"/>
              <w:rPr>
                <w:sz w:val="18"/>
                <w:szCs w:val="18"/>
                <w:lang w:val="en-GB"/>
              </w:rPr>
            </w:pPr>
            <w:r w:rsidRPr="00214F41">
              <w:rPr>
                <w:sz w:val="18"/>
                <w:szCs w:val="18"/>
                <w:lang w:val="en-GB"/>
              </w:rPr>
              <w:t>Garber et al., 1997e</w:t>
            </w:r>
          </w:p>
        </w:tc>
        <w:tc>
          <w:tcPr>
            <w:tcW w:w="171" w:type="pct"/>
            <w:vMerge/>
            <w:shd w:val="clear" w:color="000000" w:fill="FFFFFF"/>
            <w:vAlign w:val="center"/>
            <w:hideMark/>
          </w:tcPr>
          <w:p w14:paraId="54EC70D4" w14:textId="77777777" w:rsidR="005A043A" w:rsidRPr="00214F41" w:rsidRDefault="005A043A" w:rsidP="00286762">
            <w:pPr>
              <w:jc w:val="center"/>
              <w:rPr>
                <w:sz w:val="18"/>
                <w:szCs w:val="18"/>
                <w:lang w:val="en-GB"/>
              </w:rPr>
            </w:pPr>
          </w:p>
        </w:tc>
        <w:tc>
          <w:tcPr>
            <w:tcW w:w="744" w:type="pct"/>
            <w:vMerge/>
            <w:shd w:val="clear" w:color="auto" w:fill="auto"/>
            <w:vAlign w:val="center"/>
          </w:tcPr>
          <w:p w14:paraId="0DB162CA" w14:textId="77777777" w:rsidR="005A043A" w:rsidRPr="00214F41" w:rsidRDefault="005A043A" w:rsidP="00286762">
            <w:pPr>
              <w:jc w:val="center"/>
              <w:rPr>
                <w:sz w:val="18"/>
                <w:szCs w:val="18"/>
                <w:lang w:val="en-GB"/>
              </w:rPr>
            </w:pPr>
          </w:p>
        </w:tc>
        <w:tc>
          <w:tcPr>
            <w:tcW w:w="364" w:type="pct"/>
            <w:vMerge/>
            <w:shd w:val="clear" w:color="000000" w:fill="FFFFFF"/>
            <w:vAlign w:val="center"/>
            <w:hideMark/>
          </w:tcPr>
          <w:p w14:paraId="692796D4" w14:textId="77777777" w:rsidR="005A043A" w:rsidRPr="00214F41" w:rsidRDefault="005A043A" w:rsidP="00286762">
            <w:pPr>
              <w:jc w:val="center"/>
              <w:rPr>
                <w:sz w:val="18"/>
                <w:szCs w:val="18"/>
                <w:lang w:val="en-GB"/>
              </w:rPr>
            </w:pPr>
          </w:p>
        </w:tc>
        <w:tc>
          <w:tcPr>
            <w:tcW w:w="200" w:type="pct"/>
            <w:vMerge/>
            <w:shd w:val="clear" w:color="000000" w:fill="FFFFFF"/>
            <w:vAlign w:val="center"/>
          </w:tcPr>
          <w:p w14:paraId="2ED22CBE" w14:textId="77777777" w:rsidR="005A043A" w:rsidRPr="00214F41" w:rsidRDefault="005A043A" w:rsidP="00286762">
            <w:pPr>
              <w:jc w:val="center"/>
              <w:rPr>
                <w:sz w:val="18"/>
                <w:szCs w:val="18"/>
                <w:lang w:val="en-GB"/>
              </w:rPr>
            </w:pPr>
          </w:p>
        </w:tc>
        <w:tc>
          <w:tcPr>
            <w:tcW w:w="448" w:type="pct"/>
            <w:vMerge/>
            <w:shd w:val="clear" w:color="000000" w:fill="FFFFFF"/>
            <w:vAlign w:val="center"/>
          </w:tcPr>
          <w:p w14:paraId="500B33D0"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58CF94A4" w14:textId="77777777" w:rsidR="005A043A" w:rsidRPr="00214F41" w:rsidRDefault="005A043A" w:rsidP="00286762">
            <w:pPr>
              <w:jc w:val="center"/>
              <w:rPr>
                <w:sz w:val="18"/>
                <w:szCs w:val="18"/>
                <w:lang w:val="en-GB"/>
              </w:rPr>
            </w:pPr>
            <w:r w:rsidRPr="00214F41">
              <w:rPr>
                <w:sz w:val="18"/>
                <w:szCs w:val="18"/>
                <w:lang w:val="en-GB"/>
              </w:rPr>
              <w:t>2500mg/3/d</w:t>
            </w:r>
          </w:p>
        </w:tc>
        <w:tc>
          <w:tcPr>
            <w:tcW w:w="204" w:type="pct"/>
            <w:vMerge/>
            <w:shd w:val="clear" w:color="000000" w:fill="FFFFFF"/>
            <w:vAlign w:val="center"/>
            <w:hideMark/>
          </w:tcPr>
          <w:p w14:paraId="2E864EDE" w14:textId="77777777" w:rsidR="005A043A" w:rsidRPr="00214F41" w:rsidRDefault="005A043A" w:rsidP="00286762">
            <w:pPr>
              <w:jc w:val="center"/>
              <w:rPr>
                <w:sz w:val="18"/>
                <w:szCs w:val="18"/>
                <w:lang w:val="en-GB"/>
              </w:rPr>
            </w:pPr>
          </w:p>
        </w:tc>
        <w:tc>
          <w:tcPr>
            <w:tcW w:w="247" w:type="pct"/>
            <w:vMerge/>
            <w:shd w:val="clear" w:color="000000" w:fill="FFFFFF"/>
            <w:vAlign w:val="center"/>
          </w:tcPr>
          <w:p w14:paraId="718C54B7" w14:textId="77777777" w:rsidR="005A043A" w:rsidRPr="00214F41" w:rsidRDefault="005A043A" w:rsidP="00286762">
            <w:pPr>
              <w:jc w:val="center"/>
              <w:rPr>
                <w:sz w:val="18"/>
                <w:szCs w:val="18"/>
                <w:lang w:val="en-GB"/>
              </w:rPr>
            </w:pPr>
          </w:p>
        </w:tc>
        <w:tc>
          <w:tcPr>
            <w:tcW w:w="491" w:type="pct"/>
            <w:shd w:val="clear" w:color="000000" w:fill="FFFFFF"/>
            <w:vAlign w:val="center"/>
          </w:tcPr>
          <w:p w14:paraId="2F9AE7EB"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vMerge/>
            <w:shd w:val="clear" w:color="000000" w:fill="FFFFFF"/>
            <w:vAlign w:val="center"/>
          </w:tcPr>
          <w:p w14:paraId="64BFEA86"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319513D0" w14:textId="77777777" w:rsidR="005A043A" w:rsidRPr="00214F41" w:rsidRDefault="005A043A" w:rsidP="00286762">
            <w:pPr>
              <w:jc w:val="center"/>
              <w:rPr>
                <w:sz w:val="18"/>
                <w:szCs w:val="18"/>
                <w:lang w:val="en-GB"/>
              </w:rPr>
            </w:pPr>
            <w:r w:rsidRPr="00214F41">
              <w:rPr>
                <w:sz w:val="18"/>
                <w:szCs w:val="18"/>
                <w:lang w:val="en-GB"/>
              </w:rPr>
              <w:t>57±11.2</w:t>
            </w:r>
          </w:p>
        </w:tc>
        <w:tc>
          <w:tcPr>
            <w:tcW w:w="202" w:type="pct"/>
            <w:shd w:val="clear" w:color="000000" w:fill="FFFFFF"/>
            <w:vAlign w:val="center"/>
            <w:hideMark/>
          </w:tcPr>
          <w:p w14:paraId="3F25D313" w14:textId="77777777" w:rsidR="005A043A" w:rsidRPr="00214F41" w:rsidRDefault="005A043A" w:rsidP="00286762">
            <w:pPr>
              <w:jc w:val="center"/>
              <w:rPr>
                <w:sz w:val="18"/>
                <w:szCs w:val="18"/>
                <w:lang w:val="en-GB"/>
              </w:rPr>
            </w:pPr>
            <w:r w:rsidRPr="00214F41">
              <w:rPr>
                <w:sz w:val="18"/>
                <w:szCs w:val="18"/>
                <w:lang w:val="en-GB"/>
              </w:rPr>
              <w:t>94/60.3</w:t>
            </w:r>
          </w:p>
        </w:tc>
        <w:tc>
          <w:tcPr>
            <w:tcW w:w="265" w:type="pct"/>
            <w:gridSpan w:val="2"/>
            <w:shd w:val="clear" w:color="000000" w:fill="FFFFFF"/>
            <w:vAlign w:val="center"/>
            <w:hideMark/>
          </w:tcPr>
          <w:p w14:paraId="291F68CE" w14:textId="77777777" w:rsidR="005A043A" w:rsidRPr="00214F41" w:rsidRDefault="005A043A" w:rsidP="00286762">
            <w:pPr>
              <w:jc w:val="center"/>
              <w:rPr>
                <w:sz w:val="18"/>
                <w:szCs w:val="18"/>
                <w:lang w:val="en-GB"/>
              </w:rPr>
            </w:pPr>
            <w:r w:rsidRPr="00214F41">
              <w:rPr>
                <w:sz w:val="18"/>
                <w:szCs w:val="18"/>
                <w:lang w:val="en-GB"/>
              </w:rPr>
              <w:t>33.48±nd</w:t>
            </w:r>
          </w:p>
        </w:tc>
        <w:tc>
          <w:tcPr>
            <w:tcW w:w="266" w:type="pct"/>
            <w:gridSpan w:val="2"/>
            <w:vMerge/>
            <w:shd w:val="clear" w:color="000000" w:fill="FFFFFF"/>
            <w:vAlign w:val="center"/>
            <w:hideMark/>
          </w:tcPr>
          <w:p w14:paraId="350465B4" w14:textId="77777777" w:rsidR="005A043A" w:rsidRPr="00214F41" w:rsidRDefault="005A043A" w:rsidP="00286762">
            <w:pPr>
              <w:jc w:val="center"/>
              <w:rPr>
                <w:sz w:val="18"/>
                <w:szCs w:val="18"/>
                <w:lang w:val="en-GB"/>
              </w:rPr>
            </w:pPr>
          </w:p>
        </w:tc>
      </w:tr>
      <w:tr w:rsidR="005A043A" w:rsidRPr="00214F41" w14:paraId="2E469FA6" w14:textId="77777777" w:rsidTr="00286762">
        <w:trPr>
          <w:trHeight w:val="364"/>
        </w:trPr>
        <w:tc>
          <w:tcPr>
            <w:tcW w:w="338" w:type="pct"/>
            <w:shd w:val="clear" w:color="000000" w:fill="FFFFFF"/>
            <w:vAlign w:val="center"/>
            <w:hideMark/>
          </w:tcPr>
          <w:p w14:paraId="186B6512" w14:textId="77777777" w:rsidR="005A043A" w:rsidRPr="00214F41" w:rsidRDefault="005A043A" w:rsidP="00286762">
            <w:pPr>
              <w:jc w:val="center"/>
              <w:rPr>
                <w:sz w:val="18"/>
                <w:szCs w:val="18"/>
              </w:rPr>
            </w:pPr>
            <w:r w:rsidRPr="00214F41">
              <w:rPr>
                <w:sz w:val="18"/>
                <w:szCs w:val="18"/>
                <w:lang w:val="en-GB"/>
              </w:rPr>
              <w:t xml:space="preserve">Garber et al., 2003 </w:t>
            </w:r>
            <w:r w:rsidRPr="00214F41">
              <w:rPr>
                <w:sz w:val="18"/>
                <w:szCs w:val="18"/>
              </w:rPr>
              <w:fldChar w:fldCharType="begin" w:fldLock="1"/>
            </w:r>
            <w:r>
              <w:rPr>
                <w:sz w:val="18"/>
                <w:szCs w:val="18"/>
                <w:lang w:val="en-GB"/>
              </w:rPr>
              <w:instrText>ADDIN CSL_CITATION {"citationItems":[{"id":"ITEM-1","itemData":{"DOI":"10.1210/jc.2002-021225","ISSN":"0021-972X","abstract":"Many patients with type 2 diabetes fail to achieve or maintain the American Diabetes Association's recommended treatment goal of glycosylated hemoglobin levels. This multicenter, double-blind trial enrolled patients with type 2 diabetes who had inadequate glycemic control [glycosylated hemoglobin A1C (A1C), {\\textgreater}7\\% and {\\textless}12\\%) with diet and exercise alone to compare the benefits of initial therapy with glyburide/metformin tablets vs. metformin or glyburide monotherapy. Patients (n = 486) were randomized to receive glyburide/metformin tablets (1.25/250 mg), metformin (500 mg), or glyburide (2.5 mg). Changes in A1C, fasting plasma glucose, fructosamine, serum lipids, body weight, and 2-h postprandial glucose after a standardized meal were assessed after 16 wk of treatment. Glyburide/metformin tablets caused a superior mean reduction in A1C from baseline (-2.27\\%) vs. metformin (-1.53\\%) and glyburide (-1.90\\%) monotherapy (P = 0.0003). Glyburide/metformin also significantly reduced fasting plasma glucose and 2-h postprandial glucose values compared with either monotherapy. The final mean doses of glyburide/metformin (3.7/735 mg) were lower than those of metformin (1796 mg) and glyburide (7.6 mg). First-line treatment with glyburide/metformin tablets provided superior glycemic control over component monotherapy, allowing more patients to achieve American Diabetes Association treatment goals with lower component doses in drug-naive patients with type 2 diabetes.","author":[{"dropping-particle":"","family":"Garber","given":"A J","non-dropping-particle":"","parse-names":false,"suffix":""},{"dropping-particle":"","family":"Donovan Jr.","given":"D S","non-dropping-particle":"","parse-names":false,"suffix":""},{"dropping-particle":"","family":"Dandona","given":"P","non-dropping-particle":"","parse-names":false,"suffix":""},{"dropping-particle":"","family":"Bruce","given":"S","non-dropping-particle":"","parse-names":false,"suffix":""},{"dropping-particle":"","family":"Park","given":"J.-S.","non-dropping-particle":"","parse-names":false,"suffix":""}],"container-title":"Journal of Clinical Endocrinology and Metabolism","id":"ITEM-1","issue":"8","issued":{"date-parts":[["2003"]]},"page":"3598-3604","title":"Efficacy of glyburide/metformin tablets compared with initial monotherapy in type 2 diabetes","type":"article-journal","volume":"88"},"uris":["http://www.mendeley.com/documents/?uuid=b34e7823-3009-4712-b25c-b28ebb058310"]}],"mendeley":{"formattedCitation":"[13]","plainTextFormattedCitation":"[13]","previouslyFormattedCitation":"[13]"},"properties":{"noteIndex":0},"schema":"https://github.com/citation-style-language/schema/raw/master/csl-citation.json"}</w:instrText>
            </w:r>
            <w:r w:rsidRPr="00214F41">
              <w:rPr>
                <w:sz w:val="18"/>
                <w:szCs w:val="18"/>
              </w:rPr>
              <w:fldChar w:fldCharType="separate"/>
            </w:r>
            <w:r w:rsidRPr="00FF29A9">
              <w:rPr>
                <w:noProof/>
                <w:sz w:val="18"/>
                <w:szCs w:val="18"/>
              </w:rPr>
              <w:t>[13]</w:t>
            </w:r>
            <w:r w:rsidRPr="00214F41">
              <w:rPr>
                <w:sz w:val="18"/>
                <w:szCs w:val="18"/>
              </w:rPr>
              <w:fldChar w:fldCharType="end"/>
            </w:r>
          </w:p>
        </w:tc>
        <w:tc>
          <w:tcPr>
            <w:tcW w:w="171" w:type="pct"/>
            <w:shd w:val="clear" w:color="000000" w:fill="FFFFFF"/>
            <w:vAlign w:val="center"/>
            <w:hideMark/>
          </w:tcPr>
          <w:p w14:paraId="6B111DFB" w14:textId="77777777" w:rsidR="005A043A" w:rsidRPr="00214F41" w:rsidRDefault="005A043A" w:rsidP="00286762">
            <w:pPr>
              <w:jc w:val="center"/>
              <w:rPr>
                <w:sz w:val="18"/>
                <w:szCs w:val="18"/>
              </w:rPr>
            </w:pPr>
            <w:r w:rsidRPr="00214F41">
              <w:rPr>
                <w:sz w:val="18"/>
                <w:szCs w:val="18"/>
              </w:rPr>
              <w:t>ITT</w:t>
            </w:r>
          </w:p>
        </w:tc>
        <w:tc>
          <w:tcPr>
            <w:tcW w:w="744" w:type="pct"/>
            <w:shd w:val="clear" w:color="000000" w:fill="FFFFFF"/>
            <w:vAlign w:val="center"/>
            <w:hideMark/>
          </w:tcPr>
          <w:p w14:paraId="0AB81A1A" w14:textId="77777777" w:rsidR="005A043A" w:rsidRPr="00214F41" w:rsidRDefault="005A043A" w:rsidP="00286762">
            <w:pPr>
              <w:jc w:val="center"/>
              <w:rPr>
                <w:sz w:val="18"/>
                <w:szCs w:val="18"/>
                <w:lang w:val="en-GB"/>
              </w:rPr>
            </w:pPr>
            <w:r w:rsidRPr="00214F41">
              <w:rPr>
                <w:sz w:val="18"/>
                <w:szCs w:val="18"/>
                <w:lang w:val="en-GB"/>
              </w:rPr>
              <w:t>To compare the benefits of initial therapy with glyburide/metformin tablets vs. metformin or glyburide monotherapy</w:t>
            </w:r>
          </w:p>
        </w:tc>
        <w:tc>
          <w:tcPr>
            <w:tcW w:w="364" w:type="pct"/>
            <w:shd w:val="clear" w:color="000000" w:fill="FFFFFF"/>
            <w:vAlign w:val="center"/>
            <w:hideMark/>
          </w:tcPr>
          <w:p w14:paraId="53CE0AEC" w14:textId="77777777" w:rsidR="005A043A" w:rsidRPr="00214F41" w:rsidRDefault="005A043A" w:rsidP="00286762">
            <w:pPr>
              <w:jc w:val="center"/>
              <w:rPr>
                <w:sz w:val="18"/>
                <w:szCs w:val="18"/>
              </w:rPr>
            </w:pPr>
            <w:r w:rsidRPr="00214F41">
              <w:rPr>
                <w:sz w:val="18"/>
                <w:szCs w:val="18"/>
              </w:rPr>
              <w:t>486/485</w:t>
            </w:r>
          </w:p>
        </w:tc>
        <w:tc>
          <w:tcPr>
            <w:tcW w:w="200" w:type="pct"/>
            <w:shd w:val="clear" w:color="000000" w:fill="FFFFFF"/>
            <w:vAlign w:val="center"/>
            <w:hideMark/>
          </w:tcPr>
          <w:p w14:paraId="2285D169" w14:textId="77777777" w:rsidR="005A043A" w:rsidRPr="00214F41" w:rsidRDefault="005A043A" w:rsidP="00286762">
            <w:pPr>
              <w:jc w:val="center"/>
              <w:rPr>
                <w:sz w:val="18"/>
                <w:szCs w:val="18"/>
              </w:rPr>
            </w:pPr>
            <w:r w:rsidRPr="00214F41">
              <w:rPr>
                <w:sz w:val="18"/>
                <w:szCs w:val="18"/>
              </w:rPr>
              <w:t>S</w:t>
            </w:r>
          </w:p>
        </w:tc>
        <w:tc>
          <w:tcPr>
            <w:tcW w:w="448" w:type="pct"/>
            <w:shd w:val="clear" w:color="000000" w:fill="FFFFFF"/>
            <w:vAlign w:val="center"/>
            <w:hideMark/>
          </w:tcPr>
          <w:p w14:paraId="02BF5C2D"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324" w:type="pct"/>
            <w:shd w:val="clear" w:color="000000" w:fill="FFFFFF"/>
            <w:vAlign w:val="center"/>
            <w:hideMark/>
          </w:tcPr>
          <w:p w14:paraId="023FD237" w14:textId="77777777" w:rsidR="005A043A" w:rsidRPr="00214F41" w:rsidRDefault="005A043A" w:rsidP="00286762">
            <w:pPr>
              <w:jc w:val="center"/>
              <w:rPr>
                <w:sz w:val="18"/>
                <w:szCs w:val="18"/>
              </w:rPr>
            </w:pPr>
            <w:r w:rsidRPr="00214F41">
              <w:rPr>
                <w:sz w:val="18"/>
                <w:szCs w:val="18"/>
              </w:rPr>
              <w:t>1796mg/</w:t>
            </w:r>
            <w:proofErr w:type="spellStart"/>
            <w:r w:rsidRPr="00214F41">
              <w:rPr>
                <w:sz w:val="18"/>
                <w:szCs w:val="18"/>
              </w:rPr>
              <w:t>nd</w:t>
            </w:r>
            <w:proofErr w:type="spellEnd"/>
          </w:p>
        </w:tc>
        <w:tc>
          <w:tcPr>
            <w:tcW w:w="204" w:type="pct"/>
            <w:shd w:val="clear" w:color="000000" w:fill="FFFFFF"/>
            <w:vAlign w:val="center"/>
            <w:hideMark/>
          </w:tcPr>
          <w:p w14:paraId="65702D5F" w14:textId="77777777" w:rsidR="005A043A" w:rsidRPr="00214F41" w:rsidRDefault="005A043A" w:rsidP="00286762">
            <w:pPr>
              <w:jc w:val="center"/>
              <w:rPr>
                <w:sz w:val="18"/>
                <w:szCs w:val="18"/>
              </w:rPr>
            </w:pPr>
            <w:r w:rsidRPr="00214F41">
              <w:rPr>
                <w:sz w:val="18"/>
                <w:szCs w:val="18"/>
              </w:rPr>
              <w:t>112</w:t>
            </w:r>
          </w:p>
        </w:tc>
        <w:tc>
          <w:tcPr>
            <w:tcW w:w="247" w:type="pct"/>
            <w:shd w:val="clear" w:color="000000" w:fill="FFFFFF"/>
            <w:vAlign w:val="center"/>
            <w:hideMark/>
          </w:tcPr>
          <w:p w14:paraId="1B89787D" w14:textId="77777777" w:rsidR="005A043A" w:rsidRPr="00214F41" w:rsidRDefault="005A043A" w:rsidP="00286762">
            <w:pPr>
              <w:jc w:val="center"/>
              <w:rPr>
                <w:sz w:val="18"/>
                <w:szCs w:val="18"/>
              </w:rPr>
            </w:pPr>
            <w:r w:rsidRPr="00214F41">
              <w:rPr>
                <w:sz w:val="18"/>
                <w:szCs w:val="18"/>
              </w:rPr>
              <w:t>IR</w:t>
            </w:r>
          </w:p>
        </w:tc>
        <w:tc>
          <w:tcPr>
            <w:tcW w:w="491" w:type="pct"/>
            <w:shd w:val="clear" w:color="000000" w:fill="FFFFFF"/>
            <w:vAlign w:val="center"/>
          </w:tcPr>
          <w:p w14:paraId="03E02396" w14:textId="77777777" w:rsidR="005A043A" w:rsidRPr="00214F41" w:rsidRDefault="005A043A" w:rsidP="00286762">
            <w:pPr>
              <w:jc w:val="center"/>
              <w:rPr>
                <w:sz w:val="18"/>
                <w:szCs w:val="18"/>
              </w:rPr>
            </w:pPr>
            <w:r w:rsidRPr="00214F41">
              <w:rPr>
                <w:sz w:val="18"/>
                <w:szCs w:val="18"/>
              </w:rPr>
              <w:t>Metformin IR</w:t>
            </w:r>
          </w:p>
        </w:tc>
        <w:tc>
          <w:tcPr>
            <w:tcW w:w="491" w:type="pct"/>
            <w:shd w:val="clear" w:color="000000" w:fill="FFFFFF"/>
            <w:vAlign w:val="center"/>
            <w:hideMark/>
          </w:tcPr>
          <w:p w14:paraId="48C1F29B" w14:textId="77777777" w:rsidR="005A043A" w:rsidRPr="00214F41" w:rsidRDefault="005A043A" w:rsidP="00286762">
            <w:pPr>
              <w:jc w:val="center"/>
              <w:rPr>
                <w:sz w:val="18"/>
                <w:szCs w:val="18"/>
              </w:rPr>
            </w:pPr>
            <w:r w:rsidRPr="00214F41">
              <w:rPr>
                <w:sz w:val="18"/>
                <w:szCs w:val="18"/>
              </w:rPr>
              <w:t>glyburide/sulfonylurea derivatives</w:t>
            </w:r>
          </w:p>
        </w:tc>
        <w:tc>
          <w:tcPr>
            <w:tcW w:w="245" w:type="pct"/>
            <w:gridSpan w:val="2"/>
            <w:shd w:val="clear" w:color="000000" w:fill="FFFFFF"/>
            <w:vAlign w:val="center"/>
            <w:hideMark/>
          </w:tcPr>
          <w:p w14:paraId="5384F83A" w14:textId="77777777" w:rsidR="005A043A" w:rsidRPr="00214F41" w:rsidRDefault="005A043A" w:rsidP="00286762">
            <w:pPr>
              <w:jc w:val="center"/>
              <w:rPr>
                <w:sz w:val="18"/>
                <w:szCs w:val="18"/>
              </w:rPr>
            </w:pPr>
            <w:r w:rsidRPr="00214F41">
              <w:rPr>
                <w:sz w:val="18"/>
                <w:szCs w:val="18"/>
              </w:rPr>
              <w:t>55±12</w:t>
            </w:r>
          </w:p>
        </w:tc>
        <w:tc>
          <w:tcPr>
            <w:tcW w:w="202" w:type="pct"/>
            <w:shd w:val="clear" w:color="000000" w:fill="FFFFFF"/>
            <w:vAlign w:val="center"/>
            <w:hideMark/>
          </w:tcPr>
          <w:p w14:paraId="2F33B3B2" w14:textId="77777777" w:rsidR="005A043A" w:rsidRPr="00214F41" w:rsidRDefault="005A043A" w:rsidP="00286762">
            <w:pPr>
              <w:jc w:val="center"/>
              <w:rPr>
                <w:sz w:val="18"/>
                <w:szCs w:val="18"/>
              </w:rPr>
            </w:pPr>
            <w:r w:rsidRPr="00214F41">
              <w:rPr>
                <w:sz w:val="18"/>
                <w:szCs w:val="18"/>
              </w:rPr>
              <w:t>137/43.5</w:t>
            </w:r>
          </w:p>
        </w:tc>
        <w:tc>
          <w:tcPr>
            <w:tcW w:w="265" w:type="pct"/>
            <w:gridSpan w:val="2"/>
            <w:shd w:val="clear" w:color="000000" w:fill="FFFFFF"/>
            <w:vAlign w:val="center"/>
            <w:hideMark/>
          </w:tcPr>
          <w:p w14:paraId="6D817958" w14:textId="77777777" w:rsidR="005A043A" w:rsidRPr="00214F41" w:rsidRDefault="005A043A" w:rsidP="00286762">
            <w:pPr>
              <w:jc w:val="center"/>
              <w:rPr>
                <w:sz w:val="18"/>
                <w:szCs w:val="18"/>
              </w:rPr>
            </w:pPr>
            <w:r w:rsidRPr="00214F41">
              <w:rPr>
                <w:sz w:val="18"/>
                <w:szCs w:val="18"/>
              </w:rPr>
              <w:t>31.4±4</w:t>
            </w:r>
          </w:p>
        </w:tc>
        <w:tc>
          <w:tcPr>
            <w:tcW w:w="266" w:type="pct"/>
            <w:gridSpan w:val="2"/>
            <w:shd w:val="clear" w:color="000000" w:fill="FFFFFF"/>
            <w:vAlign w:val="center"/>
            <w:hideMark/>
          </w:tcPr>
          <w:p w14:paraId="1B192254" w14:textId="77777777" w:rsidR="005A043A" w:rsidRPr="00214F41" w:rsidRDefault="005A043A" w:rsidP="00286762">
            <w:pPr>
              <w:jc w:val="center"/>
              <w:rPr>
                <w:sz w:val="18"/>
                <w:szCs w:val="18"/>
              </w:rPr>
            </w:pPr>
            <w:r w:rsidRPr="00214F41">
              <w:rPr>
                <w:sz w:val="18"/>
                <w:szCs w:val="18"/>
              </w:rPr>
              <w:t>31.1±4.3</w:t>
            </w:r>
          </w:p>
        </w:tc>
      </w:tr>
      <w:tr w:rsidR="005A043A" w:rsidRPr="00214F41" w14:paraId="16824C42" w14:textId="77777777" w:rsidTr="00286762">
        <w:trPr>
          <w:trHeight w:val="930"/>
        </w:trPr>
        <w:tc>
          <w:tcPr>
            <w:tcW w:w="338" w:type="pct"/>
            <w:shd w:val="clear" w:color="000000" w:fill="FFFFFF"/>
            <w:vAlign w:val="center"/>
            <w:hideMark/>
          </w:tcPr>
          <w:p w14:paraId="66676072" w14:textId="77777777" w:rsidR="005A043A" w:rsidRPr="00214F41" w:rsidRDefault="005A043A" w:rsidP="00286762">
            <w:pPr>
              <w:jc w:val="center"/>
              <w:rPr>
                <w:sz w:val="18"/>
                <w:szCs w:val="18"/>
              </w:rPr>
            </w:pPr>
            <w:proofErr w:type="spellStart"/>
            <w:r w:rsidRPr="00214F41">
              <w:rPr>
                <w:sz w:val="18"/>
                <w:szCs w:val="18"/>
              </w:rPr>
              <w:lastRenderedPageBreak/>
              <w:t>Göke</w:t>
            </w:r>
            <w:proofErr w:type="spellEnd"/>
            <w:r w:rsidRPr="00214F41">
              <w:rPr>
                <w:sz w:val="18"/>
                <w:szCs w:val="18"/>
              </w:rPr>
              <w:t xml:space="preserve"> et al., 2008 </w:t>
            </w:r>
            <w:r w:rsidRPr="00214F41">
              <w:rPr>
                <w:sz w:val="18"/>
                <w:szCs w:val="18"/>
              </w:rPr>
              <w:fldChar w:fldCharType="begin" w:fldLock="1"/>
            </w:r>
            <w:r>
              <w:rPr>
                <w:sz w:val="18"/>
                <w:szCs w:val="18"/>
              </w:rPr>
              <w:instrText>ADDIN CSL_CITATION {"citationItems":[{"id":"ITEM-1","itemData":{"DOI":"10.1055/S-0028-1082334/ID/11","ISSN":"00185043","PMID":"18726829","abstract":"The present study was a 52-week extension of a previously published, multi-center, randomized, parallel-group study. The aim of this extension study was to compare the efficacy and tolerability of vildagliptin and metformin in drug-naïve patients with type 2 diabetes over 104 weeks. The extension population comprised 305 patients randomized to vildagliptin (100 mg daily) and 158 patients randomized to metformin (2000 mg daily). Pioglitazone was added as rescue medication if fasting glucose was &gt;10 mmol/l; data from patients receiving rescue medication were excluded from the primary analysis. Baseline HbA1c averaged 8.4±0.1% in patients randomized to vildagliptin and 8.8±0.1% in those randomized to metformin. The adjusted mean change from baseline to study endpoint was -1.0±0.1% in vildagliptin-treated patients and -1.5±0.1% in those receiving metformin (p &lt; 0.001 vs. vildagliptin). These results were similar to those reported after the 1-year core phase of the study. The adjusted mean changes in body weight from baseline to endpoint were 0.5±0.4 kg and -2.5±0.5 kg in the vildagliptin and metformin groups, respectively. One or more adverse event (AE) was reported by 82.2% of patients receiving vildagliptin and by 87.3% of those receiving metformin (p &lt; 0.001). Gastrointestinal AEs were more common in patients receiving metformin (45.6%) than in those receiving vildagliptin (25.0%, p &lt; 0.001 vs. metformin). One hypoglycemic event occurred after strenuous exercise in a single patient receiving vildagliptin (0.3%). In conclusion, both vildagliptin and metformin monotherapy provided clinically meaningful decreases in HbA1c over 2 years in drug-naïve patients with type 2 diabetes. Vildagliptin was weight neutral, while weight loss was observed with metformin; however, metformin was associated with significantly worse gastrointestinal tolerability. © Georg Thieme Verlag KG Stuttgart.","author":[{"dropping-particle":"","family":"Göke","given":"B.","non-dropping-particle":"","parse-names":false,"suffix":""},{"dropping-particle":"","family":"Hershon","given":"K.","non-dropping-particle":"","parse-names":false,"suffix":""},{"dropping-particle":"","family":"Kerr","given":"D.","non-dropping-particle":"","parse-names":false,"suffix":""},{"dropping-particle":"","family":"Calle Pascual","given":"A.","non-dropping-particle":"","parse-names":false,"suffix":""},{"dropping-particle":"","family":"Schweizer","given":"A.","non-dropping-particle":"","parse-names":false,"suffix":""},{"dropping-particle":"","family":"Foley","given":"J.","non-dropping-particle":"","parse-names":false,"suffix":""},{"dropping-particle":"","family":"Shao","given":"Q.","non-dropping-particle":"","parse-names":false,"suffix":""},{"dropping-particle":"","family":"Dejager","given":"S.","non-dropping-particle":"","parse-names":false,"suffix":""}],"container-title":"Hormone and Metabolic Research","id":"ITEM-1","issue":"12","issued":{"date-parts":[["2008","12","22"]]},"page":"892-895","publisher":"© Georg Thieme Verlag KG Stuttgart · New York","title":"Efficacy and safety of vildagliptin monotherapy during 2-year treatment of drug-naïve patients with type 2 diabetes: Comparison with metformin","type":"article-journal","volume":"40"},"uris":["http://www.mendeley.com/documents/?uuid=b85ad9a5-4566-33d4-97d5-08fc9fbe9f15"]}],"mendeley":{"formattedCitation":"[14]","plainTextFormattedCitation":"[14]","previouslyFormattedCitation":"[14]"},"properties":{"noteIndex":0},"schema":"https://github.com/citation-style-language/schema/raw/master/csl-citation.json"}</w:instrText>
            </w:r>
            <w:r w:rsidRPr="00214F41">
              <w:rPr>
                <w:sz w:val="18"/>
                <w:szCs w:val="18"/>
              </w:rPr>
              <w:fldChar w:fldCharType="separate"/>
            </w:r>
            <w:r w:rsidRPr="00FF29A9">
              <w:rPr>
                <w:noProof/>
                <w:sz w:val="18"/>
                <w:szCs w:val="18"/>
              </w:rPr>
              <w:t>[14]</w:t>
            </w:r>
            <w:r w:rsidRPr="00214F41">
              <w:rPr>
                <w:sz w:val="18"/>
                <w:szCs w:val="18"/>
              </w:rPr>
              <w:fldChar w:fldCharType="end"/>
            </w:r>
          </w:p>
        </w:tc>
        <w:tc>
          <w:tcPr>
            <w:tcW w:w="171" w:type="pct"/>
            <w:shd w:val="clear" w:color="000000" w:fill="FFFFFF"/>
            <w:vAlign w:val="center"/>
            <w:hideMark/>
          </w:tcPr>
          <w:p w14:paraId="26EBD7A6" w14:textId="77777777" w:rsidR="005A043A" w:rsidRPr="00214F41" w:rsidRDefault="005A043A" w:rsidP="00286762">
            <w:pPr>
              <w:jc w:val="center"/>
              <w:rPr>
                <w:sz w:val="18"/>
                <w:szCs w:val="18"/>
              </w:rPr>
            </w:pPr>
            <w:r w:rsidRPr="00214F41">
              <w:rPr>
                <w:sz w:val="18"/>
                <w:szCs w:val="18"/>
              </w:rPr>
              <w:t>ITT</w:t>
            </w:r>
          </w:p>
        </w:tc>
        <w:tc>
          <w:tcPr>
            <w:tcW w:w="744" w:type="pct"/>
            <w:shd w:val="clear" w:color="000000" w:fill="FFFFFF"/>
            <w:vAlign w:val="center"/>
            <w:hideMark/>
          </w:tcPr>
          <w:p w14:paraId="40BCB3CD" w14:textId="77777777" w:rsidR="005A043A" w:rsidRPr="00214F41" w:rsidRDefault="005A043A" w:rsidP="00286762">
            <w:pPr>
              <w:jc w:val="center"/>
              <w:rPr>
                <w:sz w:val="18"/>
                <w:szCs w:val="18"/>
                <w:lang w:val="en-GB"/>
              </w:rPr>
            </w:pPr>
            <w:r w:rsidRPr="00214F41">
              <w:rPr>
                <w:sz w:val="18"/>
                <w:szCs w:val="18"/>
                <w:lang w:val="en-GB"/>
              </w:rPr>
              <w:t xml:space="preserve">To compare the </w:t>
            </w:r>
            <w:proofErr w:type="spellStart"/>
            <w:r w:rsidRPr="00214F41">
              <w:rPr>
                <w:sz w:val="18"/>
                <w:szCs w:val="18"/>
                <w:lang w:val="en-GB"/>
              </w:rPr>
              <w:t>effi</w:t>
            </w:r>
            <w:proofErr w:type="spellEnd"/>
            <w:r w:rsidRPr="00214F41">
              <w:rPr>
                <w:sz w:val="18"/>
                <w:szCs w:val="18"/>
                <w:lang w:val="en-GB"/>
              </w:rPr>
              <w:t xml:space="preserve"> </w:t>
            </w:r>
            <w:proofErr w:type="spellStart"/>
            <w:r w:rsidRPr="00214F41">
              <w:rPr>
                <w:sz w:val="18"/>
                <w:szCs w:val="18"/>
                <w:lang w:val="en-GB"/>
              </w:rPr>
              <w:t>cacy</w:t>
            </w:r>
            <w:proofErr w:type="spellEnd"/>
            <w:r w:rsidRPr="00214F41">
              <w:rPr>
                <w:sz w:val="18"/>
                <w:szCs w:val="18"/>
                <w:lang w:val="en-GB"/>
              </w:rPr>
              <w:br/>
              <w:t>and tolerability of vildagliptin and metformin</w:t>
            </w:r>
            <w:r w:rsidRPr="00214F41">
              <w:rPr>
                <w:sz w:val="18"/>
                <w:szCs w:val="18"/>
                <w:lang w:val="en-GB"/>
              </w:rPr>
              <w:br/>
              <w:t>in drug-naive patients with T2DM over</w:t>
            </w:r>
            <w:r w:rsidRPr="00214F41">
              <w:rPr>
                <w:sz w:val="18"/>
                <w:szCs w:val="18"/>
                <w:lang w:val="en-GB"/>
              </w:rPr>
              <w:br/>
              <w:t xml:space="preserve">104 weeks. </w:t>
            </w:r>
          </w:p>
        </w:tc>
        <w:tc>
          <w:tcPr>
            <w:tcW w:w="364" w:type="pct"/>
            <w:shd w:val="clear" w:color="000000" w:fill="FFFFFF"/>
            <w:vAlign w:val="center"/>
            <w:hideMark/>
          </w:tcPr>
          <w:p w14:paraId="224A97AA" w14:textId="77777777" w:rsidR="005A043A" w:rsidRPr="00214F41" w:rsidRDefault="005A043A" w:rsidP="00286762">
            <w:pPr>
              <w:jc w:val="center"/>
              <w:rPr>
                <w:sz w:val="18"/>
                <w:szCs w:val="18"/>
              </w:rPr>
            </w:pPr>
            <w:r w:rsidRPr="00214F41">
              <w:rPr>
                <w:sz w:val="18"/>
                <w:szCs w:val="18"/>
              </w:rPr>
              <w:t>463/462</w:t>
            </w:r>
          </w:p>
        </w:tc>
        <w:tc>
          <w:tcPr>
            <w:tcW w:w="200" w:type="pct"/>
            <w:shd w:val="clear" w:color="000000" w:fill="FFFFFF"/>
            <w:vAlign w:val="center"/>
            <w:hideMark/>
          </w:tcPr>
          <w:p w14:paraId="22A92695" w14:textId="77777777" w:rsidR="005A043A" w:rsidRPr="00214F41" w:rsidRDefault="005A043A" w:rsidP="00286762">
            <w:pPr>
              <w:jc w:val="center"/>
              <w:rPr>
                <w:sz w:val="18"/>
                <w:szCs w:val="18"/>
              </w:rPr>
            </w:pPr>
            <w:r w:rsidRPr="00214F41">
              <w:rPr>
                <w:sz w:val="18"/>
                <w:szCs w:val="18"/>
              </w:rPr>
              <w:t>P/≥52/2g/d</w:t>
            </w:r>
          </w:p>
        </w:tc>
        <w:tc>
          <w:tcPr>
            <w:tcW w:w="448" w:type="pct"/>
            <w:shd w:val="clear" w:color="000000" w:fill="FFFFFF"/>
            <w:vAlign w:val="center"/>
            <w:hideMark/>
          </w:tcPr>
          <w:p w14:paraId="4E39E317"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324" w:type="pct"/>
            <w:shd w:val="clear" w:color="000000" w:fill="FFFFFF"/>
            <w:vAlign w:val="center"/>
            <w:hideMark/>
          </w:tcPr>
          <w:p w14:paraId="1DC9D5B4" w14:textId="77777777" w:rsidR="005A043A" w:rsidRPr="00214F41" w:rsidRDefault="005A043A" w:rsidP="00286762">
            <w:pPr>
              <w:jc w:val="center"/>
              <w:rPr>
                <w:sz w:val="18"/>
                <w:szCs w:val="18"/>
              </w:rPr>
            </w:pPr>
            <w:r w:rsidRPr="00214F41">
              <w:rPr>
                <w:sz w:val="18"/>
                <w:szCs w:val="18"/>
              </w:rPr>
              <w:t>2000mg/2/d</w:t>
            </w:r>
          </w:p>
        </w:tc>
        <w:tc>
          <w:tcPr>
            <w:tcW w:w="204" w:type="pct"/>
            <w:shd w:val="clear" w:color="000000" w:fill="FFFFFF"/>
            <w:vAlign w:val="center"/>
            <w:hideMark/>
          </w:tcPr>
          <w:p w14:paraId="631826E4" w14:textId="77777777" w:rsidR="005A043A" w:rsidRPr="00214F41" w:rsidRDefault="005A043A" w:rsidP="00286762">
            <w:pPr>
              <w:jc w:val="center"/>
              <w:rPr>
                <w:sz w:val="18"/>
                <w:szCs w:val="18"/>
              </w:rPr>
            </w:pPr>
            <w:r w:rsidRPr="00214F41">
              <w:rPr>
                <w:sz w:val="18"/>
                <w:szCs w:val="18"/>
              </w:rPr>
              <w:t>364</w:t>
            </w:r>
          </w:p>
        </w:tc>
        <w:tc>
          <w:tcPr>
            <w:tcW w:w="247" w:type="pct"/>
            <w:shd w:val="clear" w:color="000000" w:fill="FFFFFF"/>
            <w:vAlign w:val="center"/>
            <w:hideMark/>
          </w:tcPr>
          <w:p w14:paraId="3098E420" w14:textId="77777777" w:rsidR="005A043A" w:rsidRPr="00214F41" w:rsidRDefault="005A043A" w:rsidP="00286762">
            <w:pPr>
              <w:jc w:val="center"/>
              <w:rPr>
                <w:sz w:val="18"/>
                <w:szCs w:val="18"/>
              </w:rPr>
            </w:pPr>
            <w:r w:rsidRPr="00214F41">
              <w:rPr>
                <w:sz w:val="18"/>
                <w:szCs w:val="18"/>
              </w:rPr>
              <w:t>IR</w:t>
            </w:r>
          </w:p>
        </w:tc>
        <w:tc>
          <w:tcPr>
            <w:tcW w:w="491" w:type="pct"/>
            <w:shd w:val="clear" w:color="000000" w:fill="FFFFFF"/>
            <w:vAlign w:val="center"/>
          </w:tcPr>
          <w:p w14:paraId="74747DA8" w14:textId="77777777" w:rsidR="005A043A" w:rsidRPr="00214F41" w:rsidRDefault="005A043A" w:rsidP="00286762">
            <w:pPr>
              <w:jc w:val="center"/>
              <w:rPr>
                <w:sz w:val="18"/>
                <w:szCs w:val="18"/>
              </w:rPr>
            </w:pPr>
            <w:r w:rsidRPr="00214F41">
              <w:rPr>
                <w:sz w:val="18"/>
                <w:szCs w:val="18"/>
              </w:rPr>
              <w:t>Metformin IR</w:t>
            </w:r>
          </w:p>
        </w:tc>
        <w:tc>
          <w:tcPr>
            <w:tcW w:w="491" w:type="pct"/>
            <w:shd w:val="clear" w:color="000000" w:fill="FFFFFF"/>
            <w:vAlign w:val="center"/>
            <w:hideMark/>
          </w:tcPr>
          <w:p w14:paraId="340594A9" w14:textId="77777777" w:rsidR="005A043A" w:rsidRPr="00214F41" w:rsidRDefault="005A043A" w:rsidP="00286762">
            <w:pPr>
              <w:jc w:val="center"/>
              <w:rPr>
                <w:sz w:val="18"/>
                <w:szCs w:val="18"/>
              </w:rPr>
            </w:pPr>
            <w:r w:rsidRPr="00214F41">
              <w:rPr>
                <w:sz w:val="18"/>
                <w:szCs w:val="18"/>
              </w:rPr>
              <w:t>vildagliptin/DPP4 inhibitor</w:t>
            </w:r>
          </w:p>
        </w:tc>
        <w:tc>
          <w:tcPr>
            <w:tcW w:w="245" w:type="pct"/>
            <w:gridSpan w:val="2"/>
            <w:shd w:val="clear" w:color="000000" w:fill="FFFFFF"/>
            <w:vAlign w:val="center"/>
            <w:hideMark/>
          </w:tcPr>
          <w:p w14:paraId="5524F055" w14:textId="77777777" w:rsidR="005A043A" w:rsidRPr="00214F41" w:rsidRDefault="005A043A" w:rsidP="00286762">
            <w:pPr>
              <w:jc w:val="center"/>
              <w:rPr>
                <w:sz w:val="18"/>
                <w:szCs w:val="18"/>
              </w:rPr>
            </w:pPr>
            <w:r w:rsidRPr="00214F41">
              <w:rPr>
                <w:sz w:val="18"/>
                <w:szCs w:val="18"/>
              </w:rPr>
              <w:t>54±11</w:t>
            </w:r>
          </w:p>
        </w:tc>
        <w:tc>
          <w:tcPr>
            <w:tcW w:w="202" w:type="pct"/>
            <w:shd w:val="clear" w:color="000000" w:fill="FFFFFF"/>
            <w:vAlign w:val="center"/>
            <w:hideMark/>
          </w:tcPr>
          <w:p w14:paraId="0524DE0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65" w:type="pct"/>
            <w:gridSpan w:val="2"/>
            <w:shd w:val="clear" w:color="000000" w:fill="FFFFFF"/>
            <w:vAlign w:val="center"/>
            <w:hideMark/>
          </w:tcPr>
          <w:p w14:paraId="72664A4B" w14:textId="77777777" w:rsidR="005A043A" w:rsidRPr="00214F41" w:rsidRDefault="005A043A" w:rsidP="00286762">
            <w:pPr>
              <w:jc w:val="center"/>
              <w:rPr>
                <w:sz w:val="18"/>
                <w:szCs w:val="18"/>
              </w:rPr>
            </w:pPr>
            <w:r w:rsidRPr="00214F41">
              <w:rPr>
                <w:sz w:val="18"/>
                <w:szCs w:val="18"/>
              </w:rPr>
              <w:t>32.7±5.7</w:t>
            </w:r>
          </w:p>
        </w:tc>
        <w:tc>
          <w:tcPr>
            <w:tcW w:w="266" w:type="pct"/>
            <w:gridSpan w:val="2"/>
            <w:shd w:val="clear" w:color="000000" w:fill="FFFFFF"/>
            <w:vAlign w:val="center"/>
            <w:hideMark/>
          </w:tcPr>
          <w:p w14:paraId="593D0F56" w14:textId="77777777" w:rsidR="005A043A" w:rsidRPr="00214F41" w:rsidRDefault="005A043A" w:rsidP="00286762">
            <w:pPr>
              <w:jc w:val="center"/>
              <w:rPr>
                <w:sz w:val="18"/>
                <w:szCs w:val="18"/>
              </w:rPr>
            </w:pPr>
            <w:r w:rsidRPr="00214F41">
              <w:rPr>
                <w:sz w:val="18"/>
                <w:szCs w:val="18"/>
              </w:rPr>
              <w:t>32.7±5.7</w:t>
            </w:r>
          </w:p>
        </w:tc>
      </w:tr>
      <w:tr w:rsidR="005A043A" w:rsidRPr="0072287D" w14:paraId="14D9D0A4" w14:textId="77777777" w:rsidTr="00286762">
        <w:trPr>
          <w:trHeight w:val="930"/>
        </w:trPr>
        <w:tc>
          <w:tcPr>
            <w:tcW w:w="338" w:type="pct"/>
            <w:shd w:val="clear" w:color="000000" w:fill="FFFFFF"/>
            <w:vAlign w:val="center"/>
            <w:hideMark/>
          </w:tcPr>
          <w:p w14:paraId="1FB436AD" w14:textId="77777777" w:rsidR="005A043A" w:rsidRPr="00214F41" w:rsidRDefault="005A043A" w:rsidP="00286762">
            <w:pPr>
              <w:jc w:val="center"/>
              <w:rPr>
                <w:sz w:val="18"/>
                <w:szCs w:val="18"/>
                <w:lang w:val="en-GB"/>
              </w:rPr>
            </w:pPr>
            <w:r w:rsidRPr="00214F41">
              <w:rPr>
                <w:sz w:val="18"/>
                <w:szCs w:val="18"/>
              </w:rPr>
              <w:t xml:space="preserve">Goldstein et al., 2003 </w:t>
            </w:r>
            <w:r w:rsidRPr="00214F41">
              <w:rPr>
                <w:sz w:val="18"/>
                <w:szCs w:val="18"/>
              </w:rPr>
              <w:fldChar w:fldCharType="begin" w:fldLock="1"/>
            </w:r>
            <w:r>
              <w:rPr>
                <w:sz w:val="18"/>
                <w:szCs w:val="18"/>
              </w:rPr>
              <w:instrText xml:space="preserve">ADDIN CSL_CITATION {"citationItems":[{"id":"ITEM-1","itemData":{"DOI":"10.1016/S0149-2918(03)80112-1","ISSN":"0149-2918","abstract":"Background: Many patients with type 2 diabetes mellitus (DM) with inadequate long-term blood glucose control with sulfonylurea or metformin monotherapy require additional treatment. The synergistic effects of combining glipizide with metformin on glucose control may be realized by treating the primary effects of type 2 DM, impaired insulin secretion, and insulin resistance. Objective: This study assessed therapy with glipizide/metformin combination tablets in patients with type 2 DM that is uncontrolled by at least half the maximum labeled daily dose of a sulfonylurea. Methods: In this multicenter, double-masked, parallel-group, active-controlled study, patients were randomized to receive glipizide 30-mg, metformin 500-mg, or glipizide/metformin 5/500 mg tablets for 18 weeks (metformin and glipizide/metformin doses were titrated to achieve blood glucose control). Maximum total daily doses were glipizide 30 mg, metformin 2000 mg, and glipizide/metformin 20/2000 mg. Results: A total of 247 patients were included in the study. The mean (SD) age was 56.2 (10.1) years; 61.5\\% of patients were male; 70.0\\% were white, 15.8\\% were Hispanic/Latino, 13.0\\% were black, and 1.2\\% were Asian/Pacific Islanders. Patients were, on average, obese (mean [SD] body mass index, 31.3 [4.7] kg/m2), had moderate to severe hyperglycemia (mean [SD] glycated hemoglobin [HbA1c], 8.7\\% [1.1]), and had a mean (SD) DM duration of 6.5 (4.9) years. Glipizide/metformin tablets controlled the HbA1c level more effectively than did either glipizide or metformin monotherapies (mean treatment differences, in favor of glipizide/metformin, of -1.06\\% and -0.98\\%, respectively, P {\\textless} 0.001). At study end, an HbA1c level {\\textless}7.0\\% was achieved in </w:instrText>
            </w:r>
            <w:r>
              <w:rPr>
                <w:rFonts w:ascii="Cambria Math" w:hAnsi="Cambria Math" w:cs="Cambria Math"/>
                <w:sz w:val="18"/>
                <w:szCs w:val="18"/>
              </w:rPr>
              <w:instrText>∼</w:instrText>
            </w:r>
            <w:r>
              <w:rPr>
                <w:sz w:val="18"/>
                <w:szCs w:val="18"/>
              </w:rPr>
              <w:instrText>4-fold more patients who were treated with glipizide/metformin (36.3\\%) compared with glipizide (8.9\\%) or metformin (9.9\\%) monotherapies. Glipizide/metformin tablets also reduced the fasting plasma glucose (FPG) level and the 3-hour postprandial glucose area under the concentration-time curve more effectively than did either mono</w:instrText>
            </w:r>
            <w:r w:rsidRPr="00FF29A9">
              <w:rPr>
                <w:sz w:val="18"/>
                <w:szCs w:val="18"/>
                <w:lang w:val="en-GB"/>
              </w:rPr>
              <w:instrText>therapy, without increasing the fasting insulin level. The greater blood glucose control with glipizide/metformin tablets was achieved at a mean daily dose of glipizide/metformin 17.5/1747 mg, compared with mean doses of glipizide 30.0 mg or metformin 1927 mg. Treatments were well tolerated, with a low incidence of symptoms of hypoglycemia evidenced by a fingerstick blood glucose measurement ≤50 mg/dL in the c…","author":[{"dropping-particle":"","family":"Goldstein","given":"B J","non-dropping-particle":"","parse-names":false,"suffix":""},{"dropping-particle":"","family":"Pans","given":"M","non-dropping-particle":"","parse-names":false,"suffix":""},{"dropping-particle":"","family":"Rubin","given":"C J","non-dropping-particle":"","parse-names":false,"suffix":""}],"container-title":"Clinical Therapeutics","id":"ITEM-1","issue":"3","issued":{"date-parts":[["2003"]]},"page":"890-903","title":"Multicenter, randomized, double-masked, parallel-group assessment of simultaneous glipizide/metformin as second-line pharmacologic treatment for patients with type 2 diabetes mellitus that is inadequately controlled by a sulfonylurea","type":"article-journal","volume":"25"},"uris":["http://www.mendeley.com/documents/?uuid=4a93ac08-d103-45c7-b95a-a1b5b7ae6e41"]}],"mendeley":{"formattedCitation":"[15]","plainTextFormattedCitation":"[15]","previouslyFormattedCitation":"[15]"},"properties":{"noteIndex":0},"schema":"https://github.com/citation-style-language/schema/raw/master/csl-citation.json"}</w:instrText>
            </w:r>
            <w:r w:rsidRPr="00214F41">
              <w:rPr>
                <w:sz w:val="18"/>
                <w:szCs w:val="18"/>
              </w:rPr>
              <w:fldChar w:fldCharType="separate"/>
            </w:r>
            <w:r w:rsidRPr="00FF29A9">
              <w:rPr>
                <w:noProof/>
                <w:sz w:val="18"/>
                <w:szCs w:val="18"/>
                <w:lang w:val="en-GB"/>
              </w:rPr>
              <w:t>[15]</w:t>
            </w:r>
            <w:r w:rsidRPr="00214F41">
              <w:rPr>
                <w:sz w:val="18"/>
                <w:szCs w:val="18"/>
              </w:rPr>
              <w:fldChar w:fldCharType="end"/>
            </w:r>
          </w:p>
        </w:tc>
        <w:tc>
          <w:tcPr>
            <w:tcW w:w="171" w:type="pct"/>
            <w:shd w:val="clear" w:color="000000" w:fill="FFFFFF"/>
            <w:vAlign w:val="center"/>
            <w:hideMark/>
          </w:tcPr>
          <w:p w14:paraId="5FA25540"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71AD603F" w14:textId="77777777" w:rsidR="005A043A" w:rsidRPr="00214F41" w:rsidRDefault="005A043A" w:rsidP="00286762">
            <w:pPr>
              <w:jc w:val="center"/>
              <w:rPr>
                <w:color w:val="000000"/>
                <w:sz w:val="18"/>
                <w:szCs w:val="18"/>
                <w:lang w:val="en-GB"/>
              </w:rPr>
            </w:pPr>
            <w:r w:rsidRPr="00214F41">
              <w:rPr>
                <w:color w:val="000000"/>
                <w:sz w:val="18"/>
                <w:szCs w:val="18"/>
                <w:lang w:val="en-GB"/>
              </w:rPr>
              <w:t xml:space="preserve">To asses therapy with glipizide or metformin monotherapies in patients with type 2 DM that is uncontrolled by at least half the maximum labelled daily dose of a sulfonylurea. </w:t>
            </w:r>
          </w:p>
        </w:tc>
        <w:tc>
          <w:tcPr>
            <w:tcW w:w="364" w:type="pct"/>
            <w:shd w:val="clear" w:color="000000" w:fill="FFFFFF"/>
            <w:vAlign w:val="center"/>
            <w:hideMark/>
          </w:tcPr>
          <w:p w14:paraId="23525596" w14:textId="77777777" w:rsidR="005A043A" w:rsidRPr="00214F41" w:rsidRDefault="005A043A" w:rsidP="00286762">
            <w:pPr>
              <w:jc w:val="center"/>
              <w:rPr>
                <w:sz w:val="18"/>
                <w:szCs w:val="18"/>
                <w:lang w:val="en-GB"/>
              </w:rPr>
            </w:pPr>
            <w:r w:rsidRPr="00214F41">
              <w:rPr>
                <w:sz w:val="18"/>
                <w:szCs w:val="18"/>
                <w:lang w:val="en-GB"/>
              </w:rPr>
              <w:t>247/246</w:t>
            </w:r>
          </w:p>
        </w:tc>
        <w:tc>
          <w:tcPr>
            <w:tcW w:w="200" w:type="pct"/>
            <w:shd w:val="clear" w:color="000000" w:fill="FFFFFF"/>
            <w:vAlign w:val="center"/>
            <w:hideMark/>
          </w:tcPr>
          <w:p w14:paraId="28AA2958"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2300E43F"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7440FF1A" w14:textId="77777777" w:rsidR="005A043A" w:rsidRPr="00214F41" w:rsidRDefault="005A043A" w:rsidP="00286762">
            <w:pPr>
              <w:jc w:val="center"/>
              <w:rPr>
                <w:sz w:val="18"/>
                <w:szCs w:val="18"/>
                <w:lang w:val="en-GB"/>
              </w:rPr>
            </w:pPr>
            <w:r w:rsidRPr="00214F41">
              <w:rPr>
                <w:sz w:val="18"/>
                <w:szCs w:val="18"/>
                <w:lang w:val="en-GB"/>
              </w:rPr>
              <w:t>1928mg/2/d</w:t>
            </w:r>
          </w:p>
        </w:tc>
        <w:tc>
          <w:tcPr>
            <w:tcW w:w="204" w:type="pct"/>
            <w:shd w:val="clear" w:color="000000" w:fill="FFFFFF"/>
            <w:vAlign w:val="center"/>
            <w:hideMark/>
          </w:tcPr>
          <w:p w14:paraId="7C878DD0" w14:textId="77777777" w:rsidR="005A043A" w:rsidRPr="00214F41" w:rsidRDefault="005A043A" w:rsidP="00286762">
            <w:pPr>
              <w:jc w:val="center"/>
              <w:rPr>
                <w:sz w:val="18"/>
                <w:szCs w:val="18"/>
                <w:lang w:val="en-GB"/>
              </w:rPr>
            </w:pPr>
            <w:r w:rsidRPr="00214F41">
              <w:rPr>
                <w:sz w:val="18"/>
                <w:szCs w:val="18"/>
                <w:lang w:val="en-GB"/>
              </w:rPr>
              <w:t>126</w:t>
            </w:r>
          </w:p>
        </w:tc>
        <w:tc>
          <w:tcPr>
            <w:tcW w:w="247" w:type="pct"/>
            <w:shd w:val="clear" w:color="000000" w:fill="FFFFFF"/>
            <w:vAlign w:val="center"/>
            <w:hideMark/>
          </w:tcPr>
          <w:p w14:paraId="7758710D"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16F5EFBE"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73FB14C7" w14:textId="77777777" w:rsidR="005A043A" w:rsidRPr="00214F41" w:rsidRDefault="005A043A" w:rsidP="00286762">
            <w:pPr>
              <w:jc w:val="center"/>
              <w:rPr>
                <w:sz w:val="18"/>
                <w:szCs w:val="18"/>
                <w:lang w:val="en-GB"/>
              </w:rPr>
            </w:pPr>
            <w:r w:rsidRPr="00214F41">
              <w:rPr>
                <w:sz w:val="18"/>
                <w:szCs w:val="18"/>
                <w:lang w:val="en-GB"/>
              </w:rPr>
              <w:t>glipizide/sulfonylurea derivatives</w:t>
            </w:r>
          </w:p>
        </w:tc>
        <w:tc>
          <w:tcPr>
            <w:tcW w:w="245" w:type="pct"/>
            <w:gridSpan w:val="2"/>
            <w:shd w:val="clear" w:color="000000" w:fill="FFFFFF"/>
            <w:vAlign w:val="center"/>
            <w:hideMark/>
          </w:tcPr>
          <w:p w14:paraId="0258FE73" w14:textId="77777777" w:rsidR="005A043A" w:rsidRPr="00214F41" w:rsidRDefault="005A043A" w:rsidP="00286762">
            <w:pPr>
              <w:jc w:val="center"/>
              <w:rPr>
                <w:sz w:val="18"/>
                <w:szCs w:val="18"/>
                <w:lang w:val="en-GB"/>
              </w:rPr>
            </w:pPr>
            <w:r w:rsidRPr="00214F41">
              <w:rPr>
                <w:sz w:val="18"/>
                <w:szCs w:val="18"/>
                <w:lang w:val="en-GB"/>
              </w:rPr>
              <w:t>57±9.4</w:t>
            </w:r>
          </w:p>
        </w:tc>
        <w:tc>
          <w:tcPr>
            <w:tcW w:w="202" w:type="pct"/>
            <w:shd w:val="clear" w:color="000000" w:fill="FFFFFF"/>
            <w:vAlign w:val="center"/>
            <w:hideMark/>
          </w:tcPr>
          <w:p w14:paraId="2B262179" w14:textId="77777777" w:rsidR="005A043A" w:rsidRPr="00214F41" w:rsidRDefault="005A043A" w:rsidP="00286762">
            <w:pPr>
              <w:jc w:val="center"/>
              <w:rPr>
                <w:sz w:val="18"/>
                <w:szCs w:val="18"/>
                <w:lang w:val="en-GB"/>
              </w:rPr>
            </w:pPr>
            <w:r w:rsidRPr="00214F41">
              <w:rPr>
                <w:sz w:val="18"/>
                <w:szCs w:val="18"/>
                <w:lang w:val="en-GB"/>
              </w:rPr>
              <w:t>101/63.1</w:t>
            </w:r>
          </w:p>
        </w:tc>
        <w:tc>
          <w:tcPr>
            <w:tcW w:w="265" w:type="pct"/>
            <w:gridSpan w:val="2"/>
            <w:shd w:val="clear" w:color="000000" w:fill="FFFFFF"/>
            <w:vAlign w:val="center"/>
            <w:hideMark/>
          </w:tcPr>
          <w:p w14:paraId="70DEF26D" w14:textId="77777777" w:rsidR="005A043A" w:rsidRPr="00214F41" w:rsidRDefault="005A043A" w:rsidP="00286762">
            <w:pPr>
              <w:jc w:val="center"/>
              <w:rPr>
                <w:sz w:val="18"/>
                <w:szCs w:val="18"/>
                <w:lang w:val="en-GB"/>
              </w:rPr>
            </w:pPr>
            <w:r w:rsidRPr="00214F41">
              <w:rPr>
                <w:sz w:val="18"/>
                <w:szCs w:val="18"/>
                <w:lang w:val="en-GB"/>
              </w:rPr>
              <w:t>31.6±4.3</w:t>
            </w:r>
          </w:p>
        </w:tc>
        <w:tc>
          <w:tcPr>
            <w:tcW w:w="266" w:type="pct"/>
            <w:gridSpan w:val="2"/>
            <w:shd w:val="clear" w:color="000000" w:fill="FFFFFF"/>
            <w:vAlign w:val="center"/>
            <w:hideMark/>
          </w:tcPr>
          <w:p w14:paraId="34073DC7" w14:textId="77777777" w:rsidR="005A043A" w:rsidRPr="00214F41" w:rsidRDefault="005A043A" w:rsidP="00286762">
            <w:pPr>
              <w:jc w:val="center"/>
              <w:rPr>
                <w:sz w:val="18"/>
                <w:szCs w:val="18"/>
                <w:lang w:val="en-GB"/>
              </w:rPr>
            </w:pPr>
            <w:r w:rsidRPr="00214F41">
              <w:rPr>
                <w:sz w:val="18"/>
                <w:szCs w:val="18"/>
                <w:lang w:val="en-GB"/>
              </w:rPr>
              <w:t>30.6±4.8</w:t>
            </w:r>
          </w:p>
        </w:tc>
      </w:tr>
      <w:tr w:rsidR="005A043A" w:rsidRPr="0072287D" w14:paraId="0BCBAC49" w14:textId="77777777" w:rsidTr="00286762">
        <w:trPr>
          <w:trHeight w:val="930"/>
        </w:trPr>
        <w:tc>
          <w:tcPr>
            <w:tcW w:w="338" w:type="pct"/>
            <w:shd w:val="clear" w:color="000000" w:fill="FFFFFF"/>
            <w:vAlign w:val="center"/>
            <w:hideMark/>
          </w:tcPr>
          <w:p w14:paraId="0325D2C9" w14:textId="77777777" w:rsidR="005A043A" w:rsidRPr="00214F41" w:rsidRDefault="005A043A" w:rsidP="00286762">
            <w:pPr>
              <w:jc w:val="center"/>
              <w:rPr>
                <w:sz w:val="18"/>
                <w:szCs w:val="18"/>
                <w:lang w:val="en-GB"/>
              </w:rPr>
            </w:pPr>
            <w:proofErr w:type="spellStart"/>
            <w:r w:rsidRPr="00214F41">
              <w:rPr>
                <w:sz w:val="18"/>
                <w:szCs w:val="18"/>
                <w:lang w:val="en-GB"/>
              </w:rPr>
              <w:t>Haak</w:t>
            </w:r>
            <w:proofErr w:type="spellEnd"/>
            <w:r w:rsidRPr="00214F41">
              <w:rPr>
                <w:sz w:val="18"/>
                <w:szCs w:val="18"/>
                <w:lang w:val="en-GB"/>
              </w:rPr>
              <w:t xml:space="preserve"> et al., 2012a </w:t>
            </w:r>
            <w:r w:rsidRPr="00214F41">
              <w:rPr>
                <w:sz w:val="18"/>
                <w:szCs w:val="18"/>
                <w:lang w:val="en-GB"/>
              </w:rPr>
              <w:fldChar w:fldCharType="begin" w:fldLock="1"/>
            </w:r>
            <w:r>
              <w:rPr>
                <w:sz w:val="18"/>
                <w:szCs w:val="18"/>
                <w:lang w:val="en-GB"/>
              </w:rPr>
              <w:instrText>ADDIN CSL_CITATION {"citationItems":[{"id":"ITEM-1","itemData":{"DOI":"10.1111/j.1463-1326.2012.01590.x","ISSN":"1463-1326","abstract":"Aims: To evaluate the efficacy and safety of initial combination therapy with linagliptin plus metformin versus linagliptin or metformin monotherapy in patients with type 2 diabetes. Methods: In this 24-week, double-blind, placebo-controlled, Phase III trial, 791 patients were randomized to one of six treatment arms. Two free combination therapy arms received linagliptin 2.5 mg twice daily (bid) + either low (500 mg) or high (1000 mg) dose metformin bid. Four monotherapy arms received linagliptin 5 mg once daily, metformin 500 mg or 1000 mg bid or placebo. Patients with haemoglobin A1c (HbA1c) ≥11.0\\% were not eligible for randomization and received open-label linagliptin + high-dose metformin. Results: The placebo-corrected mean (95\\% confidence interval) change in HbA1c from baseline (8.7\\%) to week 24 was -1.7\\% (-2.0, -1.4) for linagliptin + high-dose metformin, -1.3\\% (-1.6, -1.1) for linagliptin + low-dose metformin, -1.2\\% (-1.5, -0.9) for high-dose metformin, -0.8\\% (-1.0, -0.5) for low-dose metformin and -0.6 (-0.9, -0.3) for linagliptin (all p {\\textless} 0.0001). In the open-label arm, the mean change in HbA1c from baseline (11.8\\%) was -3.7\\%. Hypoglycaemia occurred at a similar low rate with linagliptin + metformin (1.7\\%) as with metformin alone (2.4\\%). Adverse event rates were comparable across treatment arms. No clinically significant changes in body weight were noted. Conclusions: Initial combination therapy with linagliptin plus metformin was superior to metformin monotherapy in improving glycaemic control, with a similar safety and tolerability profile, no weight gain and a low risk of hypoglycaemia. © 2012 Blackwell Publishing Ltd.","author":[{"dropping-particle":"","family":"Haak","given":"T","non-dropping-particle":"","parse-names":false,"suffix":""},{"dropping-particle":"","family":"Meinicke","given":"T","non-dropping-particle":"","parse-names":false,"suffix":""},{"dropping-particle":"","family":"Jones","given":"R","non-dropping-particle":"","parse-names":false,"suffix":""},{"dropping-particle":"","family":"Weber","given":"S","non-dropping-particle":"","parse-names":false,"suffix":""},{"dropping-particle":"V","family":"Eynatten","given":"M","non-dropping-particle":"","parse-names":false,"suffix":""},{"dropping-particle":"","family":"Woerle","given":"H.-J.","non-dropping-particle":"","parse-names":false,"suffix":""}],"container-title":"Diabetes, Obesity and Metabolism","id":"ITEM-1","issue":"6","issued":{"date-parts":[["2012"]]},"page":"565-574","title":"Initial combination of linagliptin and metformin improves glycaemic control in type 2 diabetes: {A} randomized, double-blind, placebo-controlled study","type":"article-journal","volume":"14"},"uris":["http://www.mendeley.com/documents/?uuid=a36da23f-81ec-4080-95c8-191fc7ee3403"]}],"mendeley":{"formattedCitation":"[16]","plainTextFormattedCitation":"[16]","previouslyFormattedCitation":"[16]"},"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[16]</w:t>
            </w:r>
            <w:r w:rsidRPr="00214F41">
              <w:rPr>
                <w:sz w:val="18"/>
                <w:szCs w:val="18"/>
                <w:lang w:val="en-GB"/>
              </w:rPr>
              <w:fldChar w:fldCharType="end"/>
            </w:r>
          </w:p>
        </w:tc>
        <w:tc>
          <w:tcPr>
            <w:tcW w:w="171" w:type="pct"/>
            <w:vMerge w:val="restart"/>
            <w:shd w:val="clear" w:color="000000" w:fill="FFFFFF"/>
            <w:vAlign w:val="center"/>
            <w:hideMark/>
          </w:tcPr>
          <w:p w14:paraId="5D142D21"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vMerge w:val="restart"/>
            <w:shd w:val="clear" w:color="000000" w:fill="FFFFFF"/>
            <w:vAlign w:val="center"/>
            <w:hideMark/>
          </w:tcPr>
          <w:p w14:paraId="6A142919" w14:textId="77777777" w:rsidR="005A043A" w:rsidRPr="00214F41" w:rsidRDefault="005A043A" w:rsidP="00286762">
            <w:pPr>
              <w:jc w:val="center"/>
              <w:rPr>
                <w:sz w:val="18"/>
                <w:szCs w:val="18"/>
                <w:lang w:val="en-GB"/>
              </w:rPr>
            </w:pPr>
            <w:r w:rsidRPr="00214F41">
              <w:rPr>
                <w:sz w:val="18"/>
                <w:szCs w:val="18"/>
                <w:lang w:val="en-GB"/>
              </w:rPr>
              <w:t xml:space="preserve"> To evaluate the efficacy and safety of metformin monotherapy in patients with T2DM.</w:t>
            </w:r>
          </w:p>
          <w:p w14:paraId="22799A52" w14:textId="77777777" w:rsidR="005A043A" w:rsidRPr="00214F41" w:rsidRDefault="005A043A" w:rsidP="00286762">
            <w:pPr>
              <w:jc w:val="center"/>
              <w:rPr>
                <w:sz w:val="18"/>
                <w:szCs w:val="18"/>
                <w:lang w:val="en-GB"/>
              </w:rPr>
            </w:pPr>
            <w:r w:rsidRPr="00214F41">
              <w:rPr>
                <w:sz w:val="18"/>
                <w:szCs w:val="18"/>
                <w:lang w:val="en-GB"/>
              </w:rPr>
              <w:t xml:space="preserve"> </w:t>
            </w:r>
          </w:p>
        </w:tc>
        <w:tc>
          <w:tcPr>
            <w:tcW w:w="364" w:type="pct"/>
            <w:shd w:val="clear" w:color="000000" w:fill="FFFFFF"/>
            <w:vAlign w:val="center"/>
            <w:hideMark/>
          </w:tcPr>
          <w:p w14:paraId="2E220765" w14:textId="77777777" w:rsidR="005A043A" w:rsidRPr="00214F41" w:rsidRDefault="005A043A" w:rsidP="00286762">
            <w:pPr>
              <w:jc w:val="center"/>
              <w:rPr>
                <w:sz w:val="18"/>
                <w:szCs w:val="18"/>
                <w:lang w:val="en-GB"/>
              </w:rPr>
            </w:pPr>
            <w:r w:rsidRPr="00214F41">
              <w:rPr>
                <w:sz w:val="18"/>
                <w:szCs w:val="18"/>
                <w:lang w:val="en-GB"/>
              </w:rPr>
              <w:t>791/791</w:t>
            </w:r>
          </w:p>
        </w:tc>
        <w:tc>
          <w:tcPr>
            <w:tcW w:w="200" w:type="pct"/>
            <w:shd w:val="clear" w:color="000000" w:fill="FFFFFF"/>
            <w:vAlign w:val="center"/>
            <w:hideMark/>
          </w:tcPr>
          <w:p w14:paraId="6A826BBB"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286BCE0F"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4ACCE938" w14:textId="77777777" w:rsidR="005A043A" w:rsidRPr="00214F41" w:rsidRDefault="005A043A" w:rsidP="00286762">
            <w:pPr>
              <w:jc w:val="center"/>
              <w:rPr>
                <w:sz w:val="18"/>
                <w:szCs w:val="18"/>
                <w:lang w:val="en-GB"/>
              </w:rPr>
            </w:pPr>
            <w:r w:rsidRPr="00214F41">
              <w:rPr>
                <w:sz w:val="18"/>
                <w:szCs w:val="18"/>
                <w:lang w:val="en-GB"/>
              </w:rPr>
              <w:t>1000mg/2/d</w:t>
            </w:r>
          </w:p>
        </w:tc>
        <w:tc>
          <w:tcPr>
            <w:tcW w:w="204" w:type="pct"/>
            <w:shd w:val="clear" w:color="000000" w:fill="FFFFFF"/>
            <w:vAlign w:val="center"/>
            <w:hideMark/>
          </w:tcPr>
          <w:p w14:paraId="321BE608"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shd w:val="clear" w:color="000000" w:fill="FFFFFF"/>
            <w:vAlign w:val="center"/>
            <w:hideMark/>
          </w:tcPr>
          <w:p w14:paraId="73548ED4"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0DF857A0"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0B464B4D" w14:textId="77777777" w:rsidR="005A043A" w:rsidRPr="00214F41" w:rsidRDefault="005A043A" w:rsidP="00286762">
            <w:pPr>
              <w:jc w:val="center"/>
              <w:rPr>
                <w:sz w:val="18"/>
                <w:szCs w:val="18"/>
                <w:lang w:val="en-GB"/>
              </w:rPr>
            </w:pPr>
            <w:r w:rsidRPr="00214F41">
              <w:rPr>
                <w:sz w:val="18"/>
                <w:szCs w:val="18"/>
                <w:lang w:val="en-GB"/>
              </w:rPr>
              <w:t>PBO</w:t>
            </w:r>
          </w:p>
        </w:tc>
        <w:tc>
          <w:tcPr>
            <w:tcW w:w="245" w:type="pct"/>
            <w:gridSpan w:val="2"/>
            <w:shd w:val="clear" w:color="000000" w:fill="FFFFFF"/>
            <w:vAlign w:val="center"/>
            <w:hideMark/>
          </w:tcPr>
          <w:p w14:paraId="22C388F7" w14:textId="77777777" w:rsidR="005A043A" w:rsidRPr="00214F41" w:rsidRDefault="005A043A" w:rsidP="00286762">
            <w:pPr>
              <w:jc w:val="center"/>
              <w:rPr>
                <w:sz w:val="18"/>
                <w:szCs w:val="18"/>
                <w:lang w:val="en-GB"/>
              </w:rPr>
            </w:pPr>
            <w:r w:rsidRPr="00214F41">
              <w:rPr>
                <w:sz w:val="18"/>
                <w:szCs w:val="18"/>
                <w:lang w:val="en-GB"/>
              </w:rPr>
              <w:t>53.8±10.7</w:t>
            </w:r>
          </w:p>
        </w:tc>
        <w:tc>
          <w:tcPr>
            <w:tcW w:w="202" w:type="pct"/>
            <w:shd w:val="clear" w:color="000000" w:fill="FFFFFF"/>
            <w:vAlign w:val="center"/>
            <w:hideMark/>
          </w:tcPr>
          <w:p w14:paraId="426A23DA" w14:textId="77777777" w:rsidR="005A043A" w:rsidRPr="00214F41" w:rsidRDefault="005A043A" w:rsidP="00286762">
            <w:pPr>
              <w:jc w:val="center"/>
              <w:rPr>
                <w:sz w:val="18"/>
                <w:szCs w:val="18"/>
                <w:lang w:val="en-GB"/>
              </w:rPr>
            </w:pPr>
            <w:r w:rsidRPr="00214F41">
              <w:rPr>
                <w:sz w:val="18"/>
                <w:szCs w:val="18"/>
                <w:lang w:val="en-GB"/>
              </w:rPr>
              <w:t>118/54.6</w:t>
            </w:r>
          </w:p>
        </w:tc>
        <w:tc>
          <w:tcPr>
            <w:tcW w:w="265" w:type="pct"/>
            <w:gridSpan w:val="2"/>
            <w:shd w:val="clear" w:color="000000" w:fill="FFFFFF"/>
            <w:vAlign w:val="center"/>
            <w:hideMark/>
          </w:tcPr>
          <w:p w14:paraId="7CEE3DE7" w14:textId="77777777" w:rsidR="005A043A" w:rsidRPr="00214F41" w:rsidRDefault="005A043A" w:rsidP="00286762">
            <w:pPr>
              <w:jc w:val="center"/>
              <w:rPr>
                <w:sz w:val="18"/>
                <w:szCs w:val="18"/>
                <w:lang w:val="en-GB"/>
              </w:rPr>
            </w:pPr>
            <w:r w:rsidRPr="00214F41">
              <w:rPr>
                <w:sz w:val="18"/>
                <w:szCs w:val="18"/>
                <w:lang w:val="en-GB"/>
              </w:rPr>
              <w:t>28.9±4.8</w:t>
            </w:r>
          </w:p>
        </w:tc>
        <w:tc>
          <w:tcPr>
            <w:tcW w:w="266" w:type="pct"/>
            <w:gridSpan w:val="2"/>
            <w:shd w:val="clear" w:color="000000" w:fill="FFFFFF"/>
            <w:vAlign w:val="center"/>
            <w:hideMark/>
          </w:tcPr>
          <w:p w14:paraId="5AC9D3B5" w14:textId="77777777" w:rsidR="005A043A" w:rsidRPr="00214F41" w:rsidRDefault="005A043A" w:rsidP="00286762">
            <w:pPr>
              <w:jc w:val="center"/>
              <w:rPr>
                <w:sz w:val="18"/>
                <w:szCs w:val="18"/>
                <w:lang w:val="en-GB"/>
              </w:rPr>
            </w:pPr>
            <w:r w:rsidRPr="00214F41">
              <w:rPr>
                <w:sz w:val="18"/>
                <w:szCs w:val="18"/>
                <w:lang w:val="en-GB"/>
              </w:rPr>
              <w:t>28.6±5.2</w:t>
            </w:r>
          </w:p>
        </w:tc>
      </w:tr>
      <w:tr w:rsidR="005A043A" w:rsidRPr="0072287D" w14:paraId="7D1D8D08" w14:textId="77777777" w:rsidTr="00286762">
        <w:trPr>
          <w:trHeight w:val="930"/>
        </w:trPr>
        <w:tc>
          <w:tcPr>
            <w:tcW w:w="338" w:type="pct"/>
            <w:shd w:val="clear" w:color="000000" w:fill="FFFFFF"/>
            <w:vAlign w:val="center"/>
            <w:hideMark/>
          </w:tcPr>
          <w:p w14:paraId="1F9D24B8" w14:textId="77777777" w:rsidR="005A043A" w:rsidRPr="00214F41" w:rsidRDefault="005A043A" w:rsidP="00286762">
            <w:pPr>
              <w:jc w:val="center"/>
              <w:rPr>
                <w:sz w:val="18"/>
                <w:szCs w:val="18"/>
                <w:lang w:val="en-GB"/>
              </w:rPr>
            </w:pPr>
            <w:proofErr w:type="spellStart"/>
            <w:r w:rsidRPr="00214F41">
              <w:rPr>
                <w:sz w:val="18"/>
                <w:szCs w:val="18"/>
                <w:lang w:val="en-GB"/>
              </w:rPr>
              <w:t>Haak</w:t>
            </w:r>
            <w:proofErr w:type="spellEnd"/>
            <w:r w:rsidRPr="00214F41">
              <w:rPr>
                <w:sz w:val="18"/>
                <w:szCs w:val="18"/>
                <w:lang w:val="en-GB"/>
              </w:rPr>
              <w:t xml:space="preserve"> et al., 2012b</w:t>
            </w:r>
          </w:p>
        </w:tc>
        <w:tc>
          <w:tcPr>
            <w:tcW w:w="171" w:type="pct"/>
            <w:vMerge/>
            <w:shd w:val="clear" w:color="000000" w:fill="FFFFFF"/>
            <w:vAlign w:val="center"/>
            <w:hideMark/>
          </w:tcPr>
          <w:p w14:paraId="6A966329" w14:textId="77777777" w:rsidR="005A043A" w:rsidRPr="00214F41" w:rsidRDefault="005A043A" w:rsidP="00286762">
            <w:pPr>
              <w:jc w:val="center"/>
              <w:rPr>
                <w:sz w:val="18"/>
                <w:szCs w:val="18"/>
                <w:lang w:val="en-GB"/>
              </w:rPr>
            </w:pPr>
          </w:p>
        </w:tc>
        <w:tc>
          <w:tcPr>
            <w:tcW w:w="744" w:type="pct"/>
            <w:vMerge/>
            <w:shd w:val="clear" w:color="000000" w:fill="FFFFFF"/>
            <w:vAlign w:val="center"/>
            <w:hideMark/>
          </w:tcPr>
          <w:p w14:paraId="2666FE34" w14:textId="77777777" w:rsidR="005A043A" w:rsidRPr="00214F41" w:rsidRDefault="005A043A" w:rsidP="00286762">
            <w:pPr>
              <w:jc w:val="center"/>
              <w:rPr>
                <w:sz w:val="18"/>
                <w:szCs w:val="18"/>
                <w:lang w:val="en-GB"/>
              </w:rPr>
            </w:pPr>
          </w:p>
        </w:tc>
        <w:tc>
          <w:tcPr>
            <w:tcW w:w="364" w:type="pct"/>
            <w:shd w:val="clear" w:color="000000" w:fill="FFFFFF"/>
            <w:vAlign w:val="center"/>
            <w:hideMark/>
          </w:tcPr>
          <w:p w14:paraId="5832D05B" w14:textId="77777777" w:rsidR="005A043A" w:rsidRPr="00214F41" w:rsidRDefault="005A043A" w:rsidP="00286762">
            <w:pPr>
              <w:jc w:val="center"/>
              <w:rPr>
                <w:sz w:val="18"/>
                <w:szCs w:val="18"/>
                <w:lang w:val="en-GB"/>
              </w:rPr>
            </w:pPr>
            <w:r w:rsidRPr="00214F41">
              <w:rPr>
                <w:sz w:val="18"/>
                <w:szCs w:val="18"/>
                <w:lang w:val="en-GB"/>
              </w:rPr>
              <w:t>791/791</w:t>
            </w:r>
          </w:p>
        </w:tc>
        <w:tc>
          <w:tcPr>
            <w:tcW w:w="200" w:type="pct"/>
            <w:shd w:val="clear" w:color="000000" w:fill="FFFFFF"/>
            <w:vAlign w:val="center"/>
            <w:hideMark/>
          </w:tcPr>
          <w:p w14:paraId="30700721"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54CE4F2F"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09C0A1E2" w14:textId="77777777" w:rsidR="005A043A" w:rsidRPr="00214F41" w:rsidRDefault="005A043A" w:rsidP="00286762">
            <w:pPr>
              <w:jc w:val="center"/>
              <w:rPr>
                <w:sz w:val="18"/>
                <w:szCs w:val="18"/>
                <w:lang w:val="en-GB"/>
              </w:rPr>
            </w:pPr>
            <w:r w:rsidRPr="00214F41">
              <w:rPr>
                <w:sz w:val="18"/>
                <w:szCs w:val="18"/>
                <w:lang w:val="en-GB"/>
              </w:rPr>
              <w:t>2000mg/2/d</w:t>
            </w:r>
          </w:p>
        </w:tc>
        <w:tc>
          <w:tcPr>
            <w:tcW w:w="204" w:type="pct"/>
            <w:shd w:val="clear" w:color="000000" w:fill="FFFFFF"/>
            <w:vAlign w:val="center"/>
            <w:hideMark/>
          </w:tcPr>
          <w:p w14:paraId="3E0F0C7B"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shd w:val="clear" w:color="000000" w:fill="FFFFFF"/>
            <w:vAlign w:val="center"/>
            <w:hideMark/>
          </w:tcPr>
          <w:p w14:paraId="625E990F"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6222AE23"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677F5ED0" w14:textId="77777777" w:rsidR="005A043A" w:rsidRPr="00214F41" w:rsidRDefault="005A043A" w:rsidP="00286762">
            <w:pPr>
              <w:jc w:val="center"/>
              <w:rPr>
                <w:sz w:val="18"/>
                <w:szCs w:val="18"/>
                <w:lang w:val="en-GB"/>
              </w:rPr>
            </w:pPr>
            <w:r w:rsidRPr="00214F41">
              <w:rPr>
                <w:sz w:val="18"/>
                <w:szCs w:val="18"/>
                <w:lang w:val="en-GB"/>
              </w:rPr>
              <w:t>PBO</w:t>
            </w:r>
          </w:p>
        </w:tc>
        <w:tc>
          <w:tcPr>
            <w:tcW w:w="245" w:type="pct"/>
            <w:gridSpan w:val="2"/>
            <w:shd w:val="clear" w:color="000000" w:fill="FFFFFF"/>
            <w:vAlign w:val="center"/>
            <w:hideMark/>
          </w:tcPr>
          <w:p w14:paraId="1C653332" w14:textId="77777777" w:rsidR="005A043A" w:rsidRPr="00214F41" w:rsidRDefault="005A043A" w:rsidP="00286762">
            <w:pPr>
              <w:jc w:val="center"/>
              <w:rPr>
                <w:sz w:val="18"/>
                <w:szCs w:val="18"/>
                <w:lang w:val="en-GB"/>
              </w:rPr>
            </w:pPr>
            <w:r w:rsidRPr="00214F41">
              <w:rPr>
                <w:sz w:val="18"/>
                <w:szCs w:val="18"/>
                <w:lang w:val="en-GB"/>
              </w:rPr>
              <w:t>55.4±10.7</w:t>
            </w:r>
          </w:p>
        </w:tc>
        <w:tc>
          <w:tcPr>
            <w:tcW w:w="202" w:type="pct"/>
            <w:shd w:val="clear" w:color="000000" w:fill="FFFFFF"/>
            <w:vAlign w:val="center"/>
            <w:hideMark/>
          </w:tcPr>
          <w:p w14:paraId="7169D2A3" w14:textId="77777777" w:rsidR="005A043A" w:rsidRPr="00214F41" w:rsidRDefault="005A043A" w:rsidP="00286762">
            <w:pPr>
              <w:jc w:val="center"/>
              <w:rPr>
                <w:sz w:val="18"/>
                <w:szCs w:val="18"/>
                <w:lang w:val="en-GB"/>
              </w:rPr>
            </w:pPr>
            <w:r w:rsidRPr="00214F41">
              <w:rPr>
                <w:sz w:val="18"/>
                <w:szCs w:val="18"/>
                <w:lang w:val="en-GB"/>
              </w:rPr>
              <w:t>114/52.1</w:t>
            </w:r>
          </w:p>
        </w:tc>
        <w:tc>
          <w:tcPr>
            <w:tcW w:w="265" w:type="pct"/>
            <w:gridSpan w:val="2"/>
            <w:shd w:val="clear" w:color="000000" w:fill="FFFFFF"/>
            <w:vAlign w:val="center"/>
            <w:hideMark/>
          </w:tcPr>
          <w:p w14:paraId="03C2B061" w14:textId="77777777" w:rsidR="005A043A" w:rsidRPr="00214F41" w:rsidRDefault="005A043A" w:rsidP="00286762">
            <w:pPr>
              <w:jc w:val="center"/>
              <w:rPr>
                <w:sz w:val="18"/>
                <w:szCs w:val="18"/>
                <w:lang w:val="en-GB"/>
              </w:rPr>
            </w:pPr>
            <w:r w:rsidRPr="00214F41">
              <w:rPr>
                <w:sz w:val="18"/>
                <w:szCs w:val="18"/>
                <w:lang w:val="en-GB"/>
              </w:rPr>
              <w:t>29.5±5.3</w:t>
            </w:r>
          </w:p>
        </w:tc>
        <w:tc>
          <w:tcPr>
            <w:tcW w:w="266" w:type="pct"/>
            <w:gridSpan w:val="2"/>
            <w:shd w:val="clear" w:color="000000" w:fill="FFFFFF"/>
            <w:vAlign w:val="center"/>
            <w:hideMark/>
          </w:tcPr>
          <w:p w14:paraId="5EF521C6" w14:textId="77777777" w:rsidR="005A043A" w:rsidRPr="00214F41" w:rsidRDefault="005A043A" w:rsidP="00286762">
            <w:pPr>
              <w:jc w:val="center"/>
              <w:rPr>
                <w:sz w:val="18"/>
                <w:szCs w:val="18"/>
                <w:lang w:val="en-GB"/>
              </w:rPr>
            </w:pPr>
            <w:r w:rsidRPr="00214F41">
              <w:rPr>
                <w:sz w:val="18"/>
                <w:szCs w:val="18"/>
                <w:lang w:val="en-GB"/>
              </w:rPr>
              <w:t>28.6/5.2</w:t>
            </w:r>
          </w:p>
        </w:tc>
      </w:tr>
      <w:tr w:rsidR="005A043A" w:rsidRPr="0072287D" w14:paraId="3EFBEF38" w14:textId="77777777" w:rsidTr="00286762">
        <w:trPr>
          <w:trHeight w:val="930"/>
        </w:trPr>
        <w:tc>
          <w:tcPr>
            <w:tcW w:w="338" w:type="pct"/>
            <w:shd w:val="clear" w:color="000000" w:fill="FFFFFF"/>
            <w:vAlign w:val="center"/>
            <w:hideMark/>
          </w:tcPr>
          <w:p w14:paraId="71B85F85" w14:textId="77777777" w:rsidR="005A043A" w:rsidRPr="00214F41" w:rsidRDefault="005A043A" w:rsidP="00286762">
            <w:pPr>
              <w:jc w:val="center"/>
              <w:rPr>
                <w:sz w:val="18"/>
                <w:szCs w:val="18"/>
                <w:lang w:val="en-GB"/>
              </w:rPr>
            </w:pPr>
            <w:r w:rsidRPr="00214F41">
              <w:rPr>
                <w:sz w:val="18"/>
                <w:szCs w:val="18"/>
                <w:lang w:val="en-GB"/>
              </w:rPr>
              <w:t xml:space="preserve">Henry et al., 2012a </w:t>
            </w:r>
            <w:r w:rsidRPr="00214F41">
              <w:rPr>
                <w:sz w:val="18"/>
                <w:szCs w:val="18"/>
                <w:lang w:val="en-GB"/>
              </w:rPr>
              <w:fldChar w:fldCharType="begin" w:fldLock="1"/>
            </w:r>
            <w:r>
              <w:rPr>
                <w:sz w:val="18"/>
                <w:szCs w:val="18"/>
                <w:lang w:val="en-GB"/>
              </w:rPr>
              <w:instrText>ADDIN CSL_CITATION {"citationItems":[{"id":"ITEM-1","itemData":{"DOI":"10.1111/j.1742-1241.2012.02911.x","ISSN":"1368-5031","abstract":"Background: Combining metformin (XR) with dapagliflozin to initiate pharmacotherapy in patients with type 2 diabetes (T2D) and high baseline HbA1c may be advantageous. We conducted two randomised, double-blind, three-arm 24-week trials in treatment-naïve patients to compare dapagliflozin plus metformin, dapagliflozin alone and metformin alone. Methods: Eligible patients had baseline HbA1c 7.5-12%. Each trial had three arms: dapagliflozin plus metformin, dapagliflozin monotherapy and metformin monotherapy. Dapagliflozin in combination and as monotherapy was dosed at 5 mg (Study 1) and 10 mg (Study 2). Metformin in combination and as monotherapy was titrated to 2000 mg. The primary endpoint was HbA1c change from baseline; secondary endpoints included change in fasting plasma glucose (FPG) and weight. Results: In both trials, combination therapy led to significantly greater reductions in HbA1c compared with either monotherapy: -2.05 for dapagliflozin + metformin, -1.19 for dapagliflozin, and -1.35 for metformin (p &lt; 0.0001) (Study 1); -1.98 for dapagliflozin + metformin, -1.45 for dapagliflozin and -1.44 for metformin (p &lt; 0.0001) (Study 2). Combination therapy was statistically superior to monotherapy in reduction of FPG (p &lt; 0.0001 for both studies); combination therapy was more effective than metformin for weight reduction (p &lt; 0.0001). Dapagliflozin 10 mg was non-inferior to metformin in reducing HbA1c (Study 2). Events suggestive of genital infection were reported in 6.7%, 6.9% and 2.0% (Study 1) and 8.5%, 12.8% and 2.4% (Study 2) of patients in combination, dapagliflozin and metformin groups; events suggestive of urinary tract infection were reported in 7.7%, 7.9% and 7.5% (Study 1) and 7.6%, 11.0% and 4.3% (Study 2) of patients in the respective groups. No major hypoglycaemia was reported. Conclusion: In treatment-naïve patients with T2D, dapagliflozin plus metformin was generally well tolerated and effective in reducing HbA1c, FPG and weight. Dapagliflozin-induced glucosuria led to an increase in events suggestive of urinary tract and genital infections. © 2012 Blackwell Publishing Ltd.","author":[{"dropping-particle":"","family":"Henry","given":"R R","non-dropping-particle":"","parse-names":false,"suffix":""},{"dropping-particle":"V","family":"Murray","given":"A","non-dropping-particle":"","parse-names":false,"suffix":""},{"dropping-particle":"","family":"Marmolejo","given":"M H","non-dropping-particle":"","parse-names":false,"suffix":""},{"dropping-particle":"","family":"Hennicken","given":"D","non-dropping-particle":"","parse-names":false,"suffix":""},{"dropping-particle":"","family":"Ptaszynska","given":"A","non-dropping-particle":"","parse-names":false,"suffix":""},{"dropping-particle":"","family":"List","given":"J F","non-dropping-particle":"","parse-names":false,"suffix":""}],"container-title":"International Journal of Clinical Practice","id":"ITEM-1","issue":"5","issued":{"date-parts":[["2012"]]},"language":"English","page":"446-456","title":"Dapagliflozin, metformin XR, or both: Initial pharmacotherapy for type 2 diabetes, a randomised controlled trial","type":"article-journal","volume":"66"},"uris":["http://www.mendeley.com/documents/?uuid=0c9ca911-40d9-47bf-97a5-f012dd311c32"]}],"mendeley":{"formattedCitation":"[17]","plainTextFormattedCitation":"[17]","previouslyFormattedCitation":"[17]"},"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[17]</w:t>
            </w:r>
            <w:r w:rsidRPr="00214F41">
              <w:rPr>
                <w:sz w:val="18"/>
                <w:szCs w:val="18"/>
                <w:lang w:val="en-GB"/>
              </w:rPr>
              <w:fldChar w:fldCharType="end"/>
            </w:r>
          </w:p>
        </w:tc>
        <w:tc>
          <w:tcPr>
            <w:tcW w:w="171" w:type="pct"/>
            <w:vMerge w:val="restart"/>
            <w:shd w:val="clear" w:color="000000" w:fill="FFFFFF"/>
            <w:vAlign w:val="center"/>
            <w:hideMark/>
          </w:tcPr>
          <w:p w14:paraId="493555A5"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vMerge w:val="restart"/>
            <w:shd w:val="clear" w:color="000000" w:fill="FFFFFF"/>
            <w:vAlign w:val="center"/>
            <w:hideMark/>
          </w:tcPr>
          <w:p w14:paraId="1E237D2D" w14:textId="77777777" w:rsidR="005A043A" w:rsidRPr="00214F41" w:rsidRDefault="005A043A" w:rsidP="00286762">
            <w:pPr>
              <w:jc w:val="center"/>
              <w:rPr>
                <w:sz w:val="18"/>
                <w:szCs w:val="18"/>
                <w:lang w:val="en-GB"/>
              </w:rPr>
            </w:pPr>
            <w:r w:rsidRPr="00214F41">
              <w:rPr>
                <w:sz w:val="18"/>
                <w:szCs w:val="18"/>
                <w:lang w:val="en-GB"/>
              </w:rPr>
              <w:t>To compare dapagliflozin</w:t>
            </w:r>
            <w:r w:rsidRPr="00214F41">
              <w:rPr>
                <w:sz w:val="18"/>
                <w:szCs w:val="18"/>
                <w:lang w:val="en-GB"/>
              </w:rPr>
              <w:br/>
              <w:t>alone and metformin alone.</w:t>
            </w:r>
          </w:p>
          <w:p w14:paraId="5285DFD8" w14:textId="77777777" w:rsidR="005A043A" w:rsidRPr="00214F41" w:rsidRDefault="005A043A" w:rsidP="00286762">
            <w:pPr>
              <w:jc w:val="center"/>
              <w:rPr>
                <w:sz w:val="18"/>
                <w:szCs w:val="18"/>
                <w:lang w:val="en-GB"/>
              </w:rPr>
            </w:pPr>
            <w:r w:rsidRPr="00214F41">
              <w:rPr>
                <w:sz w:val="18"/>
                <w:szCs w:val="18"/>
                <w:lang w:val="en-GB"/>
              </w:rPr>
              <w:t>.</w:t>
            </w:r>
          </w:p>
        </w:tc>
        <w:tc>
          <w:tcPr>
            <w:tcW w:w="364" w:type="pct"/>
            <w:shd w:val="clear" w:color="000000" w:fill="FFFFFF"/>
            <w:vAlign w:val="center"/>
            <w:hideMark/>
          </w:tcPr>
          <w:p w14:paraId="74E939A8" w14:textId="77777777" w:rsidR="005A043A" w:rsidRPr="00214F41" w:rsidRDefault="005A043A" w:rsidP="00286762">
            <w:pPr>
              <w:jc w:val="center"/>
              <w:rPr>
                <w:sz w:val="18"/>
                <w:szCs w:val="18"/>
                <w:lang w:val="en-GB"/>
              </w:rPr>
            </w:pPr>
            <w:r w:rsidRPr="00214F41">
              <w:rPr>
                <w:sz w:val="18"/>
                <w:szCs w:val="18"/>
                <w:lang w:val="en-GB"/>
              </w:rPr>
              <w:t>603/598</w:t>
            </w:r>
          </w:p>
        </w:tc>
        <w:tc>
          <w:tcPr>
            <w:tcW w:w="200" w:type="pct"/>
            <w:vMerge w:val="restart"/>
            <w:shd w:val="clear" w:color="000000" w:fill="FFFFFF"/>
            <w:vAlign w:val="center"/>
            <w:hideMark/>
          </w:tcPr>
          <w:p w14:paraId="3255DA38" w14:textId="77777777" w:rsidR="005A043A" w:rsidRPr="00214F41" w:rsidRDefault="005A043A" w:rsidP="00286762">
            <w:pPr>
              <w:jc w:val="center"/>
              <w:rPr>
                <w:sz w:val="18"/>
                <w:szCs w:val="18"/>
                <w:lang w:val="en-GB"/>
              </w:rPr>
            </w:pPr>
            <w:r w:rsidRPr="00214F41">
              <w:rPr>
                <w:sz w:val="18"/>
                <w:szCs w:val="18"/>
                <w:lang w:val="en-GB"/>
              </w:rPr>
              <w:t>S</w:t>
            </w:r>
          </w:p>
        </w:tc>
        <w:tc>
          <w:tcPr>
            <w:tcW w:w="448" w:type="pct"/>
            <w:vMerge w:val="restart"/>
            <w:shd w:val="clear" w:color="000000" w:fill="FFFFFF"/>
            <w:vAlign w:val="center"/>
            <w:hideMark/>
          </w:tcPr>
          <w:p w14:paraId="22A1574F"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229F37AF" w14:textId="77777777" w:rsidR="005A043A" w:rsidRPr="00214F41" w:rsidRDefault="005A043A" w:rsidP="00286762">
            <w:pPr>
              <w:jc w:val="center"/>
              <w:rPr>
                <w:sz w:val="18"/>
                <w:szCs w:val="18"/>
                <w:lang w:val="en-GB"/>
              </w:rPr>
            </w:pPr>
            <w:r w:rsidRPr="00214F41">
              <w:rPr>
                <w:sz w:val="18"/>
                <w:szCs w:val="18"/>
                <w:lang w:val="en-GB"/>
              </w:rPr>
              <w:t>1843.6mg/2/d</w:t>
            </w:r>
          </w:p>
        </w:tc>
        <w:tc>
          <w:tcPr>
            <w:tcW w:w="204" w:type="pct"/>
            <w:vMerge w:val="restart"/>
            <w:shd w:val="clear" w:color="000000" w:fill="FFFFFF"/>
            <w:vAlign w:val="center"/>
            <w:hideMark/>
          </w:tcPr>
          <w:p w14:paraId="51280113"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vMerge w:val="restart"/>
            <w:shd w:val="clear" w:color="000000" w:fill="FFFFFF"/>
            <w:vAlign w:val="center"/>
            <w:hideMark/>
          </w:tcPr>
          <w:p w14:paraId="06BE2134" w14:textId="77777777" w:rsidR="005A043A" w:rsidRPr="00214F41" w:rsidRDefault="005A043A" w:rsidP="00286762">
            <w:pPr>
              <w:jc w:val="center"/>
              <w:rPr>
                <w:sz w:val="18"/>
                <w:szCs w:val="18"/>
                <w:lang w:val="en-GB"/>
              </w:rPr>
            </w:pPr>
            <w:r w:rsidRPr="00214F41">
              <w:rPr>
                <w:sz w:val="18"/>
                <w:szCs w:val="18"/>
                <w:lang w:val="en-GB"/>
              </w:rPr>
              <w:t>XR</w:t>
            </w:r>
          </w:p>
        </w:tc>
        <w:tc>
          <w:tcPr>
            <w:tcW w:w="491" w:type="pct"/>
            <w:shd w:val="clear" w:color="000000" w:fill="FFFFFF"/>
            <w:vAlign w:val="center"/>
          </w:tcPr>
          <w:p w14:paraId="470C7F90" w14:textId="77777777" w:rsidR="005A043A" w:rsidRPr="00214F41" w:rsidRDefault="005A043A" w:rsidP="00286762">
            <w:pPr>
              <w:jc w:val="center"/>
              <w:rPr>
                <w:sz w:val="18"/>
                <w:szCs w:val="18"/>
                <w:lang w:val="en-GB"/>
              </w:rPr>
            </w:pPr>
            <w:r w:rsidRPr="00214F41">
              <w:rPr>
                <w:sz w:val="18"/>
                <w:szCs w:val="18"/>
                <w:lang w:val="en-GB"/>
              </w:rPr>
              <w:t>Metformin XR</w:t>
            </w:r>
          </w:p>
        </w:tc>
        <w:tc>
          <w:tcPr>
            <w:tcW w:w="491" w:type="pct"/>
            <w:vMerge w:val="restart"/>
            <w:shd w:val="clear" w:color="000000" w:fill="FFFFFF"/>
            <w:vAlign w:val="center"/>
            <w:hideMark/>
          </w:tcPr>
          <w:p w14:paraId="45868F94" w14:textId="77777777" w:rsidR="005A043A" w:rsidRPr="00214F41" w:rsidRDefault="005A043A" w:rsidP="00286762">
            <w:pPr>
              <w:jc w:val="center"/>
              <w:rPr>
                <w:sz w:val="18"/>
                <w:szCs w:val="18"/>
                <w:lang w:val="en-GB"/>
              </w:rPr>
            </w:pPr>
            <w:r w:rsidRPr="00214F41">
              <w:rPr>
                <w:sz w:val="18"/>
                <w:szCs w:val="18"/>
                <w:lang w:val="en-GB"/>
              </w:rPr>
              <w:t>dapagliflozin/SGLT2 inhibitor</w:t>
            </w:r>
          </w:p>
        </w:tc>
        <w:tc>
          <w:tcPr>
            <w:tcW w:w="245" w:type="pct"/>
            <w:gridSpan w:val="2"/>
            <w:shd w:val="clear" w:color="000000" w:fill="FFFFFF"/>
            <w:vAlign w:val="center"/>
            <w:hideMark/>
          </w:tcPr>
          <w:p w14:paraId="563EF98E" w14:textId="77777777" w:rsidR="005A043A" w:rsidRPr="00214F41" w:rsidRDefault="005A043A" w:rsidP="00286762">
            <w:pPr>
              <w:jc w:val="center"/>
              <w:rPr>
                <w:sz w:val="18"/>
                <w:szCs w:val="18"/>
                <w:lang w:val="en-GB"/>
              </w:rPr>
            </w:pPr>
            <w:r w:rsidRPr="00214F41">
              <w:rPr>
                <w:sz w:val="18"/>
                <w:szCs w:val="18"/>
                <w:lang w:val="en-GB"/>
              </w:rPr>
              <w:t>52.1±10</w:t>
            </w:r>
          </w:p>
        </w:tc>
        <w:tc>
          <w:tcPr>
            <w:tcW w:w="202" w:type="pct"/>
            <w:shd w:val="clear" w:color="000000" w:fill="FFFFFF"/>
            <w:vAlign w:val="center"/>
            <w:hideMark/>
          </w:tcPr>
          <w:p w14:paraId="48F89FCA" w14:textId="77777777" w:rsidR="005A043A" w:rsidRPr="00214F41" w:rsidRDefault="005A043A" w:rsidP="00286762">
            <w:pPr>
              <w:jc w:val="center"/>
              <w:rPr>
                <w:sz w:val="18"/>
                <w:szCs w:val="18"/>
                <w:lang w:val="en-GB"/>
              </w:rPr>
            </w:pPr>
            <w:r w:rsidRPr="00214F41">
              <w:rPr>
                <w:sz w:val="18"/>
                <w:szCs w:val="18"/>
                <w:lang w:val="en-GB"/>
              </w:rPr>
              <w:t>187/46.3</w:t>
            </w:r>
          </w:p>
        </w:tc>
        <w:tc>
          <w:tcPr>
            <w:tcW w:w="265" w:type="pct"/>
            <w:gridSpan w:val="2"/>
            <w:vMerge w:val="restart"/>
            <w:shd w:val="clear" w:color="000000" w:fill="FFFFFF"/>
            <w:vAlign w:val="center"/>
            <w:hideMark/>
          </w:tcPr>
          <w:p w14:paraId="0516F51C" w14:textId="77777777" w:rsidR="005A043A" w:rsidRPr="00214F41" w:rsidRDefault="005A043A" w:rsidP="00286762">
            <w:pPr>
              <w:jc w:val="center"/>
              <w:rPr>
                <w:sz w:val="18"/>
                <w:szCs w:val="18"/>
                <w:lang w:val="en-GB"/>
              </w:rPr>
            </w:pPr>
            <w:proofErr w:type="spellStart"/>
            <w:r w:rsidRPr="00214F41">
              <w:rPr>
                <w:sz w:val="18"/>
                <w:szCs w:val="18"/>
                <w:lang w:val="en-GB"/>
              </w:rPr>
              <w:t>nd±nd</w:t>
            </w:r>
            <w:proofErr w:type="spellEnd"/>
          </w:p>
          <w:p w14:paraId="5CC5D5CA" w14:textId="77777777" w:rsidR="005A043A" w:rsidRPr="00214F41" w:rsidRDefault="005A043A" w:rsidP="00286762">
            <w:pPr>
              <w:jc w:val="center"/>
              <w:rPr>
                <w:sz w:val="18"/>
                <w:szCs w:val="18"/>
                <w:lang w:val="en-GB"/>
              </w:rPr>
            </w:pPr>
          </w:p>
        </w:tc>
        <w:tc>
          <w:tcPr>
            <w:tcW w:w="266" w:type="pct"/>
            <w:gridSpan w:val="2"/>
            <w:vMerge w:val="restart"/>
            <w:shd w:val="clear" w:color="000000" w:fill="FFFFFF"/>
            <w:vAlign w:val="center"/>
            <w:hideMark/>
          </w:tcPr>
          <w:p w14:paraId="2CA77D14" w14:textId="77777777" w:rsidR="005A043A" w:rsidRPr="00214F41" w:rsidRDefault="005A043A" w:rsidP="00286762">
            <w:pPr>
              <w:jc w:val="center"/>
              <w:rPr>
                <w:sz w:val="18"/>
                <w:szCs w:val="18"/>
                <w:lang w:val="en-GB"/>
              </w:rPr>
            </w:pPr>
            <w:proofErr w:type="spellStart"/>
            <w:r w:rsidRPr="00214F41">
              <w:rPr>
                <w:sz w:val="18"/>
                <w:szCs w:val="18"/>
                <w:lang w:val="en-GB"/>
              </w:rPr>
              <w:t>nd±nd</w:t>
            </w:r>
            <w:proofErr w:type="spellEnd"/>
          </w:p>
          <w:p w14:paraId="307621D0" w14:textId="77777777" w:rsidR="005A043A" w:rsidRPr="00214F41" w:rsidRDefault="005A043A" w:rsidP="00286762">
            <w:pPr>
              <w:jc w:val="center"/>
              <w:rPr>
                <w:sz w:val="18"/>
                <w:szCs w:val="18"/>
                <w:lang w:val="en-GB"/>
              </w:rPr>
            </w:pPr>
            <w:r w:rsidRPr="00214F41">
              <w:rPr>
                <w:sz w:val="18"/>
                <w:szCs w:val="18"/>
                <w:lang w:val="en-GB"/>
              </w:rPr>
              <w:t> </w:t>
            </w:r>
          </w:p>
        </w:tc>
      </w:tr>
      <w:tr w:rsidR="005A043A" w:rsidRPr="0072287D" w14:paraId="03C71DEA" w14:textId="77777777" w:rsidTr="00286762">
        <w:trPr>
          <w:trHeight w:val="930"/>
        </w:trPr>
        <w:tc>
          <w:tcPr>
            <w:tcW w:w="338" w:type="pct"/>
            <w:shd w:val="clear" w:color="000000" w:fill="FFFFFF"/>
            <w:vAlign w:val="center"/>
            <w:hideMark/>
          </w:tcPr>
          <w:p w14:paraId="62151C32" w14:textId="77777777" w:rsidR="005A043A" w:rsidRPr="00214F41" w:rsidRDefault="005A043A" w:rsidP="00286762">
            <w:pPr>
              <w:jc w:val="center"/>
              <w:rPr>
                <w:sz w:val="18"/>
                <w:szCs w:val="18"/>
                <w:lang w:val="en-GB"/>
              </w:rPr>
            </w:pPr>
            <w:r w:rsidRPr="00214F41">
              <w:rPr>
                <w:sz w:val="18"/>
                <w:szCs w:val="18"/>
                <w:lang w:val="en-GB"/>
              </w:rPr>
              <w:t>Henry et al., 2012b</w:t>
            </w:r>
          </w:p>
        </w:tc>
        <w:tc>
          <w:tcPr>
            <w:tcW w:w="171" w:type="pct"/>
            <w:vMerge/>
            <w:shd w:val="clear" w:color="000000" w:fill="FFFFFF"/>
            <w:vAlign w:val="center"/>
            <w:hideMark/>
          </w:tcPr>
          <w:p w14:paraId="5EE796BC" w14:textId="77777777" w:rsidR="005A043A" w:rsidRPr="00214F41" w:rsidRDefault="005A043A" w:rsidP="00286762">
            <w:pPr>
              <w:jc w:val="center"/>
              <w:rPr>
                <w:sz w:val="18"/>
                <w:szCs w:val="18"/>
                <w:lang w:val="en-GB"/>
              </w:rPr>
            </w:pPr>
          </w:p>
        </w:tc>
        <w:tc>
          <w:tcPr>
            <w:tcW w:w="744" w:type="pct"/>
            <w:vMerge/>
            <w:shd w:val="clear" w:color="000000" w:fill="FFFFFF"/>
            <w:vAlign w:val="center"/>
            <w:hideMark/>
          </w:tcPr>
          <w:p w14:paraId="758E8BB3" w14:textId="77777777" w:rsidR="005A043A" w:rsidRPr="00214F41" w:rsidRDefault="005A043A" w:rsidP="00286762">
            <w:pPr>
              <w:jc w:val="center"/>
              <w:rPr>
                <w:sz w:val="18"/>
                <w:szCs w:val="18"/>
                <w:lang w:val="en-GB"/>
              </w:rPr>
            </w:pPr>
          </w:p>
        </w:tc>
        <w:tc>
          <w:tcPr>
            <w:tcW w:w="364" w:type="pct"/>
            <w:shd w:val="clear" w:color="000000" w:fill="FFFFFF"/>
            <w:vAlign w:val="center"/>
            <w:hideMark/>
          </w:tcPr>
          <w:p w14:paraId="78925752" w14:textId="77777777" w:rsidR="005A043A" w:rsidRPr="00214F41" w:rsidRDefault="005A043A" w:rsidP="00286762">
            <w:pPr>
              <w:jc w:val="center"/>
              <w:rPr>
                <w:sz w:val="18"/>
                <w:szCs w:val="18"/>
                <w:lang w:val="en-GB"/>
              </w:rPr>
            </w:pPr>
            <w:r w:rsidRPr="00214F41">
              <w:rPr>
                <w:sz w:val="18"/>
                <w:szCs w:val="18"/>
                <w:lang w:val="en-GB"/>
              </w:rPr>
              <w:t>641/638</w:t>
            </w:r>
          </w:p>
        </w:tc>
        <w:tc>
          <w:tcPr>
            <w:tcW w:w="200" w:type="pct"/>
            <w:vMerge/>
            <w:shd w:val="clear" w:color="000000" w:fill="FFFFFF"/>
            <w:vAlign w:val="center"/>
            <w:hideMark/>
          </w:tcPr>
          <w:p w14:paraId="212CEA63" w14:textId="77777777" w:rsidR="005A043A" w:rsidRPr="00214F41" w:rsidRDefault="005A043A" w:rsidP="00286762">
            <w:pPr>
              <w:jc w:val="center"/>
              <w:rPr>
                <w:sz w:val="18"/>
                <w:szCs w:val="18"/>
                <w:lang w:val="en-GB"/>
              </w:rPr>
            </w:pPr>
          </w:p>
        </w:tc>
        <w:tc>
          <w:tcPr>
            <w:tcW w:w="448" w:type="pct"/>
            <w:vMerge/>
            <w:shd w:val="clear" w:color="000000" w:fill="FFFFFF"/>
            <w:vAlign w:val="center"/>
            <w:hideMark/>
          </w:tcPr>
          <w:p w14:paraId="5328ACB5"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5A76864D" w14:textId="77777777" w:rsidR="005A043A" w:rsidRPr="00214F41" w:rsidRDefault="005A043A" w:rsidP="00286762">
            <w:pPr>
              <w:jc w:val="center"/>
              <w:rPr>
                <w:sz w:val="18"/>
                <w:szCs w:val="18"/>
                <w:lang w:val="en-GB"/>
              </w:rPr>
            </w:pPr>
            <w:r w:rsidRPr="00214F41">
              <w:rPr>
                <w:sz w:val="18"/>
                <w:szCs w:val="18"/>
                <w:lang w:val="en-GB"/>
              </w:rPr>
              <w:t>1949.7mg/2d</w:t>
            </w:r>
          </w:p>
        </w:tc>
        <w:tc>
          <w:tcPr>
            <w:tcW w:w="204" w:type="pct"/>
            <w:vMerge/>
            <w:shd w:val="clear" w:color="000000" w:fill="FFFFFF"/>
            <w:vAlign w:val="center"/>
            <w:hideMark/>
          </w:tcPr>
          <w:p w14:paraId="100B1D0E" w14:textId="77777777" w:rsidR="005A043A" w:rsidRPr="00214F41" w:rsidRDefault="005A043A" w:rsidP="00286762">
            <w:pPr>
              <w:jc w:val="center"/>
              <w:rPr>
                <w:sz w:val="18"/>
                <w:szCs w:val="18"/>
                <w:lang w:val="en-GB"/>
              </w:rPr>
            </w:pPr>
          </w:p>
        </w:tc>
        <w:tc>
          <w:tcPr>
            <w:tcW w:w="247" w:type="pct"/>
            <w:vMerge/>
            <w:shd w:val="clear" w:color="000000" w:fill="FFFFFF"/>
            <w:vAlign w:val="center"/>
            <w:hideMark/>
          </w:tcPr>
          <w:p w14:paraId="156656D7" w14:textId="77777777" w:rsidR="005A043A" w:rsidRPr="00214F41" w:rsidRDefault="005A043A" w:rsidP="00286762">
            <w:pPr>
              <w:jc w:val="center"/>
              <w:rPr>
                <w:sz w:val="18"/>
                <w:szCs w:val="18"/>
                <w:lang w:val="en-GB"/>
              </w:rPr>
            </w:pPr>
          </w:p>
        </w:tc>
        <w:tc>
          <w:tcPr>
            <w:tcW w:w="491" w:type="pct"/>
            <w:shd w:val="clear" w:color="000000" w:fill="FFFFFF"/>
            <w:vAlign w:val="center"/>
          </w:tcPr>
          <w:p w14:paraId="121E24CA" w14:textId="77777777" w:rsidR="005A043A" w:rsidRPr="00214F41" w:rsidRDefault="005A043A" w:rsidP="00286762">
            <w:pPr>
              <w:jc w:val="center"/>
              <w:rPr>
                <w:sz w:val="18"/>
                <w:szCs w:val="18"/>
                <w:lang w:val="en-GB"/>
              </w:rPr>
            </w:pPr>
            <w:r w:rsidRPr="00214F41">
              <w:rPr>
                <w:sz w:val="18"/>
                <w:szCs w:val="18"/>
                <w:lang w:val="en-GB"/>
              </w:rPr>
              <w:t>Metformin XR</w:t>
            </w:r>
          </w:p>
        </w:tc>
        <w:tc>
          <w:tcPr>
            <w:tcW w:w="491" w:type="pct"/>
            <w:vMerge/>
            <w:shd w:val="clear" w:color="000000" w:fill="FFFFFF"/>
            <w:vAlign w:val="center"/>
            <w:hideMark/>
          </w:tcPr>
          <w:p w14:paraId="29761314"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31C6BADC" w14:textId="77777777" w:rsidR="005A043A" w:rsidRPr="00214F41" w:rsidRDefault="005A043A" w:rsidP="00286762">
            <w:pPr>
              <w:jc w:val="center"/>
              <w:rPr>
                <w:sz w:val="18"/>
                <w:szCs w:val="18"/>
                <w:lang w:val="en-GB"/>
              </w:rPr>
            </w:pPr>
            <w:r w:rsidRPr="00214F41">
              <w:rPr>
                <w:sz w:val="18"/>
                <w:szCs w:val="18"/>
                <w:lang w:val="en-GB"/>
              </w:rPr>
              <w:t>51.9±11</w:t>
            </w:r>
          </w:p>
        </w:tc>
        <w:tc>
          <w:tcPr>
            <w:tcW w:w="202" w:type="pct"/>
            <w:shd w:val="clear" w:color="000000" w:fill="FFFFFF"/>
            <w:vAlign w:val="center"/>
            <w:hideMark/>
          </w:tcPr>
          <w:p w14:paraId="2FFB6689" w14:textId="77777777" w:rsidR="005A043A" w:rsidRPr="00214F41" w:rsidRDefault="005A043A" w:rsidP="00286762">
            <w:pPr>
              <w:jc w:val="center"/>
              <w:rPr>
                <w:sz w:val="18"/>
                <w:szCs w:val="18"/>
                <w:lang w:val="en-GB"/>
              </w:rPr>
            </w:pPr>
            <w:r w:rsidRPr="00214F41">
              <w:rPr>
                <w:sz w:val="18"/>
                <w:szCs w:val="18"/>
                <w:lang w:val="en-GB"/>
              </w:rPr>
              <w:t>202/47.3</w:t>
            </w:r>
          </w:p>
        </w:tc>
        <w:tc>
          <w:tcPr>
            <w:tcW w:w="265" w:type="pct"/>
            <w:gridSpan w:val="2"/>
            <w:vMerge/>
            <w:shd w:val="clear" w:color="000000" w:fill="FFFFFF"/>
            <w:vAlign w:val="center"/>
            <w:hideMark/>
          </w:tcPr>
          <w:p w14:paraId="5A995CBA" w14:textId="77777777" w:rsidR="005A043A" w:rsidRPr="00214F41" w:rsidRDefault="005A043A" w:rsidP="00286762">
            <w:pPr>
              <w:jc w:val="center"/>
              <w:rPr>
                <w:sz w:val="18"/>
                <w:szCs w:val="18"/>
                <w:lang w:val="en-GB"/>
              </w:rPr>
            </w:pPr>
          </w:p>
        </w:tc>
        <w:tc>
          <w:tcPr>
            <w:tcW w:w="266" w:type="pct"/>
            <w:gridSpan w:val="2"/>
            <w:vMerge/>
            <w:shd w:val="clear" w:color="000000" w:fill="FFFFFF"/>
            <w:vAlign w:val="center"/>
            <w:hideMark/>
          </w:tcPr>
          <w:p w14:paraId="488725EF" w14:textId="77777777" w:rsidR="005A043A" w:rsidRPr="00214F41" w:rsidRDefault="005A043A" w:rsidP="00286762">
            <w:pPr>
              <w:jc w:val="center"/>
              <w:rPr>
                <w:sz w:val="18"/>
                <w:szCs w:val="18"/>
                <w:lang w:val="en-GB"/>
              </w:rPr>
            </w:pPr>
          </w:p>
        </w:tc>
      </w:tr>
      <w:tr w:rsidR="005A043A" w:rsidRPr="0072287D" w14:paraId="6BAC9085" w14:textId="77777777" w:rsidTr="00286762">
        <w:trPr>
          <w:trHeight w:val="930"/>
        </w:trPr>
        <w:tc>
          <w:tcPr>
            <w:tcW w:w="338" w:type="pct"/>
            <w:shd w:val="clear" w:color="000000" w:fill="FFFFFF"/>
            <w:vAlign w:val="center"/>
            <w:hideMark/>
          </w:tcPr>
          <w:p w14:paraId="08D3568E" w14:textId="77777777" w:rsidR="005A043A" w:rsidRPr="00214F41" w:rsidRDefault="005A043A" w:rsidP="00286762">
            <w:pPr>
              <w:jc w:val="center"/>
              <w:rPr>
                <w:sz w:val="18"/>
                <w:szCs w:val="18"/>
                <w:lang w:val="en-GB"/>
              </w:rPr>
            </w:pPr>
            <w:r w:rsidRPr="00214F41">
              <w:rPr>
                <w:sz w:val="18"/>
                <w:szCs w:val="18"/>
                <w:lang w:val="en-GB"/>
              </w:rPr>
              <w:t xml:space="preserve">Horton et al., 2004 </w:t>
            </w:r>
            <w:r w:rsidRPr="00214F41">
              <w:rPr>
                <w:sz w:val="18"/>
                <w:szCs w:val="18"/>
                <w:lang w:val="en-GB"/>
              </w:rPr>
              <w:fldChar w:fldCharType="begin" w:fldLock="1"/>
            </w:r>
            <w:r>
              <w:rPr>
                <w:sz w:val="18"/>
                <w:szCs w:val="18"/>
                <w:lang w:val="en-GB"/>
              </w:rPr>
              <w:instrText>ADDIN CSL_CITATION {"citationItems":[{"id":"ITEM-1","itemData":{"DOI":"10.1185/030079903125003881","ISSN":"0300-7995","abstract":"Objective: To assess the efficacy and tolerability of the combination of nateglinide (120 mg, ac) and metformin (500 mg, tid) as initial treatment in drug-naïve patients with type 2 diabetes mellitus (T2DM). Research design and methods: This study reports data from the treatment-naïve (TN) subgroup of patients in a previously published, randomized, multicenter, placebo-controlled, 24-week trial that compared nateglinide, metformin, and the combination therapy (CT) in 701 patients with T2DM with baseline HbA 1c between 6.8\\% and 11.0\\%. Of the 401 TN patients, 104, 104, 89, and 104 patients received nateglinide (120mg, ac), metformin (500 mg, tid), CT, and placebo, respectively. The baseline characteristics of each group were similar, with mean age, BMI, duration of diabetes, HbA1c, and fasting plasma glucose (FPG) levels of approximately 58 years, 30 kg/m2, 4 years, 8.2\\%, and 10.2 mmol/L, respectively. Results: In patients receiving initial CT, HbA1c decreased substantially (Δ = -1.6 ± 0.1\\%, p {\\textless} 0.0001 vs. baseline or placebo) from a mean baseline of 8.2 ± 0.1\\%, an effect significantly greater than the 0.8\\% reduction observed with both monotherapies (p {\\textless} 0.001); whereas, in placebo-treated patients, HbA 1c increased modestly (Δ = +0.3 ± 0.1\\%, p {\\textless} 0.05) from an identical baseline value. Seventy percent of CT-treated patients achieved a target HbA1c of {\\textless} 7.0\\%. Both fasting plasma glucose (FPG) and the 2-hour postprandial glucose excursion (PPGE) after a liquid meal challenge decreased by 2.3 mmol/L in patients receiving CT, while the changes from baseline values in FPG and PPGE were +0.2 ± 0.3 mmol/L and -0.5 ± 0.2 mmol/L, respectively, in placebo-treated patients. The incremental 30-minute post-load insulin levels increased by 88 ± 32 pmol/L (p = 0.006) in patients receiving CT and did not change significantly in placebo-treated patients. Gastrointestinal side effects occurred in 27\\% of patients receiving CT (vs. 27.9\\% in the metformin monotherapy, and 14.4\\% in the placebo groups). Confirmed hypoglycemia (glucose ≤ 2.8 mmol/L) occurred in 3.4\\% of patients receiving CT. Conclusions: Initial CT with the rapid-acting insulinotropic agent, nateglinide, and metformin, an agent with insulin-sensitizing effects in the liver and periphery, is a safe and effective means of achieving glycemic targets in TN patients with T2DM.","author":[{"dropping-particle":"","family":"Horton","given":"E S","non-dropping-particle":"","parse-names":false,"suffix":""},{"dropping-particle":"","family":"Foley","given":"J E","non-dropping-particle":"","parse-names":false,"suffix":""},{"dropping-particle":"","family":"Shen","given":"S G","non-dropping-particle":"","parse-names":false,"suffix":""},{"dropping-particle":"","family":"Baron","given":"M A","non-dropping-particle":"","parse-names":false,"suffix":""}],"container-title":"Current Medical Research and Opinion","id":"ITEM-1","issue":"6","issued":{"date-parts":[["2004"]]},"page":"883-889","title":"Efficacy and tolerability of initial combination therapy with nateglinide and metformin in treatment-naïve patients with type 2 diabetes","type":"article-journal","volume":"20"},"uris":["http://www.mendeley.com/documents/?uuid=35cad41d-9bee-4604-971e-b75e2d8900ca"]}],"mendeley":{"formattedCitation":"[18]","plainTextFormattedCitation":"[18]","previouslyFormattedCitation":"[18]"},"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[18]</w:t>
            </w:r>
            <w:r w:rsidRPr="00214F41">
              <w:rPr>
                <w:sz w:val="18"/>
                <w:szCs w:val="18"/>
                <w:lang w:val="en-GB"/>
              </w:rPr>
              <w:fldChar w:fldCharType="end"/>
            </w:r>
          </w:p>
        </w:tc>
        <w:tc>
          <w:tcPr>
            <w:tcW w:w="171" w:type="pct"/>
            <w:shd w:val="clear" w:color="000000" w:fill="FFFFFF"/>
            <w:vAlign w:val="center"/>
            <w:hideMark/>
          </w:tcPr>
          <w:p w14:paraId="2EAC3012"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1EBCFC01" w14:textId="77777777" w:rsidR="005A043A" w:rsidRPr="00214F41" w:rsidRDefault="005A043A" w:rsidP="00286762">
            <w:pPr>
              <w:jc w:val="center"/>
              <w:rPr>
                <w:sz w:val="18"/>
                <w:szCs w:val="18"/>
                <w:lang w:val="en-GB"/>
              </w:rPr>
            </w:pPr>
            <w:r w:rsidRPr="00214F41">
              <w:rPr>
                <w:sz w:val="18"/>
                <w:szCs w:val="18"/>
                <w:lang w:val="en-GB"/>
              </w:rPr>
              <w:t xml:space="preserve"> To assess the efficacy and tolerability of \ metformin (500 mg, </w:t>
            </w:r>
            <w:proofErr w:type="spellStart"/>
            <w:r w:rsidRPr="00214F41">
              <w:rPr>
                <w:sz w:val="18"/>
                <w:szCs w:val="18"/>
                <w:lang w:val="en-GB"/>
              </w:rPr>
              <w:t>tid</w:t>
            </w:r>
            <w:proofErr w:type="spellEnd"/>
            <w:r w:rsidRPr="00214F41">
              <w:rPr>
                <w:sz w:val="18"/>
                <w:szCs w:val="18"/>
                <w:lang w:val="en-GB"/>
              </w:rPr>
              <w:t xml:space="preserve">) as initial treatment in drug-naive </w:t>
            </w:r>
            <w:r w:rsidRPr="00214F41">
              <w:rPr>
                <w:sz w:val="18"/>
                <w:szCs w:val="18"/>
                <w:lang w:val="en-GB"/>
              </w:rPr>
              <w:lastRenderedPageBreak/>
              <w:t>patients with T2DM (T2DM).</w:t>
            </w:r>
          </w:p>
        </w:tc>
        <w:tc>
          <w:tcPr>
            <w:tcW w:w="364" w:type="pct"/>
            <w:shd w:val="clear" w:color="000000" w:fill="FFFFFF"/>
            <w:vAlign w:val="center"/>
            <w:hideMark/>
          </w:tcPr>
          <w:p w14:paraId="531C878E" w14:textId="77777777" w:rsidR="005A043A" w:rsidRPr="00214F41" w:rsidRDefault="005A043A" w:rsidP="00286762">
            <w:pPr>
              <w:jc w:val="center"/>
              <w:rPr>
                <w:sz w:val="18"/>
                <w:szCs w:val="18"/>
                <w:lang w:val="en-GB"/>
              </w:rPr>
            </w:pPr>
            <w:r w:rsidRPr="00214F41">
              <w:rPr>
                <w:sz w:val="18"/>
                <w:szCs w:val="18"/>
                <w:lang w:val="en-GB"/>
              </w:rPr>
              <w:lastRenderedPageBreak/>
              <w:t>701/701</w:t>
            </w:r>
          </w:p>
        </w:tc>
        <w:tc>
          <w:tcPr>
            <w:tcW w:w="200" w:type="pct"/>
            <w:shd w:val="clear" w:color="000000" w:fill="FFFFFF"/>
            <w:vAlign w:val="center"/>
            <w:hideMark/>
          </w:tcPr>
          <w:p w14:paraId="08894096"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147F607C"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75A52C0B" w14:textId="77777777" w:rsidR="005A043A" w:rsidRPr="00214F41" w:rsidRDefault="005A043A" w:rsidP="00286762">
            <w:pPr>
              <w:jc w:val="center"/>
              <w:rPr>
                <w:sz w:val="18"/>
                <w:szCs w:val="18"/>
                <w:lang w:val="en-GB"/>
              </w:rPr>
            </w:pPr>
            <w:r w:rsidRPr="00214F41">
              <w:rPr>
                <w:sz w:val="18"/>
                <w:szCs w:val="18"/>
                <w:lang w:val="en-GB"/>
              </w:rPr>
              <w:t>1500mg/3/d</w:t>
            </w:r>
          </w:p>
        </w:tc>
        <w:tc>
          <w:tcPr>
            <w:tcW w:w="204" w:type="pct"/>
            <w:shd w:val="clear" w:color="000000" w:fill="FFFFFF"/>
            <w:vAlign w:val="center"/>
            <w:hideMark/>
          </w:tcPr>
          <w:p w14:paraId="5C978846"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shd w:val="clear" w:color="000000" w:fill="FFFFFF"/>
            <w:vAlign w:val="center"/>
            <w:hideMark/>
          </w:tcPr>
          <w:p w14:paraId="3C53BD05"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73874F9D"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29064255" w14:textId="77777777" w:rsidR="005A043A" w:rsidRPr="00214F41" w:rsidRDefault="005A043A" w:rsidP="00286762">
            <w:pPr>
              <w:jc w:val="center"/>
              <w:rPr>
                <w:sz w:val="18"/>
                <w:szCs w:val="18"/>
                <w:lang w:val="en-GB"/>
              </w:rPr>
            </w:pPr>
            <w:r w:rsidRPr="00214F41">
              <w:rPr>
                <w:sz w:val="18"/>
                <w:szCs w:val="18"/>
                <w:lang w:val="en-GB"/>
              </w:rPr>
              <w:t>PBO</w:t>
            </w:r>
          </w:p>
        </w:tc>
        <w:tc>
          <w:tcPr>
            <w:tcW w:w="245" w:type="pct"/>
            <w:gridSpan w:val="2"/>
            <w:shd w:val="clear" w:color="000000" w:fill="FFFFFF"/>
            <w:vAlign w:val="center"/>
            <w:hideMark/>
          </w:tcPr>
          <w:p w14:paraId="702B79F0" w14:textId="77777777" w:rsidR="005A043A" w:rsidRPr="00214F41" w:rsidRDefault="005A043A" w:rsidP="00286762">
            <w:pPr>
              <w:jc w:val="center"/>
              <w:rPr>
                <w:sz w:val="18"/>
                <w:szCs w:val="18"/>
                <w:lang w:val="en-GB"/>
              </w:rPr>
            </w:pPr>
            <w:r w:rsidRPr="00214F41">
              <w:rPr>
                <w:sz w:val="18"/>
                <w:szCs w:val="18"/>
                <w:lang w:val="en-GB"/>
              </w:rPr>
              <w:t>57.2±2.1</w:t>
            </w:r>
          </w:p>
        </w:tc>
        <w:tc>
          <w:tcPr>
            <w:tcW w:w="202" w:type="pct"/>
            <w:shd w:val="clear" w:color="000000" w:fill="FFFFFF"/>
            <w:vAlign w:val="center"/>
            <w:hideMark/>
          </w:tcPr>
          <w:p w14:paraId="4EF1DBD5" w14:textId="77777777" w:rsidR="005A043A" w:rsidRPr="00214F41" w:rsidRDefault="005A043A" w:rsidP="00286762">
            <w:pPr>
              <w:jc w:val="center"/>
              <w:rPr>
                <w:sz w:val="18"/>
                <w:szCs w:val="18"/>
                <w:lang w:val="en-GB"/>
              </w:rPr>
            </w:pPr>
            <w:r w:rsidRPr="00214F41">
              <w:rPr>
                <w:sz w:val="18"/>
                <w:szCs w:val="18"/>
                <w:lang w:val="en-GB"/>
              </w:rPr>
              <w:t>137/65.87</w:t>
            </w:r>
          </w:p>
        </w:tc>
        <w:tc>
          <w:tcPr>
            <w:tcW w:w="265" w:type="pct"/>
            <w:gridSpan w:val="2"/>
            <w:shd w:val="clear" w:color="000000" w:fill="FFFFFF"/>
            <w:vAlign w:val="center"/>
            <w:hideMark/>
          </w:tcPr>
          <w:p w14:paraId="2F8B46BB" w14:textId="77777777" w:rsidR="005A043A" w:rsidRPr="00214F41" w:rsidRDefault="005A043A" w:rsidP="00286762">
            <w:pPr>
              <w:jc w:val="center"/>
              <w:rPr>
                <w:sz w:val="18"/>
                <w:szCs w:val="18"/>
                <w:lang w:val="en-GB"/>
              </w:rPr>
            </w:pPr>
            <w:r w:rsidRPr="00214F41">
              <w:rPr>
                <w:sz w:val="18"/>
                <w:szCs w:val="18"/>
                <w:lang w:val="en-GB"/>
              </w:rPr>
              <w:t>29.9±0.4</w:t>
            </w:r>
          </w:p>
        </w:tc>
        <w:tc>
          <w:tcPr>
            <w:tcW w:w="266" w:type="pct"/>
            <w:gridSpan w:val="2"/>
            <w:shd w:val="clear" w:color="000000" w:fill="FFFFFF"/>
            <w:vAlign w:val="center"/>
            <w:hideMark/>
          </w:tcPr>
          <w:p w14:paraId="0D25514C" w14:textId="77777777" w:rsidR="005A043A" w:rsidRPr="00214F41" w:rsidRDefault="005A043A" w:rsidP="00286762">
            <w:pPr>
              <w:jc w:val="center"/>
              <w:rPr>
                <w:sz w:val="18"/>
                <w:szCs w:val="18"/>
                <w:lang w:val="en-GB"/>
              </w:rPr>
            </w:pPr>
            <w:r w:rsidRPr="00214F41">
              <w:rPr>
                <w:sz w:val="18"/>
                <w:szCs w:val="18"/>
                <w:lang w:val="en-GB"/>
              </w:rPr>
              <w:t>29.5±0.4</w:t>
            </w:r>
          </w:p>
        </w:tc>
      </w:tr>
      <w:tr w:rsidR="005A043A" w:rsidRPr="0072287D" w14:paraId="414574F3" w14:textId="77777777" w:rsidTr="00286762">
        <w:trPr>
          <w:trHeight w:val="930"/>
        </w:trPr>
        <w:tc>
          <w:tcPr>
            <w:tcW w:w="338" w:type="pct"/>
            <w:shd w:val="clear" w:color="000000" w:fill="FFFFFF"/>
            <w:vAlign w:val="center"/>
            <w:hideMark/>
          </w:tcPr>
          <w:p w14:paraId="56313C32" w14:textId="77777777" w:rsidR="005A043A" w:rsidRPr="00214F41" w:rsidRDefault="005A043A" w:rsidP="00286762">
            <w:pPr>
              <w:jc w:val="center"/>
              <w:rPr>
                <w:sz w:val="18"/>
                <w:szCs w:val="18"/>
                <w:lang w:val="en-GB"/>
              </w:rPr>
            </w:pPr>
            <w:proofErr w:type="spellStart"/>
            <w:r w:rsidRPr="00214F41">
              <w:rPr>
                <w:sz w:val="18"/>
                <w:szCs w:val="18"/>
                <w:lang w:val="en-GB"/>
              </w:rPr>
              <w:t>Jadzinsky</w:t>
            </w:r>
            <w:proofErr w:type="spellEnd"/>
            <w:r w:rsidRPr="00214F41">
              <w:rPr>
                <w:sz w:val="18"/>
                <w:szCs w:val="18"/>
                <w:lang w:val="en-GB"/>
              </w:rPr>
              <w:t xml:space="preserve"> et al., 2009 </w:t>
            </w:r>
            <w:r w:rsidRPr="00214F41">
              <w:rPr>
                <w:sz w:val="18"/>
                <w:szCs w:val="18"/>
                <w:lang w:val="en-GB"/>
              </w:rPr>
              <w:fldChar w:fldCharType="begin" w:fldLock="1"/>
            </w:r>
            <w:r>
              <w:rPr>
                <w:sz w:val="18"/>
                <w:szCs w:val="18"/>
                <w:lang w:val="en-GB"/>
              </w:rPr>
              <w:instrText>ADDIN CSL_CITATION {"citationItems":[{"id":"ITEM-1","itemData":{"DOI":"10.1111/j.1463-1326.2009.01056.x","ISSN":"1463-1326","abstract":"Aim: The study aim was to evaluate the efficacy and safety of initial combination therapy with saxagliptin + metformin vs. saxagliptin or metformin monotherapy in treatment-naïve patients with type 2 diabetes (T2D) and inadequate glycaemic control. Methods: In this multicentre, randomized, double-blind, active-controlled phase 3 trial, 1306 treatment-naïve patients with T2D ≥18 to ≤77 years, glycosylated haemoglobin (HbA1c) ≥8 to ≤12\\%, fasting C-peptide concentration ≥1.0 ng/ml, body mass index ≤40 kg/m2 were randomized to receive saxagliptin 5 mg + metformin 500 mg, saxagliptin 10 mg + metformin 500 mg, saxagliptin 10 mg + placebo or metformin 500 mg + placebo for 24 weeks. From weeks 1-5, metformin was uptitrated in 500-mg/day increments to 2000 mg/day maximum in the saxagliptin 5 mg + metformin, saxagliptin 10 mg + metformin and metformin + placebo treatment groups. The main outcome measure was HbA1c change from baseline to week 24. Selected secondary outcomes included change from baseline to week 24 in fasting plasma glucose (FPG), proportion of patients achieving HbA1c {\\textless}7\\% and postprandial glucose area under the curve (PPG-AUC). Results: At 24 weeks, saxagliptin 5 mg + metformin and saxagliptin 10 mg + metformin demonstrated statistically significant adjusted mean decreases vs. saxagliptin 10 mg and metformin monotherapies in HbA1c (-2.5 and -2.5\\% vs. -1.7 and -2.0\\%, all p {\\textless} 0.0001 vs. monotherapy) and FPG (-60 and -62 mg/dl vs. -31 and -47 mg/dl, both p {\\textless} 0.0001 vs. saxagliptin 10 mg; p = 0.0002 saxagliptin 5 mg + metformin vs. metformin; p {\\textless} 0.0001 saxagliptin 10 mg + metformin vs. metformin). Proportion of patients achieving an HbA1c {\\textless}7\\% was 60.3 and 59.7\\%, respectively, for saxagliptin 5 mg + metformin and saxagliptin 10 mg + metformin (all p {\\textless} 0.0001 vs. monotherapy). PPG-AUC was significantly reduced [-21 080 mg·min/dl (saxagliptin 5 mg + metformin) and -21 336 mg·min/dl (saxagliptin 10 mg + metformin) vs. -16 054 mg·min/dl (saxagliptin 10 mg) and -15 005 mg·min/dl (metformin), all p {\\textless} 0.0001 vs. monotherapy]. Adverse event occurrence was similar across all groups. Hypoglycaemic events were infrequent. Conclusion: Saxagliptin + metformin as initial therapy led to statistically significant improvements compared with either treatment alone across key glycaemic parameters with a tolerability profile similar to the monotherapy components. © 2009 Bristol-Myers Squibb.","author":[{"dropping-particle":"","family":"Jadzinsky","given":"M","non-dropping-particle":"","parse-names":false,"suffix":""},{"dropping-particle":"","family":"Pfützner","given":"A","non-dropping-particle":"","parse-names":false,"suffix":""},{"dropping-particle":"","family":"Paz-Pacheco","given":"E","non-dropping-particle":"","parse-names":false,"suffix":""},{"dropping-particle":"","family":"Xu","given":"Z","non-dropping-particle":"","parse-names":false,"suffix":""},{"dropping-particle":"","family":"Allen","given":"E","non-dropping-particle":"","parse-names":false,"suffix":""},{"dropping-particle":"","family":"Chen","given":"R","non-dropping-particle":"","parse-names":false,"suffix":""},{"dropping-particle":"","family":"Antunez","given":"P","non-dropping-particle":"","parse-names":false,"suffix":""},{"dropping-particle":"","family":"Baccaro","given":"C","non-dropping-particle":"","parse-names":false,"suffix":""},{"dropping-particle":"","family":"Bertone","given":"R","non-dropping-particle":"","parse-names":false,"suffix":""},{"dropping-particle":"","family":"Bragagnolo","given":"J","non-dropping-particle":"","parse-names":false,"suffix":""},{"dropping-particle":"","family":"Cordo","given":"C S","non-dropping-particle":"","parse-names":false,"suffix":""},{"dropping-particle":"","family":"Dieuzeide","given":"G","non-dropping-particle":"","parse-names":false,"suffix":""},{"dropping-particle":"","family":"Fideleff","given":"H L","non-dropping-particle":"","parse-names":false,"suffix":""},{"dropping-particle":"","family":"Hermida","given":"S","non-dropping-particle":"","parse-names":false,"suffix":""},{"dropping-particle":"","family":"Herrera","given":"J","non-dropping-particle":"","parse-names":false,"suffix":""},{"dropping-particle":"","family":"Issa","given":"C","non-dropping-particle":"","parse-names":false,"suffix":""},{"dropping-particle":"","family":"Jadzinsky","given":"M","non-dropping-particle":"","parse-names":false,"suffix":""},{"dropping-particle":"","family":"Kraft","given":"M","non-dropping-particle":"","parse-names":false,"suffix":""},{"dropping-particle":"","family":"Maffei","given":"L","non-dropping-particle":"","parse-names":false,"suffix":""},{"dropping-particle":"","family":"Man","given":"Z","non-dropping-particle":"","parse-names":false,"suffix":""},{"dropping-particle":"","family":"Marcucci","given":"G","non-dropping-particle":"","parse-names":false,"suffix":""},{"dropping-particle":"","family":"Oviedo","given":"A","non-dropping-particle":"","parse-names":false,"suffix":""},{"dropping-particle":"","family":"Sanchez","given":"J M","non-dropping-particle":"","parse-names":false,"suffix":""},{"dropping-particle":"","family":"Vines","given":"G","non-dropping-particle":"","parse-names":false,"suffix":""},{"dropping-particle":"","family":"Zambon","given":"F","non-dropping-particle":"","parse-names":false,"suffix":""},{"dropping-particle":"","family":"Chacra","given":"A","non-dropping-particle":"","parse-names":false,"suffix":""},{"dropping-particle":"","family":"Farias","given":"F","non-dropping-particle":"","parse-names":false,"suffix":""},{"dropping-particle":"","family":"Felicio","given":"J","non-dropping-particle":"","parse-names":false,"suffix":""},{"dropping-particle":"","family":"Forti","given":"A","non-dropping-particle":"","parse-names":false,"suffix":""},{"dropping-particle":"","family":"Gross","given":"J L","non-dropping-particle":"","parse-names":false,"suffix":""},{"dropping-particle":"","family":"Hissa","given":"M N","non-dropping-particle":"","parse-names":false,"suffix":""},{"dropping-particle":"","family":"Rassi","given":"N","non-dropping-particle":"","parse-names":false,"suffix":""},{"dropping-particle":"","family":"Sgarbi","given":"J A","non-dropping-particle":"","parse-names":false,"suffix":""},{"dropping-particle":"","family":"Barakat","given":"A","non-dropping-particle":"","parse-names":false,"suffix":""},{"dropping-particle":"","family":"Böhm","given":"G F","non-dropping-particle":"","parse-names":false,"suffix":""},{"dropping-particle":"","family":"Hanefeld","given":"M","non-dropping-particle":"","parse-names":false,"suffix":""},{"dropping-particle":"","family":"Illies","given":"G","non-dropping-particle":"","parse-names":false,"suffix":""},{"dropping-particle":"","family":"Kellner","given":"A","non-dropping-particle":"","parse-names":false,"suffix":""},{"dropping-particle":"","family":"Klausmann","given":"G","non-dropping-particle":"","parse-names":false,"suffix":""},{"dropping-particle":"","family":"Klein","given":"C","non-dropping-particle":"","parse-names":false,"suffix":""},{"dropping-particle":"","family":"Molle","given":"A","non-dropping-particle":"","parse-names":false,"suffix":""},{"dropping-particle":"","family":"Nauck","given":"M","non-dropping-particle":"","parse-names":false,"suffix":""},{"dropping-particle":"","family":"Pfützner","given":"A","non-dropping-particle":"","parse-names":false,"suffix":""},{"dropping-particle":"","family":"Sauter","given":"J","non-dropping-particle":"","parse-names":false,"suffix":""},{"dropping-particle":"","family":"Schaller","given":"J","non-dropping-particle":"","parse-names":false,"suffix":""},{"dropping-particle":"","family":"Wachter","given":"J","non-dropping-particle":"","parse-names":false,"suffix":""},{"dropping-particle":"","family":"Deák","given":"G","non-dropping-particle":"","parse-names":false,"suffix":""},{"dropping-particle":"","family":"Dudás","given":"M","non-dropping-particle":"","parse-names":false,"suffix":""},{"dropping-particle":"","family":"Foldesi","given":"I","non-dropping-particle":"","parse-names":false,"suffix":""},{"dropping-particle":"","family":"Harcsa","given":"E","non-dropping-particle":"","parse-names":false,"suffix":""},{"dropping-particle":"","family":"Salamon","given":"C","non-dropping-particle":"","parse-names":false,"suffix":""},{"dropping-particle":"","family":"Agarwal","given":"R P","non-dropping-particle":"","parse-names":false,"suffix":""},{"dropping-particle":"","family":"Aravind","given":"S R","non-dropping-particle":"","parse-names":false,"suffix":""},{"dropping-particle":"","family":"Dharmalingam","given":"M","non-dropping-particle":"","parse-names":false,"suffix":""},{"dropping-particle":"","family":"Jugal Bihari","given":"G","non-dropping-particle":"","parse-names":false,"suffix":""},{"dropping-particle":"","family":"Kale","given":"S","non-dropping-particle":"","parse-names":false,"suffix":""},{"dropping-particle":"","family":"Kalra","given":"S","non-dropping-particle":"","parse-names":false,"suffix":""},{"dropping-particle":"","family":"Kumar","given":"P","non-dropping-particle":"","parse-names":false,"suffix":""},{"dropping-particle":"","family":"Mahadevan","given":"S","non-dropping-particle":"","parse-names":false,"suffix":""},{"dropping-particle":"","family":"Mohan","given":"V","non-dropping-particle":"","parse-names":false,"suffix":""},{"dropping-particle":"","family":"Rao","given":"P","non-dropping-particle":"","parse-names":false,"suffix":""},{"dropping-particle":"","family":"Shah","given":"S","non-dropping-particle":"","parse-names":false,"suffix":""},{"dropping-particle":"","family":"Thomas","given":"N","non-dropping-particle":"","parse-names":false,"suffix":""},{"dropping-particle":"","family":"Wangnoo","given":"S K","non-dropping-particle":"","parse-names":false,"suffix":""},{"dropping-particle":"","family":"Bosi","given":"E","non-dropping-particle":"","parse-names":false,"suffix":""},{"dropping-particle":"","family":"Cocchi","given":"R","non-dropping-particle":"","parse-names":false,"suffix":""},{"dropping-particle":"","family":"Cordera","given":"R","non-dropping-particle":"","parse-names":false,"suffix":""},{"dropping-particle":"","family":"Perriello","given":"G","non-dropping-particle":"","parse-names":false,"suffix":""},{"dropping-particle":"","family":"Squatrito","given":"S","non-dropping-particle":"","parse-names":false,"suffix":""},{"dropping-particle":"","family":"Arechavaleta Granell","given":"M D R","non-dropping-particle":"","parse-names":false,"suffix":""},{"dropping-particle":"","family":"Galvez Correa","given":"G","non-dropping-particle":"","parse-names":false,"suffix":""},{"dropping-particle":"","family":"Garcia Hernandez","given":"P A","non-dropping-particle":"","parse-names":false,"suffix":""},{"dropping-particle":"","family":"Hernandez","given":"N","non-dropping-particle":"","parse-names":false,"suffix":""},{"dropping-particle":"","family":"Jerjes Sanchez","given":"C","non-dropping-particle":"","parse-names":false,"suffix":""},{"dropping-particle":"","family":"Jimenez Ramos","given":"S A","non-dropping-particle":"","parse-names":false,"suffix":""},{"dropping-particle":"","family":"Lozano","given":"F","non-dropping-particle":"","parse-names":false,"suffix":""},{"dropping-particle":"","family":"Reyes","given":"C","non-dropping-particle":"","parse-names":false,"suffix":""},{"dropping-particle":"","family":"Robles Torres","given":"F J","non-dropping-particle":"","parse-names":false,"suffix":""},{"dropping-particle":"","family":"Sauque Reyna","given":"L","non-dropping-particle":"","parse-names":false,"suffix":""},{"dropping-particle":"","family":"Tamez Perez","given":"H E","non-dropping-particle":"","parse-names":false,"suffix":""},{"dropping-particle":"V","family":"Velazquez","given":"M","non-dropping-particle":"","parse-names":false,"suffix":""},{"dropping-particle":"","family":"Villegas","given":"E M","non-dropping-particle":"","parse-names":false,"suffix":""},{"dropping-particle":"","family":"Cimafranca","given":"K","non-dropping-particle":"","parse-names":false,"suffix":""},{"dropping-particle":"","family":"Denopol","given":"M","non-dropping-particle":"","parse-names":false,"suffix":""},{"dropping-particle":"","family":"Jimeno","given":"C","non-dropping-particle":"","parse-names":false,"suffix":""},{"dropping-particle":"","family":"Lim-Abrahan","given":"M","non-dropping-particle":"","parse-names":false,"suffix":""},{"dropping-particle":"","family":"Liwag","given":"A","non-dropping-particle":"","parse-names":false,"suffix":""},{"dropping-particle":"","family":"Panelo","given":"A A","non-dropping-particle":"","parse-names":false,"suffix":""},{"dropping-particle":"","family":"Paz-Pacheco","given":"E","non-dropping-particle":"","parse-names":false,"suffix":""},{"dropping-particle":"","family":"Tan","given":"G H","non-dropping-particle":"","parse-names":false,"suffix":""},{"dropping-particle":"","family":"Derezinski","given":"T","non-dropping-particle":"","parse-names":false,"suffix":""},{"dropping-particle":"","family":"Galczak","given":"W","non-dropping-particle":"","parse-names":false,"suffix":""},{"dropping-particle":"","family":"Jasieniak-Pinis","given":"G","non-dropping-particle":"","parse-names":false,"suffix":""},{"dropping-particle":"","family":"Mrozek","given":"J","non-dropping-particle":"","parse-names":false,"suffix":""},{"dropping-particle":"","family":"Petryka","given":"R","non-dropping-particle":"","parse-names":false,"suffix":""},{"dropping-particle":"","family":"Skokowska","given":"E","non-dropping-particle":"","parse-names":false,"suffix":""},{"dropping-particle":"","family":"Stasinska","given":"T","non-dropping-particle":"","parse-names":false,"suffix":""},{"dropping-particle":"","family":"Strojek","given":"K","non-dropping-particle":"","parse-names":false,"suffix":""},{"dropping-particle":"","family":"Abreu-Feshold","given":"F","non-dropping-particle":"","parse-names":false,"suffix":""},{"dropping-particle":"","family":"Barranco","given":"E","non-dropping-particle":"","parse-names":false,"suffix":""},{"dropping-particle":"","family":"Claudio","given":"J","non-dropping-particle":"","parse-names":false,"suffix":""},{"dropping-particle":"","family":"Sosa-Padilla","given":"M","non-dropping-particle":"","parse-names":false,"suffix":""},{"dropping-particle":"","family":"Vazquez-Tanus","given":"J","non-dropping-particle":"","parse-names":false,"suffix":""},{"dropping-particle":"","family":"Velazquez-Navarro","given":"S","non-dropping-particle":"","parse-names":false,"suffix":""},{"dropping-particle":"","family":"Antciferov","given":"M","non-dropping-particle":"","parse-names":false,"suffix":""},{"dropping-particle":"","family":"Arutunov","given":"G","non-dropping-particle":"","parse-names":false,"suffix":""},{"dropping-particle":"","family":"Balabolkin","given":"M","non-dropping-particle":"","parse-names":false,"suffix":""},{"dropping-particle":"","family":"Barbarash","given":"O","non-dropping-particle":"","parse-names":false,"suffix":""},{"dropping-particle":"","family":"Bokarev","given":"I","non-dropping-particle":"","parse-names":false,"suffix":""},{"dropping-particle":"","family":"Bondar","given":"I","non-dropping-particle":"","parse-names":false,"suffix":""},{"dropping-particle":"","family":"Bova","given":"E","non-dropping-particle":"","parse-names":false,"suffix":""},{"dropping-particle":"","family":"Dreval","given":"A","non-dropping-particle":"","parse-names":false,"suffix":""},{"dropping-particle":"","family":"Grineva","given":"E","non-dropping-particle":"","parse-names":false,"suffix":""},{"dropping-particle":"","family":"Gurieva","given":"I","non-dropping-particle":"","parse-names":false,"suffix":""},{"dropping-particle":"","family":"Ivanova","given":"L","non-dropping-particle":"","parse-names":false,"suffix":""},{"dropping-particle":"","family":"Ivleva","given":"A","non-dropping-particle":"","parse-names":false,"suffix":""},{"dropping-particle":"","family":"Khalimov","given":"Y","non-dropping-particle":"","parse-names":false,"suffix":""},{"dropping-particle":"","family":"Kobalava","given":"Z","non-dropping-particle":"","parse-names":false,"suffix":""},{"dropping-particle":"","family":"Kotelnikov","given":"M","non-dropping-particle":"","parse-names":false,"suffix":""},{"dropping-particle":"","family":"Lantseva","given":"O","non-dropping-particle":"","parse-names":false,"suffix":""},{"dropping-particle":"","family":"Marasaev","given":"V","non-dropping-particle":"","parse-names":false,"suffix":""},{"dropping-particle":"","family":"Nedogoda","given":"S","non-dropping-particle":"","parse-names":false,"suffix":""},{"dropping-particle":"","family":"Nosova","given":"N","non-dropping-particle":"","parse-names":false,"suffix":""},{"dropping-particle":"","family":"Ponomareva","given":"A","non-dropping-particle":"","parse-names":false,"suffix":""},{"dropping-particle":"","family":"Radygina","given":"E","non-dropping-particle":"","parse-names":false,"suffix":""},{"dropping-particle":"","family":"Ragozin","given":"A","non-dropping-particle":"","parse-names":false,"suffix":""},{"dropping-particle":"","family":"Rakov","given":"A","non-dropping-particle":"","parse-names":false,"suffix":""},{"dropping-particle":"","family":"Rebrov","given":"A","non-dropping-particle":"","parse-names":false,"suffix":""},{"dropping-particle":"","family":"Reshedko","given":"G","non-dropping-particle":"","parse-names":false,"suffix":""},{"dropping-particle":"","family":"Reshetko","given":"O","non-dropping-particle":"","parse-names":false,"suffix":""},{"dropping-particle":"","family":"Rodionova","given":"T","non-dropping-particle":"","parse-names":false,"suffix":""},{"dropping-particle":"","family":"Rodoman","given":"G","non-dropping-particle":"","parse-names":false,"suffix":""},{"dropping-particle":"","family":"Ruyatkina","given":"L","non-dropping-particle":"","parse-names":false,"suffix":""},{"dropping-particle":"","family":"Semenova","given":"O","non-dropping-particle":"","parse-names":false,"suffix":""},{"dropping-particle":"","family":"Sherenkov","given":"A","non-dropping-particle":"","parse-names":false,"suffix":""},{"dropping-particle":"","family":"Shustov","given":"S","non-dropping-particle":"","parse-names":false,"suffix":""},{"dropping-particle":"","family":"Shvarts","given":"Y","non-dropping-particle":"","parse-names":false,"suffix":""},{"dropping-particle":"","family":"Smirnova","given":"E","non-dropping-particle":"","parse-names":false,"suffix":""},{"dropping-particle":"","family":"Solovyev","given":"O","non-dropping-particle":"","parse-names":false,"suffix":""},{"dropping-particle":"","family":"Strongin","given":"L","non-dropping-particle":"","parse-names":false,"suffix":""},{"dropping-particle":"","family":"Suplotova","given":"L","non-dropping-particle":"","parse-names":false,"suffix":""},{"dropping-particle":"","family":"Trusov","given":"V","non-dropping-particle":"","parse-names":false,"suffix":""},{"dropping-particle":"","family":"Vorobyev","given":"S","non-dropping-particle":"","parse-names":false,"suffix":""},{"dropping-particle":"","family":"Vorokhobina","given":"N","non-dropping-particle":"","parse-names":false,"suffix":""},{"dropping-particle":"","family":"Voychik","given":"E","non-dropping-particle":"","parse-names":false,"suffix":""},{"dropping-particle":"","family":"Yakusevich","given":"V","non-dropping-particle":"","parse-names":false,"suffix":""},{"dropping-particle":"","family":"Zagrebelnaya","given":"O","non-dropping-particle":"","parse-names":false,"suffix":""},{"dropping-particle":"","family":"Zalevskaya","given":"A","non-dropping-particle":"","parse-names":false,"suffix":""},{"dropping-particle":"","family":"Zanozina","given":"O","non-dropping-particle":"","parse-names":false,"suffix":""},{"dropping-particle":"","family":"Zhavoronkova","given":"N","non-dropping-particle":"","parse-names":false,"suffix":""},{"dropping-particle":"","family":"Zhukova","given":"L","non-dropping-particle":"","parse-names":false,"suffix":""},{"dropping-particle":"","family":"Bazylevych","given":"A","non-dropping-particle":"","parse-names":false,"suffix":""},{"dropping-particle":"","family":"Girina","given":"O","non-dropping-particle":"","parse-names":false,"suffix":""},{"dropping-particle":"","family":"Levchenko","given":"O","non-dropping-particle":"","parse-names":false,"suffix":""},{"dropping-particle":"","family":"Netiazhenko","given":"V","non-dropping-particle":"","parse-names":false,"suffix":""},{"dropping-particle":"","family":"Perepelytsya","given":"M","non-dropping-particle":"","parse-names":false,"suffix":""},{"dropping-particle":"","family":"Pertseva","given":"T","non-dropping-particle":"","parse-names":false,"suffix":""},{"dropping-particle":"","family":"Rudyk","given":"Y","non-dropping-particle":"","parse-names":false,"suffix":""},{"dropping-particle":"","family":"Slyvka","given":"Y","non-dropping-particle":"","parse-names":false,"suffix":""},{"dropping-particle":"","family":"Vlasenko","given":"M","non-dropping-particle":"","parse-names":false,"suffix":""},{"dropping-particle":"","family":"Yagensky","given":"A","non-dropping-particle":"","parse-names":false,"suffix":""},{"dropping-particle":"","family":"Ashley","given":"R","non-dropping-particle":"","parse-names":false,"suffix":""},{"dropping-particle":"","family":"Atiee","given":"G","non-dropping-particle":"","parse-names":false,"suffix":""},{"dropping-particle":"","family":"Bleser","given":"S D","non-dropping-particle":"","parse-names":false,"suffix":""},{"dropping-particle":"","family":"Bright","given":"D K","non-dropping-particle":"","parse-names":false,"suffix":""},{"dropping-particle":"","family":"Bueso","given":"G","non-dropping-particle":"","parse-names":false,"suffix":""},{"dropping-particle":"","family":"Buth","given":"D K","non-dropping-particle":"","parse-names":false,"suffix":""},{"dropping-particle":"","family":"Cabasares","given":"H","non-dropping-particle":"","parse-names":false,"suffix":""},{"dropping-particle":"","family":"Campolo","given":"M E","non-dropping-particle":"","parse-names":false,"suffix":""},{"dropping-particle":"","family":"Chappel","given":"C","non-dropping-particle":"","parse-names":false,"suffix":""},{"dropping-particle":"","family":"Conard","given":"S E","non-dropping-particle":"","parse-names":false,"suffix":""},{"dropping-particle":"","family":"Constantine","given":"J","non-dropping-particle":"","parse-names":false,"suffix":""},{"dropping-particle":"","family":"Dayon","given":"D L","non-dropping-particle":"","parse-names":false,"suffix":""},{"dropping-particle":"","family":"Dionne","given":"D","non-dropping-particle":"","parse-names":false,"suffix":""},{"dropping-particle":"","family":"Fenton","given":"I F","non-dropping-particle":"","parse-names":false,"suffix":""},{"dropping-particle":"","family":"Garcia","given":"R","non-dropping-particle":"","parse-names":false,"suffix":""},{"dropping-particle":"","family":"George","given":"A","non-dropping-particle":"","parse-names":false,"suffix":""},{"dropping-particle":"","family":"Gilman","given":"R","non-dropping-particle":"","parse-names":false,"suffix":""},{"dropping-particle":"","family":"Glaser","given":"L","non-dropping-particle":"","parse-names":false,"suffix":""},{"dropping-particle":"","family":"Gollapudi","given":"M","non-dropping-particle":"","parse-names":false,"suffix":""},{"dropping-particle":"","family":"Gray","given":"J","non-dropping-particle":"","parse-names":false,"suffix":""},{"dropping-particle":"","family":"Henry III","given":"W J","non-dropping-particle":"","parse-names":false,"suffix":""},{"dropping-particle":"","family":"Iranmanesh","given":"A","non-dropping-particle":"","parse-names":false,"suffix":""},{"dropping-particle":"","family":"Ison","given":"R","non-dropping-particle":"","parse-names":false,"suffix":""},{"dropping-particle":"","family":"Jacks","given":"R K","non-dropping-particle":"","parse-names":false,"suffix":""},{"dropping-particle":"","family":"Jacks","given":"W","non-dropping-particle":"","parse-names":false,"suffix":""},{"dropping-particle":"","family":"Jain","given":"M","non-dropping-particle":"","parse-names":false,"suffix":""},{"dropping-particle":"","family":"Johnson Jr.","given":"G","non-dropping-particle":"","parse-names":false,"suffix":""},{"dropping-particle":"","family":"Kaplan","given":"R","non-dropping-particle":"","parse-names":false,"suffix":""},{"dropping-particle":"","family":"Khairi","given":"R A","non-dropping-particle":"","parse-names":false,"suffix":""},{"dropping-particle":"","family":"LaBuda","given":"J","non-dropping-particle":"","parse-names":false,"suffix":""},{"dropping-particle":"","family":"LaSalle","given":"J","non-dropping-particle":"","parse-names":false,"suffix":""},{"dropping-particle":"","family":"Lawrence","given":"M K","non-dropping-particle":"","parse-names":false,"suffix":""},{"dropping-particle":"","family":"Lipetz","given":"R S","non-dropping-particle":"","parse-names":false,"suffix":""},{"dropping-particle":"","family":"Miller","given":"S","non-dropping-particle":"","parse-names":false,"suffix":""},{"dropping-particle":"","family":"Montoro","given":"R","non-dropping-particle":"","parse-names":false,"suffix":""},{"dropping-particle":"","family":"Mora","given":"Y","non-dropping-particle":"","parse-names":false,"suffix":""},{"dropping-particle":"","family":"Poindexter III","given":"A","non-dropping-particle":"","parse-names":false,"suffix":""},{"dropping-particle":"","family":"Quigley","given":"J F","non-dropping-particle":"","parse-names":false,"suffix":""},{"dropping-particle":"","family":"Raad","given":"G L","non-dropping-particle":"","parse-names":false,"suffix":""},{"dropping-particle":"","family":"Rawtani","given":"P","non-dropping-particle":"","parse-names":false,"suffix":""},{"dropping-particle":"","family":"Schneider","given":"A","non-dropping-particle":"","parse-names":false,"suffix":""},{"dropping-particle":"","family":"Shah","given":"S","non-dropping-particle":"","parse-names":false,"suffix":""},{"dropping-particle":"","family":"Spence","given":"J","non-dropping-particle":"","parse-names":false,"suffix":""},{"dropping-particle":"","family":"Stanton","given":"D","non-dropping-particle":"","parse-names":false,"suffix":""},{"dropping-particle":"","family":"Sugimoto","given":"D","non-dropping-particle":"","parse-names":false,"suffix":""},{"dropping-particle":"","family":"Thomas","given":"F L","non-dropping-particle":"","parse-names":false,"suffix":""},{"dropping-particle":"","family":"Weiss","given":"D","non-dropping-particle":"","parse-names":false,"suffix":""},{"dropping-particle":"","family":"Weissman","given":"P","non-dropping-particle":"","parse-names":false,"suffix":""},{"dropping-particle":"","family":"Woodward","given":"W R","non-dropping-particle":"","parse-names":false,"suffix":""}],"container-title":"Diabetes, Obesity and Metabolism","id":"ITEM-1","issue":"6","issued":{"date-parts":[["2009"]]},"page":"611-622","title":"Saxagliptin given in combination with metformin as initial therapy improves glycaemic control in patients with type 2 diabetes compared with either monotherapy: {A} randomized controlled trial","type":"article-journal","volume":"11"},"uris":["http://www.mendeley.com/documents/?uuid=78fe5709-465e-4fc1-8666-87bbf0eb0361"]}],"mendeley":{"formattedCitation":"[19]","plainTextFormattedCitation":"[19]","previouslyFormattedCitation":"[19]"},"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[19]</w:t>
            </w:r>
            <w:r w:rsidRPr="00214F41">
              <w:rPr>
                <w:sz w:val="18"/>
                <w:szCs w:val="18"/>
                <w:lang w:val="en-GB"/>
              </w:rPr>
              <w:fldChar w:fldCharType="end"/>
            </w:r>
          </w:p>
        </w:tc>
        <w:tc>
          <w:tcPr>
            <w:tcW w:w="171" w:type="pct"/>
            <w:shd w:val="clear" w:color="000000" w:fill="FFFFFF"/>
            <w:vAlign w:val="center"/>
            <w:hideMark/>
          </w:tcPr>
          <w:p w14:paraId="39DF2A00"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415B01B0" w14:textId="77777777" w:rsidR="005A043A" w:rsidRPr="00214F41" w:rsidRDefault="005A043A" w:rsidP="00286762">
            <w:pPr>
              <w:jc w:val="center"/>
              <w:rPr>
                <w:sz w:val="18"/>
                <w:szCs w:val="18"/>
                <w:lang w:val="en-GB"/>
              </w:rPr>
            </w:pPr>
            <w:r w:rsidRPr="00214F41">
              <w:rPr>
                <w:sz w:val="18"/>
                <w:szCs w:val="18"/>
                <w:lang w:val="en-GB"/>
              </w:rPr>
              <w:t xml:space="preserve">To evaluate the efficacy and safety of initial </w:t>
            </w:r>
            <w:proofErr w:type="spellStart"/>
            <w:r w:rsidRPr="00214F41">
              <w:rPr>
                <w:sz w:val="18"/>
                <w:szCs w:val="18"/>
                <w:lang w:val="en-GB"/>
              </w:rPr>
              <w:t>saxagliptin</w:t>
            </w:r>
            <w:proofErr w:type="spellEnd"/>
            <w:r w:rsidRPr="00214F41">
              <w:rPr>
                <w:sz w:val="18"/>
                <w:szCs w:val="18"/>
                <w:lang w:val="en-GB"/>
              </w:rPr>
              <w:t xml:space="preserve"> or metformin monotherapy in treatment‐naïve patients with T2DM (T2D) and inadequate glycaemic control.</w:t>
            </w:r>
          </w:p>
        </w:tc>
        <w:tc>
          <w:tcPr>
            <w:tcW w:w="364" w:type="pct"/>
            <w:shd w:val="clear" w:color="000000" w:fill="FFFFFF"/>
            <w:vAlign w:val="center"/>
            <w:hideMark/>
          </w:tcPr>
          <w:p w14:paraId="5B5CA5E9" w14:textId="77777777" w:rsidR="005A043A" w:rsidRPr="00214F41" w:rsidRDefault="005A043A" w:rsidP="00286762">
            <w:pPr>
              <w:jc w:val="center"/>
              <w:rPr>
                <w:sz w:val="18"/>
                <w:szCs w:val="18"/>
                <w:lang w:val="en-GB"/>
              </w:rPr>
            </w:pPr>
            <w:r w:rsidRPr="00214F41">
              <w:rPr>
                <w:sz w:val="18"/>
                <w:szCs w:val="18"/>
                <w:lang w:val="en-GB"/>
              </w:rPr>
              <w:t>1306/1306</w:t>
            </w:r>
          </w:p>
        </w:tc>
        <w:tc>
          <w:tcPr>
            <w:tcW w:w="200" w:type="pct"/>
            <w:shd w:val="clear" w:color="000000" w:fill="FFFFFF"/>
            <w:vAlign w:val="center"/>
            <w:hideMark/>
          </w:tcPr>
          <w:p w14:paraId="0C55C7D8"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51E06808"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2903EE73" w14:textId="77777777" w:rsidR="005A043A" w:rsidRPr="00214F41" w:rsidRDefault="005A043A" w:rsidP="00286762">
            <w:pPr>
              <w:jc w:val="center"/>
              <w:rPr>
                <w:sz w:val="18"/>
                <w:szCs w:val="18"/>
                <w:lang w:val="en-GB"/>
              </w:rPr>
            </w:pPr>
            <w:r w:rsidRPr="00214F41">
              <w:rPr>
                <w:sz w:val="18"/>
                <w:szCs w:val="18"/>
                <w:lang w:val="en-GB"/>
              </w:rPr>
              <w:t>1818mg/2/d</w:t>
            </w:r>
          </w:p>
        </w:tc>
        <w:tc>
          <w:tcPr>
            <w:tcW w:w="204" w:type="pct"/>
            <w:shd w:val="clear" w:color="000000" w:fill="FFFFFF"/>
            <w:vAlign w:val="center"/>
            <w:hideMark/>
          </w:tcPr>
          <w:p w14:paraId="16DF68B4"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shd w:val="clear" w:color="000000" w:fill="FFFFFF"/>
            <w:vAlign w:val="center"/>
            <w:hideMark/>
          </w:tcPr>
          <w:p w14:paraId="13C07A57"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5A2210E1"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67EE6732" w14:textId="77777777" w:rsidR="005A043A" w:rsidRPr="00214F41" w:rsidRDefault="005A043A" w:rsidP="00286762">
            <w:pPr>
              <w:jc w:val="center"/>
              <w:rPr>
                <w:sz w:val="18"/>
                <w:szCs w:val="18"/>
                <w:lang w:val="en-GB"/>
              </w:rPr>
            </w:pPr>
            <w:proofErr w:type="spellStart"/>
            <w:r w:rsidRPr="00214F41">
              <w:rPr>
                <w:sz w:val="18"/>
                <w:szCs w:val="18"/>
                <w:lang w:val="en-GB"/>
              </w:rPr>
              <w:t>Saxagliptin</w:t>
            </w:r>
            <w:proofErr w:type="spellEnd"/>
            <w:r w:rsidRPr="00214F41">
              <w:rPr>
                <w:sz w:val="18"/>
                <w:szCs w:val="18"/>
                <w:lang w:val="en-GB"/>
              </w:rPr>
              <w:t>/DPP4 inhibitor</w:t>
            </w:r>
          </w:p>
        </w:tc>
        <w:tc>
          <w:tcPr>
            <w:tcW w:w="245" w:type="pct"/>
            <w:gridSpan w:val="2"/>
            <w:shd w:val="clear" w:color="000000" w:fill="FFFFFF"/>
            <w:vAlign w:val="center"/>
            <w:hideMark/>
          </w:tcPr>
          <w:p w14:paraId="3FF9D2BD" w14:textId="77777777" w:rsidR="005A043A" w:rsidRPr="00214F41" w:rsidRDefault="005A043A" w:rsidP="00286762">
            <w:pPr>
              <w:jc w:val="center"/>
              <w:rPr>
                <w:sz w:val="18"/>
                <w:szCs w:val="18"/>
                <w:lang w:val="en-GB"/>
              </w:rPr>
            </w:pPr>
            <w:r w:rsidRPr="00214F41">
              <w:rPr>
                <w:sz w:val="18"/>
                <w:szCs w:val="18"/>
                <w:lang w:val="en-GB"/>
              </w:rPr>
              <w:t>52±10.5</w:t>
            </w:r>
          </w:p>
        </w:tc>
        <w:tc>
          <w:tcPr>
            <w:tcW w:w="202" w:type="pct"/>
            <w:shd w:val="clear" w:color="000000" w:fill="FFFFFF"/>
            <w:vAlign w:val="center"/>
            <w:hideMark/>
          </w:tcPr>
          <w:p w14:paraId="6E1673E0" w14:textId="77777777" w:rsidR="005A043A" w:rsidRPr="00214F41" w:rsidRDefault="005A043A" w:rsidP="00286762">
            <w:pPr>
              <w:jc w:val="center"/>
              <w:rPr>
                <w:sz w:val="18"/>
                <w:szCs w:val="18"/>
                <w:lang w:val="en-GB"/>
              </w:rPr>
            </w:pPr>
            <w:r w:rsidRPr="00214F41">
              <w:rPr>
                <w:sz w:val="18"/>
                <w:szCs w:val="18"/>
                <w:lang w:val="en-GB"/>
              </w:rPr>
              <w:t>332/50.1</w:t>
            </w:r>
          </w:p>
        </w:tc>
        <w:tc>
          <w:tcPr>
            <w:tcW w:w="265" w:type="pct"/>
            <w:gridSpan w:val="2"/>
            <w:shd w:val="clear" w:color="000000" w:fill="FFFFFF"/>
            <w:vAlign w:val="center"/>
            <w:hideMark/>
          </w:tcPr>
          <w:p w14:paraId="6E6842B2" w14:textId="77777777" w:rsidR="005A043A" w:rsidRPr="00214F41" w:rsidRDefault="005A043A" w:rsidP="00286762">
            <w:pPr>
              <w:jc w:val="center"/>
              <w:rPr>
                <w:sz w:val="18"/>
                <w:szCs w:val="18"/>
                <w:lang w:val="en-GB"/>
              </w:rPr>
            </w:pPr>
            <w:r w:rsidRPr="00214F41">
              <w:rPr>
                <w:sz w:val="18"/>
                <w:szCs w:val="18"/>
                <w:lang w:val="en-GB"/>
              </w:rPr>
              <w:t>30.2±4.9</w:t>
            </w:r>
          </w:p>
        </w:tc>
        <w:tc>
          <w:tcPr>
            <w:tcW w:w="266" w:type="pct"/>
            <w:gridSpan w:val="2"/>
            <w:shd w:val="clear" w:color="000000" w:fill="FFFFFF"/>
            <w:vAlign w:val="center"/>
            <w:hideMark/>
          </w:tcPr>
          <w:p w14:paraId="30D39D47" w14:textId="77777777" w:rsidR="005A043A" w:rsidRPr="00214F41" w:rsidRDefault="005A043A" w:rsidP="00286762">
            <w:pPr>
              <w:jc w:val="center"/>
              <w:rPr>
                <w:sz w:val="18"/>
                <w:szCs w:val="18"/>
                <w:lang w:val="en-GB"/>
              </w:rPr>
            </w:pPr>
            <w:r w:rsidRPr="00214F41">
              <w:rPr>
                <w:sz w:val="18"/>
                <w:szCs w:val="18"/>
                <w:lang w:val="en-GB"/>
              </w:rPr>
              <w:t>30.2±4.9</w:t>
            </w:r>
          </w:p>
        </w:tc>
      </w:tr>
      <w:tr w:rsidR="005A043A" w:rsidRPr="0072287D" w14:paraId="7466D85A" w14:textId="77777777" w:rsidTr="00286762">
        <w:trPr>
          <w:trHeight w:val="930"/>
        </w:trPr>
        <w:tc>
          <w:tcPr>
            <w:tcW w:w="338" w:type="pct"/>
            <w:shd w:val="clear" w:color="000000" w:fill="FFFFFF"/>
            <w:vAlign w:val="center"/>
            <w:hideMark/>
          </w:tcPr>
          <w:p w14:paraId="20A4650C" w14:textId="77777777" w:rsidR="005A043A" w:rsidRPr="00214F41" w:rsidRDefault="005A043A" w:rsidP="00286762">
            <w:pPr>
              <w:jc w:val="center"/>
              <w:rPr>
                <w:sz w:val="18"/>
                <w:szCs w:val="18"/>
                <w:lang w:val="en-GB"/>
              </w:rPr>
            </w:pPr>
            <w:r w:rsidRPr="00214F41">
              <w:rPr>
                <w:sz w:val="18"/>
                <w:szCs w:val="18"/>
                <w:lang w:val="en-GB"/>
              </w:rPr>
              <w:t xml:space="preserve">Ji et al., 2016a </w:t>
            </w:r>
            <w:r w:rsidRPr="00214F41">
              <w:rPr>
                <w:sz w:val="18"/>
                <w:szCs w:val="18"/>
                <w:lang w:val="en-GB"/>
              </w:rPr>
              <w:fldChar w:fldCharType="begin" w:fldLock="1"/>
            </w:r>
            <w:r>
              <w:rPr>
                <w:sz w:val="18"/>
                <w:szCs w:val="18"/>
                <w:lang w:val="en-GB"/>
              </w:rPr>
              <w:instrText>ADDIN CSL_CITATION {"citationItems":[{"id":"ITEM-1","itemData":{"DOI":"10.1111/JDI.12511","ISSN":"2040-1124","PMID":"27181998","abstract":"Introduction: The results of a clinical trial to evaluate the efficacy and safety of initial combination therapy with sitagliptin and metformin in Chinese patients with type 2 diabetes and inadequate glycemic control are reported here. Materials and Methods: This was a multicenter, randomized, double-blind, placebo-controlled, parallel group, 24-week clinical trial carried out in China. Patients (n = 744) with type 2 diabetes and inadequate glycemic control (glycated hemoglobin ≥7.5 and ≤11.0%) who were either drug-naïve or washed out of previous therapy were randomized in equal ratios to sitagliptin 100 mg once daily (q.d.; S100), metformin 500 mg twice daily (b.i.d.; M1000), metformin 850 mg b.i.d. (M1700), sitagliptin 50 mg b.i.d. plus metformin 500 mg b.i.d. (S100/M1000), sitagliptin 50 mg b.i.d. plus metformin 850 mg b.i.d. (S100/M1700), or placebo. Results: The mean baseline glycated hemoglobin in randomized patients was 8.7%. Least squares mean changes from baseline in glycated hemoglobin were −0.59% (placebo), −0.99% (S100), −1.29% (M1000), −1.56% (M1700), −1.67% (S100/M1000) and −1.83% (S100/M1700) (P &lt; 0.05 for each active group vs placebo, for S100/M1700 and S100/M1000 vs S100, and for S100/M1000 vs M1000). All treatments were generally well-tolerated. The overall incidence of hypoglycemia (symptomatic or asymptomatic) was higher in the two co-administration groups (S100/M1700 and S100/M1000) compared with the placebo. The incidence of symptomatic hypoglycemia was low, and similar, across all treatment groups. The incidences of gastrointestinal adverse events were generally higher in high-dose metformin groups than in the placebo group. Conclusions: In Chinese patients with type 2 diabetes, initial combination therapy with sitagliptin and metformin was generally well-tolerated, and provided improvement in glycemic control.","author":[{"dropping-particle":"","family":"Ji","given":"Linong","non-dropping-particle":"","parse-names":false,"suffix":""},{"dropping-particle":"","family":"Han","given":"Ping","non-dropping-particle":"","parse-names":false,"suffix":""},{"dropping-particle":"","family":"Wang","given":"Xiaoyue","non-dropping-particle":"","parse-names":false,"suffix":""},{"dropping-particle":"","family":"Liu","given":"Jingdong","non-dropping-particle":"","parse-names":false,"suffix":""},{"dropping-particle":"","family":"Zheng","given":"Shaoxiong","non-dropping-particle":"","parse-names":false,"suffix":""},{"dropping-particle":"","family":"Jou","given":"Ying Ming","non-dropping-particle":"","parse-names":false,"suffix":""},{"dropping-particle":"","family":"O'Neill","given":"Edward A.","non-dropping-particle":"","parse-names":false,"suffix":""},{"dropping-particle":"","family":"Golm","given":"Gregory T.","non-dropping-particle":"","parse-names":false,"suffix":""},{"dropping-particle":"","family":"Engel","given":"Samuel S.","non-dropping-particle":"","parse-names":false,"suffix":""},{"dropping-particle":"","family":"Kaufman","given":"Keith D.","non-dropping-particle":"","parse-names":false,"suffix":""},{"dropping-particle":"","family":"Shankar","given":"R. Ravi","non-dropping-particle":"","parse-names":false,"suffix":""}],"container-title":"Journal of Diabetes Investigation","id":"ITEM-1","issue":"5","issued":{"date-parts":[["2016","9","1"]]},"page":"727-736","publisher":"John Wiley &amp; Sons, Ltd","title":"Randomized clinical trial of the safety and efficacy of sitagliptin and metformin co-administered to Chinese patients with type 2 diabetes mellitus","type":"article-journal","volume":"7"},"uris":["http://www.mendeley.com/documents/?uuid=786f5e3f-a15b-3753-936b-0fc1a7c50027"]}],"mendeley":{"formattedCitation":"[20]","plainTextFormattedCitation":"[20]","previouslyFormattedCitation":"[20]"},"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[20]</w:t>
            </w:r>
            <w:r w:rsidRPr="00214F41">
              <w:rPr>
                <w:sz w:val="18"/>
                <w:szCs w:val="18"/>
                <w:lang w:val="en-GB"/>
              </w:rPr>
              <w:fldChar w:fldCharType="end"/>
            </w:r>
          </w:p>
        </w:tc>
        <w:tc>
          <w:tcPr>
            <w:tcW w:w="171" w:type="pct"/>
            <w:vMerge w:val="restart"/>
            <w:shd w:val="clear" w:color="000000" w:fill="FFFFFF"/>
            <w:vAlign w:val="center"/>
            <w:hideMark/>
          </w:tcPr>
          <w:p w14:paraId="5DC53DDF" w14:textId="77777777" w:rsidR="005A043A" w:rsidRPr="00214F41" w:rsidRDefault="005A043A" w:rsidP="00286762">
            <w:pPr>
              <w:jc w:val="center"/>
              <w:rPr>
                <w:sz w:val="18"/>
                <w:szCs w:val="18"/>
                <w:lang w:val="en-GB"/>
              </w:rPr>
            </w:pPr>
            <w:r w:rsidRPr="00214F41">
              <w:rPr>
                <w:sz w:val="18"/>
                <w:szCs w:val="18"/>
                <w:lang w:val="en-GB"/>
              </w:rPr>
              <w:t xml:space="preserve">ITT </w:t>
            </w:r>
          </w:p>
        </w:tc>
        <w:tc>
          <w:tcPr>
            <w:tcW w:w="744" w:type="pct"/>
            <w:vMerge w:val="restart"/>
            <w:shd w:val="clear" w:color="000000" w:fill="FFFFFF"/>
            <w:vAlign w:val="center"/>
            <w:hideMark/>
          </w:tcPr>
          <w:p w14:paraId="72E37CE9" w14:textId="77777777" w:rsidR="005A043A" w:rsidRPr="00214F41" w:rsidRDefault="005A043A" w:rsidP="00286762">
            <w:pPr>
              <w:jc w:val="center"/>
              <w:rPr>
                <w:sz w:val="18"/>
                <w:szCs w:val="18"/>
                <w:lang w:val="en-GB"/>
              </w:rPr>
            </w:pPr>
            <w:r w:rsidRPr="00214F41">
              <w:rPr>
                <w:sz w:val="18"/>
                <w:szCs w:val="18"/>
                <w:lang w:val="en-GB"/>
              </w:rPr>
              <w:t xml:space="preserve">To evaluate the efficacy and safety of initial metformin monotherapy in Chinese patients with T2DM and inadequate </w:t>
            </w:r>
            <w:proofErr w:type="spellStart"/>
            <w:r w:rsidRPr="00214F41">
              <w:rPr>
                <w:sz w:val="18"/>
                <w:szCs w:val="18"/>
                <w:lang w:val="en-GB"/>
              </w:rPr>
              <w:t>glycemic</w:t>
            </w:r>
            <w:proofErr w:type="spellEnd"/>
            <w:r w:rsidRPr="00214F41">
              <w:rPr>
                <w:sz w:val="18"/>
                <w:szCs w:val="18"/>
                <w:lang w:val="en-GB"/>
              </w:rPr>
              <w:t xml:space="preserve"> control </w:t>
            </w:r>
          </w:p>
        </w:tc>
        <w:tc>
          <w:tcPr>
            <w:tcW w:w="364" w:type="pct"/>
            <w:vMerge w:val="restart"/>
            <w:shd w:val="clear" w:color="000000" w:fill="FFFFFF"/>
            <w:vAlign w:val="center"/>
            <w:hideMark/>
          </w:tcPr>
          <w:p w14:paraId="1C3BDBE0" w14:textId="77777777" w:rsidR="005A043A" w:rsidRPr="00214F41" w:rsidRDefault="005A043A" w:rsidP="00286762">
            <w:pPr>
              <w:jc w:val="center"/>
              <w:rPr>
                <w:sz w:val="18"/>
                <w:szCs w:val="18"/>
                <w:lang w:val="en-GB"/>
              </w:rPr>
            </w:pPr>
            <w:r w:rsidRPr="00214F41">
              <w:rPr>
                <w:sz w:val="18"/>
                <w:szCs w:val="18"/>
                <w:lang w:val="en-GB"/>
              </w:rPr>
              <w:t>744/743</w:t>
            </w:r>
          </w:p>
          <w:p w14:paraId="3F6EE323" w14:textId="77777777" w:rsidR="005A043A" w:rsidRPr="00214F41" w:rsidRDefault="005A043A" w:rsidP="00286762">
            <w:pPr>
              <w:jc w:val="center"/>
              <w:rPr>
                <w:sz w:val="18"/>
                <w:szCs w:val="18"/>
                <w:lang w:val="en-GB"/>
              </w:rPr>
            </w:pPr>
          </w:p>
        </w:tc>
        <w:tc>
          <w:tcPr>
            <w:tcW w:w="200" w:type="pct"/>
            <w:vMerge w:val="restart"/>
            <w:shd w:val="clear" w:color="000000" w:fill="FFFFFF"/>
            <w:vAlign w:val="center"/>
            <w:hideMark/>
          </w:tcPr>
          <w:p w14:paraId="1C0C897D" w14:textId="77777777" w:rsidR="005A043A" w:rsidRPr="00214F41" w:rsidRDefault="005A043A" w:rsidP="00286762">
            <w:pPr>
              <w:jc w:val="center"/>
              <w:rPr>
                <w:sz w:val="18"/>
                <w:szCs w:val="18"/>
                <w:lang w:val="en-GB"/>
              </w:rPr>
            </w:pPr>
            <w:r w:rsidRPr="00214F41">
              <w:rPr>
                <w:sz w:val="18"/>
                <w:szCs w:val="18"/>
                <w:lang w:val="en-GB"/>
              </w:rPr>
              <w:t>S</w:t>
            </w:r>
          </w:p>
          <w:p w14:paraId="280336BC" w14:textId="77777777" w:rsidR="005A043A" w:rsidRPr="00214F41" w:rsidRDefault="005A043A" w:rsidP="00286762">
            <w:pPr>
              <w:jc w:val="center"/>
              <w:rPr>
                <w:sz w:val="18"/>
                <w:szCs w:val="18"/>
                <w:lang w:val="en-GB"/>
              </w:rPr>
            </w:pPr>
          </w:p>
        </w:tc>
        <w:tc>
          <w:tcPr>
            <w:tcW w:w="448" w:type="pct"/>
            <w:vMerge w:val="restart"/>
            <w:shd w:val="clear" w:color="000000" w:fill="FFFFFF"/>
            <w:vAlign w:val="center"/>
            <w:hideMark/>
          </w:tcPr>
          <w:p w14:paraId="1E57983A"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p w14:paraId="217798F4"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04337EBE" w14:textId="77777777" w:rsidR="005A043A" w:rsidRPr="00214F41" w:rsidRDefault="005A043A" w:rsidP="00286762">
            <w:pPr>
              <w:jc w:val="center"/>
              <w:rPr>
                <w:sz w:val="18"/>
                <w:szCs w:val="18"/>
                <w:lang w:val="en-GB"/>
              </w:rPr>
            </w:pPr>
            <w:r w:rsidRPr="00214F41">
              <w:rPr>
                <w:sz w:val="18"/>
                <w:szCs w:val="18"/>
                <w:lang w:val="en-GB"/>
              </w:rPr>
              <w:t>1000mg/2/d</w:t>
            </w:r>
          </w:p>
        </w:tc>
        <w:tc>
          <w:tcPr>
            <w:tcW w:w="204" w:type="pct"/>
            <w:vMerge w:val="restart"/>
            <w:shd w:val="clear" w:color="000000" w:fill="FFFFFF"/>
            <w:vAlign w:val="center"/>
            <w:hideMark/>
          </w:tcPr>
          <w:p w14:paraId="4691F80B"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vMerge w:val="restart"/>
            <w:shd w:val="clear" w:color="000000" w:fill="FFFFFF"/>
            <w:vAlign w:val="center"/>
            <w:hideMark/>
          </w:tcPr>
          <w:p w14:paraId="68E5A099" w14:textId="77777777" w:rsidR="005A043A" w:rsidRPr="00214F41" w:rsidRDefault="005A043A" w:rsidP="00286762">
            <w:pPr>
              <w:jc w:val="center"/>
              <w:rPr>
                <w:sz w:val="18"/>
                <w:szCs w:val="18"/>
                <w:lang w:val="en-GB"/>
              </w:rPr>
            </w:pPr>
            <w:r w:rsidRPr="00214F41">
              <w:rPr>
                <w:sz w:val="18"/>
                <w:szCs w:val="18"/>
                <w:lang w:val="en-GB"/>
              </w:rPr>
              <w:t>IR</w:t>
            </w:r>
          </w:p>
          <w:p w14:paraId="4C4F0F48" w14:textId="77777777" w:rsidR="005A043A" w:rsidRPr="00214F41" w:rsidRDefault="005A043A" w:rsidP="00286762">
            <w:pPr>
              <w:jc w:val="center"/>
              <w:rPr>
                <w:sz w:val="18"/>
                <w:szCs w:val="18"/>
                <w:lang w:val="en-GB"/>
              </w:rPr>
            </w:pPr>
          </w:p>
        </w:tc>
        <w:tc>
          <w:tcPr>
            <w:tcW w:w="491" w:type="pct"/>
            <w:shd w:val="clear" w:color="000000" w:fill="FFFFFF"/>
            <w:vAlign w:val="center"/>
          </w:tcPr>
          <w:p w14:paraId="100A271C"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vMerge w:val="restart"/>
            <w:shd w:val="clear" w:color="000000" w:fill="FFFFFF"/>
            <w:vAlign w:val="center"/>
            <w:hideMark/>
          </w:tcPr>
          <w:p w14:paraId="708B0A80" w14:textId="77777777" w:rsidR="005A043A" w:rsidRPr="00214F41" w:rsidRDefault="005A043A" w:rsidP="00286762">
            <w:pPr>
              <w:jc w:val="center"/>
              <w:rPr>
                <w:sz w:val="18"/>
                <w:szCs w:val="18"/>
                <w:lang w:val="en-GB"/>
              </w:rPr>
            </w:pPr>
            <w:r w:rsidRPr="00214F41">
              <w:rPr>
                <w:sz w:val="18"/>
                <w:szCs w:val="18"/>
                <w:lang w:val="en-GB"/>
              </w:rPr>
              <w:t>PBO</w:t>
            </w:r>
          </w:p>
        </w:tc>
        <w:tc>
          <w:tcPr>
            <w:tcW w:w="245" w:type="pct"/>
            <w:gridSpan w:val="2"/>
            <w:shd w:val="clear" w:color="000000" w:fill="FFFFFF"/>
            <w:vAlign w:val="center"/>
            <w:hideMark/>
          </w:tcPr>
          <w:p w14:paraId="211ECC95" w14:textId="77777777" w:rsidR="005A043A" w:rsidRPr="00214F41" w:rsidRDefault="005A043A" w:rsidP="00286762">
            <w:pPr>
              <w:jc w:val="center"/>
              <w:rPr>
                <w:sz w:val="18"/>
                <w:szCs w:val="18"/>
                <w:lang w:val="en-GB"/>
              </w:rPr>
            </w:pPr>
            <w:r w:rsidRPr="00214F41">
              <w:rPr>
                <w:sz w:val="18"/>
                <w:szCs w:val="18"/>
                <w:lang w:val="en-GB"/>
              </w:rPr>
              <w:t>53.1±9.6</w:t>
            </w:r>
          </w:p>
        </w:tc>
        <w:tc>
          <w:tcPr>
            <w:tcW w:w="202" w:type="pct"/>
            <w:shd w:val="clear" w:color="000000" w:fill="FFFFFF"/>
            <w:vAlign w:val="center"/>
            <w:hideMark/>
          </w:tcPr>
          <w:p w14:paraId="359B422D" w14:textId="77777777" w:rsidR="005A043A" w:rsidRPr="00214F41" w:rsidRDefault="005A043A" w:rsidP="00286762">
            <w:pPr>
              <w:jc w:val="center"/>
              <w:rPr>
                <w:sz w:val="18"/>
                <w:szCs w:val="18"/>
                <w:lang w:val="en-GB"/>
              </w:rPr>
            </w:pPr>
            <w:r w:rsidRPr="00214F41">
              <w:rPr>
                <w:sz w:val="18"/>
                <w:szCs w:val="18"/>
                <w:lang w:val="en-GB"/>
              </w:rPr>
              <w:t>156/61.7</w:t>
            </w:r>
          </w:p>
        </w:tc>
        <w:tc>
          <w:tcPr>
            <w:tcW w:w="265" w:type="pct"/>
            <w:gridSpan w:val="2"/>
            <w:shd w:val="clear" w:color="000000" w:fill="FFFFFF"/>
            <w:vAlign w:val="center"/>
            <w:hideMark/>
          </w:tcPr>
          <w:p w14:paraId="20468E38" w14:textId="77777777" w:rsidR="005A043A" w:rsidRPr="00214F41" w:rsidRDefault="005A043A" w:rsidP="00286762">
            <w:pPr>
              <w:jc w:val="center"/>
              <w:rPr>
                <w:sz w:val="18"/>
                <w:szCs w:val="18"/>
                <w:lang w:val="en-GB"/>
              </w:rPr>
            </w:pPr>
            <w:r w:rsidRPr="00214F41">
              <w:rPr>
                <w:sz w:val="18"/>
                <w:szCs w:val="18"/>
                <w:lang w:val="en-GB"/>
              </w:rPr>
              <w:t>26±3.7</w:t>
            </w:r>
          </w:p>
        </w:tc>
        <w:tc>
          <w:tcPr>
            <w:tcW w:w="266" w:type="pct"/>
            <w:gridSpan w:val="2"/>
            <w:shd w:val="clear" w:color="000000" w:fill="FFFFFF"/>
            <w:vAlign w:val="center"/>
            <w:hideMark/>
          </w:tcPr>
          <w:p w14:paraId="4DCAB3F7" w14:textId="77777777" w:rsidR="005A043A" w:rsidRPr="00214F41" w:rsidRDefault="005A043A" w:rsidP="00286762">
            <w:pPr>
              <w:jc w:val="center"/>
              <w:rPr>
                <w:sz w:val="18"/>
                <w:szCs w:val="18"/>
                <w:lang w:val="en-GB"/>
              </w:rPr>
            </w:pPr>
            <w:r w:rsidRPr="00214F41">
              <w:rPr>
                <w:sz w:val="18"/>
                <w:szCs w:val="18"/>
                <w:lang w:val="en-GB"/>
              </w:rPr>
              <w:t>25.4±3.4</w:t>
            </w:r>
          </w:p>
        </w:tc>
      </w:tr>
      <w:tr w:rsidR="005A043A" w:rsidRPr="0072287D" w14:paraId="5D4D3628" w14:textId="77777777" w:rsidTr="00286762">
        <w:trPr>
          <w:trHeight w:val="930"/>
        </w:trPr>
        <w:tc>
          <w:tcPr>
            <w:tcW w:w="338" w:type="pct"/>
            <w:shd w:val="clear" w:color="000000" w:fill="FFFFFF"/>
            <w:vAlign w:val="center"/>
            <w:hideMark/>
          </w:tcPr>
          <w:p w14:paraId="2886FBCB" w14:textId="77777777" w:rsidR="005A043A" w:rsidRPr="00214F41" w:rsidRDefault="005A043A" w:rsidP="00286762">
            <w:pPr>
              <w:jc w:val="center"/>
              <w:rPr>
                <w:sz w:val="18"/>
                <w:szCs w:val="18"/>
                <w:lang w:val="en-GB"/>
              </w:rPr>
            </w:pPr>
            <w:r w:rsidRPr="00214F41">
              <w:rPr>
                <w:sz w:val="18"/>
                <w:szCs w:val="18"/>
                <w:lang w:val="en-GB"/>
              </w:rPr>
              <w:t>Ji et al., 2016b</w:t>
            </w:r>
          </w:p>
        </w:tc>
        <w:tc>
          <w:tcPr>
            <w:tcW w:w="171" w:type="pct"/>
            <w:vMerge/>
            <w:shd w:val="clear" w:color="000000" w:fill="FFFFFF"/>
            <w:vAlign w:val="center"/>
            <w:hideMark/>
          </w:tcPr>
          <w:p w14:paraId="5D766167" w14:textId="77777777" w:rsidR="005A043A" w:rsidRPr="00214F41" w:rsidRDefault="005A043A" w:rsidP="00286762">
            <w:pPr>
              <w:jc w:val="center"/>
              <w:rPr>
                <w:sz w:val="18"/>
                <w:szCs w:val="18"/>
                <w:lang w:val="en-GB"/>
              </w:rPr>
            </w:pPr>
          </w:p>
        </w:tc>
        <w:tc>
          <w:tcPr>
            <w:tcW w:w="744" w:type="pct"/>
            <w:vMerge/>
            <w:shd w:val="clear" w:color="000000" w:fill="FFFFFF"/>
            <w:vAlign w:val="center"/>
            <w:hideMark/>
          </w:tcPr>
          <w:p w14:paraId="21839146" w14:textId="77777777" w:rsidR="005A043A" w:rsidRPr="00214F41" w:rsidRDefault="005A043A" w:rsidP="00286762">
            <w:pPr>
              <w:jc w:val="center"/>
              <w:rPr>
                <w:sz w:val="18"/>
                <w:szCs w:val="18"/>
                <w:lang w:val="en-GB"/>
              </w:rPr>
            </w:pPr>
          </w:p>
        </w:tc>
        <w:tc>
          <w:tcPr>
            <w:tcW w:w="364" w:type="pct"/>
            <w:vMerge/>
            <w:shd w:val="clear" w:color="000000" w:fill="FFFFFF"/>
            <w:vAlign w:val="center"/>
            <w:hideMark/>
          </w:tcPr>
          <w:p w14:paraId="4F68F0A3" w14:textId="77777777" w:rsidR="005A043A" w:rsidRPr="00214F41" w:rsidRDefault="005A043A" w:rsidP="00286762">
            <w:pPr>
              <w:jc w:val="center"/>
              <w:rPr>
                <w:sz w:val="18"/>
                <w:szCs w:val="18"/>
                <w:lang w:val="en-GB"/>
              </w:rPr>
            </w:pPr>
          </w:p>
        </w:tc>
        <w:tc>
          <w:tcPr>
            <w:tcW w:w="200" w:type="pct"/>
            <w:vMerge/>
            <w:shd w:val="clear" w:color="000000" w:fill="FFFFFF"/>
            <w:vAlign w:val="center"/>
            <w:hideMark/>
          </w:tcPr>
          <w:p w14:paraId="07E47EA0" w14:textId="77777777" w:rsidR="005A043A" w:rsidRPr="00214F41" w:rsidRDefault="005A043A" w:rsidP="00286762">
            <w:pPr>
              <w:jc w:val="center"/>
              <w:rPr>
                <w:sz w:val="18"/>
                <w:szCs w:val="18"/>
                <w:lang w:val="en-GB"/>
              </w:rPr>
            </w:pPr>
          </w:p>
        </w:tc>
        <w:tc>
          <w:tcPr>
            <w:tcW w:w="448" w:type="pct"/>
            <w:vMerge/>
            <w:shd w:val="clear" w:color="000000" w:fill="FFFFFF"/>
            <w:vAlign w:val="center"/>
            <w:hideMark/>
          </w:tcPr>
          <w:p w14:paraId="63DA78B2"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4F5523D3" w14:textId="77777777" w:rsidR="005A043A" w:rsidRPr="00214F41" w:rsidRDefault="005A043A" w:rsidP="00286762">
            <w:pPr>
              <w:jc w:val="center"/>
              <w:rPr>
                <w:sz w:val="18"/>
                <w:szCs w:val="18"/>
                <w:lang w:val="en-GB"/>
              </w:rPr>
            </w:pPr>
            <w:r w:rsidRPr="00214F41">
              <w:rPr>
                <w:sz w:val="18"/>
                <w:szCs w:val="18"/>
                <w:lang w:val="en-GB"/>
              </w:rPr>
              <w:t>1700mg/2/d</w:t>
            </w:r>
          </w:p>
        </w:tc>
        <w:tc>
          <w:tcPr>
            <w:tcW w:w="204" w:type="pct"/>
            <w:vMerge/>
            <w:shd w:val="clear" w:color="000000" w:fill="FFFFFF"/>
            <w:vAlign w:val="center"/>
            <w:hideMark/>
          </w:tcPr>
          <w:p w14:paraId="104C235B" w14:textId="77777777" w:rsidR="005A043A" w:rsidRPr="00214F41" w:rsidRDefault="005A043A" w:rsidP="00286762">
            <w:pPr>
              <w:jc w:val="center"/>
              <w:rPr>
                <w:sz w:val="18"/>
                <w:szCs w:val="18"/>
                <w:lang w:val="en-GB"/>
              </w:rPr>
            </w:pPr>
          </w:p>
        </w:tc>
        <w:tc>
          <w:tcPr>
            <w:tcW w:w="247" w:type="pct"/>
            <w:vMerge/>
            <w:shd w:val="clear" w:color="000000" w:fill="FFFFFF"/>
            <w:vAlign w:val="center"/>
            <w:hideMark/>
          </w:tcPr>
          <w:p w14:paraId="53F51B65" w14:textId="77777777" w:rsidR="005A043A" w:rsidRPr="00214F41" w:rsidRDefault="005A043A" w:rsidP="00286762">
            <w:pPr>
              <w:jc w:val="center"/>
              <w:rPr>
                <w:sz w:val="18"/>
                <w:szCs w:val="18"/>
                <w:lang w:val="en-GB"/>
              </w:rPr>
            </w:pPr>
          </w:p>
        </w:tc>
        <w:tc>
          <w:tcPr>
            <w:tcW w:w="491" w:type="pct"/>
            <w:shd w:val="clear" w:color="000000" w:fill="FFFFFF"/>
            <w:vAlign w:val="center"/>
          </w:tcPr>
          <w:p w14:paraId="7D28DA83"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vMerge/>
            <w:shd w:val="clear" w:color="000000" w:fill="FFFFFF"/>
            <w:vAlign w:val="center"/>
            <w:hideMark/>
          </w:tcPr>
          <w:p w14:paraId="2353D837"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629A7CF0" w14:textId="77777777" w:rsidR="005A043A" w:rsidRPr="00214F41" w:rsidRDefault="005A043A" w:rsidP="00286762">
            <w:pPr>
              <w:jc w:val="center"/>
              <w:rPr>
                <w:sz w:val="18"/>
                <w:szCs w:val="18"/>
                <w:lang w:val="en-GB"/>
              </w:rPr>
            </w:pPr>
            <w:r w:rsidRPr="00214F41">
              <w:rPr>
                <w:sz w:val="18"/>
                <w:szCs w:val="18"/>
                <w:lang w:val="en-GB"/>
              </w:rPr>
              <w:t>53.3±10</w:t>
            </w:r>
          </w:p>
        </w:tc>
        <w:tc>
          <w:tcPr>
            <w:tcW w:w="202" w:type="pct"/>
            <w:shd w:val="clear" w:color="000000" w:fill="FFFFFF"/>
            <w:vAlign w:val="center"/>
            <w:hideMark/>
          </w:tcPr>
          <w:p w14:paraId="5BB7DD8D" w14:textId="77777777" w:rsidR="005A043A" w:rsidRPr="00214F41" w:rsidRDefault="005A043A" w:rsidP="00286762">
            <w:pPr>
              <w:jc w:val="center"/>
              <w:rPr>
                <w:sz w:val="18"/>
                <w:szCs w:val="18"/>
                <w:lang w:val="en-GB"/>
              </w:rPr>
            </w:pPr>
            <w:r w:rsidRPr="00214F41">
              <w:rPr>
                <w:sz w:val="18"/>
                <w:szCs w:val="18"/>
                <w:lang w:val="en-GB"/>
              </w:rPr>
              <w:t>162/64.5</w:t>
            </w:r>
          </w:p>
        </w:tc>
        <w:tc>
          <w:tcPr>
            <w:tcW w:w="265" w:type="pct"/>
            <w:gridSpan w:val="2"/>
            <w:shd w:val="clear" w:color="000000" w:fill="FFFFFF"/>
            <w:vAlign w:val="center"/>
            <w:hideMark/>
          </w:tcPr>
          <w:p w14:paraId="37BB464F" w14:textId="77777777" w:rsidR="005A043A" w:rsidRPr="00214F41" w:rsidRDefault="005A043A" w:rsidP="00286762">
            <w:pPr>
              <w:jc w:val="center"/>
              <w:rPr>
                <w:sz w:val="18"/>
                <w:szCs w:val="18"/>
                <w:lang w:val="en-GB"/>
              </w:rPr>
            </w:pPr>
            <w:r w:rsidRPr="00214F41">
              <w:rPr>
                <w:sz w:val="18"/>
                <w:szCs w:val="18"/>
                <w:lang w:val="en-GB"/>
              </w:rPr>
              <w:t> </w:t>
            </w:r>
          </w:p>
        </w:tc>
        <w:tc>
          <w:tcPr>
            <w:tcW w:w="266" w:type="pct"/>
            <w:gridSpan w:val="2"/>
            <w:shd w:val="clear" w:color="000000" w:fill="FFFFFF"/>
            <w:vAlign w:val="center"/>
            <w:hideMark/>
          </w:tcPr>
          <w:p w14:paraId="2685279B" w14:textId="77777777" w:rsidR="005A043A" w:rsidRPr="00214F41" w:rsidRDefault="005A043A" w:rsidP="00286762">
            <w:pPr>
              <w:jc w:val="center"/>
              <w:rPr>
                <w:sz w:val="18"/>
                <w:szCs w:val="18"/>
                <w:lang w:val="en-GB"/>
              </w:rPr>
            </w:pPr>
            <w:r w:rsidRPr="00214F41">
              <w:rPr>
                <w:sz w:val="18"/>
                <w:szCs w:val="18"/>
                <w:lang w:val="en-GB"/>
              </w:rPr>
              <w:t>25.4±3.4</w:t>
            </w:r>
          </w:p>
        </w:tc>
      </w:tr>
      <w:tr w:rsidR="005A043A" w:rsidRPr="0072287D" w14:paraId="7BDA67AA" w14:textId="77777777" w:rsidTr="00286762">
        <w:trPr>
          <w:trHeight w:val="930"/>
        </w:trPr>
        <w:tc>
          <w:tcPr>
            <w:tcW w:w="338" w:type="pct"/>
            <w:shd w:val="clear" w:color="000000" w:fill="FFFFFF"/>
            <w:vAlign w:val="center"/>
            <w:hideMark/>
          </w:tcPr>
          <w:p w14:paraId="762375FE" w14:textId="77777777" w:rsidR="005A043A" w:rsidRPr="00214F41" w:rsidRDefault="005A043A" w:rsidP="00286762">
            <w:pPr>
              <w:jc w:val="center"/>
              <w:rPr>
                <w:sz w:val="18"/>
                <w:szCs w:val="18"/>
                <w:lang w:val="en-GB"/>
              </w:rPr>
            </w:pPr>
            <w:r w:rsidRPr="00214F41">
              <w:rPr>
                <w:sz w:val="18"/>
                <w:szCs w:val="18"/>
                <w:lang w:val="en-GB"/>
              </w:rPr>
              <w:t xml:space="preserve">Kahn et al., 2006 </w:t>
            </w:r>
            <w:r w:rsidRPr="00214F41">
              <w:rPr>
                <w:sz w:val="18"/>
                <w:szCs w:val="18"/>
                <w:lang w:val="en-GB"/>
              </w:rPr>
              <w:fldChar w:fldCharType="begin" w:fldLock="1"/>
            </w:r>
            <w:r>
              <w:rPr>
                <w:sz w:val="18"/>
                <w:szCs w:val="18"/>
                <w:lang w:val="en-GB"/>
              </w:rPr>
              <w:instrText>ADDIN CSL_CITATION {"citationItems":[{"id":"ITEM-1","itemData":{"DOI":"10.1056/NEJMoa066224","ISSN":"0028-4793","abstract":"BACKGROUND: The efficacy of thiazolidinediones, as compared with other oral glucose-lowering medications, in maintaining long-term glycemic control in type 2 diabetes is not known. METHODS: We evaluated rosiglitazone, metformin, and glyburide as initial treatment for recently diagnosed type 2 diabetes in a double-blind, randomized, controlled clinical trial involving 4360 patients. The patients were treated for a median of 4.0 years. The primary outcome was the time to monotherapy failure, which was defined as a confirmed level of fasting plasma glucose of more than 180 mg per deciliter (10.0 mmol per liter), for rosiglitazone, as compared with metformin or glyburide. Pre-specified secondary outcomes were levels of fasting plasma glucose and glycated hemoglobin, insulin sensitivity, and β-cell function. RESULTS: Kaplan-Meier analysis showed a cumulative incidence of monotherapy failure at 5 years of 15\\% with rosiglitazone, 21\\% with metformin, and 34\\% with glyburide. This represents a risk reduction of 32\\% for rosiglitazone, as compared with metformin, and 63\\%, as compared with glyburide (P{\\textless}0.001 for both comparisons). The difference in the durability of the treatment effect was greater between rosiglitazone and glyburide than between rosiglitazone and metformin. Glyburide was associated with a lower risk of cardiovascular events (including congestive heart failure) than was rosiglitazone (P{\\textless}0.05), and the risk associated with metformin was similar to that with rosiglitazone. Rosiglitazone was associated with more weight gain and edema than either metformin or glyburide but with fewer gastrointestinal events than metformin and with less hypoglycemia than glyburide (P{\\textless}0.001 for all comparisons). Conclusions The potential risks and benefits, the profile of adverse events, and the costs of these three drugs should all be considered to help inform the choice of pharmacotherapy for patients with type 2 diabetes. Copyright © 2006 Massachusetts Medical Society.","author":[{"dropping-particle":"","family":"Kahn","given":"S E","non-dropping-particle":"","parse-names":false,"suffix":""},{"dropping-particle":"","family":"Haffner","given":"S M","non-dropping-particle":"","parse-names":false,"suffix":""},{"dropping-particle":"","family":"Heise","given":"M A","non-dropping-particle":"","parse-names":false,"suffix":""},{"dropping-particle":"","family":"Herman","given":"W H","non-dropping-particle":"","parse-names":false,"suffix":""},{"dropping-particle":"","family":"Holman","given":"R R","non-dropping-particle":"","parse-names":false,"suffix":""},{"dropping-particle":"","family":"Jones","given":"N P","non-dropping-particle":"","parse-names":false,"suffix":""},{"dropping-particle":"","family":"Kravitz","given":"B G","non-dropping-particle":"","parse-names":false,"suffix":""},{"dropping-particle":"","family":"Lachin","given":"J M","non-dropping-particle":"","parse-names":false,"suffix":""},{"dropping-particle":"","family":"O'Neill","given":"M C","non-dropping-particle":"","parse-names":false,"suffix":""},{"dropping-particle":"","family":"Zinman","given":"B","non-dropping-particle":"","parse-names":false,"suffix":""},{"dropping-particle":"","family":"Viberti","given":"G","non-dropping-particle":"","parse-names":false,"suffix":""}],"container-title":"New England Journal of Medicine","id":"ITEM-1","issue":"23","issued":{"date-parts":[["2006"]]},"page":"2427-2443","title":"Glycemic durability of rosiglitazone, metformin, or glyburide monotherapy","type":"article-journal","volume":"355"},"uris":["http://www.mendeley.com/documents/?uuid=10617c17-b211-4860-9c3a-234b7bd2dbe4"]}],"mendeley":{"formattedCitation":"[21]","plainTextFormattedCitation":"[21]","previouslyFormattedCitation":"[21]"},"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[21]</w:t>
            </w:r>
            <w:r w:rsidRPr="00214F41">
              <w:rPr>
                <w:sz w:val="18"/>
                <w:szCs w:val="18"/>
                <w:lang w:val="en-GB"/>
              </w:rPr>
              <w:fldChar w:fldCharType="end"/>
            </w:r>
          </w:p>
        </w:tc>
        <w:tc>
          <w:tcPr>
            <w:tcW w:w="171" w:type="pct"/>
            <w:shd w:val="clear" w:color="000000" w:fill="FFFFFF"/>
            <w:vAlign w:val="center"/>
            <w:hideMark/>
          </w:tcPr>
          <w:p w14:paraId="49728CD4"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4A918F16" w14:textId="77777777" w:rsidR="005A043A" w:rsidRPr="00214F41" w:rsidRDefault="005A043A" w:rsidP="00286762">
            <w:pPr>
              <w:jc w:val="center"/>
              <w:rPr>
                <w:sz w:val="18"/>
                <w:szCs w:val="18"/>
                <w:lang w:val="en-GB"/>
              </w:rPr>
            </w:pPr>
            <w:r w:rsidRPr="00214F41">
              <w:rPr>
                <w:sz w:val="18"/>
                <w:szCs w:val="18"/>
                <w:lang w:val="en-GB"/>
              </w:rPr>
              <w:t>To evaluate metformin, and glyburide as initial monotherapies for recently</w:t>
            </w:r>
            <w:r w:rsidRPr="00214F41">
              <w:rPr>
                <w:sz w:val="18"/>
                <w:szCs w:val="18"/>
                <w:lang w:val="en-GB"/>
              </w:rPr>
              <w:br/>
              <w:t>diagnosed T2DM</w:t>
            </w:r>
          </w:p>
        </w:tc>
        <w:tc>
          <w:tcPr>
            <w:tcW w:w="364" w:type="pct"/>
            <w:shd w:val="clear" w:color="000000" w:fill="FFFFFF"/>
            <w:vAlign w:val="center"/>
            <w:hideMark/>
          </w:tcPr>
          <w:p w14:paraId="4D2B1250" w14:textId="77777777" w:rsidR="005A043A" w:rsidRPr="00214F41" w:rsidRDefault="005A043A" w:rsidP="00286762">
            <w:pPr>
              <w:jc w:val="center"/>
              <w:rPr>
                <w:sz w:val="18"/>
                <w:szCs w:val="18"/>
                <w:lang w:val="en-GB"/>
              </w:rPr>
            </w:pPr>
            <w:r w:rsidRPr="00214F41">
              <w:rPr>
                <w:sz w:val="18"/>
                <w:szCs w:val="18"/>
                <w:lang w:val="en-GB"/>
              </w:rPr>
              <w:t>4360/4351</w:t>
            </w:r>
          </w:p>
        </w:tc>
        <w:tc>
          <w:tcPr>
            <w:tcW w:w="200" w:type="pct"/>
            <w:shd w:val="clear" w:color="000000" w:fill="FFFFFF"/>
            <w:vAlign w:val="center"/>
            <w:hideMark/>
          </w:tcPr>
          <w:p w14:paraId="086A604E"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73FD509F" w14:textId="77777777" w:rsidR="005A043A" w:rsidRPr="00214F41" w:rsidRDefault="005A043A" w:rsidP="00286762">
            <w:pPr>
              <w:jc w:val="center"/>
              <w:rPr>
                <w:sz w:val="18"/>
                <w:szCs w:val="18"/>
                <w:lang w:val="en-GB"/>
              </w:rPr>
            </w:pPr>
            <w:r w:rsidRPr="00214F41">
              <w:rPr>
                <w:sz w:val="18"/>
                <w:szCs w:val="18"/>
                <w:lang w:val="en-GB"/>
              </w:rPr>
              <w:t>Glucophage, Bristol-Myers Squibb</w:t>
            </w:r>
          </w:p>
        </w:tc>
        <w:tc>
          <w:tcPr>
            <w:tcW w:w="324" w:type="pct"/>
            <w:shd w:val="clear" w:color="000000" w:fill="FFFFFF"/>
            <w:vAlign w:val="center"/>
            <w:hideMark/>
          </w:tcPr>
          <w:p w14:paraId="580ADE1E" w14:textId="77777777" w:rsidR="005A043A" w:rsidRPr="00214F41" w:rsidRDefault="005A043A" w:rsidP="00286762">
            <w:pPr>
              <w:jc w:val="center"/>
              <w:rPr>
                <w:sz w:val="18"/>
                <w:szCs w:val="18"/>
                <w:lang w:val="en-GB"/>
              </w:rPr>
            </w:pPr>
            <w:r w:rsidRPr="00214F41">
              <w:rPr>
                <w:sz w:val="18"/>
                <w:szCs w:val="18"/>
                <w:lang w:val="en-GB"/>
              </w:rPr>
              <w:t>2000mg/2/d</w:t>
            </w:r>
          </w:p>
        </w:tc>
        <w:tc>
          <w:tcPr>
            <w:tcW w:w="204" w:type="pct"/>
            <w:shd w:val="clear" w:color="000000" w:fill="FFFFFF"/>
            <w:vAlign w:val="center"/>
            <w:hideMark/>
          </w:tcPr>
          <w:p w14:paraId="33F81691" w14:textId="77777777" w:rsidR="005A043A" w:rsidRPr="00214F41" w:rsidRDefault="005A043A" w:rsidP="00286762">
            <w:pPr>
              <w:jc w:val="center"/>
              <w:rPr>
                <w:sz w:val="18"/>
                <w:szCs w:val="18"/>
                <w:lang w:val="en-GB"/>
              </w:rPr>
            </w:pPr>
            <w:r w:rsidRPr="00214F41">
              <w:rPr>
                <w:sz w:val="18"/>
                <w:szCs w:val="18"/>
                <w:lang w:val="en-GB"/>
              </w:rPr>
              <w:t>1460</w:t>
            </w:r>
          </w:p>
        </w:tc>
        <w:tc>
          <w:tcPr>
            <w:tcW w:w="247" w:type="pct"/>
            <w:shd w:val="clear" w:color="000000" w:fill="FFFFFF"/>
            <w:vAlign w:val="center"/>
            <w:hideMark/>
          </w:tcPr>
          <w:p w14:paraId="4F868135"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7617A17F"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039B7DC6" w14:textId="77777777" w:rsidR="005A043A" w:rsidRPr="00214F41" w:rsidRDefault="005A043A" w:rsidP="00286762">
            <w:pPr>
              <w:jc w:val="center"/>
              <w:rPr>
                <w:sz w:val="18"/>
                <w:szCs w:val="18"/>
                <w:lang w:val="en-GB"/>
              </w:rPr>
            </w:pPr>
            <w:proofErr w:type="spellStart"/>
            <w:r w:rsidRPr="00214F41">
              <w:rPr>
                <w:sz w:val="18"/>
                <w:szCs w:val="18"/>
                <w:lang w:val="en-GB"/>
              </w:rPr>
              <w:t>gluburide</w:t>
            </w:r>
            <w:proofErr w:type="spellEnd"/>
            <w:r w:rsidRPr="00214F41">
              <w:rPr>
                <w:sz w:val="18"/>
                <w:szCs w:val="18"/>
                <w:lang w:val="en-GB"/>
              </w:rPr>
              <w:t>/sulfonylurea derivatives</w:t>
            </w:r>
          </w:p>
        </w:tc>
        <w:tc>
          <w:tcPr>
            <w:tcW w:w="245" w:type="pct"/>
            <w:gridSpan w:val="2"/>
            <w:shd w:val="clear" w:color="000000" w:fill="FFFFFF"/>
            <w:vAlign w:val="center"/>
            <w:hideMark/>
          </w:tcPr>
          <w:p w14:paraId="7F34D97C" w14:textId="77777777" w:rsidR="005A043A" w:rsidRPr="00214F41" w:rsidRDefault="005A043A" w:rsidP="00286762">
            <w:pPr>
              <w:jc w:val="center"/>
              <w:rPr>
                <w:sz w:val="18"/>
                <w:szCs w:val="18"/>
                <w:lang w:val="en-GB"/>
              </w:rPr>
            </w:pPr>
            <w:r w:rsidRPr="00214F41">
              <w:rPr>
                <w:sz w:val="18"/>
                <w:szCs w:val="18"/>
                <w:lang w:val="en-GB"/>
              </w:rPr>
              <w:t>57.2±10.1</w:t>
            </w:r>
          </w:p>
        </w:tc>
        <w:tc>
          <w:tcPr>
            <w:tcW w:w="202" w:type="pct"/>
            <w:shd w:val="clear" w:color="000000" w:fill="FFFFFF"/>
            <w:vAlign w:val="center"/>
            <w:hideMark/>
          </w:tcPr>
          <w:p w14:paraId="298871F8" w14:textId="77777777" w:rsidR="005A043A" w:rsidRPr="00214F41" w:rsidRDefault="005A043A" w:rsidP="00286762">
            <w:pPr>
              <w:jc w:val="center"/>
              <w:rPr>
                <w:sz w:val="18"/>
                <w:szCs w:val="18"/>
                <w:lang w:val="en-GB"/>
              </w:rPr>
            </w:pPr>
            <w:r w:rsidRPr="00214F41">
              <w:rPr>
                <w:sz w:val="18"/>
                <w:szCs w:val="18"/>
                <w:lang w:val="en-GB"/>
              </w:rPr>
              <w:t>1700/58.7</w:t>
            </w:r>
          </w:p>
        </w:tc>
        <w:tc>
          <w:tcPr>
            <w:tcW w:w="265" w:type="pct"/>
            <w:gridSpan w:val="2"/>
            <w:shd w:val="clear" w:color="000000" w:fill="FFFFFF"/>
            <w:vAlign w:val="center"/>
            <w:hideMark/>
          </w:tcPr>
          <w:p w14:paraId="7288FDC0" w14:textId="77777777" w:rsidR="005A043A" w:rsidRPr="00214F41" w:rsidRDefault="005A043A" w:rsidP="00286762">
            <w:pPr>
              <w:jc w:val="center"/>
              <w:rPr>
                <w:sz w:val="18"/>
                <w:szCs w:val="18"/>
                <w:lang w:val="en-GB"/>
              </w:rPr>
            </w:pPr>
            <w:r w:rsidRPr="00214F41">
              <w:rPr>
                <w:sz w:val="18"/>
                <w:szCs w:val="18"/>
                <w:lang w:val="en-GB"/>
              </w:rPr>
              <w:t>32.1±6.1</w:t>
            </w:r>
          </w:p>
        </w:tc>
        <w:tc>
          <w:tcPr>
            <w:tcW w:w="266" w:type="pct"/>
            <w:gridSpan w:val="2"/>
            <w:shd w:val="clear" w:color="000000" w:fill="FFFFFF"/>
            <w:vAlign w:val="center"/>
            <w:hideMark/>
          </w:tcPr>
          <w:p w14:paraId="0C7B939B" w14:textId="77777777" w:rsidR="005A043A" w:rsidRPr="00214F41" w:rsidRDefault="005A043A" w:rsidP="00286762">
            <w:pPr>
              <w:jc w:val="center"/>
              <w:rPr>
                <w:sz w:val="18"/>
                <w:szCs w:val="18"/>
                <w:lang w:val="en-GB"/>
              </w:rPr>
            </w:pPr>
            <w:r w:rsidRPr="00214F41">
              <w:rPr>
                <w:sz w:val="18"/>
                <w:szCs w:val="18"/>
                <w:lang w:val="en-GB"/>
              </w:rPr>
              <w:t>32.2±6.3</w:t>
            </w:r>
          </w:p>
        </w:tc>
      </w:tr>
      <w:tr w:rsidR="005A043A" w:rsidRPr="0072287D" w14:paraId="4D3D7DA8" w14:textId="77777777" w:rsidTr="00286762">
        <w:trPr>
          <w:trHeight w:val="930"/>
        </w:trPr>
        <w:tc>
          <w:tcPr>
            <w:tcW w:w="338" w:type="pct"/>
            <w:shd w:val="clear" w:color="000000" w:fill="FFFFFF"/>
            <w:vAlign w:val="center"/>
            <w:hideMark/>
          </w:tcPr>
          <w:p w14:paraId="04C7D41B" w14:textId="77777777" w:rsidR="005A043A" w:rsidRPr="00214F41" w:rsidRDefault="005A043A" w:rsidP="00286762">
            <w:pPr>
              <w:jc w:val="center"/>
              <w:rPr>
                <w:sz w:val="18"/>
                <w:szCs w:val="18"/>
                <w:lang w:val="en-GB"/>
              </w:rPr>
            </w:pPr>
            <w:r w:rsidRPr="00214F41">
              <w:rPr>
                <w:sz w:val="18"/>
                <w:szCs w:val="18"/>
                <w:lang w:val="en-GB"/>
              </w:rPr>
              <w:t xml:space="preserve">Lim et al., 2016 </w:t>
            </w:r>
            <w:r w:rsidRPr="00214F41">
              <w:rPr>
                <w:sz w:val="18"/>
                <w:szCs w:val="18"/>
                <w:lang w:val="en-GB"/>
              </w:rPr>
              <w:fldChar w:fldCharType="begin" w:fldLock="1"/>
            </w:r>
            <w:r>
              <w:rPr>
                <w:sz w:val="18"/>
                <w:szCs w:val="18"/>
                <w:lang w:val="en-GB"/>
              </w:rPr>
              <w:instrText>ADDIN CSL_CITATION {"citationItems":[{"id":"ITEM-1","itemData":{"DOI":"10.1111/DOM.12787","ISSN":"14631326","PMID":"27619558","abstract":"Background: Gemigliptin is a new dipeptidyl peptidase-IV inhibitor. We investigated the efficacy and safety of initial combination therapy with gemigliptin and metformin compared with monotherapy with either drug in patients with type 2 diabetes (T2D). Methods: A total of 433 T2D patients with a glycosylated haemoglobin (HbA1c) level of 7.5% to 11.0% and a fasting plasma glucose (FPG) concentration &lt;270 mg/dL were randomly assigned to 3 groups: (1) gemigliptin 50 mg qd + metformin 1000 to 2000 mg qd (titrated individually), (2) gemigliptin 50 mg qd, or (3) metformin 1000 to 2000 mg qd. The primary end-point was the change in HbA1c level after 24 weeks. Secondary end-points were the changes in FPG, insulin, proinsulin and C-peptide levels. The percentages of responders who achieved an HbA1c level &lt;7% (or &lt;6.5%) were compared between treatment groups. Results: Baseline HbA1c levels were 8.7% in all groups. The mean changes in HbA1c level from baseline to week 24 were −2.06%, −1.24% and −1.47% in the combination, gemigliptin monotherapy and metformin monotherapy groups, respectively. The 95% confidence intervals for between-group differences in HbA1c changes were −1.02 to −0.63 in the combination group vs the gemigliptin group and −0.82 to −0.41 vs the metformin group, which confirmed the superiority of combination therapy. A significantly higher percentage of patients in the combination therapy group reached the target HbA1c level &lt;7% (or &lt;6.5%) compared with the monotherapy groups. No severe side effects were observed. Conclusions: In T2D patients, the initial combination of gemigliptin and metformin had superior efficacy without safety concerns compared with monotherapy with either drug.","author":[{"dropping-particle":"","family":"Lim","given":"Soo","non-dropping-particle":"","parse-names":false,"suffix":""},{"dropping-particle":"","family":"Han","given":"Kyung Ah","non-dropping-particle":"","parse-names":false,"suffix":""},{"dropping-particle":"","family":"Yu","given":"Jae Myung","non-dropping-particle":"","parse-names":false,"suffix":""},{"dropping-particle":"","family":"Chamnan","given":"Parinya","non-dropping-particle":"","parse-names":false,"suffix":""},{"dropping-particle":"","family":"Kim","given":"Eun Sook","non-dropping-particle":"","parse-names":false,"suffix":""},{"dropping-particle":"","family":"Yoon","given":"Kun Ho","non-dropping-particle":"","parse-names":false,"suffix":""},{"dropping-particle":"","family":"Kwon","given":"Sam","non-dropping-particle":"","parse-names":false,"suffix":""},{"dropping-particle":"","family":"Moon","given":"Min Kyong","non-dropping-particle":"","parse-names":false,"suffix":""},{"dropping-particle":"","family":"Lee","given":"Kwan Woo","non-dropping-particle":"","parse-names":false,"suffix":""},{"dropping-particle":"","family":"Kim","given":"Dong Jun","non-dropping-particle":"","parse-names":false,"suffix":""},{"dropping-particle":"","family":"Kim","given":"Mikyung","non-dropping-particle":"","parse-names":false,"suffix":""},{"dropping-particle":"","family":"Wongtanate","given":"Manaj","non-dropping-particle":"","parse-names":false,"suffix":""},{"dropping-particle":"","family":"Kim","given":"Eun Young","non-dropping-particle":"","parse-names":false,"suffix":""},{"dropping-particle":"","family":"Kim","given":"Sung Ho","non-dropping-particle":"","parse-names":false,"suffix":""},{"dropping-particle":"","family":"Lee","given":"Moon Kyu","non-dropping-particle":"","parse-names":false,"suffix":""}],"container-title":"Diabetes, Obesity &amp; Metabolism","id":"ITEM-1","issue":"1","issued":{"date-parts":[["2017","1","1"]]},"page":"87","publisher":"Wiley-Blackwell","title":"Efficacy and safety of initial combination therapy with gemigliptin and metformin compared with monotherapy with either drug in patients with type 2 diabetes: A double‐blind randomized controlled trial (INICOM study)","type":"article-journal","volume":"19"},"uris":["http://www.mendeley.com/documents/?uuid=df2261f1-4104-3f1a-ac29-97b706d183de"]}],"mendeley":{"formattedCitation":"[22]","plainTextFormattedCitation":"[22]","previouslyFormattedCitation":"[22]"},"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[22]</w:t>
            </w:r>
            <w:r w:rsidRPr="00214F41">
              <w:rPr>
                <w:sz w:val="18"/>
                <w:szCs w:val="18"/>
                <w:lang w:val="en-GB"/>
              </w:rPr>
              <w:fldChar w:fldCharType="end"/>
            </w:r>
            <w:r w:rsidRPr="00214F41">
              <w:rPr>
                <w:sz w:val="18"/>
                <w:szCs w:val="18"/>
                <w:lang w:val="en-GB"/>
              </w:rPr>
              <w:t xml:space="preserve"> </w:t>
            </w:r>
          </w:p>
        </w:tc>
        <w:tc>
          <w:tcPr>
            <w:tcW w:w="171" w:type="pct"/>
            <w:shd w:val="clear" w:color="000000" w:fill="FFFFFF"/>
            <w:vAlign w:val="center"/>
            <w:hideMark/>
          </w:tcPr>
          <w:p w14:paraId="0120C04B"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607D9E5D" w14:textId="77777777" w:rsidR="005A043A" w:rsidRPr="00214F41" w:rsidRDefault="005A043A" w:rsidP="00286762">
            <w:pPr>
              <w:jc w:val="center"/>
              <w:rPr>
                <w:sz w:val="18"/>
                <w:szCs w:val="18"/>
                <w:lang w:val="en-GB"/>
              </w:rPr>
            </w:pPr>
            <w:r w:rsidRPr="00214F41">
              <w:rPr>
                <w:sz w:val="18"/>
                <w:szCs w:val="18"/>
                <w:lang w:val="en-GB"/>
              </w:rPr>
              <w:t>To investigate the efficacy and safety of initial gemigliptin or metformin monotherapy in patients with T2DM (T2D).</w:t>
            </w:r>
          </w:p>
        </w:tc>
        <w:tc>
          <w:tcPr>
            <w:tcW w:w="364" w:type="pct"/>
            <w:shd w:val="clear" w:color="000000" w:fill="FFFFFF"/>
            <w:vAlign w:val="center"/>
            <w:hideMark/>
          </w:tcPr>
          <w:p w14:paraId="4E313A90" w14:textId="77777777" w:rsidR="005A043A" w:rsidRPr="00214F41" w:rsidRDefault="005A043A" w:rsidP="00286762">
            <w:pPr>
              <w:jc w:val="center"/>
              <w:rPr>
                <w:sz w:val="18"/>
                <w:szCs w:val="18"/>
                <w:lang w:val="en-GB"/>
              </w:rPr>
            </w:pPr>
            <w:r w:rsidRPr="00214F41">
              <w:rPr>
                <w:sz w:val="18"/>
                <w:szCs w:val="18"/>
                <w:lang w:val="en-GB"/>
              </w:rPr>
              <w:t>433/433</w:t>
            </w:r>
          </w:p>
        </w:tc>
        <w:tc>
          <w:tcPr>
            <w:tcW w:w="200" w:type="pct"/>
            <w:shd w:val="clear" w:color="000000" w:fill="FFFFFF"/>
            <w:vAlign w:val="center"/>
            <w:hideMark/>
          </w:tcPr>
          <w:p w14:paraId="51A09761"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18DC41C0"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54D33099" w14:textId="77777777" w:rsidR="005A043A" w:rsidRPr="00214F41" w:rsidRDefault="005A043A" w:rsidP="00286762">
            <w:pPr>
              <w:jc w:val="center"/>
              <w:rPr>
                <w:sz w:val="18"/>
                <w:szCs w:val="18"/>
                <w:lang w:val="en-GB"/>
              </w:rPr>
            </w:pPr>
            <w:r w:rsidRPr="00214F41">
              <w:rPr>
                <w:sz w:val="18"/>
                <w:szCs w:val="18"/>
                <w:lang w:val="en-GB"/>
              </w:rPr>
              <w:t>1868.2mg/</w:t>
            </w:r>
            <w:proofErr w:type="spellStart"/>
            <w:r w:rsidRPr="00214F41">
              <w:rPr>
                <w:sz w:val="18"/>
                <w:szCs w:val="18"/>
                <w:lang w:val="en-GB"/>
              </w:rPr>
              <w:t>nd</w:t>
            </w:r>
            <w:proofErr w:type="spellEnd"/>
          </w:p>
        </w:tc>
        <w:tc>
          <w:tcPr>
            <w:tcW w:w="204" w:type="pct"/>
            <w:shd w:val="clear" w:color="000000" w:fill="FFFFFF"/>
            <w:vAlign w:val="center"/>
            <w:hideMark/>
          </w:tcPr>
          <w:p w14:paraId="44FC5338"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shd w:val="clear" w:color="000000" w:fill="FFFFFF"/>
            <w:vAlign w:val="center"/>
            <w:hideMark/>
          </w:tcPr>
          <w:p w14:paraId="1F116BEE"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7A66421A"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4002EBF0" w14:textId="77777777" w:rsidR="005A043A" w:rsidRPr="00214F41" w:rsidRDefault="005A043A" w:rsidP="00286762">
            <w:pPr>
              <w:jc w:val="center"/>
              <w:rPr>
                <w:sz w:val="18"/>
                <w:szCs w:val="18"/>
                <w:lang w:val="en-GB"/>
              </w:rPr>
            </w:pPr>
            <w:r w:rsidRPr="00214F41">
              <w:rPr>
                <w:sz w:val="18"/>
                <w:szCs w:val="18"/>
                <w:lang w:val="en-GB"/>
              </w:rPr>
              <w:t xml:space="preserve">gemigliptin/DPP4 inhibitor </w:t>
            </w:r>
          </w:p>
        </w:tc>
        <w:tc>
          <w:tcPr>
            <w:tcW w:w="245" w:type="pct"/>
            <w:gridSpan w:val="2"/>
            <w:shd w:val="clear" w:color="000000" w:fill="FFFFFF"/>
            <w:vAlign w:val="center"/>
            <w:hideMark/>
          </w:tcPr>
          <w:p w14:paraId="4B221FD7" w14:textId="77777777" w:rsidR="005A043A" w:rsidRPr="00214F41" w:rsidRDefault="005A043A" w:rsidP="00286762">
            <w:pPr>
              <w:jc w:val="center"/>
              <w:rPr>
                <w:sz w:val="18"/>
                <w:szCs w:val="18"/>
                <w:lang w:val="en-GB"/>
              </w:rPr>
            </w:pPr>
            <w:r w:rsidRPr="00214F41">
              <w:rPr>
                <w:sz w:val="18"/>
                <w:szCs w:val="18"/>
                <w:lang w:val="en-GB"/>
              </w:rPr>
              <w:t>53.7±11.2</w:t>
            </w:r>
          </w:p>
        </w:tc>
        <w:tc>
          <w:tcPr>
            <w:tcW w:w="202" w:type="pct"/>
            <w:shd w:val="clear" w:color="000000" w:fill="FFFFFF"/>
            <w:vAlign w:val="center"/>
            <w:hideMark/>
          </w:tcPr>
          <w:p w14:paraId="772C6A25" w14:textId="77777777" w:rsidR="005A043A" w:rsidRPr="00214F41" w:rsidRDefault="005A043A" w:rsidP="00286762">
            <w:pPr>
              <w:jc w:val="center"/>
              <w:rPr>
                <w:sz w:val="18"/>
                <w:szCs w:val="18"/>
                <w:lang w:val="en-GB"/>
              </w:rPr>
            </w:pPr>
            <w:r w:rsidRPr="00214F41">
              <w:rPr>
                <w:sz w:val="18"/>
                <w:szCs w:val="18"/>
                <w:lang w:val="en-GB"/>
              </w:rPr>
              <w:t>169/58.7</w:t>
            </w:r>
          </w:p>
        </w:tc>
        <w:tc>
          <w:tcPr>
            <w:tcW w:w="265" w:type="pct"/>
            <w:gridSpan w:val="2"/>
            <w:shd w:val="clear" w:color="000000" w:fill="FFFFFF"/>
            <w:vAlign w:val="center"/>
            <w:hideMark/>
          </w:tcPr>
          <w:p w14:paraId="7DF114FC" w14:textId="77777777" w:rsidR="005A043A" w:rsidRPr="00214F41" w:rsidRDefault="005A043A" w:rsidP="00286762">
            <w:pPr>
              <w:jc w:val="center"/>
              <w:rPr>
                <w:sz w:val="18"/>
                <w:szCs w:val="18"/>
                <w:lang w:val="en-GB"/>
              </w:rPr>
            </w:pPr>
            <w:r w:rsidRPr="00214F41">
              <w:rPr>
                <w:sz w:val="18"/>
                <w:szCs w:val="18"/>
                <w:lang w:val="en-GB"/>
              </w:rPr>
              <w:t>25.8±3,5</w:t>
            </w:r>
          </w:p>
        </w:tc>
        <w:tc>
          <w:tcPr>
            <w:tcW w:w="266" w:type="pct"/>
            <w:gridSpan w:val="2"/>
            <w:shd w:val="clear" w:color="000000" w:fill="FFFFFF"/>
            <w:vAlign w:val="center"/>
            <w:hideMark/>
          </w:tcPr>
          <w:p w14:paraId="24BEF804" w14:textId="77777777" w:rsidR="005A043A" w:rsidRPr="00214F41" w:rsidRDefault="005A043A" w:rsidP="00286762">
            <w:pPr>
              <w:jc w:val="center"/>
              <w:rPr>
                <w:sz w:val="18"/>
                <w:szCs w:val="18"/>
                <w:lang w:val="en-GB"/>
              </w:rPr>
            </w:pPr>
            <w:r w:rsidRPr="00214F41">
              <w:rPr>
                <w:sz w:val="18"/>
                <w:szCs w:val="18"/>
                <w:lang w:val="en-GB"/>
              </w:rPr>
              <w:t>26.1/3.5</w:t>
            </w:r>
          </w:p>
        </w:tc>
      </w:tr>
      <w:tr w:rsidR="005A043A" w:rsidRPr="0072287D" w14:paraId="7E5A5113" w14:textId="77777777" w:rsidTr="00286762">
        <w:trPr>
          <w:trHeight w:val="930"/>
        </w:trPr>
        <w:tc>
          <w:tcPr>
            <w:tcW w:w="338" w:type="pct"/>
            <w:shd w:val="clear" w:color="000000" w:fill="FFFFFF"/>
            <w:vAlign w:val="center"/>
            <w:hideMark/>
          </w:tcPr>
          <w:p w14:paraId="4B0A6574" w14:textId="77777777" w:rsidR="005A043A" w:rsidRPr="00214F41" w:rsidRDefault="005A043A" w:rsidP="00286762">
            <w:pPr>
              <w:jc w:val="center"/>
              <w:rPr>
                <w:sz w:val="18"/>
                <w:szCs w:val="18"/>
                <w:lang w:val="en-GB"/>
              </w:rPr>
            </w:pPr>
            <w:r w:rsidRPr="00214F41">
              <w:rPr>
                <w:sz w:val="18"/>
                <w:szCs w:val="18"/>
                <w:lang w:val="en-GB"/>
              </w:rPr>
              <w:t xml:space="preserve">Ma et al., 2014 </w:t>
            </w:r>
            <w:r w:rsidRPr="00214F41">
              <w:rPr>
                <w:sz w:val="18"/>
                <w:szCs w:val="18"/>
                <w:lang w:val="en-GB"/>
              </w:rPr>
              <w:fldChar w:fldCharType="begin" w:fldLock="1"/>
            </w:r>
            <w:r>
              <w:rPr>
                <w:sz w:val="18"/>
                <w:szCs w:val="18"/>
                <w:lang w:val="en-GB"/>
              </w:rPr>
              <w:instrText>ADDIN CSL_CITATION {"citationItems":[{"id":"ITEM-1","itemData":{"URL":"https://clinicaltrials.gov/ct2/show/NCT02040246","accessed":{"date-parts":[["2022","5","2"]]},"id":"ITEM-1","issued":{"date-parts":[["0"]]},"title":"Comparison of Metformin and Repaglinide Monotherapy in the Treatment of New Onset Type 2 Diabetes Mellitus in China - Full Text View - ClinicalTrials.gov","type":"webpage"},"uris":["http://www.mendeley.com/documents/?uuid=cfdda3bd-c98d-35d8-bdc5-51e23f7f92ea"]}],"mendeley":{"formattedCitation":"[23]","plainTextFormattedCitation":"[23]","previouslyFormattedCitation":"[23]"},"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[23]</w:t>
            </w:r>
            <w:r w:rsidRPr="00214F41">
              <w:rPr>
                <w:sz w:val="18"/>
                <w:szCs w:val="18"/>
                <w:lang w:val="en-GB"/>
              </w:rPr>
              <w:fldChar w:fldCharType="end"/>
            </w:r>
          </w:p>
        </w:tc>
        <w:tc>
          <w:tcPr>
            <w:tcW w:w="171" w:type="pct"/>
            <w:shd w:val="clear" w:color="000000" w:fill="FFFFFF"/>
            <w:vAlign w:val="center"/>
            <w:hideMark/>
          </w:tcPr>
          <w:p w14:paraId="68E301A8"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67C38729" w14:textId="77777777" w:rsidR="005A043A" w:rsidRPr="00214F41" w:rsidRDefault="005A043A" w:rsidP="00286762">
            <w:pPr>
              <w:jc w:val="center"/>
              <w:rPr>
                <w:sz w:val="18"/>
                <w:szCs w:val="18"/>
                <w:lang w:val="en-GB"/>
              </w:rPr>
            </w:pPr>
            <w:r w:rsidRPr="00214F41">
              <w:rPr>
                <w:sz w:val="18"/>
                <w:szCs w:val="18"/>
                <w:lang w:val="en-GB"/>
              </w:rPr>
              <w:t xml:space="preserve">To compare the effects of metformin or repaglinide on the fasting plasma glucose (FPG) and glycated haemoglobin (HbA1c) in newly </w:t>
            </w:r>
            <w:r w:rsidRPr="00214F41">
              <w:rPr>
                <w:sz w:val="18"/>
                <w:szCs w:val="18"/>
                <w:lang w:val="en-GB"/>
              </w:rPr>
              <w:lastRenderedPageBreak/>
              <w:t>diagnosed T2DM in China.</w:t>
            </w:r>
          </w:p>
        </w:tc>
        <w:tc>
          <w:tcPr>
            <w:tcW w:w="364" w:type="pct"/>
            <w:shd w:val="clear" w:color="000000" w:fill="FFFFFF"/>
            <w:vAlign w:val="center"/>
            <w:hideMark/>
          </w:tcPr>
          <w:p w14:paraId="532516C5" w14:textId="77777777" w:rsidR="005A043A" w:rsidRPr="00214F41" w:rsidRDefault="005A043A" w:rsidP="00286762">
            <w:pPr>
              <w:jc w:val="center"/>
              <w:rPr>
                <w:sz w:val="18"/>
                <w:szCs w:val="18"/>
                <w:lang w:val="en-GB"/>
              </w:rPr>
            </w:pPr>
            <w:r w:rsidRPr="00214F41">
              <w:rPr>
                <w:sz w:val="18"/>
                <w:szCs w:val="18"/>
                <w:lang w:val="en-GB"/>
              </w:rPr>
              <w:lastRenderedPageBreak/>
              <w:t>107/107</w:t>
            </w:r>
          </w:p>
        </w:tc>
        <w:tc>
          <w:tcPr>
            <w:tcW w:w="200" w:type="pct"/>
            <w:shd w:val="clear" w:color="000000" w:fill="FFFFFF"/>
            <w:vAlign w:val="center"/>
            <w:hideMark/>
          </w:tcPr>
          <w:p w14:paraId="50E76C77"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5938F675"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7953CF8D" w14:textId="77777777" w:rsidR="005A043A" w:rsidRPr="00214F41" w:rsidRDefault="005A043A" w:rsidP="00286762">
            <w:pPr>
              <w:jc w:val="center"/>
              <w:rPr>
                <w:sz w:val="18"/>
                <w:szCs w:val="18"/>
                <w:lang w:val="en-GB"/>
              </w:rPr>
            </w:pPr>
            <w:r w:rsidRPr="00214F41">
              <w:rPr>
                <w:sz w:val="18"/>
                <w:szCs w:val="18"/>
                <w:lang w:val="en-GB"/>
              </w:rPr>
              <w:t>1500mg/</w:t>
            </w:r>
            <w:proofErr w:type="spellStart"/>
            <w:r w:rsidRPr="00214F41">
              <w:rPr>
                <w:sz w:val="18"/>
                <w:szCs w:val="18"/>
                <w:lang w:val="en-GB"/>
              </w:rPr>
              <w:t>nd</w:t>
            </w:r>
            <w:proofErr w:type="spellEnd"/>
          </w:p>
        </w:tc>
        <w:tc>
          <w:tcPr>
            <w:tcW w:w="204" w:type="pct"/>
            <w:shd w:val="clear" w:color="000000" w:fill="FFFFFF"/>
            <w:vAlign w:val="center"/>
            <w:hideMark/>
          </w:tcPr>
          <w:p w14:paraId="1F4E4764" w14:textId="77777777" w:rsidR="005A043A" w:rsidRPr="00214F41" w:rsidRDefault="005A043A" w:rsidP="00286762">
            <w:pPr>
              <w:jc w:val="center"/>
              <w:rPr>
                <w:sz w:val="18"/>
                <w:szCs w:val="18"/>
                <w:lang w:val="en-GB"/>
              </w:rPr>
            </w:pPr>
            <w:r w:rsidRPr="00214F41">
              <w:rPr>
                <w:sz w:val="18"/>
                <w:szCs w:val="18"/>
                <w:lang w:val="en-GB"/>
              </w:rPr>
              <w:t>90</w:t>
            </w:r>
          </w:p>
        </w:tc>
        <w:tc>
          <w:tcPr>
            <w:tcW w:w="247" w:type="pct"/>
            <w:shd w:val="clear" w:color="000000" w:fill="FFFFFF"/>
            <w:vAlign w:val="center"/>
            <w:hideMark/>
          </w:tcPr>
          <w:p w14:paraId="191581DA"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69233659"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06E8F058" w14:textId="77777777" w:rsidR="005A043A" w:rsidRPr="00214F41" w:rsidRDefault="005A043A" w:rsidP="00286762">
            <w:pPr>
              <w:jc w:val="center"/>
              <w:rPr>
                <w:sz w:val="18"/>
                <w:szCs w:val="18"/>
                <w:lang w:val="en-GB"/>
              </w:rPr>
            </w:pPr>
            <w:r w:rsidRPr="00214F41">
              <w:rPr>
                <w:sz w:val="18"/>
                <w:szCs w:val="18"/>
                <w:lang w:val="en-GB"/>
              </w:rPr>
              <w:t>repaglinide/other</w:t>
            </w:r>
          </w:p>
        </w:tc>
        <w:tc>
          <w:tcPr>
            <w:tcW w:w="245" w:type="pct"/>
            <w:gridSpan w:val="2"/>
            <w:shd w:val="clear" w:color="000000" w:fill="FFFFFF"/>
            <w:vAlign w:val="center"/>
            <w:hideMark/>
          </w:tcPr>
          <w:p w14:paraId="315904AF" w14:textId="77777777" w:rsidR="005A043A" w:rsidRPr="00214F41" w:rsidRDefault="005A043A" w:rsidP="00286762">
            <w:pPr>
              <w:jc w:val="center"/>
              <w:rPr>
                <w:sz w:val="18"/>
                <w:szCs w:val="18"/>
                <w:lang w:val="en-GB"/>
              </w:rPr>
            </w:pPr>
            <w:r w:rsidRPr="00214F41">
              <w:rPr>
                <w:sz w:val="18"/>
                <w:szCs w:val="18"/>
                <w:lang w:val="en-GB"/>
              </w:rPr>
              <w:t>57.1±1.6</w:t>
            </w:r>
          </w:p>
        </w:tc>
        <w:tc>
          <w:tcPr>
            <w:tcW w:w="202" w:type="pct"/>
            <w:shd w:val="clear" w:color="000000" w:fill="FFFFFF"/>
            <w:vAlign w:val="center"/>
            <w:hideMark/>
          </w:tcPr>
          <w:p w14:paraId="3F158790" w14:textId="77777777" w:rsidR="005A043A" w:rsidRPr="00214F41" w:rsidRDefault="005A043A" w:rsidP="00286762">
            <w:pPr>
              <w:jc w:val="center"/>
              <w:rPr>
                <w:sz w:val="18"/>
                <w:szCs w:val="18"/>
                <w:lang w:val="en-GB"/>
              </w:rPr>
            </w:pPr>
            <w:r w:rsidRPr="00214F41">
              <w:rPr>
                <w:sz w:val="18"/>
                <w:szCs w:val="18"/>
                <w:lang w:val="en-GB"/>
              </w:rPr>
              <w:t>61/57</w:t>
            </w:r>
          </w:p>
        </w:tc>
        <w:tc>
          <w:tcPr>
            <w:tcW w:w="265" w:type="pct"/>
            <w:gridSpan w:val="2"/>
            <w:shd w:val="clear" w:color="000000" w:fill="FFFFFF"/>
            <w:vAlign w:val="center"/>
            <w:hideMark/>
          </w:tcPr>
          <w:p w14:paraId="37FE7EEC" w14:textId="77777777" w:rsidR="005A043A" w:rsidRPr="00214F41" w:rsidRDefault="005A043A" w:rsidP="00286762">
            <w:pPr>
              <w:jc w:val="center"/>
              <w:rPr>
                <w:sz w:val="18"/>
                <w:szCs w:val="18"/>
                <w:lang w:val="en-GB"/>
              </w:rPr>
            </w:pPr>
            <w:r w:rsidRPr="00214F41">
              <w:rPr>
                <w:sz w:val="18"/>
                <w:szCs w:val="18"/>
                <w:lang w:val="en-GB"/>
              </w:rPr>
              <w:t>26.15±0.46</w:t>
            </w:r>
          </w:p>
        </w:tc>
        <w:tc>
          <w:tcPr>
            <w:tcW w:w="266" w:type="pct"/>
            <w:gridSpan w:val="2"/>
            <w:shd w:val="clear" w:color="000000" w:fill="FFFFFF"/>
            <w:vAlign w:val="center"/>
            <w:hideMark/>
          </w:tcPr>
          <w:p w14:paraId="3957F4E2" w14:textId="77777777" w:rsidR="005A043A" w:rsidRPr="00214F41" w:rsidRDefault="005A043A" w:rsidP="00286762">
            <w:pPr>
              <w:jc w:val="center"/>
              <w:rPr>
                <w:sz w:val="18"/>
                <w:szCs w:val="18"/>
                <w:lang w:val="en-GB"/>
              </w:rPr>
            </w:pPr>
            <w:r w:rsidRPr="00214F41">
              <w:rPr>
                <w:sz w:val="18"/>
                <w:szCs w:val="18"/>
                <w:lang w:val="en-GB"/>
              </w:rPr>
              <w:t>24.45/0.33</w:t>
            </w:r>
          </w:p>
        </w:tc>
      </w:tr>
      <w:tr w:rsidR="005A043A" w:rsidRPr="0072287D" w14:paraId="7B5382F1" w14:textId="77777777" w:rsidTr="00286762">
        <w:trPr>
          <w:trHeight w:val="930"/>
        </w:trPr>
        <w:tc>
          <w:tcPr>
            <w:tcW w:w="338" w:type="pct"/>
            <w:shd w:val="clear" w:color="000000" w:fill="FFFFFF"/>
            <w:vAlign w:val="center"/>
            <w:hideMark/>
          </w:tcPr>
          <w:p w14:paraId="69E530F9" w14:textId="77777777" w:rsidR="005A043A" w:rsidRPr="00214F41" w:rsidRDefault="005A043A" w:rsidP="00286762">
            <w:pPr>
              <w:jc w:val="center"/>
              <w:rPr>
                <w:sz w:val="18"/>
                <w:szCs w:val="18"/>
                <w:lang w:val="en-GB"/>
              </w:rPr>
            </w:pPr>
            <w:r w:rsidRPr="00214F41">
              <w:rPr>
                <w:sz w:val="18"/>
                <w:szCs w:val="18"/>
                <w:lang w:val="en-GB"/>
              </w:rPr>
              <w:t xml:space="preserve">Moses et al., 1999 </w:t>
            </w:r>
            <w:r w:rsidRPr="00214F41">
              <w:rPr>
                <w:sz w:val="18"/>
                <w:szCs w:val="18"/>
                <w:lang w:val="en-GB"/>
              </w:rPr>
              <w:fldChar w:fldCharType="begin" w:fldLock="1"/>
            </w:r>
            <w:r>
              <w:rPr>
                <w:sz w:val="18"/>
                <w:szCs w:val="18"/>
                <w:lang w:val="en-GB"/>
              </w:rPr>
              <w:instrText>ADDIN CSL_CITATION {"citationItems":[{"id":"ITEM-1","itemData":{"DOI":"10.2337/diacare.22.1.119","ISSN":"0149-5992","abstract":"OBJECTIVE - To compare the effect of repaglinide in combination with metformin with monotherapy of each drug on glycemic control in patients with type 2 diabetes. RESEARCH DESIGN AND METHODS - A total of 83 patients with type 2 diabetes who had inadequate glycemic control (HbA(1c) {\\textgreater}7.1\\%) when receiving the antidiabetic agent metformin were enrolled in this multicenter, double-blind trial. Subjects were randomized to continue with their prestudy dose of metformin (n = 27), to continue with their prestudy dose of metformin with the addition of repaglinide (n = 27), or to receive repaglinide alone (n = 29). For patients receiving repaglinide, the optimal dose was determined during a 4- to 8-week titration and continued for a 3-month maintenance period. RESULTS - In subjects receiving combined therapy, HbA(1c) was reduced by 1.4 ± 0.2\\%, from 8.3 to 6.9\\% (P = 0.0016) and fasting plasma glucose by 2.2 mmol/l (P = 0.0003). No significant changes were observed in subjects treated with either repaglinide or metformin monotherapy in HbA(1c) (0.4 and 0.3\\% decrease, respectively) or fasting plasma glucose (0.5 mmol/l increase and 0.3 mmol/l decrease, respectively). Subjects receiving repaglinide, either alone or in combination with metformin, had an increase in fasting levels of insulin between baseline and the end of the trial of 4.04 ± 1.56 and 4.23 ± 1.50 mU/l, respectively (P {\\textless} 0.02). Gastrointestinal adverse events were common in the metformin group. An increase in body weight occurred in the repaglinide and combined therapy groups (2.4 ± 0.5 and 3.0 ± 0.5 kg, respectively; P {\\textless}0.05). CONCLUSIONS - Combined metformin and repaglinide therapy resulted in superior glycemic control compared with repaglinide or metformin monotherapy in patients with type 2 diabetes whose glycemia had not been well controlled on metformin alone. Repaglinide monotherapy was as effective as metformin monotherapy.","author":[{"dropping-particle":"","family":"Moses","given":"R","non-dropping-particle":"","parse-names":false,"suffix":""},{"dropping-particle":"","family":"Carter","given":"J","non-dropping-particle":"","parse-names":false,"suffix":""},{"dropping-particle":"","family":"Slobodniuk","given":"R","non-dropping-particle":"","parse-names":false,"suffix":""},{"dropping-particle":"","family":"Donnelly","given":"T","non-dropping-particle":"","parse-names":false,"suffix":""},{"dropping-particle":"","family":"Boyages","given":"S","non-dropping-particle":"","parse-names":false,"suffix":""},{"dropping-particle":"","family":"Moffitt","given":"P","non-dropping-particle":"","parse-names":false,"suffix":""},{"dropping-particle":"","family":"Colagiuri","given":"S","non-dropping-particle":"","parse-names":false,"suffix":""},{"dropping-particle":"","family":"Hopkins","given":"H","non-dropping-particle":"","parse-names":false,"suffix":""},{"dropping-particle":"","family":"Kidson","given":"W","non-dropping-particle":"","parse-names":false,"suffix":""}],"container-title":"Diabetes Care","id":"ITEM-1","issue":"1","issued":{"date-parts":[["1999"]]},"page":"119-124","title":"Effect of repaglinide addition to metformin monotherapy on glycemic control in patients with type 2 diabetes","type":"article-journal","volume":"22"},"uris":["http://www.mendeley.com/documents/?uuid=b436db50-a5b9-419a-8b4e-e03081066360"]}],"mendeley":{"formattedCitation":"[24]","plainTextFormattedCitation":"[24]","previouslyFormattedCitation":"[24]"},"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[24]</w:t>
            </w:r>
            <w:r w:rsidRPr="00214F41">
              <w:rPr>
                <w:sz w:val="18"/>
                <w:szCs w:val="18"/>
                <w:lang w:val="en-GB"/>
              </w:rPr>
              <w:fldChar w:fldCharType="end"/>
            </w:r>
          </w:p>
        </w:tc>
        <w:tc>
          <w:tcPr>
            <w:tcW w:w="171" w:type="pct"/>
            <w:shd w:val="clear" w:color="000000" w:fill="FFFFFF"/>
            <w:vAlign w:val="center"/>
            <w:hideMark/>
          </w:tcPr>
          <w:p w14:paraId="1894B007"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1B31C1C7" w14:textId="77777777" w:rsidR="005A043A" w:rsidRPr="00214F41" w:rsidRDefault="005A043A" w:rsidP="00286762">
            <w:pPr>
              <w:jc w:val="center"/>
              <w:rPr>
                <w:sz w:val="18"/>
                <w:szCs w:val="18"/>
                <w:lang w:val="en-GB"/>
              </w:rPr>
            </w:pPr>
            <w:r w:rsidRPr="00214F41">
              <w:rPr>
                <w:sz w:val="18"/>
                <w:szCs w:val="18"/>
                <w:lang w:val="en-GB"/>
              </w:rPr>
              <w:t xml:space="preserve"> To compare the effect of repaglinide or metformin monotherapy of each drug on </w:t>
            </w:r>
            <w:proofErr w:type="spellStart"/>
            <w:r w:rsidRPr="00214F41">
              <w:rPr>
                <w:sz w:val="18"/>
                <w:szCs w:val="18"/>
                <w:lang w:val="en-GB"/>
              </w:rPr>
              <w:t>glycemic</w:t>
            </w:r>
            <w:proofErr w:type="spellEnd"/>
            <w:r w:rsidRPr="00214F41">
              <w:rPr>
                <w:sz w:val="18"/>
                <w:szCs w:val="18"/>
                <w:lang w:val="en-GB"/>
              </w:rPr>
              <w:t xml:space="preserve"> control in patients with T2DM.</w:t>
            </w:r>
          </w:p>
        </w:tc>
        <w:tc>
          <w:tcPr>
            <w:tcW w:w="364" w:type="pct"/>
            <w:shd w:val="clear" w:color="000000" w:fill="FFFFFF"/>
            <w:vAlign w:val="center"/>
            <w:hideMark/>
          </w:tcPr>
          <w:p w14:paraId="5EE3C2D6" w14:textId="77777777" w:rsidR="005A043A" w:rsidRPr="00214F41" w:rsidRDefault="005A043A" w:rsidP="00286762">
            <w:pPr>
              <w:jc w:val="center"/>
              <w:rPr>
                <w:sz w:val="18"/>
                <w:szCs w:val="18"/>
                <w:lang w:val="en-GB"/>
              </w:rPr>
            </w:pPr>
            <w:r w:rsidRPr="00214F41">
              <w:rPr>
                <w:sz w:val="18"/>
                <w:szCs w:val="18"/>
                <w:lang w:val="en-GB"/>
              </w:rPr>
              <w:t>83/82</w:t>
            </w:r>
          </w:p>
        </w:tc>
        <w:tc>
          <w:tcPr>
            <w:tcW w:w="200" w:type="pct"/>
            <w:shd w:val="clear" w:color="000000" w:fill="FFFFFF"/>
            <w:vAlign w:val="center"/>
            <w:hideMark/>
          </w:tcPr>
          <w:p w14:paraId="62B679E3" w14:textId="77777777" w:rsidR="005A043A" w:rsidRPr="00214F41" w:rsidRDefault="005A043A" w:rsidP="00286762">
            <w:pPr>
              <w:jc w:val="center"/>
              <w:rPr>
                <w:sz w:val="18"/>
                <w:szCs w:val="18"/>
                <w:lang w:val="en-GB"/>
              </w:rPr>
            </w:pPr>
            <w:r w:rsidRPr="00214F41">
              <w:rPr>
                <w:sz w:val="18"/>
                <w:szCs w:val="18"/>
                <w:lang w:val="en-GB"/>
              </w:rPr>
              <w:t>P/4.1years/1.8g/d</w:t>
            </w:r>
          </w:p>
        </w:tc>
        <w:tc>
          <w:tcPr>
            <w:tcW w:w="448" w:type="pct"/>
            <w:shd w:val="clear" w:color="000000" w:fill="FFFFFF"/>
            <w:vAlign w:val="center"/>
            <w:hideMark/>
          </w:tcPr>
          <w:p w14:paraId="0D6ED3C2"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6FBE683B" w14:textId="77777777" w:rsidR="005A043A" w:rsidRPr="00214F41" w:rsidRDefault="005A043A" w:rsidP="00286762">
            <w:pPr>
              <w:jc w:val="center"/>
              <w:rPr>
                <w:sz w:val="18"/>
                <w:szCs w:val="18"/>
                <w:lang w:val="en-GB"/>
              </w:rPr>
            </w:pPr>
            <w:r w:rsidRPr="00214F41">
              <w:rPr>
                <w:sz w:val="18"/>
                <w:szCs w:val="18"/>
                <w:lang w:val="en-GB"/>
              </w:rPr>
              <w:t>1800mg/</w:t>
            </w:r>
            <w:proofErr w:type="spellStart"/>
            <w:r w:rsidRPr="00214F41">
              <w:rPr>
                <w:sz w:val="18"/>
                <w:szCs w:val="18"/>
                <w:lang w:val="en-GB"/>
              </w:rPr>
              <w:t>nd</w:t>
            </w:r>
            <w:proofErr w:type="spellEnd"/>
          </w:p>
        </w:tc>
        <w:tc>
          <w:tcPr>
            <w:tcW w:w="204" w:type="pct"/>
            <w:shd w:val="clear" w:color="000000" w:fill="FFFFFF"/>
            <w:vAlign w:val="center"/>
            <w:hideMark/>
          </w:tcPr>
          <w:p w14:paraId="76B18675" w14:textId="77777777" w:rsidR="005A043A" w:rsidRPr="00214F41" w:rsidRDefault="005A043A" w:rsidP="00286762">
            <w:pPr>
              <w:jc w:val="center"/>
              <w:rPr>
                <w:sz w:val="18"/>
                <w:szCs w:val="18"/>
                <w:lang w:val="en-GB"/>
              </w:rPr>
            </w:pPr>
            <w:r w:rsidRPr="00214F41">
              <w:rPr>
                <w:sz w:val="18"/>
                <w:szCs w:val="18"/>
                <w:lang w:val="en-GB"/>
              </w:rPr>
              <w:t>150</w:t>
            </w:r>
          </w:p>
        </w:tc>
        <w:tc>
          <w:tcPr>
            <w:tcW w:w="247" w:type="pct"/>
            <w:shd w:val="clear" w:color="000000" w:fill="FFFFFF"/>
            <w:vAlign w:val="center"/>
            <w:hideMark/>
          </w:tcPr>
          <w:p w14:paraId="13802D6B"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375B1F8A"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3DD5B76A" w14:textId="77777777" w:rsidR="005A043A" w:rsidRPr="00214F41" w:rsidRDefault="005A043A" w:rsidP="00286762">
            <w:pPr>
              <w:jc w:val="center"/>
              <w:rPr>
                <w:sz w:val="18"/>
                <w:szCs w:val="18"/>
                <w:lang w:val="en-GB"/>
              </w:rPr>
            </w:pPr>
            <w:r w:rsidRPr="00214F41">
              <w:rPr>
                <w:sz w:val="18"/>
                <w:szCs w:val="18"/>
                <w:lang w:val="en-GB"/>
              </w:rPr>
              <w:t>repaglinide/other</w:t>
            </w:r>
          </w:p>
        </w:tc>
        <w:tc>
          <w:tcPr>
            <w:tcW w:w="245" w:type="pct"/>
            <w:gridSpan w:val="2"/>
            <w:shd w:val="clear" w:color="000000" w:fill="FFFFFF"/>
            <w:vAlign w:val="center"/>
            <w:hideMark/>
          </w:tcPr>
          <w:p w14:paraId="4AEA45E2" w14:textId="77777777" w:rsidR="005A043A" w:rsidRPr="00214F41" w:rsidRDefault="005A043A" w:rsidP="00286762">
            <w:pPr>
              <w:jc w:val="center"/>
              <w:rPr>
                <w:sz w:val="18"/>
                <w:szCs w:val="18"/>
                <w:lang w:val="en-GB"/>
              </w:rPr>
            </w:pPr>
            <w:r w:rsidRPr="00214F41">
              <w:rPr>
                <w:sz w:val="18"/>
                <w:szCs w:val="18"/>
                <w:lang w:val="en-GB"/>
              </w:rPr>
              <w:t>59.1±8.7</w:t>
            </w:r>
          </w:p>
        </w:tc>
        <w:tc>
          <w:tcPr>
            <w:tcW w:w="202" w:type="pct"/>
            <w:shd w:val="clear" w:color="000000" w:fill="FFFFFF"/>
            <w:vAlign w:val="center"/>
            <w:hideMark/>
          </w:tcPr>
          <w:p w14:paraId="1887C9EB" w14:textId="77777777" w:rsidR="005A043A" w:rsidRPr="00214F41" w:rsidRDefault="005A043A" w:rsidP="00286762">
            <w:pPr>
              <w:jc w:val="center"/>
              <w:rPr>
                <w:sz w:val="18"/>
                <w:szCs w:val="18"/>
                <w:lang w:val="en-GB"/>
              </w:rPr>
            </w:pPr>
            <w:r w:rsidRPr="00214F41">
              <w:rPr>
                <w:sz w:val="18"/>
                <w:szCs w:val="18"/>
                <w:lang w:val="en-GB"/>
              </w:rPr>
              <w:t>32/58</w:t>
            </w:r>
          </w:p>
        </w:tc>
        <w:tc>
          <w:tcPr>
            <w:tcW w:w="265" w:type="pct"/>
            <w:gridSpan w:val="2"/>
            <w:shd w:val="clear" w:color="000000" w:fill="FFFFFF"/>
            <w:vAlign w:val="center"/>
            <w:hideMark/>
          </w:tcPr>
          <w:p w14:paraId="2C59F58B" w14:textId="77777777" w:rsidR="005A043A" w:rsidRPr="00214F41" w:rsidRDefault="005A043A" w:rsidP="00286762">
            <w:pPr>
              <w:jc w:val="center"/>
              <w:rPr>
                <w:sz w:val="18"/>
                <w:szCs w:val="18"/>
                <w:lang w:val="en-GB"/>
              </w:rPr>
            </w:pPr>
            <w:r w:rsidRPr="00214F41">
              <w:rPr>
                <w:sz w:val="18"/>
                <w:szCs w:val="18"/>
                <w:lang w:val="en-GB"/>
              </w:rPr>
              <w:t>31.8±6</w:t>
            </w:r>
          </w:p>
        </w:tc>
        <w:tc>
          <w:tcPr>
            <w:tcW w:w="266" w:type="pct"/>
            <w:gridSpan w:val="2"/>
            <w:shd w:val="clear" w:color="000000" w:fill="FFFFFF"/>
            <w:vAlign w:val="center"/>
            <w:hideMark/>
          </w:tcPr>
          <w:p w14:paraId="122D9FAE" w14:textId="77777777" w:rsidR="005A043A" w:rsidRPr="00214F41" w:rsidRDefault="005A043A" w:rsidP="00286762">
            <w:pPr>
              <w:jc w:val="center"/>
              <w:rPr>
                <w:sz w:val="18"/>
                <w:szCs w:val="18"/>
                <w:lang w:val="en-GB"/>
              </w:rPr>
            </w:pPr>
            <w:r w:rsidRPr="00214F41">
              <w:rPr>
                <w:sz w:val="18"/>
                <w:szCs w:val="18"/>
                <w:lang w:val="en-GB"/>
              </w:rPr>
              <w:t>31.3/7.2</w:t>
            </w:r>
          </w:p>
        </w:tc>
      </w:tr>
      <w:tr w:rsidR="005A043A" w:rsidRPr="0072287D" w14:paraId="1DC2D3AC" w14:textId="77777777" w:rsidTr="00286762">
        <w:trPr>
          <w:trHeight w:val="930"/>
        </w:trPr>
        <w:tc>
          <w:tcPr>
            <w:tcW w:w="338" w:type="pct"/>
            <w:shd w:val="clear" w:color="000000" w:fill="FFFFFF"/>
            <w:vAlign w:val="center"/>
            <w:hideMark/>
          </w:tcPr>
          <w:p w14:paraId="4DD34240" w14:textId="77777777" w:rsidR="005A043A" w:rsidRPr="00214F41" w:rsidRDefault="005A043A" w:rsidP="00286762">
            <w:pPr>
              <w:jc w:val="center"/>
              <w:rPr>
                <w:sz w:val="18"/>
                <w:szCs w:val="18"/>
                <w:lang w:val="en-GB"/>
              </w:rPr>
            </w:pPr>
            <w:proofErr w:type="spellStart"/>
            <w:r w:rsidRPr="00214F41">
              <w:rPr>
                <w:sz w:val="18"/>
                <w:szCs w:val="18"/>
                <w:lang w:val="en-GB"/>
              </w:rPr>
              <w:t>Pavo</w:t>
            </w:r>
            <w:proofErr w:type="spellEnd"/>
            <w:r w:rsidRPr="00214F41">
              <w:rPr>
                <w:sz w:val="18"/>
                <w:szCs w:val="18"/>
                <w:lang w:val="en-GB"/>
              </w:rPr>
              <w:t xml:space="preserve"> et al., 2003 </w:t>
            </w:r>
            <w:r w:rsidRPr="00214F41">
              <w:rPr>
                <w:sz w:val="18"/>
                <w:szCs w:val="18"/>
                <w:lang w:val="en-GB"/>
              </w:rPr>
              <w:fldChar w:fldCharType="begin" w:fldLock="1"/>
            </w:r>
            <w:r>
              <w:rPr>
                <w:sz w:val="18"/>
                <w:szCs w:val="18"/>
                <w:lang w:val="en-GB"/>
              </w:rPr>
              <w:instrText>ADDIN CSL_CITATION {"citationItems":[{"id":"ITEM-1","itemData":{"DOI":"10.1210/jc.2002-021786","ISSN":"0021-972X","abstract":"Pioglitazone, a thiazolidinedione, improves glycemic control primarily by increasing peripheral insulin sensitivity in patients with type 2 diabetes, whereas metformin, a biguanide, exerts its effect primarily by decreasing hepatic glucose output. In the first head-to-head, double-blind clinical trial comparing these two oral antihyperglycemic medications (OAMs), we studied the effect of 32-wk monotherapy on glycemic control and insulin sensitivity in 205 patients with recently diagnosed type 2 diabetes who were naive to OAM therapy. Subjects were randomized to either 30 mg pioglitazone or 850 mg metformin daily with titrations upward to 45 mg (77\\% of pioglitazone patients) and 2550 mg (73\\% of metformin patients), as indicated, to achieve fasting plasma glucose levels of less than 7.0 mmol/liter (126 mg/dl). Pioglitazone was comparable to metformin in improving glycemic control as measured by hemoglobin A1C and fasting plasma glucose. At endpoint, pioglitazone was significantly more effective than metformin in improving indicators of insulin sensitivity, as determined by reduction of fasting serum insulin (P = 0.003) and by analysis of homeostasis model assessment for insulin sensitivity (HOMA-S; P = 0.002). Both OAM therapies were well tolerated. Therefore, pioglitazone and metformin are equally efficacious in regard to glycemic control, but they exert significantly different effects on insulin sensitivity due to differing mechanisms of action. The more pronounced improvement in indicators of insulin sensitivity by pioglitazone, as compared with metformin monotherapy in patients recently diagnosed with type 2 diabetes who are OAM-naive, may be of interest for further clinical evaluation.","author":[{"dropping-particle":"","family":"Pavo","given":"I","non-dropping-particle":"","parse-names":false,"suffix":""},{"dropping-particle":"","family":"Jermendy","given":"G","non-dropping-particle":"","parse-names":false,"suffix":""},{"dropping-particle":"","family":"Varkonyi","given":"T T","non-dropping-particle":"","parse-names":false,"suffix":""},{"dropping-particle":"","family":"Kerenyi","given":"Z","non-dropping-particle":"","parse-names":false,"suffix":""},{"dropping-particle":"","family":"Gyimesi","given":"A","non-dropping-particle":"","parse-names":false,"suffix":""},{"dropping-particle":"","family":"Shoustov","given":"S","non-dropping-particle":"","parse-names":false,"suffix":""},{"dropping-particle":"","family":"Shestakova","given":"M","non-dropping-particle":"","parse-names":false,"suffix":""},{"dropping-particle":"","family":"Herz","given":"M","non-dropping-particle":"","parse-names":false,"suffix":""},{"dropping-particle":"","family":"Johns","given":"D","non-dropping-particle":"","parse-names":false,"suffix":""},{"dropping-particle":"","family":"Schluchter","given":"B J","non-dropping-particle":"","parse-names":false,"suffix":""},{"dropping-particle":"","family":"Festa","given":"A","non-dropping-particle":"","parse-names":false,"suffix":""},{"dropping-particle":"","family":"Tan","given":"M H","non-dropping-particle":"","parse-names":false,"suffix":""}],"container-title":"Journal of Clinical Endocrinology and Metabolism","id":"ITEM-1","issue":"4","issued":{"date-parts":[["2003"]]},"page":"1637-1645","title":"Effect of pioglitazone compared with metformin on glycemic control and indicators of insulin sensitivity in recently diagnosed patients with type 2 diabetes","type":"article-journal","volume":"88"},"uris":["http://www.mendeley.com/documents/?uuid=5b95f4b5-3c41-489a-a1ef-87f605edb815"]}],"mendeley":{"formattedCitation":"[25]","plainTextFormattedCitation":"[25]","previouslyFormattedCitation":"[25]"},"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[25]</w:t>
            </w:r>
            <w:r w:rsidRPr="00214F41">
              <w:rPr>
                <w:sz w:val="18"/>
                <w:szCs w:val="18"/>
                <w:lang w:val="en-GB"/>
              </w:rPr>
              <w:fldChar w:fldCharType="end"/>
            </w:r>
          </w:p>
        </w:tc>
        <w:tc>
          <w:tcPr>
            <w:tcW w:w="171" w:type="pct"/>
            <w:shd w:val="clear" w:color="000000" w:fill="FFFFFF"/>
            <w:vAlign w:val="center"/>
            <w:hideMark/>
          </w:tcPr>
          <w:p w14:paraId="3CA15DE7"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159C39CB" w14:textId="77777777" w:rsidR="005A043A" w:rsidRPr="00214F41" w:rsidRDefault="005A043A" w:rsidP="00286762">
            <w:pPr>
              <w:jc w:val="center"/>
              <w:rPr>
                <w:sz w:val="18"/>
                <w:szCs w:val="18"/>
                <w:lang w:val="en-GB"/>
              </w:rPr>
            </w:pPr>
            <w:r w:rsidRPr="00214F41">
              <w:rPr>
                <w:sz w:val="18"/>
                <w:szCs w:val="18"/>
                <w:lang w:val="en-GB"/>
              </w:rPr>
              <w:t xml:space="preserve"> To compare the effect of pioglitazone or metformin treatment on </w:t>
            </w:r>
            <w:proofErr w:type="spellStart"/>
            <w:r w:rsidRPr="00214F41">
              <w:rPr>
                <w:sz w:val="18"/>
                <w:szCs w:val="18"/>
                <w:lang w:val="en-GB"/>
              </w:rPr>
              <w:t>glycemic</w:t>
            </w:r>
            <w:proofErr w:type="spellEnd"/>
            <w:r w:rsidRPr="00214F41">
              <w:rPr>
                <w:sz w:val="18"/>
                <w:szCs w:val="18"/>
                <w:lang w:val="en-GB"/>
              </w:rPr>
              <w:t xml:space="preserve"> control, as defined by change in haemoglobin A1C</w:t>
            </w:r>
          </w:p>
        </w:tc>
        <w:tc>
          <w:tcPr>
            <w:tcW w:w="364" w:type="pct"/>
            <w:shd w:val="clear" w:color="000000" w:fill="FFFFFF"/>
            <w:vAlign w:val="center"/>
            <w:hideMark/>
          </w:tcPr>
          <w:p w14:paraId="2561D02D" w14:textId="77777777" w:rsidR="005A043A" w:rsidRPr="00214F41" w:rsidRDefault="005A043A" w:rsidP="00286762">
            <w:pPr>
              <w:jc w:val="center"/>
              <w:rPr>
                <w:sz w:val="18"/>
                <w:szCs w:val="18"/>
                <w:lang w:val="en-GB"/>
              </w:rPr>
            </w:pPr>
            <w:r w:rsidRPr="00214F41">
              <w:rPr>
                <w:sz w:val="18"/>
                <w:szCs w:val="18"/>
                <w:lang w:val="en-GB"/>
              </w:rPr>
              <w:t>205/205</w:t>
            </w:r>
          </w:p>
        </w:tc>
        <w:tc>
          <w:tcPr>
            <w:tcW w:w="200" w:type="pct"/>
            <w:shd w:val="clear" w:color="000000" w:fill="FFFFFF"/>
            <w:vAlign w:val="center"/>
            <w:hideMark/>
          </w:tcPr>
          <w:p w14:paraId="347C275D"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19FEEC89"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63C4FDC3" w14:textId="77777777" w:rsidR="005A043A" w:rsidRPr="00214F41" w:rsidRDefault="005A043A" w:rsidP="00286762">
            <w:pPr>
              <w:jc w:val="center"/>
              <w:rPr>
                <w:sz w:val="18"/>
                <w:szCs w:val="18"/>
                <w:lang w:val="en-GB"/>
              </w:rPr>
            </w:pPr>
            <w:r w:rsidRPr="00214F41">
              <w:rPr>
                <w:sz w:val="18"/>
                <w:szCs w:val="18"/>
                <w:lang w:val="en-GB"/>
              </w:rPr>
              <w:t>2292mg/3/d</w:t>
            </w:r>
          </w:p>
        </w:tc>
        <w:tc>
          <w:tcPr>
            <w:tcW w:w="204" w:type="pct"/>
            <w:shd w:val="clear" w:color="000000" w:fill="FFFFFF"/>
            <w:vAlign w:val="center"/>
            <w:hideMark/>
          </w:tcPr>
          <w:p w14:paraId="1748124F" w14:textId="77777777" w:rsidR="005A043A" w:rsidRPr="00214F41" w:rsidRDefault="005A043A" w:rsidP="00286762">
            <w:pPr>
              <w:jc w:val="center"/>
              <w:rPr>
                <w:sz w:val="18"/>
                <w:szCs w:val="18"/>
                <w:lang w:val="en-GB"/>
              </w:rPr>
            </w:pPr>
            <w:r w:rsidRPr="00214F41">
              <w:rPr>
                <w:sz w:val="18"/>
                <w:szCs w:val="18"/>
                <w:lang w:val="en-GB"/>
              </w:rPr>
              <w:t>224</w:t>
            </w:r>
          </w:p>
        </w:tc>
        <w:tc>
          <w:tcPr>
            <w:tcW w:w="247" w:type="pct"/>
            <w:shd w:val="clear" w:color="000000" w:fill="FFFFFF"/>
            <w:vAlign w:val="center"/>
            <w:hideMark/>
          </w:tcPr>
          <w:p w14:paraId="42F32CD4"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060B897A"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03A5B33D" w14:textId="77777777" w:rsidR="005A043A" w:rsidRPr="00214F41" w:rsidRDefault="005A043A" w:rsidP="00286762">
            <w:pPr>
              <w:jc w:val="center"/>
              <w:rPr>
                <w:sz w:val="18"/>
                <w:szCs w:val="18"/>
                <w:lang w:val="en-GB"/>
              </w:rPr>
            </w:pPr>
            <w:r w:rsidRPr="00214F41">
              <w:rPr>
                <w:sz w:val="18"/>
                <w:szCs w:val="18"/>
                <w:lang w:val="en-GB"/>
              </w:rPr>
              <w:t>Pioglitazone/PPR</w:t>
            </w:r>
            <w:r w:rsidRPr="00214F41">
              <w:rPr>
                <w:sz w:val="18"/>
                <w:szCs w:val="18"/>
              </w:rPr>
              <w:t>γ</w:t>
            </w:r>
            <w:r w:rsidRPr="00214F41">
              <w:rPr>
                <w:sz w:val="18"/>
                <w:szCs w:val="18"/>
                <w:lang w:val="en-GB"/>
              </w:rPr>
              <w:t xml:space="preserve"> receptor agonist</w:t>
            </w:r>
          </w:p>
        </w:tc>
        <w:tc>
          <w:tcPr>
            <w:tcW w:w="245" w:type="pct"/>
            <w:gridSpan w:val="2"/>
            <w:shd w:val="clear" w:color="000000" w:fill="FFFFFF"/>
            <w:vAlign w:val="center"/>
            <w:hideMark/>
          </w:tcPr>
          <w:p w14:paraId="06D9DB31" w14:textId="77777777" w:rsidR="005A043A" w:rsidRPr="00214F41" w:rsidRDefault="005A043A" w:rsidP="00286762">
            <w:pPr>
              <w:jc w:val="center"/>
              <w:rPr>
                <w:sz w:val="18"/>
                <w:szCs w:val="18"/>
                <w:lang w:val="en-GB"/>
              </w:rPr>
            </w:pPr>
            <w:r w:rsidRPr="00214F41">
              <w:rPr>
                <w:sz w:val="18"/>
                <w:szCs w:val="18"/>
                <w:lang w:val="en-GB"/>
              </w:rPr>
              <w:t>55±8.8</w:t>
            </w:r>
          </w:p>
        </w:tc>
        <w:tc>
          <w:tcPr>
            <w:tcW w:w="202" w:type="pct"/>
            <w:shd w:val="clear" w:color="000000" w:fill="FFFFFF"/>
            <w:vAlign w:val="center"/>
            <w:hideMark/>
          </w:tcPr>
          <w:p w14:paraId="6EBAAAD5" w14:textId="77777777" w:rsidR="005A043A" w:rsidRPr="00214F41" w:rsidRDefault="005A043A" w:rsidP="00286762">
            <w:pPr>
              <w:jc w:val="center"/>
              <w:rPr>
                <w:sz w:val="18"/>
                <w:szCs w:val="18"/>
                <w:lang w:val="en-GB"/>
              </w:rPr>
            </w:pPr>
            <w:r w:rsidRPr="00214F41">
              <w:rPr>
                <w:sz w:val="18"/>
                <w:szCs w:val="18"/>
                <w:lang w:val="en-GB"/>
              </w:rPr>
              <w:t>102/49.8</w:t>
            </w:r>
          </w:p>
        </w:tc>
        <w:tc>
          <w:tcPr>
            <w:tcW w:w="265" w:type="pct"/>
            <w:gridSpan w:val="2"/>
            <w:shd w:val="clear" w:color="000000" w:fill="FFFFFF"/>
            <w:vAlign w:val="center"/>
            <w:hideMark/>
          </w:tcPr>
          <w:p w14:paraId="0A38AAE3" w14:textId="77777777" w:rsidR="005A043A" w:rsidRPr="00214F41" w:rsidRDefault="005A043A" w:rsidP="00286762">
            <w:pPr>
              <w:jc w:val="center"/>
              <w:rPr>
                <w:sz w:val="18"/>
                <w:szCs w:val="18"/>
                <w:lang w:val="en-GB"/>
              </w:rPr>
            </w:pPr>
            <w:r w:rsidRPr="00214F41">
              <w:rPr>
                <w:sz w:val="18"/>
                <w:szCs w:val="18"/>
                <w:lang w:val="en-GB"/>
              </w:rPr>
              <w:t>31.1±4.4</w:t>
            </w:r>
          </w:p>
        </w:tc>
        <w:tc>
          <w:tcPr>
            <w:tcW w:w="266" w:type="pct"/>
            <w:gridSpan w:val="2"/>
            <w:shd w:val="clear" w:color="000000" w:fill="FFFFFF"/>
            <w:vAlign w:val="center"/>
            <w:hideMark/>
          </w:tcPr>
          <w:p w14:paraId="3B008388" w14:textId="77777777" w:rsidR="005A043A" w:rsidRPr="00214F41" w:rsidRDefault="005A043A" w:rsidP="00286762">
            <w:pPr>
              <w:jc w:val="center"/>
              <w:rPr>
                <w:sz w:val="18"/>
                <w:szCs w:val="18"/>
                <w:lang w:val="en-GB"/>
              </w:rPr>
            </w:pPr>
            <w:r w:rsidRPr="00214F41">
              <w:rPr>
                <w:sz w:val="18"/>
                <w:szCs w:val="18"/>
                <w:lang w:val="en-GB"/>
              </w:rPr>
              <w:t>31.3/4.2</w:t>
            </w:r>
          </w:p>
        </w:tc>
      </w:tr>
      <w:tr w:rsidR="005A043A" w:rsidRPr="0072287D" w14:paraId="0CD9A355" w14:textId="77777777" w:rsidTr="00286762">
        <w:trPr>
          <w:trHeight w:val="930"/>
        </w:trPr>
        <w:tc>
          <w:tcPr>
            <w:tcW w:w="338" w:type="pct"/>
            <w:shd w:val="clear" w:color="000000" w:fill="FFFFFF"/>
            <w:vAlign w:val="center"/>
            <w:hideMark/>
          </w:tcPr>
          <w:p w14:paraId="563F2A1A" w14:textId="77777777" w:rsidR="005A043A" w:rsidRPr="00214F41" w:rsidRDefault="005A043A" w:rsidP="00286762">
            <w:pPr>
              <w:jc w:val="center"/>
              <w:rPr>
                <w:sz w:val="18"/>
                <w:szCs w:val="18"/>
                <w:lang w:val="en-GB"/>
              </w:rPr>
            </w:pPr>
            <w:r w:rsidRPr="00214F41">
              <w:rPr>
                <w:sz w:val="18"/>
                <w:szCs w:val="18"/>
                <w:lang w:val="en-GB"/>
              </w:rPr>
              <w:t xml:space="preserve">Perez et al., 2009 </w:t>
            </w:r>
            <w:r w:rsidRPr="00214F41">
              <w:rPr>
                <w:sz w:val="18"/>
                <w:szCs w:val="18"/>
                <w:lang w:val="en-GB"/>
              </w:rPr>
              <w:fldChar w:fldCharType="begin" w:fldLock="1"/>
            </w:r>
            <w:r>
              <w:rPr>
                <w:sz w:val="18"/>
                <w:szCs w:val="18"/>
                <w:lang w:val="en-GB"/>
              </w:rPr>
              <w:instrText>ADDIN CSL_CITATION {"citationItems":[{"id":"ITEM-1","itemData":{"DOI":"10.1185/03007990903350011","ISSN":"1473-4877","PMID":"19827910","abstract":"Background: Studies have shown that many patients with type 2 diabetes do not achieve optimal glycemic control, and progression of diabetes over time requires more than one pharmacotherapy to achieve glycemic goal. Objective: To examine the efficacy and safety of the fixed-dose combination (FDC) of pioglitazone 15 mg and metformin 850 mg versus its individual components in a twice-daily regimen over 24 weeks of treatment in type 2 diabetes patients who were currently not receiving antidiabetes therapy. Methods: This was a double-blind, randomized, parallel-group, controlled study. The primary endpoint was change from baseline in hemoglobin A1c (HbA1c) of pioglitazone/metformin FDC therapy compared with pioglitazone and metformin monotherapy. Secondary endpoints included change from baseline in fasting plasma glucose (FPG), fasting insulin, and homeostasis model assessment of insulin resistance (HOMA-IR). Safety and tolerability of pioglitazone/metformin FDC therapy and its individual components were also evaluated. Study limitations to be noted include the early stage of diabetes in these patients, which may be more responsive to treatment, and the 6 month treatment period, which does not provide durability data. Clinical trial registration: ClinicalTrials.gov, NCT00727857. Results: From a baseline HbA1c &gt;8.6%, mean HbA1c decreased the most with pioglitazone/ metformin FDC (-1.83%) (P&lt;0.0001), compared with pioglitazone (-0.96%) and metformin (-0.99%) monotherapy, with 63.8% of FDC patients achieving HbA1c ≤7% versus 46.9% of pioglitazone- and 38.9% of metformintreated patients. The decrease from baseline to final visit in FPG was significantly larger in the pioglitazone/ metformin FDC group (-39.9 mg/dL) (P&lt;0.01) compared with either monotherapy; the decrease in mean HOMA-IR was greatest with pioglitazone/metformin FDC. The pioglitazone/metformin FDC was well tolerated with no unexpected findings in adverse events of special interest, including hypoglycemia, bone fractures, peripheral edema, and cardiac failure. Conclusions: Overall, treatment with pioglitazone/metformin FDC demonstrated greater efficacy than its individual components. The FDC therapy was well tolerated, with reduced or similar adverse event rates compared with each individual monotherapy. © 2009 Informa UK Ltd.","author":[{"dropping-particle":"","family":"Perez","given":"Alfonso","non-dropping-particle":"","parse-names":false,"suffix":""},{"dropping-particle":"","family":"Zhao","given":"Zhen","non-dropping-particle":"","parse-names":false,"suffix":""},{"dropping-particle":"","family":"Jacks","given":"Randal","non-dropping-particle":"","parse-names":false,"suffix":""},{"dropping-particle":"","family":"Spanheimer","given":"Robert","non-dropping-particle":"","parse-names":false,"suffix":""}],"container-title":"Current medical research and opinion","id":"ITEM-1","issue":"12","issued":{"date-parts":[["2009","12"]]},"page":"2915-2923","publisher":"Curr Med Res Opin","title":"Efficacy and safety of pioglitazone/metformin fixed-dose combination therapy compared with pioglitazone and metformin monotherapy in treating patients with T2DM","type":"article-journal","volume":"25"},"uris":["http://www.mendeley.com/documents/?uuid=a099c37a-c93c-31f3-bd08-ae1223579a1f"]}],"mendeley":{"formattedCitation":"[26]","plainTextFormattedCitation":"[26]","previouslyFormattedCitation":"[26]"},"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[26]</w:t>
            </w:r>
            <w:r w:rsidRPr="00214F41">
              <w:rPr>
                <w:sz w:val="18"/>
                <w:szCs w:val="18"/>
                <w:lang w:val="en-GB"/>
              </w:rPr>
              <w:fldChar w:fldCharType="end"/>
            </w:r>
          </w:p>
        </w:tc>
        <w:tc>
          <w:tcPr>
            <w:tcW w:w="171" w:type="pct"/>
            <w:shd w:val="clear" w:color="000000" w:fill="FFFFFF"/>
            <w:vAlign w:val="center"/>
            <w:hideMark/>
          </w:tcPr>
          <w:p w14:paraId="503EFF43"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1BD382B0" w14:textId="77777777" w:rsidR="005A043A" w:rsidRPr="00214F41" w:rsidRDefault="005A043A" w:rsidP="00286762">
            <w:pPr>
              <w:jc w:val="center"/>
              <w:rPr>
                <w:sz w:val="18"/>
                <w:szCs w:val="18"/>
                <w:lang w:val="en-GB"/>
              </w:rPr>
            </w:pPr>
            <w:r w:rsidRPr="00214F41">
              <w:rPr>
                <w:sz w:val="18"/>
                <w:szCs w:val="18"/>
                <w:lang w:val="en-GB"/>
              </w:rPr>
              <w:t xml:space="preserve">To examine the efficacy and safety of </w:t>
            </w:r>
            <w:proofErr w:type="spellStart"/>
            <w:r w:rsidRPr="00214F41">
              <w:rPr>
                <w:sz w:val="18"/>
                <w:szCs w:val="18"/>
                <w:lang w:val="en-GB"/>
              </w:rPr>
              <w:t>of</w:t>
            </w:r>
            <w:proofErr w:type="spellEnd"/>
            <w:r w:rsidRPr="00214F41">
              <w:rPr>
                <w:sz w:val="18"/>
                <w:szCs w:val="18"/>
                <w:lang w:val="en-GB"/>
              </w:rPr>
              <w:t xml:space="preserve"> pioglitazone 15 mg or metformin 850 mg monotherapies in a twice-daily regimen over 24 weeks of treatment in T2DM patients who were currently not receiving antidiabetic therapy.</w:t>
            </w:r>
          </w:p>
        </w:tc>
        <w:tc>
          <w:tcPr>
            <w:tcW w:w="364" w:type="pct"/>
            <w:shd w:val="clear" w:color="000000" w:fill="FFFFFF"/>
            <w:vAlign w:val="center"/>
            <w:hideMark/>
          </w:tcPr>
          <w:p w14:paraId="1C494925" w14:textId="77777777" w:rsidR="005A043A" w:rsidRPr="00214F41" w:rsidRDefault="005A043A" w:rsidP="00286762">
            <w:pPr>
              <w:jc w:val="center"/>
              <w:rPr>
                <w:sz w:val="18"/>
                <w:szCs w:val="18"/>
                <w:lang w:val="en-GB"/>
              </w:rPr>
            </w:pPr>
            <w:r w:rsidRPr="00214F41">
              <w:rPr>
                <w:sz w:val="18"/>
                <w:szCs w:val="18"/>
                <w:lang w:val="en-GB"/>
              </w:rPr>
              <w:t>600/600</w:t>
            </w:r>
          </w:p>
        </w:tc>
        <w:tc>
          <w:tcPr>
            <w:tcW w:w="200" w:type="pct"/>
            <w:shd w:val="clear" w:color="000000" w:fill="FFFFFF"/>
            <w:vAlign w:val="center"/>
            <w:hideMark/>
          </w:tcPr>
          <w:p w14:paraId="4287D48D"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6FF20354"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3276B31D" w14:textId="77777777" w:rsidR="005A043A" w:rsidRPr="00214F41" w:rsidRDefault="005A043A" w:rsidP="00286762">
            <w:pPr>
              <w:jc w:val="center"/>
              <w:rPr>
                <w:sz w:val="18"/>
                <w:szCs w:val="18"/>
                <w:lang w:val="en-GB"/>
              </w:rPr>
            </w:pPr>
            <w:r w:rsidRPr="00214F41">
              <w:rPr>
                <w:sz w:val="18"/>
                <w:szCs w:val="18"/>
                <w:lang w:val="en-GB"/>
              </w:rPr>
              <w:t>1700mg/2/d</w:t>
            </w:r>
          </w:p>
        </w:tc>
        <w:tc>
          <w:tcPr>
            <w:tcW w:w="204" w:type="pct"/>
            <w:shd w:val="clear" w:color="000000" w:fill="FFFFFF"/>
            <w:vAlign w:val="center"/>
            <w:hideMark/>
          </w:tcPr>
          <w:p w14:paraId="0EC23448"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shd w:val="clear" w:color="000000" w:fill="FFFFFF"/>
            <w:vAlign w:val="center"/>
            <w:hideMark/>
          </w:tcPr>
          <w:p w14:paraId="4B5C7257"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349B58AF"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46A60CB0" w14:textId="77777777" w:rsidR="005A043A" w:rsidRPr="00214F41" w:rsidRDefault="005A043A" w:rsidP="00286762">
            <w:pPr>
              <w:jc w:val="center"/>
              <w:rPr>
                <w:sz w:val="18"/>
                <w:szCs w:val="18"/>
                <w:lang w:val="en-GB"/>
              </w:rPr>
            </w:pPr>
            <w:r w:rsidRPr="00214F41">
              <w:rPr>
                <w:sz w:val="18"/>
                <w:szCs w:val="18"/>
                <w:lang w:val="en-GB"/>
              </w:rPr>
              <w:t>pioglitazone/PPR</w:t>
            </w:r>
            <w:r w:rsidRPr="00214F41">
              <w:rPr>
                <w:sz w:val="18"/>
                <w:szCs w:val="18"/>
              </w:rPr>
              <w:t>γ</w:t>
            </w:r>
            <w:r w:rsidRPr="00214F41">
              <w:rPr>
                <w:sz w:val="18"/>
                <w:szCs w:val="18"/>
                <w:lang w:val="en-GB"/>
              </w:rPr>
              <w:t xml:space="preserve"> receptor agonist</w:t>
            </w:r>
          </w:p>
        </w:tc>
        <w:tc>
          <w:tcPr>
            <w:tcW w:w="245" w:type="pct"/>
            <w:gridSpan w:val="2"/>
            <w:shd w:val="clear" w:color="000000" w:fill="FFFFFF"/>
            <w:vAlign w:val="center"/>
            <w:hideMark/>
          </w:tcPr>
          <w:p w14:paraId="6B4190FB" w14:textId="77777777" w:rsidR="005A043A" w:rsidRPr="00214F41" w:rsidRDefault="005A043A" w:rsidP="00286762">
            <w:pPr>
              <w:jc w:val="center"/>
              <w:rPr>
                <w:sz w:val="18"/>
                <w:szCs w:val="18"/>
                <w:lang w:val="en-GB"/>
              </w:rPr>
            </w:pPr>
            <w:r w:rsidRPr="00214F41">
              <w:rPr>
                <w:sz w:val="18"/>
                <w:szCs w:val="18"/>
                <w:lang w:val="en-GB"/>
              </w:rPr>
              <w:t>53.8±12</w:t>
            </w:r>
          </w:p>
        </w:tc>
        <w:tc>
          <w:tcPr>
            <w:tcW w:w="202" w:type="pct"/>
            <w:shd w:val="clear" w:color="000000" w:fill="FFFFFF"/>
            <w:vAlign w:val="center"/>
            <w:hideMark/>
          </w:tcPr>
          <w:p w14:paraId="4D63CD3E" w14:textId="77777777" w:rsidR="005A043A" w:rsidRPr="00214F41" w:rsidRDefault="005A043A" w:rsidP="00286762">
            <w:pPr>
              <w:jc w:val="center"/>
              <w:rPr>
                <w:sz w:val="18"/>
                <w:szCs w:val="18"/>
                <w:lang w:val="en-GB"/>
              </w:rPr>
            </w:pPr>
            <w:r w:rsidRPr="00214F41">
              <w:rPr>
                <w:sz w:val="18"/>
                <w:szCs w:val="18"/>
                <w:lang w:val="en-GB"/>
              </w:rPr>
              <w:t>164/41.1</w:t>
            </w:r>
          </w:p>
        </w:tc>
        <w:tc>
          <w:tcPr>
            <w:tcW w:w="265" w:type="pct"/>
            <w:gridSpan w:val="2"/>
            <w:shd w:val="clear" w:color="000000" w:fill="FFFFFF"/>
            <w:vAlign w:val="center"/>
            <w:hideMark/>
          </w:tcPr>
          <w:p w14:paraId="08C59845" w14:textId="77777777" w:rsidR="005A043A" w:rsidRPr="00214F41" w:rsidRDefault="005A043A" w:rsidP="00286762">
            <w:pPr>
              <w:jc w:val="center"/>
              <w:rPr>
                <w:sz w:val="18"/>
                <w:szCs w:val="18"/>
                <w:lang w:val="en-GB"/>
              </w:rPr>
            </w:pPr>
            <w:r w:rsidRPr="00214F41">
              <w:rPr>
                <w:sz w:val="18"/>
                <w:szCs w:val="18"/>
                <w:lang w:val="en-GB"/>
              </w:rPr>
              <w:t>30.8±5.7</w:t>
            </w:r>
          </w:p>
        </w:tc>
        <w:tc>
          <w:tcPr>
            <w:tcW w:w="266" w:type="pct"/>
            <w:gridSpan w:val="2"/>
            <w:shd w:val="clear" w:color="000000" w:fill="FFFFFF"/>
            <w:vAlign w:val="center"/>
            <w:hideMark/>
          </w:tcPr>
          <w:p w14:paraId="1F6F5341" w14:textId="77777777" w:rsidR="005A043A" w:rsidRPr="00214F41" w:rsidRDefault="005A043A" w:rsidP="00286762">
            <w:pPr>
              <w:jc w:val="center"/>
              <w:rPr>
                <w:sz w:val="18"/>
                <w:szCs w:val="18"/>
                <w:lang w:val="en-GB"/>
              </w:rPr>
            </w:pPr>
            <w:r w:rsidRPr="00214F41">
              <w:rPr>
                <w:sz w:val="18"/>
                <w:szCs w:val="18"/>
                <w:lang w:val="en-GB"/>
              </w:rPr>
              <w:t>31.2/5.5</w:t>
            </w:r>
          </w:p>
        </w:tc>
      </w:tr>
      <w:tr w:rsidR="005A043A" w:rsidRPr="00214F41" w14:paraId="35B90162" w14:textId="77777777" w:rsidTr="00286762">
        <w:trPr>
          <w:trHeight w:val="930"/>
        </w:trPr>
        <w:tc>
          <w:tcPr>
            <w:tcW w:w="338" w:type="pct"/>
            <w:shd w:val="clear" w:color="000000" w:fill="FFFFFF"/>
            <w:vAlign w:val="center"/>
            <w:hideMark/>
          </w:tcPr>
          <w:p w14:paraId="145BA8A2" w14:textId="77777777" w:rsidR="005A043A" w:rsidRPr="00214F41" w:rsidRDefault="005A043A" w:rsidP="00286762">
            <w:pPr>
              <w:jc w:val="center"/>
              <w:rPr>
                <w:sz w:val="18"/>
                <w:szCs w:val="18"/>
              </w:rPr>
            </w:pPr>
            <w:r w:rsidRPr="00214F41">
              <w:rPr>
                <w:sz w:val="18"/>
                <w:szCs w:val="18"/>
                <w:lang w:val="en-GB"/>
              </w:rPr>
              <w:t xml:space="preserve">Pratley et al., 2014a </w:t>
            </w:r>
            <w:r w:rsidRPr="00214F41">
              <w:rPr>
                <w:sz w:val="18"/>
                <w:szCs w:val="18"/>
              </w:rPr>
              <w:fldChar w:fldCharType="begin" w:fldLock="1"/>
            </w:r>
            <w:r>
              <w:rPr>
                <w:sz w:val="18"/>
                <w:szCs w:val="18"/>
                <w:lang w:val="en-GB"/>
              </w:rPr>
              <w:instrText>ADDIN CSL_CITATION {"citationItems":[{"id":"ITEM-1","itemData":{"DOI":"10.1111/DOM.12258","ISSN":"1463-1326","PMID":"24400655","abstract":"Aim: To evaluate the efficacy and safety of the dipeptidyl peptidase-4 inhibitor alogliptin plus metformin (A+M) initial combination therapy versus either as monotherapy in drug-naïve T2DM patients. Methods: This international, randomized, double-blind, placebo-controlled, 26-week study involved T2DM patients with hyperglycaemia (HbA1c 7.5-10.0%) following diet/exercise therapy. Patients (N=784) received placebo, alogliptin (A, 12.5mg BID or 25mg QD), metformin (M, 500 or 1000mg BID) or A+M (12.5/500 or 12.5/1000mg BID); placebo, A25 for secondary analyses only. Endpoints: week26 changes from baseline in HbA1c (primary), fasting plasma glucose (FPG) and 2-h postprandial glucose (PPG); incidences of clinical response and hyperglycaemic rescue. Results: Week 26 mean HbA1c reductions from baseline (8.45%) were -1.22 and -1.55% with A+M 12.5/500 and 12.5/1000 versus -0.56, -0.65, and -1.11% with A12.5, M500 and M1000 (p&lt;0.001, A+M vs. component monotherapies). FPG reductions were -1.76 and -2.55 mmol/L with 12.5/500 and 12.5/1000 versus -0.54, -0.64 and -1.78 mmol/L with A12.5, M500 and M1000 (p&lt;0.05, A+M vs. component monotherapies). Significantly more A+M-treated patients achieved HbA1c&lt;7% (47.1-59.5% vs. 20.2-34.3% with monotherapy), significantly fewer required hyperglycaemic rescue (2.6-12.3% vs. 10.8-22.9% with monotherapy). A+M caused only mild/moderate hypoglycaemia (1.9-5.3%) and weight loss (0.6-1.2kg). Conclusions: Alogliptin plus metformin initial combination therapy was well tolerated yet more efficacious in controlling glycaemia in drug-naïve T2DM patients than either as monotherapy. © 2014 John Wiley &amp; Sons Ltd.","author":[{"dropping-particle":"","family":"Pratley","given":"R. E.","non-dropping-particle":"","parse-names":false,"suffix":""},{"dropping-particle":"","family":"Fleck","given":"P.","non-dropping-particle":"","parse-names":false,"suffix":""},{"dropping-particle":"","family":"Wilson","given":"C.","non-dropping-particle":"","parse-names":false,"suffix":""}],"container-title":"Diabetes, Obesity and Metabolism","id":"ITEM-1","issue":"7","issued":{"date-parts":[["2014","7","1"]]},"page":"613-621","publisher":"John Wiley &amp; Sons, Ltd","title":"Efficacy and safety of initial combination therapy with alogliptin plus metformin versus either as monotherapy in drug-naïve patients with type 2 diabetes: a randomized, double-blind, 6-month study","type":"article-journal","volume":"16"},"uris":["http://www.mendeley.com/documents/?uuid=81c5b499-cea4-3f6f-aac5-0640a7be7dd6"]}],"mendeley":{"formattedCitation":"[27]","plainTextFormattedCitation":"[27]","previouslyFormattedCitation":"[27]"},"properties":{"noteIndex":0},"schema":"https://github.com/citation-style-language/schema/raw/master/csl-citation.json"}</w:instrText>
            </w:r>
            <w:r w:rsidRPr="00214F41">
              <w:rPr>
                <w:sz w:val="18"/>
                <w:szCs w:val="18"/>
              </w:rPr>
              <w:fldChar w:fldCharType="separate"/>
            </w:r>
            <w:r w:rsidRPr="00FF29A9">
              <w:rPr>
                <w:noProof/>
                <w:sz w:val="18"/>
                <w:szCs w:val="18"/>
              </w:rPr>
              <w:t>[27]</w:t>
            </w:r>
            <w:r w:rsidRPr="00214F41">
              <w:rPr>
                <w:sz w:val="18"/>
                <w:szCs w:val="18"/>
              </w:rPr>
              <w:fldChar w:fldCharType="end"/>
            </w:r>
          </w:p>
        </w:tc>
        <w:tc>
          <w:tcPr>
            <w:tcW w:w="171" w:type="pct"/>
            <w:vMerge w:val="restart"/>
            <w:shd w:val="clear" w:color="000000" w:fill="FFFFFF"/>
            <w:vAlign w:val="center"/>
            <w:hideMark/>
          </w:tcPr>
          <w:p w14:paraId="1B60FD89" w14:textId="77777777" w:rsidR="005A043A" w:rsidRPr="00214F41" w:rsidRDefault="005A043A" w:rsidP="00286762">
            <w:pPr>
              <w:jc w:val="center"/>
              <w:rPr>
                <w:sz w:val="18"/>
                <w:szCs w:val="18"/>
              </w:rPr>
            </w:pPr>
            <w:r w:rsidRPr="00214F41">
              <w:rPr>
                <w:sz w:val="18"/>
                <w:szCs w:val="18"/>
              </w:rPr>
              <w:t>ITT</w:t>
            </w:r>
          </w:p>
        </w:tc>
        <w:tc>
          <w:tcPr>
            <w:tcW w:w="744" w:type="pct"/>
            <w:vMerge w:val="restart"/>
            <w:shd w:val="clear" w:color="000000" w:fill="FFFFFF"/>
            <w:vAlign w:val="center"/>
            <w:hideMark/>
          </w:tcPr>
          <w:p w14:paraId="72EB2A76" w14:textId="77777777" w:rsidR="005A043A" w:rsidRPr="00214F41" w:rsidRDefault="005A043A" w:rsidP="00286762">
            <w:pPr>
              <w:jc w:val="center"/>
              <w:rPr>
                <w:sz w:val="18"/>
                <w:szCs w:val="18"/>
                <w:lang w:val="en-GB"/>
              </w:rPr>
            </w:pPr>
            <w:r w:rsidRPr="00214F41">
              <w:rPr>
                <w:sz w:val="18"/>
                <w:szCs w:val="18"/>
                <w:lang w:val="en-GB"/>
              </w:rPr>
              <w:t>To evaluate the efficacy and safety of metformin initial therapy in drug‐naïve T2DM patients.</w:t>
            </w:r>
          </w:p>
        </w:tc>
        <w:tc>
          <w:tcPr>
            <w:tcW w:w="364" w:type="pct"/>
            <w:vMerge w:val="restart"/>
            <w:shd w:val="clear" w:color="000000" w:fill="FFFFFF"/>
            <w:vAlign w:val="center"/>
            <w:hideMark/>
          </w:tcPr>
          <w:p w14:paraId="42C8EBD3" w14:textId="77777777" w:rsidR="005A043A" w:rsidRPr="00214F41" w:rsidRDefault="005A043A" w:rsidP="00286762">
            <w:pPr>
              <w:jc w:val="center"/>
              <w:rPr>
                <w:sz w:val="18"/>
                <w:szCs w:val="18"/>
              </w:rPr>
            </w:pPr>
            <w:r w:rsidRPr="00214F41">
              <w:rPr>
                <w:sz w:val="18"/>
                <w:szCs w:val="18"/>
              </w:rPr>
              <w:t>784/768</w:t>
            </w:r>
          </w:p>
          <w:p w14:paraId="310BDA57" w14:textId="77777777" w:rsidR="005A043A" w:rsidRPr="00214F41" w:rsidRDefault="005A043A" w:rsidP="00286762">
            <w:pPr>
              <w:jc w:val="center"/>
              <w:rPr>
                <w:sz w:val="18"/>
                <w:szCs w:val="18"/>
              </w:rPr>
            </w:pPr>
          </w:p>
        </w:tc>
        <w:tc>
          <w:tcPr>
            <w:tcW w:w="200" w:type="pct"/>
            <w:vMerge w:val="restart"/>
            <w:shd w:val="clear" w:color="000000" w:fill="FFFFFF"/>
            <w:vAlign w:val="center"/>
            <w:hideMark/>
          </w:tcPr>
          <w:p w14:paraId="2EC40988" w14:textId="77777777" w:rsidR="005A043A" w:rsidRPr="00214F41" w:rsidRDefault="005A043A" w:rsidP="00286762">
            <w:pPr>
              <w:jc w:val="center"/>
              <w:rPr>
                <w:sz w:val="18"/>
                <w:szCs w:val="18"/>
              </w:rPr>
            </w:pPr>
            <w:r w:rsidRPr="00214F41">
              <w:rPr>
                <w:sz w:val="18"/>
                <w:szCs w:val="18"/>
              </w:rPr>
              <w:t>S</w:t>
            </w:r>
          </w:p>
        </w:tc>
        <w:tc>
          <w:tcPr>
            <w:tcW w:w="448" w:type="pct"/>
            <w:vMerge w:val="restart"/>
            <w:shd w:val="clear" w:color="000000" w:fill="FFFFFF"/>
            <w:vAlign w:val="center"/>
            <w:hideMark/>
          </w:tcPr>
          <w:p w14:paraId="31AE7CA6"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324" w:type="pct"/>
            <w:shd w:val="clear" w:color="000000" w:fill="FFFFFF"/>
            <w:vAlign w:val="center"/>
            <w:hideMark/>
          </w:tcPr>
          <w:p w14:paraId="0DF0C8C5" w14:textId="77777777" w:rsidR="005A043A" w:rsidRPr="00214F41" w:rsidRDefault="005A043A" w:rsidP="00286762">
            <w:pPr>
              <w:jc w:val="center"/>
              <w:rPr>
                <w:sz w:val="18"/>
                <w:szCs w:val="18"/>
              </w:rPr>
            </w:pPr>
            <w:r w:rsidRPr="00214F41">
              <w:rPr>
                <w:sz w:val="18"/>
                <w:szCs w:val="18"/>
              </w:rPr>
              <w:t>1000mg/2/d</w:t>
            </w:r>
          </w:p>
        </w:tc>
        <w:tc>
          <w:tcPr>
            <w:tcW w:w="204" w:type="pct"/>
            <w:vMerge w:val="restart"/>
            <w:shd w:val="clear" w:color="000000" w:fill="FFFFFF"/>
            <w:vAlign w:val="center"/>
            <w:hideMark/>
          </w:tcPr>
          <w:p w14:paraId="6952E696" w14:textId="77777777" w:rsidR="005A043A" w:rsidRPr="00214F41" w:rsidRDefault="005A043A" w:rsidP="00286762">
            <w:pPr>
              <w:jc w:val="center"/>
              <w:rPr>
                <w:sz w:val="18"/>
                <w:szCs w:val="18"/>
              </w:rPr>
            </w:pPr>
            <w:r w:rsidRPr="00214F41">
              <w:rPr>
                <w:sz w:val="18"/>
                <w:szCs w:val="18"/>
              </w:rPr>
              <w:t>182</w:t>
            </w:r>
          </w:p>
        </w:tc>
        <w:tc>
          <w:tcPr>
            <w:tcW w:w="247" w:type="pct"/>
            <w:vMerge w:val="restart"/>
            <w:shd w:val="clear" w:color="000000" w:fill="FFFFFF"/>
            <w:vAlign w:val="center"/>
            <w:hideMark/>
          </w:tcPr>
          <w:p w14:paraId="2C64EB19" w14:textId="77777777" w:rsidR="005A043A" w:rsidRPr="00214F41" w:rsidRDefault="005A043A" w:rsidP="00286762">
            <w:pPr>
              <w:jc w:val="center"/>
              <w:rPr>
                <w:sz w:val="18"/>
                <w:szCs w:val="18"/>
              </w:rPr>
            </w:pPr>
            <w:r w:rsidRPr="00214F41">
              <w:rPr>
                <w:sz w:val="18"/>
                <w:szCs w:val="18"/>
              </w:rPr>
              <w:t>IR</w:t>
            </w:r>
          </w:p>
        </w:tc>
        <w:tc>
          <w:tcPr>
            <w:tcW w:w="491" w:type="pct"/>
            <w:shd w:val="clear" w:color="000000" w:fill="FFFFFF"/>
            <w:vAlign w:val="center"/>
          </w:tcPr>
          <w:p w14:paraId="369BF96C" w14:textId="77777777" w:rsidR="005A043A" w:rsidRPr="00214F41" w:rsidRDefault="005A043A" w:rsidP="00286762">
            <w:pPr>
              <w:jc w:val="center"/>
              <w:rPr>
                <w:sz w:val="18"/>
                <w:szCs w:val="18"/>
              </w:rPr>
            </w:pPr>
            <w:r w:rsidRPr="00214F41">
              <w:rPr>
                <w:sz w:val="18"/>
                <w:szCs w:val="18"/>
              </w:rPr>
              <w:t>Metformin IR</w:t>
            </w:r>
          </w:p>
        </w:tc>
        <w:tc>
          <w:tcPr>
            <w:tcW w:w="491" w:type="pct"/>
            <w:vMerge w:val="restart"/>
            <w:shd w:val="clear" w:color="000000" w:fill="FFFFFF"/>
            <w:vAlign w:val="center"/>
            <w:hideMark/>
          </w:tcPr>
          <w:p w14:paraId="18BC67D3" w14:textId="77777777" w:rsidR="005A043A" w:rsidRPr="00214F41" w:rsidRDefault="005A043A" w:rsidP="00286762">
            <w:pPr>
              <w:jc w:val="center"/>
              <w:rPr>
                <w:sz w:val="18"/>
                <w:szCs w:val="18"/>
              </w:rPr>
            </w:pPr>
            <w:r w:rsidRPr="00214F41">
              <w:rPr>
                <w:sz w:val="18"/>
                <w:szCs w:val="18"/>
              </w:rPr>
              <w:t>PBO</w:t>
            </w:r>
          </w:p>
        </w:tc>
        <w:tc>
          <w:tcPr>
            <w:tcW w:w="245" w:type="pct"/>
            <w:gridSpan w:val="2"/>
            <w:shd w:val="clear" w:color="000000" w:fill="FFFFFF"/>
            <w:vAlign w:val="center"/>
            <w:hideMark/>
          </w:tcPr>
          <w:p w14:paraId="0EE7B6FD" w14:textId="77777777" w:rsidR="005A043A" w:rsidRPr="00214F41" w:rsidRDefault="005A043A" w:rsidP="00286762">
            <w:pPr>
              <w:jc w:val="center"/>
              <w:rPr>
                <w:sz w:val="18"/>
                <w:szCs w:val="18"/>
              </w:rPr>
            </w:pPr>
            <w:r w:rsidRPr="00214F41">
              <w:rPr>
                <w:sz w:val="18"/>
                <w:szCs w:val="18"/>
              </w:rPr>
              <w:t>53.9±9.9</w:t>
            </w:r>
          </w:p>
        </w:tc>
        <w:tc>
          <w:tcPr>
            <w:tcW w:w="202" w:type="pct"/>
            <w:shd w:val="clear" w:color="000000" w:fill="FFFFFF"/>
            <w:vAlign w:val="center"/>
            <w:hideMark/>
          </w:tcPr>
          <w:p w14:paraId="6A63B743" w14:textId="77777777" w:rsidR="005A043A" w:rsidRPr="00214F41" w:rsidRDefault="005A043A" w:rsidP="00286762">
            <w:pPr>
              <w:jc w:val="center"/>
              <w:rPr>
                <w:sz w:val="18"/>
                <w:szCs w:val="18"/>
              </w:rPr>
            </w:pPr>
            <w:r w:rsidRPr="00214F41">
              <w:rPr>
                <w:sz w:val="18"/>
                <w:szCs w:val="18"/>
              </w:rPr>
              <w:t>102/45.7</w:t>
            </w:r>
          </w:p>
        </w:tc>
        <w:tc>
          <w:tcPr>
            <w:tcW w:w="265" w:type="pct"/>
            <w:gridSpan w:val="2"/>
            <w:shd w:val="clear" w:color="000000" w:fill="FFFFFF"/>
            <w:vAlign w:val="center"/>
            <w:hideMark/>
          </w:tcPr>
          <w:p w14:paraId="0E7A7DC1" w14:textId="77777777" w:rsidR="005A043A" w:rsidRPr="00214F41" w:rsidRDefault="005A043A" w:rsidP="00286762">
            <w:pPr>
              <w:jc w:val="center"/>
              <w:rPr>
                <w:sz w:val="18"/>
                <w:szCs w:val="18"/>
              </w:rPr>
            </w:pPr>
            <w:r w:rsidRPr="00214F41">
              <w:rPr>
                <w:sz w:val="18"/>
                <w:szCs w:val="18"/>
              </w:rPr>
              <w:t>30.2±4.84</w:t>
            </w:r>
          </w:p>
        </w:tc>
        <w:tc>
          <w:tcPr>
            <w:tcW w:w="266" w:type="pct"/>
            <w:gridSpan w:val="2"/>
            <w:vMerge w:val="restart"/>
            <w:shd w:val="clear" w:color="000000" w:fill="FFFFFF"/>
            <w:vAlign w:val="center"/>
            <w:hideMark/>
          </w:tcPr>
          <w:p w14:paraId="0C37049F" w14:textId="77777777" w:rsidR="005A043A" w:rsidRPr="00214F41" w:rsidRDefault="005A043A" w:rsidP="00286762">
            <w:pPr>
              <w:jc w:val="center"/>
              <w:rPr>
                <w:sz w:val="18"/>
                <w:szCs w:val="18"/>
              </w:rPr>
            </w:pPr>
            <w:r w:rsidRPr="00214F41">
              <w:rPr>
                <w:sz w:val="18"/>
                <w:szCs w:val="18"/>
              </w:rPr>
              <w:t>31.2/5.27</w:t>
            </w:r>
          </w:p>
        </w:tc>
      </w:tr>
      <w:tr w:rsidR="005A043A" w:rsidRPr="00214F41" w14:paraId="0C6A3F63" w14:textId="77777777" w:rsidTr="00286762">
        <w:trPr>
          <w:trHeight w:val="930"/>
        </w:trPr>
        <w:tc>
          <w:tcPr>
            <w:tcW w:w="338" w:type="pct"/>
            <w:shd w:val="clear" w:color="000000" w:fill="FFFFFF"/>
            <w:vAlign w:val="center"/>
            <w:hideMark/>
          </w:tcPr>
          <w:p w14:paraId="1576DA3B" w14:textId="77777777" w:rsidR="005A043A" w:rsidRPr="00214F41" w:rsidRDefault="005A043A" w:rsidP="00286762">
            <w:pPr>
              <w:jc w:val="center"/>
              <w:rPr>
                <w:sz w:val="18"/>
                <w:szCs w:val="18"/>
              </w:rPr>
            </w:pPr>
            <w:r w:rsidRPr="00214F41">
              <w:rPr>
                <w:sz w:val="18"/>
                <w:szCs w:val="18"/>
              </w:rPr>
              <w:t>Pratley et al., 2014b</w:t>
            </w:r>
          </w:p>
        </w:tc>
        <w:tc>
          <w:tcPr>
            <w:tcW w:w="171" w:type="pct"/>
            <w:vMerge/>
            <w:shd w:val="clear" w:color="000000" w:fill="FFFFFF"/>
            <w:vAlign w:val="center"/>
            <w:hideMark/>
          </w:tcPr>
          <w:p w14:paraId="0B9EC3CE" w14:textId="77777777" w:rsidR="005A043A" w:rsidRPr="00214F41" w:rsidRDefault="005A043A" w:rsidP="00286762">
            <w:pPr>
              <w:jc w:val="center"/>
              <w:rPr>
                <w:sz w:val="18"/>
                <w:szCs w:val="18"/>
              </w:rPr>
            </w:pPr>
          </w:p>
        </w:tc>
        <w:tc>
          <w:tcPr>
            <w:tcW w:w="744" w:type="pct"/>
            <w:vMerge/>
            <w:shd w:val="clear" w:color="000000" w:fill="FFFFFF"/>
            <w:vAlign w:val="center"/>
            <w:hideMark/>
          </w:tcPr>
          <w:p w14:paraId="64CA7C6B" w14:textId="77777777" w:rsidR="005A043A" w:rsidRPr="00214F41" w:rsidRDefault="005A043A" w:rsidP="00286762">
            <w:pPr>
              <w:jc w:val="center"/>
              <w:rPr>
                <w:sz w:val="18"/>
                <w:szCs w:val="18"/>
              </w:rPr>
            </w:pPr>
          </w:p>
        </w:tc>
        <w:tc>
          <w:tcPr>
            <w:tcW w:w="364" w:type="pct"/>
            <w:vMerge/>
            <w:shd w:val="clear" w:color="000000" w:fill="FFFFFF"/>
            <w:vAlign w:val="center"/>
            <w:hideMark/>
          </w:tcPr>
          <w:p w14:paraId="4713F2C2" w14:textId="77777777" w:rsidR="005A043A" w:rsidRPr="00214F41" w:rsidRDefault="005A043A" w:rsidP="00286762">
            <w:pPr>
              <w:jc w:val="center"/>
              <w:rPr>
                <w:sz w:val="18"/>
                <w:szCs w:val="18"/>
              </w:rPr>
            </w:pPr>
          </w:p>
        </w:tc>
        <w:tc>
          <w:tcPr>
            <w:tcW w:w="200" w:type="pct"/>
            <w:vMerge/>
            <w:shd w:val="clear" w:color="000000" w:fill="FFFFFF"/>
            <w:vAlign w:val="center"/>
            <w:hideMark/>
          </w:tcPr>
          <w:p w14:paraId="6354C6CE" w14:textId="77777777" w:rsidR="005A043A" w:rsidRPr="00214F41" w:rsidRDefault="005A043A" w:rsidP="00286762">
            <w:pPr>
              <w:jc w:val="center"/>
              <w:rPr>
                <w:sz w:val="18"/>
                <w:szCs w:val="18"/>
              </w:rPr>
            </w:pPr>
          </w:p>
        </w:tc>
        <w:tc>
          <w:tcPr>
            <w:tcW w:w="448" w:type="pct"/>
            <w:vMerge/>
            <w:shd w:val="clear" w:color="000000" w:fill="FFFFFF"/>
            <w:vAlign w:val="center"/>
            <w:hideMark/>
          </w:tcPr>
          <w:p w14:paraId="465BADDE" w14:textId="77777777" w:rsidR="005A043A" w:rsidRPr="00214F41" w:rsidRDefault="005A043A" w:rsidP="00286762">
            <w:pPr>
              <w:jc w:val="center"/>
              <w:rPr>
                <w:sz w:val="18"/>
                <w:szCs w:val="18"/>
              </w:rPr>
            </w:pPr>
          </w:p>
        </w:tc>
        <w:tc>
          <w:tcPr>
            <w:tcW w:w="324" w:type="pct"/>
            <w:shd w:val="clear" w:color="000000" w:fill="FFFFFF"/>
            <w:vAlign w:val="center"/>
            <w:hideMark/>
          </w:tcPr>
          <w:p w14:paraId="462A001B" w14:textId="77777777" w:rsidR="005A043A" w:rsidRPr="00214F41" w:rsidRDefault="005A043A" w:rsidP="00286762">
            <w:pPr>
              <w:jc w:val="center"/>
              <w:rPr>
                <w:sz w:val="18"/>
                <w:szCs w:val="18"/>
              </w:rPr>
            </w:pPr>
            <w:r w:rsidRPr="00214F41">
              <w:rPr>
                <w:sz w:val="18"/>
                <w:szCs w:val="18"/>
              </w:rPr>
              <w:t>2000mg/2/d</w:t>
            </w:r>
          </w:p>
        </w:tc>
        <w:tc>
          <w:tcPr>
            <w:tcW w:w="204" w:type="pct"/>
            <w:vMerge/>
            <w:shd w:val="clear" w:color="000000" w:fill="FFFFFF"/>
            <w:vAlign w:val="center"/>
            <w:hideMark/>
          </w:tcPr>
          <w:p w14:paraId="5452D935" w14:textId="77777777" w:rsidR="005A043A" w:rsidRPr="00214F41" w:rsidRDefault="005A043A" w:rsidP="00286762">
            <w:pPr>
              <w:jc w:val="center"/>
              <w:rPr>
                <w:sz w:val="18"/>
                <w:szCs w:val="18"/>
              </w:rPr>
            </w:pPr>
          </w:p>
        </w:tc>
        <w:tc>
          <w:tcPr>
            <w:tcW w:w="247" w:type="pct"/>
            <w:vMerge/>
            <w:shd w:val="clear" w:color="000000" w:fill="FFFFFF"/>
            <w:vAlign w:val="center"/>
            <w:hideMark/>
          </w:tcPr>
          <w:p w14:paraId="0963B873" w14:textId="77777777" w:rsidR="005A043A" w:rsidRPr="00214F41" w:rsidRDefault="005A043A" w:rsidP="00286762">
            <w:pPr>
              <w:jc w:val="center"/>
              <w:rPr>
                <w:sz w:val="18"/>
                <w:szCs w:val="18"/>
              </w:rPr>
            </w:pPr>
          </w:p>
        </w:tc>
        <w:tc>
          <w:tcPr>
            <w:tcW w:w="491" w:type="pct"/>
            <w:shd w:val="clear" w:color="000000" w:fill="FFFFFF"/>
            <w:vAlign w:val="center"/>
          </w:tcPr>
          <w:p w14:paraId="51A7C05C" w14:textId="77777777" w:rsidR="005A043A" w:rsidRPr="00214F41" w:rsidRDefault="005A043A" w:rsidP="00286762">
            <w:pPr>
              <w:jc w:val="center"/>
              <w:rPr>
                <w:sz w:val="18"/>
                <w:szCs w:val="18"/>
              </w:rPr>
            </w:pPr>
            <w:r w:rsidRPr="00214F41">
              <w:rPr>
                <w:sz w:val="18"/>
                <w:szCs w:val="18"/>
              </w:rPr>
              <w:t>Metformin IR</w:t>
            </w:r>
          </w:p>
        </w:tc>
        <w:tc>
          <w:tcPr>
            <w:tcW w:w="491" w:type="pct"/>
            <w:vMerge/>
            <w:shd w:val="clear" w:color="000000" w:fill="FFFFFF"/>
            <w:vAlign w:val="center"/>
            <w:hideMark/>
          </w:tcPr>
          <w:p w14:paraId="2B8B662F" w14:textId="77777777" w:rsidR="005A043A" w:rsidRPr="00214F41" w:rsidRDefault="005A043A" w:rsidP="00286762">
            <w:pPr>
              <w:jc w:val="center"/>
              <w:rPr>
                <w:sz w:val="18"/>
                <w:szCs w:val="18"/>
              </w:rPr>
            </w:pPr>
          </w:p>
        </w:tc>
        <w:tc>
          <w:tcPr>
            <w:tcW w:w="245" w:type="pct"/>
            <w:gridSpan w:val="2"/>
            <w:shd w:val="clear" w:color="000000" w:fill="FFFFFF"/>
            <w:vAlign w:val="center"/>
            <w:hideMark/>
          </w:tcPr>
          <w:p w14:paraId="1DDBEDF8" w14:textId="77777777" w:rsidR="005A043A" w:rsidRPr="00214F41" w:rsidRDefault="005A043A" w:rsidP="00286762">
            <w:pPr>
              <w:jc w:val="center"/>
              <w:rPr>
                <w:sz w:val="18"/>
                <w:szCs w:val="18"/>
              </w:rPr>
            </w:pPr>
            <w:r w:rsidRPr="00214F41">
              <w:rPr>
                <w:sz w:val="18"/>
                <w:szCs w:val="18"/>
              </w:rPr>
              <w:t>52.8±10.5</w:t>
            </w:r>
          </w:p>
        </w:tc>
        <w:tc>
          <w:tcPr>
            <w:tcW w:w="202" w:type="pct"/>
            <w:shd w:val="clear" w:color="000000" w:fill="FFFFFF"/>
            <w:vAlign w:val="center"/>
            <w:hideMark/>
          </w:tcPr>
          <w:p w14:paraId="19451538" w14:textId="77777777" w:rsidR="005A043A" w:rsidRPr="00214F41" w:rsidRDefault="005A043A" w:rsidP="00286762">
            <w:pPr>
              <w:jc w:val="center"/>
              <w:rPr>
                <w:sz w:val="18"/>
                <w:szCs w:val="18"/>
              </w:rPr>
            </w:pPr>
            <w:r w:rsidRPr="00214F41">
              <w:rPr>
                <w:sz w:val="18"/>
                <w:szCs w:val="18"/>
              </w:rPr>
              <w:t>106/48.2</w:t>
            </w:r>
          </w:p>
        </w:tc>
        <w:tc>
          <w:tcPr>
            <w:tcW w:w="265" w:type="pct"/>
            <w:gridSpan w:val="2"/>
            <w:shd w:val="clear" w:color="000000" w:fill="FFFFFF"/>
            <w:vAlign w:val="center"/>
            <w:hideMark/>
          </w:tcPr>
          <w:p w14:paraId="0A4BBBD2" w14:textId="77777777" w:rsidR="005A043A" w:rsidRPr="00214F41" w:rsidRDefault="005A043A" w:rsidP="00286762">
            <w:pPr>
              <w:jc w:val="center"/>
              <w:rPr>
                <w:sz w:val="18"/>
                <w:szCs w:val="18"/>
              </w:rPr>
            </w:pPr>
            <w:r w:rsidRPr="00214F41">
              <w:rPr>
                <w:sz w:val="18"/>
                <w:szCs w:val="18"/>
              </w:rPr>
              <w:t>30.5±5</w:t>
            </w:r>
          </w:p>
        </w:tc>
        <w:tc>
          <w:tcPr>
            <w:tcW w:w="266" w:type="pct"/>
            <w:gridSpan w:val="2"/>
            <w:vMerge/>
            <w:shd w:val="clear" w:color="000000" w:fill="FFFFFF"/>
            <w:vAlign w:val="center"/>
            <w:hideMark/>
          </w:tcPr>
          <w:p w14:paraId="16711CCA" w14:textId="77777777" w:rsidR="005A043A" w:rsidRPr="00214F41" w:rsidRDefault="005A043A" w:rsidP="00286762">
            <w:pPr>
              <w:jc w:val="center"/>
              <w:rPr>
                <w:sz w:val="18"/>
                <w:szCs w:val="18"/>
              </w:rPr>
            </w:pPr>
          </w:p>
        </w:tc>
      </w:tr>
      <w:tr w:rsidR="005A043A" w:rsidRPr="00214F41" w14:paraId="3023D605" w14:textId="77777777" w:rsidTr="00286762">
        <w:trPr>
          <w:trHeight w:val="930"/>
        </w:trPr>
        <w:tc>
          <w:tcPr>
            <w:tcW w:w="338" w:type="pct"/>
            <w:shd w:val="clear" w:color="000000" w:fill="FFFFFF"/>
            <w:vAlign w:val="center"/>
            <w:hideMark/>
          </w:tcPr>
          <w:p w14:paraId="630E6FCF" w14:textId="77777777" w:rsidR="005A043A" w:rsidRPr="00214F41" w:rsidRDefault="005A043A" w:rsidP="00286762">
            <w:pPr>
              <w:jc w:val="center"/>
              <w:rPr>
                <w:sz w:val="18"/>
                <w:szCs w:val="18"/>
              </w:rPr>
            </w:pPr>
            <w:r w:rsidRPr="00214F41">
              <w:rPr>
                <w:sz w:val="18"/>
                <w:szCs w:val="18"/>
              </w:rPr>
              <w:lastRenderedPageBreak/>
              <w:t xml:space="preserve">Rosenstock et al., 2006 </w:t>
            </w:r>
            <w:r w:rsidRPr="00214F41">
              <w:rPr>
                <w:sz w:val="18"/>
                <w:szCs w:val="18"/>
              </w:rPr>
              <w:fldChar w:fldCharType="begin" w:fldLock="1"/>
            </w:r>
            <w:r>
              <w:rPr>
                <w:sz w:val="18"/>
                <w:szCs w:val="18"/>
              </w:rPr>
              <w:instrText>ADDIN CSL_CITATION {"citationItems":[{"id":"ITEM-1","itemData":{"DOI":"10.1111/j.1463-1326.2006.00659.x","ISSN":"1462-8902","PMID":"17026489","abstract":"AIM: This study assessed the efficacy and safety of rosiglitazone and metformin (RSG/MET) fixed-dose combination (AVANDAMET) as initial therapy in patients with uncontrolled type 2 diabetes compared with monotherapy with either RSG or MET after 32 weeks of treatment.\nMETHODS: A total of 468 drug-naive patients with uncontrolled type 2 diabetes were recruited for this multicentre, double-blind trial if their glycated haemoglobin (A1c) was greater than 7.5\\%, but less than or equal to 11\\%, and their fasting plasma glucose (FPG) was less than or equal to 15 mmol/l. Patients were randomized to 32 weeks of blinded treatment with either RSG/MET fixed-dose combination (n = 155), MET (n = 154) or RSG (n = 159). The groups were comparable at baseline, with mean A1c of 8.8\\% and FPG of 11 mmol/l. RSG/MET was initiated with a total daily dose of 2 mg/500 mg and could be increased up to 8 mg/2000 mg; MET therapy began with a total daily dose of 500 mg and could be increased up to 2000 mg; and RSG treatment began with a total daily dose of 4 mg and could be increased up to 8 mg. Medication was uptitrated during on-therapy visits based on failure to attain glycaemic target of mean daily glucose less than or equal to 6.1 mmol/l (unless at maximum tolerated dose). Patients were assessed for efficacy and safety at nine visits over a 32-week treatment period. This was a trial designed to show greater efficacy of RSG/MET combination therapy compared with MET or RSG monotherapy. The primary end point was change in A1c from baseline to week 32. Secondary end points included the proportion of patients achieving recommended A1c and FPG targets for glycaemic control and change from baseline in FPG, free fatty acid, lipids, insulin, insulin sensitivity, C-reactive protein and adiponectin. Safety evaluations included adverse-event (AE) monitoring, changes in weight and clinical laboratory evaluations.\nRESULTS: At week 32, RSG/MET showed significant improvements in A1c from a baseline of 8.9 +/- 1.1\\% to 6.6 +/- 1.0\\% at study end, and this 2.3\\% reduction was significantly greater than the reductions achieved individually with MET (-1.8\\%; p = 0.0008) and RSG (-1.6\\%; p {\\textless} 0.0001). The greatest mean decrease in FPG was seen with RSG/MET (-4.1 mmol/l) and was significant compared with MET (-2.8 mmol/l; p {\\textless} 0.0001) and RSG (-2.6 mmol/l; p {\\textless} 0.0001). Target A1c of less than or equal to 6.5\\% and less than 7\\% were achieved in more patients in the RSG/M…","author":[{"dropping-particle":"","family":"Rosenstock","given":"J","non-dropping-particle":"","parse-names":false,"suffix":""},{"dropping-particle":"","family":"Rood","given":"J","non-dropping-particle":"","parse-names":false,"suffix":""},{"dropping-particle":"","family":"Cobitz","given":"A","non-dropping-particle":"","parse-names":false,"suffix":""},{"dropping-particle":"","family":"Biswas","given":"N","non-dropping-particle":"","parse-names":false,"suffix":""},{"dropping-particle":"","family":"Chou","given":"H","non-dropping-particle":"","parse-names":false,"suffix":""},{"dropping-particle":"","family":"Garber","given":"A","non-dropping-particle":"","parse-names":false,"suffix":""}],"container-title":"Diabetes, Obesity \\&amp; Metabolism","id":"ITEM-1","issue":"6","issued":{"date-parts":[["2006","11"]]},"page":"650-660","title":"Initial treatment with rosiglitazone/metformin fixed-dose combination therapy compared with monotherapy with either rosiglitazone or metformin in patients with uncontrolled type 2 diabetes","type":"article-journal","volume":"8"},"uris":["http://www.mendeley.com/documents/?uuid=debf137f-9ba5-4925-8fca-e660e2534b24"]}],"mendeley":{"formattedCitation":"[28]","plainTextFormattedCitation":"[28]","previouslyFormattedCitation":"[28]"},"properties":{"noteIndex":0},"schema":"https://github.com/citation-style-language/schema/raw/master/csl-citation.json"}</w:instrText>
            </w:r>
            <w:r w:rsidRPr="00214F41">
              <w:rPr>
                <w:sz w:val="18"/>
                <w:szCs w:val="18"/>
              </w:rPr>
              <w:fldChar w:fldCharType="separate"/>
            </w:r>
            <w:r w:rsidRPr="00FF29A9">
              <w:rPr>
                <w:noProof/>
                <w:sz w:val="18"/>
                <w:szCs w:val="18"/>
              </w:rPr>
              <w:t>[28]</w:t>
            </w:r>
            <w:r w:rsidRPr="00214F41">
              <w:rPr>
                <w:sz w:val="18"/>
                <w:szCs w:val="18"/>
              </w:rPr>
              <w:fldChar w:fldCharType="end"/>
            </w:r>
          </w:p>
        </w:tc>
        <w:tc>
          <w:tcPr>
            <w:tcW w:w="171" w:type="pct"/>
            <w:shd w:val="clear" w:color="000000" w:fill="FFFFFF"/>
            <w:vAlign w:val="center"/>
            <w:hideMark/>
          </w:tcPr>
          <w:p w14:paraId="3BE456E7" w14:textId="77777777" w:rsidR="005A043A" w:rsidRPr="00214F41" w:rsidRDefault="005A043A" w:rsidP="00286762">
            <w:pPr>
              <w:jc w:val="center"/>
              <w:rPr>
                <w:sz w:val="18"/>
                <w:szCs w:val="18"/>
              </w:rPr>
            </w:pPr>
            <w:r w:rsidRPr="00214F41">
              <w:rPr>
                <w:sz w:val="18"/>
                <w:szCs w:val="18"/>
              </w:rPr>
              <w:t>ITT</w:t>
            </w:r>
          </w:p>
        </w:tc>
        <w:tc>
          <w:tcPr>
            <w:tcW w:w="744" w:type="pct"/>
            <w:shd w:val="clear" w:color="000000" w:fill="FFFFFF"/>
            <w:vAlign w:val="center"/>
            <w:hideMark/>
          </w:tcPr>
          <w:p w14:paraId="41E6BBAD" w14:textId="77777777" w:rsidR="005A043A" w:rsidRPr="00214F41" w:rsidRDefault="005A043A" w:rsidP="00286762">
            <w:pPr>
              <w:jc w:val="center"/>
              <w:rPr>
                <w:sz w:val="18"/>
                <w:szCs w:val="18"/>
                <w:lang w:val="en-GB"/>
              </w:rPr>
            </w:pPr>
            <w:r w:rsidRPr="00214F41">
              <w:rPr>
                <w:sz w:val="18"/>
                <w:szCs w:val="18"/>
                <w:lang w:val="en-GB"/>
              </w:rPr>
              <w:t xml:space="preserve"> To </w:t>
            </w:r>
            <w:proofErr w:type="spellStart"/>
            <w:r w:rsidRPr="00214F41">
              <w:rPr>
                <w:sz w:val="18"/>
                <w:szCs w:val="18"/>
                <w:lang w:val="en-GB"/>
              </w:rPr>
              <w:t>asses</w:t>
            </w:r>
            <w:proofErr w:type="spellEnd"/>
            <w:r w:rsidRPr="00214F41">
              <w:rPr>
                <w:sz w:val="18"/>
                <w:szCs w:val="18"/>
                <w:lang w:val="en-GB"/>
              </w:rPr>
              <w:t xml:space="preserve"> the efficacy and safety of rosiglitazone or metformin monotherapies as initial therapy in patients with uncontrolled T2DM after 32 weeks of treatment.</w:t>
            </w:r>
          </w:p>
        </w:tc>
        <w:tc>
          <w:tcPr>
            <w:tcW w:w="364" w:type="pct"/>
            <w:shd w:val="clear" w:color="000000" w:fill="FFFFFF"/>
            <w:vAlign w:val="center"/>
            <w:hideMark/>
          </w:tcPr>
          <w:p w14:paraId="4BBABAEE" w14:textId="77777777" w:rsidR="005A043A" w:rsidRPr="00214F41" w:rsidRDefault="005A043A" w:rsidP="00286762">
            <w:pPr>
              <w:jc w:val="center"/>
              <w:rPr>
                <w:sz w:val="18"/>
                <w:szCs w:val="18"/>
              </w:rPr>
            </w:pPr>
            <w:r w:rsidRPr="00214F41">
              <w:rPr>
                <w:sz w:val="18"/>
                <w:szCs w:val="18"/>
              </w:rPr>
              <w:t>468/468</w:t>
            </w:r>
          </w:p>
        </w:tc>
        <w:tc>
          <w:tcPr>
            <w:tcW w:w="200" w:type="pct"/>
            <w:shd w:val="clear" w:color="000000" w:fill="FFFFFF"/>
            <w:vAlign w:val="center"/>
            <w:hideMark/>
          </w:tcPr>
          <w:p w14:paraId="55A2298E" w14:textId="77777777" w:rsidR="005A043A" w:rsidRPr="00214F41" w:rsidRDefault="005A043A" w:rsidP="00286762">
            <w:pPr>
              <w:jc w:val="center"/>
              <w:rPr>
                <w:sz w:val="18"/>
                <w:szCs w:val="18"/>
              </w:rPr>
            </w:pPr>
            <w:r w:rsidRPr="00214F41">
              <w:rPr>
                <w:sz w:val="18"/>
                <w:szCs w:val="18"/>
              </w:rPr>
              <w:t>S</w:t>
            </w:r>
          </w:p>
        </w:tc>
        <w:tc>
          <w:tcPr>
            <w:tcW w:w="448" w:type="pct"/>
            <w:shd w:val="clear" w:color="000000" w:fill="FFFFFF"/>
            <w:vAlign w:val="center"/>
            <w:hideMark/>
          </w:tcPr>
          <w:p w14:paraId="49211868"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324" w:type="pct"/>
            <w:shd w:val="clear" w:color="000000" w:fill="FFFFFF"/>
            <w:vAlign w:val="center"/>
            <w:hideMark/>
          </w:tcPr>
          <w:p w14:paraId="15B2363C" w14:textId="77777777" w:rsidR="005A043A" w:rsidRPr="00214F41" w:rsidRDefault="005A043A" w:rsidP="00286762">
            <w:pPr>
              <w:jc w:val="center"/>
              <w:rPr>
                <w:sz w:val="18"/>
                <w:szCs w:val="18"/>
              </w:rPr>
            </w:pPr>
            <w:r w:rsidRPr="00214F41">
              <w:rPr>
                <w:sz w:val="18"/>
                <w:szCs w:val="18"/>
              </w:rPr>
              <w:t>1847mg/</w:t>
            </w:r>
            <w:proofErr w:type="spellStart"/>
            <w:r w:rsidRPr="00214F41">
              <w:rPr>
                <w:sz w:val="18"/>
                <w:szCs w:val="18"/>
              </w:rPr>
              <w:t>nd</w:t>
            </w:r>
            <w:proofErr w:type="spellEnd"/>
          </w:p>
        </w:tc>
        <w:tc>
          <w:tcPr>
            <w:tcW w:w="204" w:type="pct"/>
            <w:shd w:val="clear" w:color="000000" w:fill="FFFFFF"/>
            <w:vAlign w:val="center"/>
            <w:hideMark/>
          </w:tcPr>
          <w:p w14:paraId="70D75736" w14:textId="77777777" w:rsidR="005A043A" w:rsidRPr="00214F41" w:rsidRDefault="005A043A" w:rsidP="00286762">
            <w:pPr>
              <w:jc w:val="center"/>
              <w:rPr>
                <w:sz w:val="18"/>
                <w:szCs w:val="18"/>
              </w:rPr>
            </w:pPr>
            <w:r w:rsidRPr="00214F41">
              <w:rPr>
                <w:sz w:val="18"/>
                <w:szCs w:val="18"/>
              </w:rPr>
              <w:t>224</w:t>
            </w:r>
          </w:p>
        </w:tc>
        <w:tc>
          <w:tcPr>
            <w:tcW w:w="247" w:type="pct"/>
            <w:shd w:val="clear" w:color="000000" w:fill="FFFFFF"/>
            <w:vAlign w:val="center"/>
            <w:hideMark/>
          </w:tcPr>
          <w:p w14:paraId="1039B465" w14:textId="77777777" w:rsidR="005A043A" w:rsidRPr="00214F41" w:rsidRDefault="005A043A" w:rsidP="00286762">
            <w:pPr>
              <w:jc w:val="center"/>
              <w:rPr>
                <w:sz w:val="18"/>
                <w:szCs w:val="18"/>
              </w:rPr>
            </w:pPr>
            <w:r w:rsidRPr="00214F41">
              <w:rPr>
                <w:sz w:val="18"/>
                <w:szCs w:val="18"/>
              </w:rPr>
              <w:t>IR</w:t>
            </w:r>
          </w:p>
        </w:tc>
        <w:tc>
          <w:tcPr>
            <w:tcW w:w="491" w:type="pct"/>
            <w:shd w:val="clear" w:color="000000" w:fill="FFFFFF"/>
            <w:vAlign w:val="center"/>
          </w:tcPr>
          <w:p w14:paraId="10CA5140" w14:textId="77777777" w:rsidR="005A043A" w:rsidRPr="00214F41" w:rsidRDefault="005A043A" w:rsidP="00286762">
            <w:pPr>
              <w:jc w:val="center"/>
              <w:rPr>
                <w:sz w:val="18"/>
                <w:szCs w:val="18"/>
              </w:rPr>
            </w:pPr>
            <w:r w:rsidRPr="00214F41">
              <w:rPr>
                <w:sz w:val="18"/>
                <w:szCs w:val="18"/>
              </w:rPr>
              <w:t>Metformin IR</w:t>
            </w:r>
          </w:p>
        </w:tc>
        <w:tc>
          <w:tcPr>
            <w:tcW w:w="491" w:type="pct"/>
            <w:shd w:val="clear" w:color="000000" w:fill="FFFFFF"/>
            <w:vAlign w:val="center"/>
            <w:hideMark/>
          </w:tcPr>
          <w:p w14:paraId="3C9BAD76" w14:textId="77777777" w:rsidR="005A043A" w:rsidRPr="00214F41" w:rsidRDefault="005A043A" w:rsidP="00286762">
            <w:pPr>
              <w:jc w:val="center"/>
              <w:rPr>
                <w:sz w:val="18"/>
                <w:szCs w:val="18"/>
              </w:rPr>
            </w:pPr>
            <w:r w:rsidRPr="00214F41">
              <w:rPr>
                <w:sz w:val="18"/>
                <w:szCs w:val="18"/>
              </w:rPr>
              <w:t>Rosiglitazone/</w:t>
            </w:r>
            <w:proofErr w:type="spellStart"/>
            <w:r w:rsidRPr="00214F41">
              <w:rPr>
                <w:sz w:val="18"/>
                <w:szCs w:val="18"/>
              </w:rPr>
              <w:t>PPRγ</w:t>
            </w:r>
            <w:proofErr w:type="spellEnd"/>
            <w:r w:rsidRPr="00214F41">
              <w:rPr>
                <w:sz w:val="18"/>
                <w:szCs w:val="18"/>
              </w:rPr>
              <w:t xml:space="preserve"> receptor agonist</w:t>
            </w:r>
          </w:p>
        </w:tc>
        <w:tc>
          <w:tcPr>
            <w:tcW w:w="245" w:type="pct"/>
            <w:gridSpan w:val="2"/>
            <w:shd w:val="clear" w:color="000000" w:fill="FFFFFF"/>
            <w:vAlign w:val="center"/>
            <w:hideMark/>
          </w:tcPr>
          <w:p w14:paraId="3B5A5DF6" w14:textId="77777777" w:rsidR="005A043A" w:rsidRPr="00214F41" w:rsidRDefault="005A043A" w:rsidP="00286762">
            <w:pPr>
              <w:jc w:val="center"/>
              <w:rPr>
                <w:sz w:val="18"/>
                <w:szCs w:val="18"/>
              </w:rPr>
            </w:pPr>
            <w:r w:rsidRPr="00214F41">
              <w:rPr>
                <w:sz w:val="18"/>
                <w:szCs w:val="18"/>
              </w:rPr>
              <w:t>51±10.3</w:t>
            </w:r>
          </w:p>
        </w:tc>
        <w:tc>
          <w:tcPr>
            <w:tcW w:w="202" w:type="pct"/>
            <w:shd w:val="clear" w:color="000000" w:fill="FFFFFF"/>
            <w:vAlign w:val="center"/>
            <w:hideMark/>
          </w:tcPr>
          <w:p w14:paraId="14D374E5" w14:textId="77777777" w:rsidR="005A043A" w:rsidRPr="00214F41" w:rsidRDefault="005A043A" w:rsidP="00286762">
            <w:pPr>
              <w:jc w:val="center"/>
              <w:rPr>
                <w:sz w:val="18"/>
                <w:szCs w:val="18"/>
              </w:rPr>
            </w:pPr>
            <w:r w:rsidRPr="00214F41">
              <w:rPr>
                <w:sz w:val="18"/>
                <w:szCs w:val="18"/>
              </w:rPr>
              <w:t>180/57.5</w:t>
            </w:r>
          </w:p>
        </w:tc>
        <w:tc>
          <w:tcPr>
            <w:tcW w:w="265" w:type="pct"/>
            <w:gridSpan w:val="2"/>
            <w:shd w:val="clear" w:color="000000" w:fill="FFFFFF"/>
            <w:vAlign w:val="center"/>
            <w:hideMark/>
          </w:tcPr>
          <w:p w14:paraId="0F383675" w14:textId="77777777" w:rsidR="005A043A" w:rsidRPr="00214F41" w:rsidRDefault="005A043A" w:rsidP="00286762">
            <w:pPr>
              <w:jc w:val="center"/>
              <w:rPr>
                <w:sz w:val="18"/>
                <w:szCs w:val="18"/>
              </w:rPr>
            </w:pPr>
            <w:r w:rsidRPr="00214F41">
              <w:rPr>
                <w:sz w:val="18"/>
                <w:szCs w:val="18"/>
              </w:rPr>
              <w:t>32.5±7</w:t>
            </w:r>
          </w:p>
        </w:tc>
        <w:tc>
          <w:tcPr>
            <w:tcW w:w="266" w:type="pct"/>
            <w:gridSpan w:val="2"/>
            <w:shd w:val="clear" w:color="000000" w:fill="FFFFFF"/>
            <w:vAlign w:val="center"/>
            <w:hideMark/>
          </w:tcPr>
          <w:p w14:paraId="7A8DE1FE" w14:textId="77777777" w:rsidR="005A043A" w:rsidRPr="00214F41" w:rsidRDefault="005A043A" w:rsidP="00286762">
            <w:pPr>
              <w:jc w:val="center"/>
              <w:rPr>
                <w:sz w:val="18"/>
                <w:szCs w:val="18"/>
              </w:rPr>
            </w:pPr>
            <w:r w:rsidRPr="00214F41">
              <w:rPr>
                <w:sz w:val="18"/>
                <w:szCs w:val="18"/>
              </w:rPr>
              <w:t>32.8/7.1</w:t>
            </w:r>
          </w:p>
        </w:tc>
      </w:tr>
      <w:tr w:rsidR="005A043A" w:rsidRPr="0072287D" w14:paraId="0BAFD8D4" w14:textId="77777777" w:rsidTr="00286762">
        <w:trPr>
          <w:trHeight w:val="930"/>
        </w:trPr>
        <w:tc>
          <w:tcPr>
            <w:tcW w:w="338" w:type="pct"/>
            <w:shd w:val="clear" w:color="000000" w:fill="FFFFFF"/>
            <w:vAlign w:val="center"/>
            <w:hideMark/>
          </w:tcPr>
          <w:p w14:paraId="69D64452" w14:textId="77777777" w:rsidR="005A043A" w:rsidRPr="00214F41" w:rsidRDefault="005A043A" w:rsidP="00286762">
            <w:pPr>
              <w:jc w:val="center"/>
              <w:rPr>
                <w:sz w:val="18"/>
                <w:szCs w:val="18"/>
                <w:lang w:val="en-GB"/>
              </w:rPr>
            </w:pPr>
            <w:proofErr w:type="spellStart"/>
            <w:r w:rsidRPr="00214F41">
              <w:rPr>
                <w:sz w:val="18"/>
                <w:szCs w:val="18"/>
              </w:rPr>
              <w:t>Rosnstock</w:t>
            </w:r>
            <w:proofErr w:type="spellEnd"/>
            <w:r w:rsidRPr="00214F41">
              <w:rPr>
                <w:sz w:val="18"/>
                <w:szCs w:val="18"/>
              </w:rPr>
              <w:t xml:space="preserve"> et al., 2016 </w:t>
            </w:r>
            <w:r w:rsidRPr="00214F41">
              <w:rPr>
                <w:sz w:val="18"/>
                <w:szCs w:val="18"/>
              </w:rPr>
              <w:fldChar w:fldCharType="begin" w:fldLock="1"/>
            </w:r>
            <w:r>
              <w:rPr>
                <w:sz w:val="18"/>
                <w:szCs w:val="18"/>
              </w:rPr>
              <w:instrText>ADDIN CSL_CITATION {"citationItems":[{"id":"ITEM-1","itemData":{"DOI":"10.2337/dc15-1736","ISSN":"0149-5992, 1935-5548","abstract":"OBJECTIVE This study assessed the efficacy/safety of canagliflozin (CANA), a sodium–glucose cotransporter 2 (SGLT2) inhibitor, plus metformin extended-release (MET) initial therapy in drug-naïve type 2 diabetes. RESEARCH DESIGN AND METHODS This 26-week, double-blind, phase 3 study randomized 1,186 patients to CANA 100 mg (CANA100)/MET, CANA 300 mg (CANA300)/MET, CANA100, CANA300, or MET. Primary end point was change in HbA1c at week 26 for combinations versus monotherapies. Secondary end points included noninferiority in HbA1c lowering with CANA monotherapy versus MET; changes in fasting plasma glucose, body weight, and blood pressure; and proportion of patients achieving HbA1c &lt;7.0% (&lt;53 mmol/mol). RESULTS From mean baseline HbA1c of 8.8% (73 mmol/mol), CANA100/MET and CANA300/MET significantly lowered HbA1c versus MET (median dose, 2,000 mg/day) by –1.77%, –1.78%, and –1.30% (–19.3, –19.5, and –14.2 mmol/mol; differences of −0.46% and –0.48% [–5.0 and –5.2 mmol/mol]; P = 0.001) and versus CANA100 and CANA300 by –1.37% and –1.42% (–15.0 and –15.5 mmol/mol; differences of –0.40% and –0.36% [–4.4 and –3.9 mmol/mol]; P = 0.001). CANA100 and CANA300 monotherapy met noninferiority for HbA1c lowering and had significantly more weight loss versus MET (–2.8, –3.7, and –1.9 kg [–3.0%, –3.9%, and –2.1%]; P = 0.016 and P = 0.002). Greater attainment of HbA1c &lt;7.0% (50%, 57%, and 43%) and significantly more weight loss (–3.2, –3.9, and –1.9 kg [–3.5%, –4.2%, and –2.1%]; P = 0.001) occurred with CANA100/MET and CANA300/MET versus MET. The incidence of adverse events (AEs) related to SGLT2 inhibition (genital mycotic infections, osmotic diuresis– and volume depletion–related AEs) was higher in the CANA arms (0.4–4.4%) versus MET (0–0.8%). AE-related discontinuation rates were 1.3–3.0% across groups. The incidence of hypoglycemia was 3.0–5.5% in the CANA arms and 4.6% with MET. CONCLUSIONS Initial therapy with CANA plus MET was more effective and generally well tolerated versus each monotherapy in drug-naïve type 2 diabetes. CANA monotherapy demonstrated noninferior HbA1c lowering ve</w:instrText>
            </w:r>
            <w:r w:rsidRPr="00FF29A9">
              <w:rPr>
                <w:sz w:val="18"/>
                <w:szCs w:val="18"/>
                <w:lang w:val="en-GB"/>
              </w:rPr>
              <w:instrText>rsus MET.","author":[{"dropping-particle":"","family":"Rosenstock","given":"Julio","non-dropping-particle":"","parse-names":false,"suffix":""},{"dropping-particle":"","family":"Chuck","given":"Leonard","non-dropping-particle":"","parse-names":false,"suffix":""},{"dropping-particle":"","family":"González-Ortiz","given":"Manuel","non-dropping-particle":"","parse-names":false,"suffix":""},{"dropping-particle":"","family":"Merton","given":"Kate","non-dropping-particle":"","parse-names":false,"suffix":""},{"dropping-particle":"","family":"Craig","given":"Jagriti","non-dropping-particle":"","parse-names":false,"suffix":""},{"dropping-particle":"","family":"Capuano","given":"George","non-dropping-particle":"","parse-names":false,"suffix":""},{"dropping-particle":"","family":"Qiu","given":"Rong","non-dropping-particle":"","parse-names":false,"suffix":""}],"container-title":"Diabetes Care","id":"ITEM-1","issue":"3","issued":{"date-parts":[["2016","12","7"]]},"language":"en","page":"353-362","title":"Initial Combination Therapy With Canagliflozin Plus Metformin Versus Each Component as Monotherapy for Drug-Naïve Type 2 Diabetes","type":"article-journal","volume":"39"},"uris":["http://www.mendeley.com/documents/?uuid=5cbad316-8ae4-4e27-a646-2da37b7f7419"]}],"mendeley":{"formattedCitation":"[29]","plainTextFormattedCitation":"[29]","previouslyFormattedCitation":"[29]"},"properties":{"noteIndex":0},"schema":"https://github.com/citation-style-language/schema/raw/master/csl-citation.json"}</w:instrText>
            </w:r>
            <w:r w:rsidRPr="00214F41">
              <w:rPr>
                <w:sz w:val="18"/>
                <w:szCs w:val="18"/>
              </w:rPr>
              <w:fldChar w:fldCharType="separate"/>
            </w:r>
            <w:r w:rsidRPr="00FF29A9">
              <w:rPr>
                <w:noProof/>
                <w:sz w:val="18"/>
                <w:szCs w:val="18"/>
                <w:lang w:val="en-GB"/>
              </w:rPr>
              <w:t>[29]</w:t>
            </w:r>
            <w:r w:rsidRPr="00214F41">
              <w:rPr>
                <w:sz w:val="18"/>
                <w:szCs w:val="18"/>
              </w:rPr>
              <w:fldChar w:fldCharType="end"/>
            </w:r>
          </w:p>
        </w:tc>
        <w:tc>
          <w:tcPr>
            <w:tcW w:w="171" w:type="pct"/>
            <w:shd w:val="clear" w:color="000000" w:fill="FFFFFF"/>
            <w:vAlign w:val="center"/>
            <w:hideMark/>
          </w:tcPr>
          <w:p w14:paraId="5C07FB11"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3937AFFD" w14:textId="77777777" w:rsidR="005A043A" w:rsidRPr="00214F41" w:rsidRDefault="005A043A" w:rsidP="00286762">
            <w:pPr>
              <w:jc w:val="center"/>
              <w:rPr>
                <w:sz w:val="18"/>
                <w:szCs w:val="18"/>
                <w:lang w:val="en-GB"/>
              </w:rPr>
            </w:pPr>
            <w:r w:rsidRPr="00214F41">
              <w:rPr>
                <w:sz w:val="18"/>
                <w:szCs w:val="18"/>
                <w:lang w:val="en-GB"/>
              </w:rPr>
              <w:t xml:space="preserve">To </w:t>
            </w:r>
            <w:proofErr w:type="spellStart"/>
            <w:r w:rsidRPr="00214F41">
              <w:rPr>
                <w:sz w:val="18"/>
                <w:szCs w:val="18"/>
                <w:lang w:val="en-GB"/>
              </w:rPr>
              <w:t>asses</w:t>
            </w:r>
            <w:proofErr w:type="spellEnd"/>
            <w:r w:rsidRPr="00214F41">
              <w:rPr>
                <w:sz w:val="18"/>
                <w:szCs w:val="18"/>
                <w:lang w:val="en-GB"/>
              </w:rPr>
              <w:t xml:space="preserve"> the efficacy/safety of canagliflozin (CANA), a sodium–glucose cotransporter 2 (SGLT2) inhibitor, or metformin extended-release (MET) initial monotherapies in drug-naïve T2DM.</w:t>
            </w:r>
          </w:p>
        </w:tc>
        <w:tc>
          <w:tcPr>
            <w:tcW w:w="364" w:type="pct"/>
            <w:shd w:val="clear" w:color="000000" w:fill="FFFFFF"/>
            <w:vAlign w:val="center"/>
            <w:hideMark/>
          </w:tcPr>
          <w:p w14:paraId="28675D92" w14:textId="77777777" w:rsidR="005A043A" w:rsidRPr="00214F41" w:rsidRDefault="005A043A" w:rsidP="00286762">
            <w:pPr>
              <w:jc w:val="center"/>
              <w:rPr>
                <w:sz w:val="18"/>
                <w:szCs w:val="18"/>
                <w:lang w:val="en-GB"/>
              </w:rPr>
            </w:pPr>
            <w:r w:rsidRPr="00214F41">
              <w:rPr>
                <w:sz w:val="18"/>
                <w:szCs w:val="18"/>
                <w:lang w:val="en-GB"/>
              </w:rPr>
              <w:t>1186/1186</w:t>
            </w:r>
          </w:p>
        </w:tc>
        <w:tc>
          <w:tcPr>
            <w:tcW w:w="200" w:type="pct"/>
            <w:shd w:val="clear" w:color="000000" w:fill="FFFFFF"/>
            <w:vAlign w:val="center"/>
            <w:hideMark/>
          </w:tcPr>
          <w:p w14:paraId="207D69A8"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064B0DAE"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08586FCE" w14:textId="77777777" w:rsidR="005A043A" w:rsidRPr="00214F41" w:rsidRDefault="005A043A" w:rsidP="00286762">
            <w:pPr>
              <w:jc w:val="center"/>
              <w:rPr>
                <w:sz w:val="18"/>
                <w:szCs w:val="18"/>
                <w:lang w:val="en-GB"/>
              </w:rPr>
            </w:pPr>
            <w:r w:rsidRPr="00214F41">
              <w:rPr>
                <w:sz w:val="18"/>
                <w:szCs w:val="18"/>
                <w:lang w:val="en-GB"/>
              </w:rPr>
              <w:t>1930mg/1/d</w:t>
            </w:r>
          </w:p>
        </w:tc>
        <w:tc>
          <w:tcPr>
            <w:tcW w:w="204" w:type="pct"/>
            <w:shd w:val="clear" w:color="000000" w:fill="FFFFFF"/>
            <w:vAlign w:val="center"/>
            <w:hideMark/>
          </w:tcPr>
          <w:p w14:paraId="43C5F007" w14:textId="77777777" w:rsidR="005A043A" w:rsidRPr="00214F41" w:rsidRDefault="005A043A" w:rsidP="00286762">
            <w:pPr>
              <w:jc w:val="center"/>
              <w:rPr>
                <w:sz w:val="18"/>
                <w:szCs w:val="18"/>
                <w:lang w:val="en-GB"/>
              </w:rPr>
            </w:pPr>
            <w:r w:rsidRPr="00214F41">
              <w:rPr>
                <w:sz w:val="18"/>
                <w:szCs w:val="18"/>
                <w:lang w:val="en-GB"/>
              </w:rPr>
              <w:t>182</w:t>
            </w:r>
          </w:p>
        </w:tc>
        <w:tc>
          <w:tcPr>
            <w:tcW w:w="247" w:type="pct"/>
            <w:shd w:val="clear" w:color="000000" w:fill="FFFFFF"/>
            <w:vAlign w:val="center"/>
            <w:hideMark/>
          </w:tcPr>
          <w:p w14:paraId="1B960D3E" w14:textId="77777777" w:rsidR="005A043A" w:rsidRPr="00214F41" w:rsidRDefault="005A043A" w:rsidP="00286762">
            <w:pPr>
              <w:jc w:val="center"/>
              <w:rPr>
                <w:sz w:val="18"/>
                <w:szCs w:val="18"/>
                <w:lang w:val="en-GB"/>
              </w:rPr>
            </w:pPr>
            <w:r w:rsidRPr="00214F41">
              <w:rPr>
                <w:sz w:val="18"/>
                <w:szCs w:val="18"/>
                <w:lang w:val="en-GB"/>
              </w:rPr>
              <w:t>XR</w:t>
            </w:r>
          </w:p>
        </w:tc>
        <w:tc>
          <w:tcPr>
            <w:tcW w:w="491" w:type="pct"/>
            <w:shd w:val="clear" w:color="000000" w:fill="FFFFFF"/>
            <w:vAlign w:val="center"/>
          </w:tcPr>
          <w:p w14:paraId="6686CF0D" w14:textId="77777777" w:rsidR="005A043A" w:rsidRPr="00214F41" w:rsidRDefault="005A043A" w:rsidP="00286762">
            <w:pPr>
              <w:jc w:val="center"/>
              <w:rPr>
                <w:sz w:val="18"/>
                <w:szCs w:val="18"/>
                <w:lang w:val="en-GB"/>
              </w:rPr>
            </w:pPr>
            <w:r w:rsidRPr="00214F41">
              <w:rPr>
                <w:sz w:val="18"/>
                <w:szCs w:val="18"/>
                <w:lang w:val="en-GB"/>
              </w:rPr>
              <w:t>Metformin XR</w:t>
            </w:r>
          </w:p>
        </w:tc>
        <w:tc>
          <w:tcPr>
            <w:tcW w:w="491" w:type="pct"/>
            <w:shd w:val="clear" w:color="000000" w:fill="FFFFFF"/>
            <w:vAlign w:val="center"/>
            <w:hideMark/>
          </w:tcPr>
          <w:p w14:paraId="5CC20328" w14:textId="77777777" w:rsidR="005A043A" w:rsidRPr="00214F41" w:rsidRDefault="005A043A" w:rsidP="00286762">
            <w:pPr>
              <w:jc w:val="center"/>
              <w:rPr>
                <w:sz w:val="18"/>
                <w:szCs w:val="18"/>
                <w:lang w:val="en-GB"/>
              </w:rPr>
            </w:pPr>
            <w:r w:rsidRPr="00214F41">
              <w:rPr>
                <w:sz w:val="18"/>
                <w:szCs w:val="18"/>
                <w:lang w:val="en-GB"/>
              </w:rPr>
              <w:t>Canagliflozin 100 mg/SGLT2 inhibitor</w:t>
            </w:r>
          </w:p>
        </w:tc>
        <w:tc>
          <w:tcPr>
            <w:tcW w:w="245" w:type="pct"/>
            <w:gridSpan w:val="2"/>
            <w:shd w:val="clear" w:color="000000" w:fill="FFFFFF"/>
            <w:vAlign w:val="center"/>
            <w:hideMark/>
          </w:tcPr>
          <w:p w14:paraId="1A0002C8" w14:textId="77777777" w:rsidR="005A043A" w:rsidRPr="00214F41" w:rsidRDefault="005A043A" w:rsidP="00286762">
            <w:pPr>
              <w:jc w:val="center"/>
              <w:rPr>
                <w:sz w:val="18"/>
                <w:szCs w:val="18"/>
                <w:lang w:val="en-GB"/>
              </w:rPr>
            </w:pPr>
            <w:r w:rsidRPr="00214F41">
              <w:rPr>
                <w:sz w:val="18"/>
                <w:szCs w:val="18"/>
                <w:lang w:val="en-GB"/>
              </w:rPr>
              <w:t>54.6±10.3</w:t>
            </w:r>
          </w:p>
        </w:tc>
        <w:tc>
          <w:tcPr>
            <w:tcW w:w="202" w:type="pct"/>
            <w:shd w:val="clear" w:color="000000" w:fill="FFFFFF"/>
            <w:vAlign w:val="center"/>
            <w:hideMark/>
          </w:tcPr>
          <w:p w14:paraId="0D775FB1" w14:textId="77777777" w:rsidR="005A043A" w:rsidRPr="00214F41" w:rsidRDefault="005A043A" w:rsidP="00286762">
            <w:pPr>
              <w:jc w:val="center"/>
              <w:rPr>
                <w:sz w:val="18"/>
                <w:szCs w:val="18"/>
                <w:lang w:val="en-GB"/>
              </w:rPr>
            </w:pPr>
            <w:r w:rsidRPr="00214F41">
              <w:rPr>
                <w:sz w:val="18"/>
                <w:szCs w:val="18"/>
                <w:lang w:val="en-GB"/>
              </w:rPr>
              <w:t>221/46.62</w:t>
            </w:r>
          </w:p>
        </w:tc>
        <w:tc>
          <w:tcPr>
            <w:tcW w:w="265" w:type="pct"/>
            <w:gridSpan w:val="2"/>
            <w:shd w:val="clear" w:color="000000" w:fill="FFFFFF"/>
            <w:vAlign w:val="center"/>
            <w:hideMark/>
          </w:tcPr>
          <w:p w14:paraId="379EC325" w14:textId="77777777" w:rsidR="005A043A" w:rsidRPr="00214F41" w:rsidRDefault="005A043A" w:rsidP="00286762">
            <w:pPr>
              <w:jc w:val="center"/>
              <w:rPr>
                <w:sz w:val="18"/>
                <w:szCs w:val="18"/>
                <w:lang w:val="en-GB"/>
              </w:rPr>
            </w:pPr>
            <w:r w:rsidRPr="00214F41">
              <w:rPr>
                <w:sz w:val="18"/>
                <w:szCs w:val="18"/>
                <w:lang w:val="en-GB"/>
              </w:rPr>
              <w:t>33±6</w:t>
            </w:r>
          </w:p>
        </w:tc>
        <w:tc>
          <w:tcPr>
            <w:tcW w:w="266" w:type="pct"/>
            <w:gridSpan w:val="2"/>
            <w:shd w:val="clear" w:color="000000" w:fill="FFFFFF"/>
            <w:vAlign w:val="center"/>
            <w:hideMark/>
          </w:tcPr>
          <w:p w14:paraId="60B144F8" w14:textId="77777777" w:rsidR="005A043A" w:rsidRPr="00214F41" w:rsidRDefault="005A043A" w:rsidP="00286762">
            <w:pPr>
              <w:jc w:val="center"/>
              <w:rPr>
                <w:sz w:val="18"/>
                <w:szCs w:val="18"/>
                <w:lang w:val="en-GB"/>
              </w:rPr>
            </w:pPr>
            <w:r w:rsidRPr="00214F41">
              <w:rPr>
                <w:sz w:val="18"/>
                <w:szCs w:val="18"/>
                <w:lang w:val="en-GB"/>
              </w:rPr>
              <w:t>32.4/5.4</w:t>
            </w:r>
          </w:p>
        </w:tc>
      </w:tr>
      <w:tr w:rsidR="005A043A" w:rsidRPr="0072287D" w14:paraId="2B9EF4E6" w14:textId="77777777" w:rsidTr="00286762">
        <w:trPr>
          <w:trHeight w:val="930"/>
        </w:trPr>
        <w:tc>
          <w:tcPr>
            <w:tcW w:w="338" w:type="pct"/>
            <w:shd w:val="clear" w:color="000000" w:fill="FFFFFF"/>
            <w:vAlign w:val="center"/>
            <w:hideMark/>
          </w:tcPr>
          <w:p w14:paraId="741E04B8" w14:textId="77777777" w:rsidR="005A043A" w:rsidRPr="00214F41" w:rsidRDefault="005A043A" w:rsidP="00286762">
            <w:pPr>
              <w:jc w:val="center"/>
              <w:rPr>
                <w:sz w:val="18"/>
                <w:szCs w:val="18"/>
                <w:lang w:val="en-GB"/>
              </w:rPr>
            </w:pPr>
            <w:r w:rsidRPr="00214F41">
              <w:rPr>
                <w:sz w:val="18"/>
                <w:szCs w:val="18"/>
                <w:lang w:val="en-GB"/>
              </w:rPr>
              <w:t xml:space="preserve">Russell-Jones et al., 2012 </w:t>
            </w:r>
            <w:r w:rsidRPr="00214F41">
              <w:rPr>
                <w:sz w:val="18"/>
                <w:szCs w:val="18"/>
                <w:lang w:val="en-GB"/>
              </w:rPr>
              <w:fldChar w:fldCharType="begin" w:fldLock="1"/>
            </w:r>
            <w:r>
              <w:rPr>
                <w:sz w:val="18"/>
                <w:szCs w:val="18"/>
                <w:lang w:val="en-GB"/>
              </w:rPr>
              <w:instrText>ADDIN CSL_CITATION {"citationItems":[{"id":"ITEM-1","itemData":{"DOI":"10.2337/dc11-1107","ISSN":"1935-5548","abstract":"OBJECTIVE: To test the safety and efficacy of exenatide once weekly (EQW) compared with metformin (MET), pioglitazone (PIO), and sitagliptin (SITA) over 26 weeks, in suboptimally treated (diet and exercise) drug-naive patients with type 2 diabetes. RESEARCH DESIGN AND METHODS: Patients were randomized to subcutaneous (SC) EQW 2.0 mg + oral placebo (n = 248), MET 2,000 mg/day + SC placebo (n = 246), PIO 45 mg/day + SC placebo (n = 163), or SITA 100 mg/day + SC placebo (n = 163) for 26 weeks. MET and PIO therapies were increased to maximum-tolerated dosages. Injections with EQW or placebo were administered weekly, while oral medication or placebo was administered daily. RESULTS: Baseline characteristics were as follows: 59% men, 67% Caucasian, mean age 54 years, HbA(1c) 8.5%, fasting serum glucose 9.9 mmol/L, body weight 87.0 kg, and diabetes duration 2.7 years. HbA(1c) reductions (%) at 26 weeks (least-squares means) with EQW versus MET, PIO, and SITA were -1.53 vs. -1.48 (P = 0.620), -1.63 (P = 0.328), and -1.15 (P &lt; 0.001), respectively. Weight changes (kg) were -2.0 vs. -2.0 (P = 0.892), +1.5 (P &lt; 0.001), and -0.8 (P &lt; 0.001), respectively. Common adverse events were as follows: EQW, nausea (11.3%) and diarrhea (10.9%); MET, diarrhea (12.6%) and headache (12.2%); PIO, nasopharyngitis (8.6%) and headache (8.0%); and SIT, nasopharyngitis (9.8%) and headache (9.2%). Minor (confirmed) hypoglycemia was rarely reported. No major hypoglycemia occurred. CONCLUSIONS: EQW was noninferior to MET but not PIO and superior to SITA with regard to HbA(1c) reduction at 26 weeks. Of the agents studied, EQW and MET provided similar improvements in glycemic control along with the benefit of weight reduction and no increased risk of hypoglycemia.","author":[{"dropping-particle":"","family":"Russell-Jones","given":"David","non-dropping-particle":"","parse-names":false,"suffix":""},{"dropping-particle":"","family":"Cuddihy","given":"Robert M","non-dropping-particle":"","parse-names":false,"suffix":""},{"dropping-particle":"","family":"Hanefeld","given":"Markolf","non-dropping-particle":"","parse-names":false,"suffix":""},{"dropping-particle":"","family":"Kumar","given":"Ajay","non-dropping-particle":"","parse-names":false,"suffix":""},{"dropping-particle":"","family":"González","given":"Jose G","non-dropping-particle":"","parse-names":false,"suffix":""},{"dropping-particle":"","family":"Chan","given":"Melanie","non-dropping-particle":"","parse-names":false,"suffix":""},{"dropping-particle":"","family":"Wolka","given":"Anne M","non-dropping-particle":"","parse-names":false,"suffix":""},{"dropping-particle":"","family":"Boardman","given":"Marilyn K","non-dropping-particle":"","parse-names":false,"suffix":""},{"dropping-particle":"","family":"Group","given":"DURATION-4 Study","non-dropping-particle":"","parse-names":false,"suffix":""}],"container-title":"Diabetes Care","id":"ITEM-1","issue":"2","issued":{"date-parts":[["2012"]]},"language":"eng","note":"Accession Number: 104532590. Corporate Author: DURATION-4 Study Group. Language: English. Entry Date: 20120622. Revision Date: 20161222. Publication Type: journal article; research; randomized controlled trial. Journal Subset: Biomedical; Blind Peer Reviewed; Editorial Board Reviewed; Expert Peer Reviewed; Peer Reviewed; USA. NLM UID: 7805975.","page":"252-258","title":"Efficacy and safety of exenatide once weekly versus metformin, pioglitazone, and sitagliptin used as monotherapy in drug-naive patients with type 2 diabetes (DURATION-4): a 26-week double-blind study","type":"article-journal","volume":"35"},"uris":["http://www.mendeley.com/documents/?uuid=82a231dd-ce17-4cbc-810b-e621fc7a372a"]}],"mendeley":{"formattedCitation":"[30]","plainTextFormattedCitation":"[30]","previouslyFormattedCitation":"[30]"},"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[30]</w:t>
            </w:r>
            <w:r w:rsidRPr="00214F41">
              <w:rPr>
                <w:sz w:val="18"/>
                <w:szCs w:val="18"/>
                <w:lang w:val="en-GB"/>
              </w:rPr>
              <w:fldChar w:fldCharType="end"/>
            </w:r>
          </w:p>
        </w:tc>
        <w:tc>
          <w:tcPr>
            <w:tcW w:w="171" w:type="pct"/>
            <w:shd w:val="clear" w:color="000000" w:fill="FFFFFF"/>
            <w:vAlign w:val="center"/>
            <w:hideMark/>
          </w:tcPr>
          <w:p w14:paraId="3EA80087"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4E291448" w14:textId="77777777" w:rsidR="005A043A" w:rsidRPr="00214F41" w:rsidRDefault="005A043A" w:rsidP="00286762">
            <w:pPr>
              <w:jc w:val="center"/>
              <w:rPr>
                <w:sz w:val="18"/>
                <w:szCs w:val="18"/>
                <w:lang w:val="en-GB"/>
              </w:rPr>
            </w:pPr>
            <w:r w:rsidRPr="00214F41">
              <w:rPr>
                <w:sz w:val="18"/>
                <w:szCs w:val="18"/>
                <w:lang w:val="en-GB"/>
              </w:rPr>
              <w:t xml:space="preserve">To test the safety and efficacy of metformin (MET) or pioglitazone (PIO) over 26 weeks, in </w:t>
            </w:r>
            <w:proofErr w:type="spellStart"/>
            <w:r w:rsidRPr="00214F41">
              <w:rPr>
                <w:sz w:val="18"/>
                <w:szCs w:val="18"/>
                <w:lang w:val="en-GB"/>
              </w:rPr>
              <w:t>suboptimally</w:t>
            </w:r>
            <w:proofErr w:type="spellEnd"/>
            <w:r w:rsidRPr="00214F41">
              <w:rPr>
                <w:sz w:val="18"/>
                <w:szCs w:val="18"/>
                <w:lang w:val="en-GB"/>
              </w:rPr>
              <w:br/>
              <w:t>treated (diet and exercise) drug-naive patients with T2DM.</w:t>
            </w:r>
          </w:p>
        </w:tc>
        <w:tc>
          <w:tcPr>
            <w:tcW w:w="364" w:type="pct"/>
            <w:shd w:val="clear" w:color="000000" w:fill="FFFFFF"/>
            <w:vAlign w:val="center"/>
            <w:hideMark/>
          </w:tcPr>
          <w:p w14:paraId="18FBF4D0" w14:textId="77777777" w:rsidR="005A043A" w:rsidRPr="00214F41" w:rsidRDefault="005A043A" w:rsidP="00286762">
            <w:pPr>
              <w:jc w:val="center"/>
              <w:rPr>
                <w:sz w:val="18"/>
                <w:szCs w:val="18"/>
                <w:lang w:val="en-GB"/>
              </w:rPr>
            </w:pPr>
            <w:r w:rsidRPr="00214F41">
              <w:rPr>
                <w:sz w:val="18"/>
                <w:szCs w:val="18"/>
                <w:lang w:val="en-GB"/>
              </w:rPr>
              <w:t>820/820</w:t>
            </w:r>
          </w:p>
        </w:tc>
        <w:tc>
          <w:tcPr>
            <w:tcW w:w="200" w:type="pct"/>
            <w:shd w:val="clear" w:color="000000" w:fill="FFFFFF"/>
            <w:vAlign w:val="center"/>
            <w:hideMark/>
          </w:tcPr>
          <w:p w14:paraId="14EB7D32"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292EB265"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7F7E8E40" w14:textId="77777777" w:rsidR="005A043A" w:rsidRPr="00214F41" w:rsidRDefault="005A043A" w:rsidP="00286762">
            <w:pPr>
              <w:jc w:val="center"/>
              <w:rPr>
                <w:sz w:val="18"/>
                <w:szCs w:val="18"/>
                <w:lang w:val="en-GB"/>
              </w:rPr>
            </w:pPr>
            <w:r w:rsidRPr="00214F41">
              <w:rPr>
                <w:sz w:val="18"/>
                <w:szCs w:val="18"/>
                <w:lang w:val="en-GB"/>
              </w:rPr>
              <w:t>2000mg/</w:t>
            </w:r>
            <w:proofErr w:type="spellStart"/>
            <w:r w:rsidRPr="00214F41">
              <w:rPr>
                <w:sz w:val="18"/>
                <w:szCs w:val="18"/>
                <w:lang w:val="en-GB"/>
              </w:rPr>
              <w:t>nd</w:t>
            </w:r>
            <w:proofErr w:type="spellEnd"/>
          </w:p>
        </w:tc>
        <w:tc>
          <w:tcPr>
            <w:tcW w:w="204" w:type="pct"/>
            <w:shd w:val="clear" w:color="000000" w:fill="FFFFFF"/>
            <w:vAlign w:val="center"/>
            <w:hideMark/>
          </w:tcPr>
          <w:p w14:paraId="35242AFB" w14:textId="77777777" w:rsidR="005A043A" w:rsidRPr="00214F41" w:rsidRDefault="005A043A" w:rsidP="00286762">
            <w:pPr>
              <w:jc w:val="center"/>
              <w:rPr>
                <w:sz w:val="18"/>
                <w:szCs w:val="18"/>
                <w:lang w:val="en-GB"/>
              </w:rPr>
            </w:pPr>
            <w:r w:rsidRPr="00214F41">
              <w:rPr>
                <w:sz w:val="18"/>
                <w:szCs w:val="18"/>
                <w:lang w:val="en-GB"/>
              </w:rPr>
              <w:t>182</w:t>
            </w:r>
          </w:p>
        </w:tc>
        <w:tc>
          <w:tcPr>
            <w:tcW w:w="247" w:type="pct"/>
            <w:shd w:val="clear" w:color="000000" w:fill="FFFFFF"/>
            <w:vAlign w:val="center"/>
            <w:hideMark/>
          </w:tcPr>
          <w:p w14:paraId="4791B13B"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3B48FA4D"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79B73BF4" w14:textId="77777777" w:rsidR="005A043A" w:rsidRPr="00214F41" w:rsidRDefault="005A043A" w:rsidP="00286762">
            <w:pPr>
              <w:jc w:val="center"/>
              <w:rPr>
                <w:sz w:val="18"/>
                <w:szCs w:val="18"/>
                <w:lang w:val="en-GB"/>
              </w:rPr>
            </w:pPr>
            <w:r w:rsidRPr="00214F41">
              <w:rPr>
                <w:sz w:val="18"/>
                <w:szCs w:val="18"/>
                <w:lang w:val="en-GB"/>
              </w:rPr>
              <w:t>Pioglitazone/PPR</w:t>
            </w:r>
            <w:r w:rsidRPr="00214F41">
              <w:rPr>
                <w:sz w:val="18"/>
                <w:szCs w:val="18"/>
              </w:rPr>
              <w:t>γ</w:t>
            </w:r>
            <w:r w:rsidRPr="00214F41">
              <w:rPr>
                <w:sz w:val="18"/>
                <w:szCs w:val="18"/>
                <w:lang w:val="en-GB"/>
              </w:rPr>
              <w:t xml:space="preserve"> receptor agonist</w:t>
            </w:r>
          </w:p>
        </w:tc>
        <w:tc>
          <w:tcPr>
            <w:tcW w:w="245" w:type="pct"/>
            <w:gridSpan w:val="2"/>
            <w:shd w:val="clear" w:color="000000" w:fill="FFFFFF"/>
            <w:vAlign w:val="center"/>
            <w:hideMark/>
          </w:tcPr>
          <w:p w14:paraId="0583F3A2" w14:textId="77777777" w:rsidR="005A043A" w:rsidRPr="00214F41" w:rsidRDefault="005A043A" w:rsidP="00286762">
            <w:pPr>
              <w:jc w:val="center"/>
              <w:rPr>
                <w:sz w:val="18"/>
                <w:szCs w:val="18"/>
                <w:lang w:val="en-GB"/>
              </w:rPr>
            </w:pPr>
            <w:r w:rsidRPr="00214F41">
              <w:rPr>
                <w:sz w:val="18"/>
                <w:szCs w:val="18"/>
                <w:lang w:val="en-GB"/>
              </w:rPr>
              <w:t>54.4±11</w:t>
            </w:r>
          </w:p>
        </w:tc>
        <w:tc>
          <w:tcPr>
            <w:tcW w:w="202" w:type="pct"/>
            <w:shd w:val="clear" w:color="000000" w:fill="FFFFFF"/>
            <w:vAlign w:val="center"/>
            <w:hideMark/>
          </w:tcPr>
          <w:p w14:paraId="32264839" w14:textId="77777777" w:rsidR="005A043A" w:rsidRPr="00214F41" w:rsidRDefault="005A043A" w:rsidP="00286762">
            <w:pPr>
              <w:jc w:val="center"/>
              <w:rPr>
                <w:sz w:val="18"/>
                <w:szCs w:val="18"/>
                <w:lang w:val="en-GB"/>
              </w:rPr>
            </w:pPr>
            <w:r w:rsidRPr="00214F41">
              <w:rPr>
                <w:sz w:val="18"/>
                <w:szCs w:val="18"/>
                <w:lang w:val="en-GB"/>
              </w:rPr>
              <w:t>251/61.4</w:t>
            </w:r>
          </w:p>
        </w:tc>
        <w:tc>
          <w:tcPr>
            <w:tcW w:w="265" w:type="pct"/>
            <w:gridSpan w:val="2"/>
            <w:shd w:val="clear" w:color="000000" w:fill="FFFFFF"/>
            <w:vAlign w:val="center"/>
            <w:hideMark/>
          </w:tcPr>
          <w:p w14:paraId="01AD794B" w14:textId="77777777" w:rsidR="005A043A" w:rsidRPr="00214F41" w:rsidRDefault="005A043A" w:rsidP="00286762">
            <w:pPr>
              <w:jc w:val="center"/>
              <w:rPr>
                <w:sz w:val="18"/>
                <w:szCs w:val="18"/>
                <w:lang w:val="en-GB"/>
              </w:rPr>
            </w:pPr>
            <w:r w:rsidRPr="00214F41">
              <w:rPr>
                <w:sz w:val="18"/>
                <w:szCs w:val="18"/>
                <w:lang w:val="en-GB"/>
              </w:rPr>
              <w:t>30.7±5.5</w:t>
            </w:r>
          </w:p>
        </w:tc>
        <w:tc>
          <w:tcPr>
            <w:tcW w:w="266" w:type="pct"/>
            <w:gridSpan w:val="2"/>
            <w:shd w:val="clear" w:color="000000" w:fill="FFFFFF"/>
            <w:vAlign w:val="center"/>
            <w:hideMark/>
          </w:tcPr>
          <w:p w14:paraId="7712E9C4" w14:textId="77777777" w:rsidR="005A043A" w:rsidRPr="00214F41" w:rsidRDefault="005A043A" w:rsidP="00286762">
            <w:pPr>
              <w:jc w:val="center"/>
              <w:rPr>
                <w:sz w:val="18"/>
                <w:szCs w:val="18"/>
                <w:lang w:val="en-GB"/>
              </w:rPr>
            </w:pPr>
            <w:r w:rsidRPr="00214F41">
              <w:rPr>
                <w:sz w:val="18"/>
                <w:szCs w:val="18"/>
                <w:lang w:val="en-GB"/>
              </w:rPr>
              <w:t>31.1/5.3</w:t>
            </w:r>
          </w:p>
        </w:tc>
      </w:tr>
      <w:tr w:rsidR="005A043A" w:rsidRPr="00214F41" w14:paraId="5C77812E" w14:textId="77777777" w:rsidTr="00286762">
        <w:trPr>
          <w:trHeight w:val="930"/>
        </w:trPr>
        <w:tc>
          <w:tcPr>
            <w:tcW w:w="338" w:type="pct"/>
            <w:shd w:val="clear" w:color="000000" w:fill="FFFFFF"/>
            <w:vAlign w:val="center"/>
            <w:hideMark/>
          </w:tcPr>
          <w:p w14:paraId="0C25ED4E" w14:textId="77777777" w:rsidR="005A043A" w:rsidRPr="00214F41" w:rsidRDefault="005A043A" w:rsidP="00286762">
            <w:pPr>
              <w:jc w:val="center"/>
              <w:rPr>
                <w:sz w:val="18"/>
                <w:szCs w:val="18"/>
                <w:lang w:val="en-GB"/>
              </w:rPr>
            </w:pPr>
            <w:proofErr w:type="spellStart"/>
            <w:r w:rsidRPr="00214F41">
              <w:rPr>
                <w:sz w:val="18"/>
                <w:szCs w:val="18"/>
                <w:lang w:val="en-GB"/>
              </w:rPr>
              <w:t>Schernthaner</w:t>
            </w:r>
            <w:proofErr w:type="spellEnd"/>
            <w:r w:rsidRPr="00214F41">
              <w:rPr>
                <w:sz w:val="18"/>
                <w:szCs w:val="18"/>
                <w:lang w:val="en-GB"/>
              </w:rPr>
              <w:t xml:space="preserve"> et al., 2004 </w:t>
            </w:r>
            <w:r w:rsidRPr="00214F41">
              <w:rPr>
                <w:sz w:val="18"/>
                <w:szCs w:val="18"/>
                <w:lang w:val="en-GB"/>
              </w:rPr>
              <w:fldChar w:fldCharType="begin" w:fldLock="1"/>
            </w:r>
            <w:r>
              <w:rPr>
                <w:sz w:val="18"/>
                <w:szCs w:val="18"/>
                <w:lang w:val="en-GB"/>
              </w:rPr>
              <w:instrText>ADDIN CSL_CITATION {"citationItems":[{"id":"ITEM-1","itemData":{"DOI":"10.1210/jc.2003-030861","ISSN":"0021-972X","abstract":"Abstract. Pioglitazone increases the insulin sensitivity of peripheral tissues and may provide an alternative first-line treatment for type 2 diabetes. This stu","author":[{"dropping-particle":"","family":"Schernthaner","given":"G","non-dropping-particle":"","parse-names":false,"suffix":""},{"dropping-particle":"","family":"Matthews","given":"D R","non-dropping-particle":"","parse-names":false,"suffix":""},{"dropping-particle":"","family":"Charbonnel","given":"B","non-dropping-particle":"","parse-names":false,"suffix":""},{"dropping-particle":"","family":"Hanefeld","given":"M","non-dropping-particle":"","parse-names":false,"suffix":""},{"dropping-particle":"","family":"Brunetti","given":"P","non-dropping-particle":"","parse-names":false,"suffix":""}],"container-title":"The Journal of Clinical Endocrinology &amp; Metabolism","id":"ITEM-1","issue":"12","issued":{"date-parts":[["2004","11","25"]]},"language":"en","page":"6068-6076","title":"Efficacy and Safety of Pioglitazone Versus Metformin in Patients with Type 2 Diabetes Mellitus: A Double-Blind, Randomized Trial","type":"article-journal","volume":"89"},"uris":["http://www.mendeley.com/documents/?uuid=9ed8d48a-d59b-41f8-9fbe-c9b2cd39cce2"]}],"mendeley":{"formattedCitation":"[31]","plainTextFormattedCitation":"[31]","previouslyFormattedCitation":"[31]"},"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[31]</w:t>
            </w:r>
            <w:r w:rsidRPr="00214F41">
              <w:rPr>
                <w:sz w:val="18"/>
                <w:szCs w:val="18"/>
                <w:lang w:val="en-GB"/>
              </w:rPr>
              <w:fldChar w:fldCharType="end"/>
            </w:r>
          </w:p>
        </w:tc>
        <w:tc>
          <w:tcPr>
            <w:tcW w:w="171" w:type="pct"/>
            <w:shd w:val="clear" w:color="000000" w:fill="FFFFFF"/>
            <w:vAlign w:val="center"/>
            <w:hideMark/>
          </w:tcPr>
          <w:p w14:paraId="260D8355"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6F741DFB" w14:textId="77777777" w:rsidR="005A043A" w:rsidRPr="00214F41" w:rsidRDefault="005A043A" w:rsidP="00286762">
            <w:pPr>
              <w:jc w:val="center"/>
              <w:rPr>
                <w:sz w:val="18"/>
                <w:szCs w:val="18"/>
                <w:lang w:val="en-GB"/>
              </w:rPr>
            </w:pPr>
            <w:r w:rsidRPr="00214F41">
              <w:rPr>
                <w:sz w:val="18"/>
                <w:szCs w:val="18"/>
                <w:lang w:val="en-GB"/>
              </w:rPr>
              <w:t>To compare metabolic control in</w:t>
            </w:r>
            <w:r w:rsidRPr="00214F41">
              <w:rPr>
                <w:sz w:val="18"/>
                <w:szCs w:val="18"/>
                <w:lang w:val="en-GB"/>
              </w:rPr>
              <w:br/>
              <w:t>drug-naive T2DM patients given either pioglitazone</w:t>
            </w:r>
            <w:r w:rsidRPr="00214F41">
              <w:rPr>
                <w:sz w:val="18"/>
                <w:szCs w:val="18"/>
                <w:lang w:val="en-GB"/>
              </w:rPr>
              <w:br/>
              <w:t>or metformin.</w:t>
            </w:r>
          </w:p>
        </w:tc>
        <w:tc>
          <w:tcPr>
            <w:tcW w:w="364" w:type="pct"/>
            <w:shd w:val="clear" w:color="000000" w:fill="FFFFFF"/>
            <w:vAlign w:val="center"/>
            <w:hideMark/>
          </w:tcPr>
          <w:p w14:paraId="54AF18AC" w14:textId="77777777" w:rsidR="005A043A" w:rsidRPr="00214F41" w:rsidRDefault="005A043A" w:rsidP="00286762">
            <w:pPr>
              <w:jc w:val="center"/>
              <w:rPr>
                <w:sz w:val="18"/>
                <w:szCs w:val="18"/>
                <w:lang w:val="en-GB"/>
              </w:rPr>
            </w:pPr>
            <w:r w:rsidRPr="00214F41">
              <w:rPr>
                <w:sz w:val="18"/>
                <w:szCs w:val="18"/>
                <w:lang w:val="en-GB"/>
              </w:rPr>
              <w:t>1199/1194</w:t>
            </w:r>
          </w:p>
        </w:tc>
        <w:tc>
          <w:tcPr>
            <w:tcW w:w="200" w:type="pct"/>
            <w:shd w:val="clear" w:color="000000" w:fill="FFFFFF"/>
            <w:vAlign w:val="center"/>
            <w:hideMark/>
          </w:tcPr>
          <w:p w14:paraId="5C526D4D"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6138159C"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3FA1FE6E" w14:textId="77777777" w:rsidR="005A043A" w:rsidRPr="00214F41" w:rsidRDefault="005A043A" w:rsidP="00286762">
            <w:pPr>
              <w:jc w:val="center"/>
              <w:rPr>
                <w:sz w:val="18"/>
                <w:szCs w:val="18"/>
                <w:lang w:val="en-GB"/>
              </w:rPr>
            </w:pPr>
            <w:r w:rsidRPr="00214F41">
              <w:rPr>
                <w:sz w:val="18"/>
                <w:szCs w:val="18"/>
                <w:lang w:val="en-GB"/>
              </w:rPr>
              <w:t>2124mg/3/d</w:t>
            </w:r>
          </w:p>
        </w:tc>
        <w:tc>
          <w:tcPr>
            <w:tcW w:w="204" w:type="pct"/>
            <w:shd w:val="clear" w:color="000000" w:fill="FFFFFF"/>
            <w:vAlign w:val="center"/>
            <w:hideMark/>
          </w:tcPr>
          <w:p w14:paraId="44AA85FF" w14:textId="77777777" w:rsidR="005A043A" w:rsidRPr="00214F41" w:rsidRDefault="005A043A" w:rsidP="00286762">
            <w:pPr>
              <w:jc w:val="center"/>
              <w:rPr>
                <w:sz w:val="18"/>
                <w:szCs w:val="18"/>
                <w:lang w:val="en-GB"/>
              </w:rPr>
            </w:pPr>
            <w:r w:rsidRPr="00214F41">
              <w:rPr>
                <w:sz w:val="18"/>
                <w:szCs w:val="18"/>
                <w:lang w:val="en-GB"/>
              </w:rPr>
              <w:t>364</w:t>
            </w:r>
          </w:p>
        </w:tc>
        <w:tc>
          <w:tcPr>
            <w:tcW w:w="247" w:type="pct"/>
            <w:shd w:val="clear" w:color="000000" w:fill="FFFFFF"/>
            <w:vAlign w:val="center"/>
            <w:hideMark/>
          </w:tcPr>
          <w:p w14:paraId="5CE35EC7"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19B7DBA7"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3D724399" w14:textId="77777777" w:rsidR="005A043A" w:rsidRPr="00214F41" w:rsidRDefault="005A043A" w:rsidP="00286762">
            <w:pPr>
              <w:jc w:val="center"/>
              <w:rPr>
                <w:sz w:val="18"/>
                <w:szCs w:val="18"/>
                <w:lang w:val="en-GB"/>
              </w:rPr>
            </w:pPr>
            <w:r w:rsidRPr="00214F41">
              <w:rPr>
                <w:sz w:val="18"/>
                <w:szCs w:val="18"/>
                <w:lang w:val="en-GB"/>
              </w:rPr>
              <w:t>Pioglitazone/PPR</w:t>
            </w:r>
            <w:r w:rsidRPr="00214F41">
              <w:rPr>
                <w:sz w:val="18"/>
                <w:szCs w:val="18"/>
              </w:rPr>
              <w:t>γ</w:t>
            </w:r>
            <w:r w:rsidRPr="00214F41">
              <w:rPr>
                <w:sz w:val="18"/>
                <w:szCs w:val="18"/>
                <w:lang w:val="en-GB"/>
              </w:rPr>
              <w:t xml:space="preserve"> receptor agonist</w:t>
            </w:r>
          </w:p>
        </w:tc>
        <w:tc>
          <w:tcPr>
            <w:tcW w:w="245" w:type="pct"/>
            <w:gridSpan w:val="2"/>
            <w:shd w:val="clear" w:color="000000" w:fill="FFFFFF"/>
            <w:vAlign w:val="center"/>
            <w:hideMark/>
          </w:tcPr>
          <w:p w14:paraId="63982BAE" w14:textId="77777777" w:rsidR="005A043A" w:rsidRPr="00214F41" w:rsidRDefault="005A043A" w:rsidP="00286762">
            <w:pPr>
              <w:jc w:val="center"/>
              <w:rPr>
                <w:sz w:val="18"/>
                <w:szCs w:val="18"/>
                <w:lang w:val="en-GB"/>
              </w:rPr>
            </w:pPr>
            <w:r w:rsidRPr="00214F41">
              <w:rPr>
                <w:sz w:val="18"/>
                <w:szCs w:val="18"/>
                <w:lang w:val="en-GB"/>
              </w:rPr>
              <w:t>56.5±9.4</w:t>
            </w:r>
          </w:p>
        </w:tc>
        <w:tc>
          <w:tcPr>
            <w:tcW w:w="202" w:type="pct"/>
            <w:shd w:val="clear" w:color="000000" w:fill="FFFFFF"/>
            <w:vAlign w:val="center"/>
            <w:hideMark/>
          </w:tcPr>
          <w:p w14:paraId="5FD0B004" w14:textId="77777777" w:rsidR="005A043A" w:rsidRPr="00214F41" w:rsidRDefault="005A043A" w:rsidP="00286762">
            <w:pPr>
              <w:jc w:val="center"/>
              <w:rPr>
                <w:sz w:val="18"/>
                <w:szCs w:val="18"/>
                <w:lang w:val="en-GB"/>
              </w:rPr>
            </w:pPr>
            <w:r w:rsidRPr="00214F41">
              <w:rPr>
                <w:sz w:val="18"/>
                <w:szCs w:val="18"/>
                <w:lang w:val="en-GB"/>
              </w:rPr>
              <w:t>659/55.2</w:t>
            </w:r>
          </w:p>
        </w:tc>
        <w:tc>
          <w:tcPr>
            <w:tcW w:w="265" w:type="pct"/>
            <w:gridSpan w:val="2"/>
            <w:shd w:val="clear" w:color="000000" w:fill="FFFFFF"/>
            <w:vAlign w:val="center"/>
            <w:hideMark/>
          </w:tcPr>
          <w:p w14:paraId="63FD6251" w14:textId="77777777" w:rsidR="005A043A" w:rsidRPr="00214F41" w:rsidRDefault="005A043A" w:rsidP="00286762">
            <w:pPr>
              <w:jc w:val="center"/>
              <w:rPr>
                <w:sz w:val="18"/>
                <w:szCs w:val="18"/>
                <w:lang w:val="en-GB"/>
              </w:rPr>
            </w:pPr>
            <w:r w:rsidRPr="00214F41">
              <w:rPr>
                <w:sz w:val="18"/>
                <w:szCs w:val="18"/>
                <w:lang w:val="en-GB"/>
              </w:rPr>
              <w:t>31.4±5.2</w:t>
            </w:r>
          </w:p>
        </w:tc>
        <w:tc>
          <w:tcPr>
            <w:tcW w:w="266" w:type="pct"/>
            <w:gridSpan w:val="2"/>
            <w:shd w:val="clear" w:color="000000" w:fill="FFFFFF"/>
            <w:vAlign w:val="center"/>
            <w:hideMark/>
          </w:tcPr>
          <w:p w14:paraId="0AB1A79A" w14:textId="77777777" w:rsidR="005A043A" w:rsidRPr="00214F41" w:rsidRDefault="005A043A" w:rsidP="00286762">
            <w:pPr>
              <w:jc w:val="center"/>
              <w:rPr>
                <w:sz w:val="18"/>
                <w:szCs w:val="18"/>
                <w:lang w:val="en-GB"/>
              </w:rPr>
            </w:pPr>
            <w:r w:rsidRPr="00214F41">
              <w:rPr>
                <w:sz w:val="18"/>
                <w:szCs w:val="18"/>
                <w:lang w:val="en-GB"/>
              </w:rPr>
              <w:t>31.2/4.9</w:t>
            </w:r>
          </w:p>
        </w:tc>
      </w:tr>
      <w:tr w:rsidR="005A043A" w:rsidRPr="00214F41" w14:paraId="3A1F23B9" w14:textId="77777777" w:rsidTr="00286762">
        <w:trPr>
          <w:trHeight w:val="930"/>
        </w:trPr>
        <w:tc>
          <w:tcPr>
            <w:tcW w:w="338" w:type="pct"/>
            <w:shd w:val="clear" w:color="000000" w:fill="FFFFFF"/>
            <w:vAlign w:val="center"/>
            <w:hideMark/>
          </w:tcPr>
          <w:p w14:paraId="6FA3B16D" w14:textId="77777777" w:rsidR="005A043A" w:rsidRPr="00214F41" w:rsidRDefault="005A043A" w:rsidP="00286762">
            <w:pPr>
              <w:jc w:val="center"/>
              <w:rPr>
                <w:sz w:val="18"/>
                <w:szCs w:val="18"/>
                <w:lang w:val="en-GB"/>
              </w:rPr>
            </w:pPr>
            <w:r w:rsidRPr="00214F41">
              <w:rPr>
                <w:sz w:val="18"/>
                <w:szCs w:val="18"/>
                <w:lang w:val="en-GB"/>
              </w:rPr>
              <w:t xml:space="preserve">Schweitzer et al., 2007 </w:t>
            </w:r>
            <w:r w:rsidRPr="00214F41">
              <w:rPr>
                <w:sz w:val="18"/>
                <w:szCs w:val="18"/>
                <w:lang w:val="en-GB"/>
              </w:rPr>
              <w:fldChar w:fldCharType="begin" w:fldLock="1"/>
            </w:r>
            <w:r>
              <w:rPr>
                <w:sz w:val="18"/>
                <w:szCs w:val="18"/>
                <w:lang w:val="en-GB"/>
              </w:rPr>
              <w:instrText>ADDIN CSL_CITATION {"citationItems":[{"id":"ITEM-1","itemData":{"DOI":"10.1111/J.1464-5491.2007.02191.X","ISSN":"0742-3071","PMID":"17509069","abstract":"Aims: To evaluate the ability of vildagliptin and metformin to sustain reductions in HbA1c over a 1-year treatment period in drug-naïve patients with Type 2 diabetes (Type 2 DM). Methods: Double-blind, randomized, multicentre, active-controlled, parallel-group study of 52-week treatment with vildagliptin (100 mg daily, n = 526) or metformin (titrated to 2000 mg daily, n = 254) in drug-naïve patients (baseline HbA1c = 7.5-11.0%). HbA1c was measured periodically over 1 year. Results: Vildagliptin and metformin each rapidly decreased HbA1c from an equal baseline of 8.7%. Most of the HbA1c reduction was attained by week 12, and the efficacy was sustained throughout 1-year treatment with both agents. At the study end, significant HbA1c reductions from baseline were seen with both vildagliptin (-1.0 ± 0.1%, P &lt; 0.001) and metformin (-1.4 ± 0.1%, P &lt; 0.001); however, statistical non-inferiority of 50 mg vildagliptin twice daily to 1000 mg metformin twice daily was not established. Body weight did not change during the 1-year treatment with vildagliptin (0.3 ± 0.2 kg, P = 0.17) and decreased in metformin-treated patients (-1.9 ± 0.3 kg, P &lt; 0.001). The proportion of patients experiencing an adverse event was 70.1 vs. 75.4% in patients receiving vildagliptin and metformin, respectively. The proportion of patients experiencing a gastrointestinal adverse event was twofold higher in the metformin group, driven by a 3-4-fold greater incidence of diarrhoea, nausea and abdominal pain. The incidence of hypoglycaemia was similarly low in both groups (&lt; 1%). Conclusions: A clinically meaningful decrease in HbA1c that was sustained throughout a 1-year treatment in drug-naïve patients with Type 2 DM was seen with both metformin and vildagliptin monotherapy. © 2007 Novartis.","author":[{"dropping-particle":"","family":"Schweizer","given":"A.","non-dropping-particle":"","parse-names":false,"suffix":""},{"dropping-particle":"","family":"Couturier","given":"A.","non-dropping-particle":"","parse-names":false,"suffix":""},{"dropping-particle":"","family":"Foley","given":"J. E.","non-dropping-particle":"","parse-names":false,"suffix":""},{"dropping-particle":"","family":"Dejager","given":"S.","non-dropping-particle":"","parse-names":false,"suffix":""}],"container-title":"Diabetic medicine : a journal of the British Diabetic Association","id":"ITEM-1","issue":"9","issued":{"date-parts":[["2007","9"]]},"page":"955-961","publisher":"Diabet Med","title":"Comparison between vildagliptin and metformin to sustain reductions in HbA(1c) over 1 year in drug-naïve patients with Type 2 diabetes","type":"article-journal","volume":"24"},"uris":["http://www.mendeley.com/documents/?uuid=89d22fab-aa85-36af-b4bf-be3ffaaec351"]}],"mendeley":{"formattedCitation":"[32]","plainTextFormattedCitation":"[32]","previouslyFormattedCitation":"[32]"},"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[32]</w:t>
            </w:r>
            <w:r w:rsidRPr="00214F41">
              <w:rPr>
                <w:sz w:val="18"/>
                <w:szCs w:val="18"/>
                <w:lang w:val="en-GB"/>
              </w:rPr>
              <w:fldChar w:fldCharType="end"/>
            </w:r>
          </w:p>
        </w:tc>
        <w:tc>
          <w:tcPr>
            <w:tcW w:w="171" w:type="pct"/>
            <w:shd w:val="clear" w:color="000000" w:fill="FFFFFF"/>
            <w:vAlign w:val="center"/>
            <w:hideMark/>
          </w:tcPr>
          <w:p w14:paraId="75DA9C21"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5EA48FCE" w14:textId="77777777" w:rsidR="005A043A" w:rsidRPr="00214F41" w:rsidRDefault="005A043A" w:rsidP="00286762">
            <w:pPr>
              <w:jc w:val="center"/>
              <w:rPr>
                <w:sz w:val="18"/>
                <w:szCs w:val="18"/>
                <w:lang w:val="en-GB"/>
              </w:rPr>
            </w:pPr>
            <w:r w:rsidRPr="00214F41">
              <w:rPr>
                <w:sz w:val="18"/>
                <w:szCs w:val="18"/>
                <w:lang w:val="en-GB"/>
              </w:rPr>
              <w:t>To evaluate the ability of vildagliptin and metformin to sustain reductions in HbA1c over a 1‐year treatment period in drug‐</w:t>
            </w:r>
            <w:r w:rsidRPr="00214F41">
              <w:rPr>
                <w:sz w:val="18"/>
                <w:szCs w:val="18"/>
                <w:lang w:val="en-GB"/>
              </w:rPr>
              <w:lastRenderedPageBreak/>
              <w:t>naïve patients with T2DM (Type 2 DM).</w:t>
            </w:r>
          </w:p>
        </w:tc>
        <w:tc>
          <w:tcPr>
            <w:tcW w:w="364" w:type="pct"/>
            <w:shd w:val="clear" w:color="000000" w:fill="FFFFFF"/>
            <w:vAlign w:val="center"/>
            <w:hideMark/>
          </w:tcPr>
          <w:p w14:paraId="6A2DA860" w14:textId="77777777" w:rsidR="005A043A" w:rsidRPr="00214F41" w:rsidRDefault="005A043A" w:rsidP="00286762">
            <w:pPr>
              <w:jc w:val="center"/>
              <w:rPr>
                <w:sz w:val="18"/>
                <w:szCs w:val="18"/>
                <w:lang w:val="en-GB"/>
              </w:rPr>
            </w:pPr>
            <w:r w:rsidRPr="00214F41">
              <w:rPr>
                <w:sz w:val="18"/>
                <w:szCs w:val="18"/>
                <w:lang w:val="en-GB"/>
              </w:rPr>
              <w:lastRenderedPageBreak/>
              <w:t>780/771</w:t>
            </w:r>
          </w:p>
        </w:tc>
        <w:tc>
          <w:tcPr>
            <w:tcW w:w="200" w:type="pct"/>
            <w:shd w:val="clear" w:color="000000" w:fill="FFFFFF"/>
            <w:vAlign w:val="center"/>
            <w:hideMark/>
          </w:tcPr>
          <w:p w14:paraId="74A16335"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6E67DD84"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21A9F522" w14:textId="77777777" w:rsidR="005A043A" w:rsidRPr="00214F41" w:rsidRDefault="005A043A" w:rsidP="00286762">
            <w:pPr>
              <w:jc w:val="center"/>
              <w:rPr>
                <w:sz w:val="18"/>
                <w:szCs w:val="18"/>
                <w:lang w:val="en-GB"/>
              </w:rPr>
            </w:pPr>
            <w:r w:rsidRPr="00214F41">
              <w:rPr>
                <w:sz w:val="18"/>
                <w:szCs w:val="18"/>
                <w:lang w:val="en-GB"/>
              </w:rPr>
              <w:t>1988m/</w:t>
            </w:r>
            <w:proofErr w:type="spellStart"/>
            <w:r w:rsidRPr="00214F41">
              <w:rPr>
                <w:sz w:val="18"/>
                <w:szCs w:val="18"/>
                <w:lang w:val="en-GB"/>
              </w:rPr>
              <w:t>nd</w:t>
            </w:r>
            <w:proofErr w:type="spellEnd"/>
          </w:p>
        </w:tc>
        <w:tc>
          <w:tcPr>
            <w:tcW w:w="204" w:type="pct"/>
            <w:shd w:val="clear" w:color="000000" w:fill="FFFFFF"/>
            <w:vAlign w:val="center"/>
            <w:hideMark/>
          </w:tcPr>
          <w:p w14:paraId="102DEDA6" w14:textId="77777777" w:rsidR="005A043A" w:rsidRPr="00214F41" w:rsidRDefault="005A043A" w:rsidP="00286762">
            <w:pPr>
              <w:jc w:val="center"/>
              <w:rPr>
                <w:sz w:val="18"/>
                <w:szCs w:val="18"/>
                <w:lang w:val="en-GB"/>
              </w:rPr>
            </w:pPr>
            <w:r w:rsidRPr="00214F41">
              <w:rPr>
                <w:sz w:val="18"/>
                <w:szCs w:val="18"/>
                <w:lang w:val="en-GB"/>
              </w:rPr>
              <w:t>364</w:t>
            </w:r>
          </w:p>
        </w:tc>
        <w:tc>
          <w:tcPr>
            <w:tcW w:w="247" w:type="pct"/>
            <w:shd w:val="clear" w:color="000000" w:fill="FFFFFF"/>
            <w:vAlign w:val="center"/>
            <w:hideMark/>
          </w:tcPr>
          <w:p w14:paraId="4D02BA0B"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7CA80F6F"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5665148D" w14:textId="77777777" w:rsidR="005A043A" w:rsidRPr="00214F41" w:rsidRDefault="005A043A" w:rsidP="00286762">
            <w:pPr>
              <w:jc w:val="center"/>
              <w:rPr>
                <w:sz w:val="18"/>
                <w:szCs w:val="18"/>
                <w:lang w:val="en-GB"/>
              </w:rPr>
            </w:pPr>
            <w:r w:rsidRPr="00214F41">
              <w:rPr>
                <w:sz w:val="18"/>
                <w:szCs w:val="18"/>
                <w:lang w:val="en-GB"/>
              </w:rPr>
              <w:t>Vildagliptin/DPP4 inhibitor</w:t>
            </w:r>
          </w:p>
        </w:tc>
        <w:tc>
          <w:tcPr>
            <w:tcW w:w="245" w:type="pct"/>
            <w:gridSpan w:val="2"/>
            <w:shd w:val="clear" w:color="000000" w:fill="FFFFFF"/>
            <w:vAlign w:val="center"/>
            <w:hideMark/>
          </w:tcPr>
          <w:p w14:paraId="7ED24F8B" w14:textId="77777777" w:rsidR="005A043A" w:rsidRPr="00214F41" w:rsidRDefault="005A043A" w:rsidP="00286762">
            <w:pPr>
              <w:jc w:val="center"/>
              <w:rPr>
                <w:sz w:val="18"/>
                <w:szCs w:val="18"/>
                <w:lang w:val="en-GB"/>
              </w:rPr>
            </w:pPr>
            <w:r w:rsidRPr="00214F41">
              <w:rPr>
                <w:sz w:val="18"/>
                <w:szCs w:val="18"/>
                <w:lang w:val="en-GB"/>
              </w:rPr>
              <w:t>53.1±11.2</w:t>
            </w:r>
          </w:p>
        </w:tc>
        <w:tc>
          <w:tcPr>
            <w:tcW w:w="202" w:type="pct"/>
            <w:shd w:val="clear" w:color="000000" w:fill="FFFFFF"/>
            <w:vAlign w:val="center"/>
            <w:hideMark/>
          </w:tcPr>
          <w:p w14:paraId="65427E08" w14:textId="77777777" w:rsidR="005A043A" w:rsidRPr="00214F41" w:rsidRDefault="005A043A" w:rsidP="00286762">
            <w:pPr>
              <w:jc w:val="center"/>
              <w:rPr>
                <w:sz w:val="18"/>
                <w:szCs w:val="18"/>
                <w:lang w:val="en-GB"/>
              </w:rPr>
            </w:pPr>
            <w:r w:rsidRPr="00214F41">
              <w:rPr>
                <w:sz w:val="18"/>
                <w:szCs w:val="18"/>
                <w:lang w:val="en-GB"/>
              </w:rPr>
              <w:t>424/54.4</w:t>
            </w:r>
          </w:p>
        </w:tc>
        <w:tc>
          <w:tcPr>
            <w:tcW w:w="265" w:type="pct"/>
            <w:gridSpan w:val="2"/>
            <w:shd w:val="clear" w:color="000000" w:fill="FFFFFF"/>
            <w:vAlign w:val="center"/>
            <w:hideMark/>
          </w:tcPr>
          <w:p w14:paraId="42E9E088" w14:textId="77777777" w:rsidR="005A043A" w:rsidRPr="00214F41" w:rsidRDefault="005A043A" w:rsidP="00286762">
            <w:pPr>
              <w:jc w:val="center"/>
              <w:rPr>
                <w:sz w:val="18"/>
                <w:szCs w:val="18"/>
                <w:lang w:val="en-GB"/>
              </w:rPr>
            </w:pPr>
            <w:r w:rsidRPr="00214F41">
              <w:rPr>
                <w:sz w:val="18"/>
                <w:szCs w:val="18"/>
                <w:lang w:val="en-GB"/>
              </w:rPr>
              <w:t>32.5±5.7</w:t>
            </w:r>
          </w:p>
        </w:tc>
        <w:tc>
          <w:tcPr>
            <w:tcW w:w="266" w:type="pct"/>
            <w:gridSpan w:val="2"/>
            <w:shd w:val="clear" w:color="000000" w:fill="FFFFFF"/>
            <w:vAlign w:val="center"/>
            <w:hideMark/>
          </w:tcPr>
          <w:p w14:paraId="2157A344" w14:textId="77777777" w:rsidR="005A043A" w:rsidRPr="00214F41" w:rsidRDefault="005A043A" w:rsidP="00286762">
            <w:pPr>
              <w:jc w:val="center"/>
              <w:rPr>
                <w:sz w:val="18"/>
                <w:szCs w:val="18"/>
                <w:lang w:val="en-GB"/>
              </w:rPr>
            </w:pPr>
            <w:r w:rsidRPr="00214F41">
              <w:rPr>
                <w:sz w:val="18"/>
                <w:szCs w:val="18"/>
                <w:lang w:val="en-GB"/>
              </w:rPr>
              <w:t>32.4/5.7</w:t>
            </w:r>
          </w:p>
        </w:tc>
      </w:tr>
      <w:tr w:rsidR="005A043A" w:rsidRPr="0072287D" w14:paraId="289BB67D" w14:textId="77777777" w:rsidTr="00286762">
        <w:trPr>
          <w:trHeight w:val="930"/>
        </w:trPr>
        <w:tc>
          <w:tcPr>
            <w:tcW w:w="338" w:type="pct"/>
            <w:shd w:val="clear" w:color="000000" w:fill="FFFFFF"/>
            <w:vAlign w:val="center"/>
            <w:hideMark/>
          </w:tcPr>
          <w:p w14:paraId="57AA36A3" w14:textId="77777777" w:rsidR="005A043A" w:rsidRPr="00214F41" w:rsidRDefault="005A043A" w:rsidP="00286762">
            <w:pPr>
              <w:jc w:val="center"/>
              <w:rPr>
                <w:sz w:val="18"/>
                <w:szCs w:val="18"/>
                <w:lang w:val="en-GB"/>
              </w:rPr>
            </w:pPr>
            <w:r w:rsidRPr="00214F41">
              <w:rPr>
                <w:sz w:val="18"/>
                <w:szCs w:val="18"/>
                <w:lang w:val="en-GB"/>
              </w:rPr>
              <w:t xml:space="preserve">Schweitzer et al., 2009 </w:t>
            </w:r>
            <w:r w:rsidRPr="00214F41">
              <w:rPr>
                <w:sz w:val="18"/>
                <w:szCs w:val="18"/>
                <w:lang w:val="en-GB"/>
              </w:rPr>
              <w:fldChar w:fldCharType="begin" w:fldLock="1"/>
            </w:r>
            <w:r>
              <w:rPr>
                <w:sz w:val="18"/>
                <w:szCs w:val="18"/>
                <w:lang w:val="en-GB"/>
              </w:rPr>
              <w:instrText>ADDIN CSL_CITATION {"citationItems":[{"id":"ITEM-1","itemData":{"DOI":"10.1111/j.1463-1326.2009.01051.x","ISSN":"1463-1326","PMID":"19476473","abstract":"AIMS: The study evaluated the efficacy and tolerability of the dipeptidyl peptidase-4 inhibitor, vildagliptin, and metformin in drug-naïve elderly patients with type 2 diabetes. The primary objective was to demonstrate non-inferiority of vildagliptin vs. metformin in glycated haemoglobin (HbA1c) reduction.\nMETHODS: This was a double-blind, randomized, multicentre, active-controlled, parallel-group study of 24-week treatment with vildagliptin (100 mg daily, n=169) or metformin (titrated to 1500 mg daily, n=166) in drug-naïve patients with type 2 diabetes aged{\\textgreater}or=65 years (baseline HbA1c 7-9\\%).\nRESULTS: Participants had a mean age of 71 years, known duration of diabetes of 3 years and mean baseline HbA1c of 7.7\\%. At end-point, vildagliptin was as effective as metformin, improving HbA1c by -0.64+/-0.07\\% and -0.75+/-0.07\\%, respectively, meeting the predefined statistical criterion for non-inferiority (upper limit of 95\\% confidence interval for between-treatment difference{\\textless}or=0.3\\%). Body weight changes were -0.45+/-0.20 kg in vildagliptin-treated patients (p=0.02) and -1.25+/-0.19 kg in metformin-treated patients (p{\\textless}0.001; p=0.004 vs. vildagliptin). The proportion of patients experiencing an adverse event (AE) was 44.3 vs. 50.3\\% in patients receiving vildagliptin and metformin respectively. Gastrointestinal (GI) AEs were significantly more frequent with metformin (24.8\\%) than with vildagliptin (15.0\\%, p=0.028), mainly driven by a 4.4-fold higher incidence of diarrhoea. A low incidence of hypoglycaemia was observed in both treatment groups (0\\% with vildagliptin and 1.2\\% with metformin).\nCONCLUSIONS: Vildagliptin is an effective and well-tolerated treatment option in elderly patients with type 2 diabetes, demonstrating similar improvement in glycaemic control as metformin, with superior GI tolerability.","author":[{"dropping-particle":"","family":"Schweizer","given":"A","non-dropping-particle":"","parse-names":false,"suffix":""},{"dropping-particle":"","family":"Dejager","given":"S","non-dropping-particle":"","parse-names":false,"suffix":""},{"dropping-particle":"","family":"Bosi","given":"E","non-dropping-particle":"","parse-names":false,"suffix":""}],"container-title":"Diabetes, Obesity \\&amp; Metabolism","id":"ITEM-1","issue":"8","issued":{"date-parts":[["2009","8"]]},"page":"804-812","title":"Comparison of vildagliptin and metformin monotherapy in elderly patients with type 2 diabetes: a 24-week, double-blind, randomized trial","title-short":"Comparison of vildagliptin and metformin monothera","type":"article-journal","volume":"11"},"uris":["http://www.mendeley.com/documents/?uuid=0845a90b-4cdb-47e4-bc57-01325b6b4139"]}],"mendeley":{"formattedCitation":"[33]","plainTextFormattedCitation":"[33]","previouslyFormattedCitation":"[33]"},"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[33]</w:t>
            </w:r>
            <w:r w:rsidRPr="00214F41">
              <w:rPr>
                <w:sz w:val="18"/>
                <w:szCs w:val="18"/>
                <w:lang w:val="en-GB"/>
              </w:rPr>
              <w:fldChar w:fldCharType="end"/>
            </w:r>
          </w:p>
        </w:tc>
        <w:tc>
          <w:tcPr>
            <w:tcW w:w="171" w:type="pct"/>
            <w:shd w:val="clear" w:color="000000" w:fill="FFFFFF"/>
            <w:vAlign w:val="center"/>
            <w:hideMark/>
          </w:tcPr>
          <w:p w14:paraId="37FF0187"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4CEA6A9D" w14:textId="77777777" w:rsidR="005A043A" w:rsidRPr="00214F41" w:rsidRDefault="005A043A" w:rsidP="00286762">
            <w:pPr>
              <w:jc w:val="center"/>
              <w:rPr>
                <w:sz w:val="18"/>
                <w:szCs w:val="18"/>
                <w:lang w:val="en-GB"/>
              </w:rPr>
            </w:pPr>
            <w:r w:rsidRPr="00214F41">
              <w:rPr>
                <w:sz w:val="18"/>
                <w:szCs w:val="18"/>
                <w:lang w:val="en-GB"/>
              </w:rPr>
              <w:t>To evaluate the efficacy and tolerability of the dipeptidyl peptidase‐4 inhibitor, vildagliptin, and metformin in drug‐naïve elderly patients with T2DM.</w:t>
            </w:r>
          </w:p>
        </w:tc>
        <w:tc>
          <w:tcPr>
            <w:tcW w:w="364" w:type="pct"/>
            <w:shd w:val="clear" w:color="000000" w:fill="FFFFFF"/>
            <w:vAlign w:val="center"/>
            <w:hideMark/>
          </w:tcPr>
          <w:p w14:paraId="5808E951" w14:textId="77777777" w:rsidR="005A043A" w:rsidRPr="00214F41" w:rsidRDefault="005A043A" w:rsidP="00286762">
            <w:pPr>
              <w:jc w:val="center"/>
              <w:rPr>
                <w:sz w:val="18"/>
                <w:szCs w:val="18"/>
                <w:lang w:val="en-GB"/>
              </w:rPr>
            </w:pPr>
            <w:r w:rsidRPr="00214F41">
              <w:rPr>
                <w:sz w:val="18"/>
                <w:szCs w:val="18"/>
                <w:lang w:val="en-GB"/>
              </w:rPr>
              <w:t>335/332</w:t>
            </w:r>
          </w:p>
        </w:tc>
        <w:tc>
          <w:tcPr>
            <w:tcW w:w="200" w:type="pct"/>
            <w:shd w:val="clear" w:color="000000" w:fill="FFFFFF"/>
            <w:vAlign w:val="center"/>
            <w:hideMark/>
          </w:tcPr>
          <w:p w14:paraId="68EBB1EC"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3515A159"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19DB9B6A" w14:textId="77777777" w:rsidR="005A043A" w:rsidRPr="00214F41" w:rsidRDefault="005A043A" w:rsidP="00286762">
            <w:pPr>
              <w:jc w:val="center"/>
              <w:rPr>
                <w:sz w:val="18"/>
                <w:szCs w:val="18"/>
                <w:lang w:val="en-GB"/>
              </w:rPr>
            </w:pPr>
            <w:r w:rsidRPr="00214F41">
              <w:rPr>
                <w:sz w:val="18"/>
                <w:szCs w:val="18"/>
                <w:lang w:val="en-GB"/>
              </w:rPr>
              <w:t>1500mg/2/d</w:t>
            </w:r>
          </w:p>
        </w:tc>
        <w:tc>
          <w:tcPr>
            <w:tcW w:w="204" w:type="pct"/>
            <w:shd w:val="clear" w:color="000000" w:fill="FFFFFF"/>
            <w:vAlign w:val="center"/>
            <w:hideMark/>
          </w:tcPr>
          <w:p w14:paraId="18E6014F"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shd w:val="clear" w:color="000000" w:fill="FFFFFF"/>
            <w:vAlign w:val="center"/>
            <w:hideMark/>
          </w:tcPr>
          <w:p w14:paraId="4ACCF855"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345FBD68"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57F2012B" w14:textId="77777777" w:rsidR="005A043A" w:rsidRPr="00214F41" w:rsidRDefault="005A043A" w:rsidP="00286762">
            <w:pPr>
              <w:jc w:val="center"/>
              <w:rPr>
                <w:sz w:val="18"/>
                <w:szCs w:val="18"/>
                <w:lang w:val="en-GB"/>
              </w:rPr>
            </w:pPr>
            <w:r w:rsidRPr="00214F41">
              <w:rPr>
                <w:sz w:val="18"/>
                <w:szCs w:val="18"/>
                <w:lang w:val="en-GB"/>
              </w:rPr>
              <w:t>Vildagliptin/DPP4 inhibitor</w:t>
            </w:r>
          </w:p>
        </w:tc>
        <w:tc>
          <w:tcPr>
            <w:tcW w:w="245" w:type="pct"/>
            <w:gridSpan w:val="2"/>
            <w:shd w:val="clear" w:color="000000" w:fill="FFFFFF"/>
            <w:vAlign w:val="center"/>
            <w:hideMark/>
          </w:tcPr>
          <w:p w14:paraId="7A23A5E9" w14:textId="77777777" w:rsidR="005A043A" w:rsidRPr="00214F41" w:rsidRDefault="005A043A" w:rsidP="00286762">
            <w:pPr>
              <w:jc w:val="center"/>
              <w:rPr>
                <w:sz w:val="18"/>
                <w:szCs w:val="18"/>
                <w:lang w:val="en-GB"/>
              </w:rPr>
            </w:pPr>
            <w:r w:rsidRPr="00214F41">
              <w:rPr>
                <w:sz w:val="18"/>
                <w:szCs w:val="18"/>
                <w:lang w:val="en-GB"/>
              </w:rPr>
              <w:t>70.9±5.5</w:t>
            </w:r>
          </w:p>
        </w:tc>
        <w:tc>
          <w:tcPr>
            <w:tcW w:w="202" w:type="pct"/>
            <w:shd w:val="clear" w:color="000000" w:fill="FFFFFF"/>
            <w:vAlign w:val="center"/>
            <w:hideMark/>
          </w:tcPr>
          <w:p w14:paraId="44A0CCF0" w14:textId="77777777" w:rsidR="005A043A" w:rsidRPr="00214F41" w:rsidRDefault="005A043A" w:rsidP="00286762">
            <w:pPr>
              <w:jc w:val="center"/>
              <w:rPr>
                <w:sz w:val="18"/>
                <w:szCs w:val="18"/>
                <w:lang w:val="en-GB"/>
              </w:rPr>
            </w:pPr>
            <w:r w:rsidRPr="00214F41">
              <w:rPr>
                <w:sz w:val="18"/>
                <w:szCs w:val="18"/>
                <w:lang w:val="en-GB"/>
              </w:rPr>
              <w:t>163/48.7</w:t>
            </w:r>
          </w:p>
        </w:tc>
        <w:tc>
          <w:tcPr>
            <w:tcW w:w="265" w:type="pct"/>
            <w:gridSpan w:val="2"/>
            <w:shd w:val="clear" w:color="000000" w:fill="FFFFFF"/>
            <w:vAlign w:val="center"/>
            <w:hideMark/>
          </w:tcPr>
          <w:p w14:paraId="67E2DF3D" w14:textId="77777777" w:rsidR="005A043A" w:rsidRPr="00214F41" w:rsidRDefault="005A043A" w:rsidP="00286762">
            <w:pPr>
              <w:jc w:val="center"/>
              <w:rPr>
                <w:sz w:val="18"/>
                <w:szCs w:val="18"/>
                <w:lang w:val="en-GB"/>
              </w:rPr>
            </w:pPr>
            <w:r w:rsidRPr="00214F41">
              <w:rPr>
                <w:sz w:val="18"/>
                <w:szCs w:val="18"/>
                <w:lang w:val="en-GB"/>
              </w:rPr>
              <w:t>29.4±4.6</w:t>
            </w:r>
          </w:p>
        </w:tc>
        <w:tc>
          <w:tcPr>
            <w:tcW w:w="266" w:type="pct"/>
            <w:gridSpan w:val="2"/>
            <w:shd w:val="clear" w:color="000000" w:fill="FFFFFF"/>
            <w:vAlign w:val="center"/>
            <w:hideMark/>
          </w:tcPr>
          <w:p w14:paraId="059B0F04" w14:textId="77777777" w:rsidR="005A043A" w:rsidRPr="00214F41" w:rsidRDefault="005A043A" w:rsidP="00286762">
            <w:pPr>
              <w:jc w:val="center"/>
              <w:rPr>
                <w:sz w:val="18"/>
                <w:szCs w:val="18"/>
                <w:lang w:val="en-GB"/>
              </w:rPr>
            </w:pPr>
            <w:r w:rsidRPr="00214F41">
              <w:rPr>
                <w:sz w:val="18"/>
                <w:szCs w:val="18"/>
                <w:lang w:val="en-GB"/>
              </w:rPr>
              <w:t>29.8/4.4</w:t>
            </w:r>
          </w:p>
        </w:tc>
      </w:tr>
      <w:tr w:rsidR="005A043A" w:rsidRPr="0072287D" w14:paraId="1A98F6E1" w14:textId="77777777" w:rsidTr="00286762">
        <w:trPr>
          <w:trHeight w:val="930"/>
        </w:trPr>
        <w:tc>
          <w:tcPr>
            <w:tcW w:w="338" w:type="pct"/>
            <w:shd w:val="clear" w:color="000000" w:fill="FFFFFF"/>
            <w:vAlign w:val="center"/>
            <w:hideMark/>
          </w:tcPr>
          <w:p w14:paraId="78B4AF6D" w14:textId="77777777" w:rsidR="005A043A" w:rsidRPr="00214F41" w:rsidRDefault="005A043A" w:rsidP="00286762">
            <w:pPr>
              <w:jc w:val="center"/>
              <w:rPr>
                <w:sz w:val="18"/>
                <w:szCs w:val="18"/>
                <w:lang w:val="en-GB"/>
              </w:rPr>
            </w:pPr>
            <w:r w:rsidRPr="00214F41">
              <w:rPr>
                <w:sz w:val="18"/>
                <w:szCs w:val="18"/>
                <w:lang w:val="en-GB"/>
              </w:rPr>
              <w:t xml:space="preserve">Sun et al., 2016 </w:t>
            </w:r>
            <w:r w:rsidRPr="00214F41">
              <w:rPr>
                <w:sz w:val="18"/>
                <w:szCs w:val="18"/>
                <w:lang w:val="en-GB"/>
              </w:rPr>
              <w:fldChar w:fldCharType="begin" w:fldLock="1"/>
            </w:r>
            <w:r>
              <w:rPr>
                <w:sz w:val="18"/>
                <w:szCs w:val="18"/>
                <w:lang w:val="en-GB"/>
              </w:rPr>
              <w:instrText>ADDIN CSL_CITATION {"citationItems":[{"id":"ITEM-1","itemData":{"DOI":"10.1080/03007995.2016.1176013","ISSN":"1473-4877","abstract":"To compare the efficacy of acarbose and metformin in overweight and/or obese patients with newly diagnosed type 2 diabetes mellitus (T2DM). Methods: A total of 108 drug-naïve patients with newly diagnosed T2DM, whose hemoglobin A1c (HbA1c) was between 7\\% and 10\\% and body mass index was greater than 24 kg/m2, were enrolled in the First People’s Hospital and Municipal Central Hospital of Xiangtan City, Xiangtan, China, from 1 February 2010 to 1 August 2011. Patients were randomly assigned to acarbose (100 mg three times a day) and metformin (1.5 g/day) groups for a predictive follow-up period of 24 weeks. Plasma glucose, insulin, and glucagons at 0, 0.5, and 2 hours after a standardized meal, and HbA1c were measured at baseline and 24 weeks. Results: Baseline characteristics of the acarbose and metformin groups were similar. Glucose control improved significantly in both groups at 24 weeks. The percentage of patients achieving HbA1C {\\textless}6.5\\% was comparable for acarbose and metformin therapy at 24 weeks. Body weight reduction from baseline to 24 weeks was 3.3 kg in the acarbose group and 2.7 kg in the metformin group, whereas the change in HbA1c and body weight was similar in both groups. The early-phase insulin secretion index improved only in the acarbose group at 24 weeks. After 24 weeks of therapy, fasting glucagon and 0.5 hour postprandial glucagon levels decreased markedly in the acarbose group compared to the metformin group. Conclusions: Twenty-four weeks of therapy with acarbose and metformin induced similar reductions in HbA1c and body weight, but acarbose showed superior efficacy in improving islet α-cell function compared with metformin in overweight/obese patients with newly diagnosed T2DM. However, more large-sample, multicenter, randomized controlled trials are needed to evaluate the efficacy, safety, cost-effectiveness, and glycemic variability of the two drugs.","author":[{"dropping-particle":"","family":"Sun","given":"W","non-dropping-particle":"","parse-names":false,"suffix":""},{"dropping-particle":"","family":"Zeng","given":"C","non-dropping-particle":"","parse-names":false,"suffix":""},{"dropping-particle":"","family":"Liao","given":"L","non-dropping-particle":"","parse-names":false,"suffix":""},{"dropping-particle":"","family":"Chen","given":"J","non-dropping-particle":"","parse-names":false,"suffix":""},{"dropping-particle":"","family":"Wang","given":"Y","non-dropping-particle":"","parse-names":false,"suffix":""}],"container-title":"Current Medical Research and Opinion","id":"ITEM-1","issue":"8","issued":{"date-parts":[["2016"]]},"page":"1389-1396","title":"Comparison of acarbose and metformin therapy in newly diagnosed type 2 diabetic patients with overweight and/or obesity","type":"article-journal","volume":"32"},"uris":["http://www.mendeley.com/documents/?uuid=bf1b96a5-b3c4-46ca-9217-2328d4db69e3"]}],"mendeley":{"formattedCitation":"[34]","plainTextFormattedCitation":"[34]","previouslyFormattedCitation":"[34]"},"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[34]</w:t>
            </w:r>
            <w:r w:rsidRPr="00214F41">
              <w:rPr>
                <w:sz w:val="18"/>
                <w:szCs w:val="18"/>
                <w:lang w:val="en-GB"/>
              </w:rPr>
              <w:fldChar w:fldCharType="end"/>
            </w:r>
          </w:p>
        </w:tc>
        <w:tc>
          <w:tcPr>
            <w:tcW w:w="171" w:type="pct"/>
            <w:shd w:val="clear" w:color="000000" w:fill="FFFFFF"/>
            <w:vAlign w:val="center"/>
            <w:hideMark/>
          </w:tcPr>
          <w:p w14:paraId="46BAD684"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08C471C7" w14:textId="77777777" w:rsidR="005A043A" w:rsidRPr="00214F41" w:rsidRDefault="005A043A" w:rsidP="00286762">
            <w:pPr>
              <w:jc w:val="center"/>
              <w:rPr>
                <w:sz w:val="18"/>
                <w:szCs w:val="18"/>
                <w:lang w:val="en-GB"/>
              </w:rPr>
            </w:pPr>
            <w:r w:rsidRPr="00214F41">
              <w:rPr>
                <w:sz w:val="18"/>
                <w:szCs w:val="18"/>
                <w:lang w:val="en-GB"/>
              </w:rPr>
              <w:t>To compare the efficacy of acarbose and metformin in overweight and/or obese patients with newly diagnosed T2DM (T2DM).</w:t>
            </w:r>
          </w:p>
        </w:tc>
        <w:tc>
          <w:tcPr>
            <w:tcW w:w="364" w:type="pct"/>
            <w:shd w:val="clear" w:color="000000" w:fill="FFFFFF"/>
            <w:vAlign w:val="center"/>
            <w:hideMark/>
          </w:tcPr>
          <w:p w14:paraId="734DA160" w14:textId="77777777" w:rsidR="005A043A" w:rsidRPr="00214F41" w:rsidRDefault="005A043A" w:rsidP="00286762">
            <w:pPr>
              <w:jc w:val="center"/>
              <w:rPr>
                <w:sz w:val="18"/>
                <w:szCs w:val="18"/>
                <w:lang w:val="en-GB"/>
              </w:rPr>
            </w:pPr>
            <w:r w:rsidRPr="00214F41">
              <w:rPr>
                <w:sz w:val="18"/>
                <w:szCs w:val="18"/>
                <w:lang w:val="en-GB"/>
              </w:rPr>
              <w:t>108/108</w:t>
            </w:r>
          </w:p>
        </w:tc>
        <w:tc>
          <w:tcPr>
            <w:tcW w:w="200" w:type="pct"/>
            <w:shd w:val="clear" w:color="000000" w:fill="FFFFFF"/>
            <w:vAlign w:val="center"/>
            <w:hideMark/>
          </w:tcPr>
          <w:p w14:paraId="0434E806"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7CB5E34D"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68DDF8DB" w14:textId="77777777" w:rsidR="005A043A" w:rsidRPr="00214F41" w:rsidRDefault="005A043A" w:rsidP="00286762">
            <w:pPr>
              <w:jc w:val="center"/>
              <w:rPr>
                <w:sz w:val="18"/>
                <w:szCs w:val="18"/>
                <w:lang w:val="en-GB"/>
              </w:rPr>
            </w:pPr>
            <w:r w:rsidRPr="00214F41">
              <w:rPr>
                <w:sz w:val="18"/>
                <w:szCs w:val="18"/>
                <w:lang w:val="en-GB"/>
              </w:rPr>
              <w:t>1500mg/</w:t>
            </w:r>
            <w:proofErr w:type="spellStart"/>
            <w:r w:rsidRPr="00214F41">
              <w:rPr>
                <w:sz w:val="18"/>
                <w:szCs w:val="18"/>
                <w:lang w:val="en-GB"/>
              </w:rPr>
              <w:t>nd</w:t>
            </w:r>
            <w:proofErr w:type="spellEnd"/>
          </w:p>
        </w:tc>
        <w:tc>
          <w:tcPr>
            <w:tcW w:w="204" w:type="pct"/>
            <w:shd w:val="clear" w:color="000000" w:fill="FFFFFF"/>
            <w:vAlign w:val="center"/>
            <w:hideMark/>
          </w:tcPr>
          <w:p w14:paraId="26A0DB60" w14:textId="77777777" w:rsidR="005A043A" w:rsidRPr="00214F41" w:rsidRDefault="005A043A" w:rsidP="00286762">
            <w:pPr>
              <w:jc w:val="center"/>
              <w:rPr>
                <w:sz w:val="18"/>
                <w:szCs w:val="18"/>
                <w:lang w:val="en-GB"/>
              </w:rPr>
            </w:pPr>
            <w:r w:rsidRPr="00214F41">
              <w:rPr>
                <w:sz w:val="18"/>
                <w:szCs w:val="18"/>
                <w:lang w:val="en-GB"/>
              </w:rPr>
              <w:t>168</w:t>
            </w:r>
          </w:p>
        </w:tc>
        <w:tc>
          <w:tcPr>
            <w:tcW w:w="247" w:type="pct"/>
            <w:shd w:val="clear" w:color="000000" w:fill="FFFFFF"/>
            <w:vAlign w:val="center"/>
            <w:hideMark/>
          </w:tcPr>
          <w:p w14:paraId="040CC859"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796EA2F8"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246EFD7B" w14:textId="77777777" w:rsidR="005A043A" w:rsidRPr="00214F41" w:rsidRDefault="005A043A" w:rsidP="00286762">
            <w:pPr>
              <w:jc w:val="center"/>
              <w:rPr>
                <w:sz w:val="18"/>
                <w:szCs w:val="18"/>
                <w:lang w:val="en-GB"/>
              </w:rPr>
            </w:pPr>
            <w:r w:rsidRPr="00214F41">
              <w:rPr>
                <w:sz w:val="18"/>
                <w:szCs w:val="18"/>
                <w:lang w:val="en-GB"/>
              </w:rPr>
              <w:t>Acarbose/Other</w:t>
            </w:r>
          </w:p>
        </w:tc>
        <w:tc>
          <w:tcPr>
            <w:tcW w:w="245" w:type="pct"/>
            <w:gridSpan w:val="2"/>
            <w:shd w:val="clear" w:color="000000" w:fill="FFFFFF"/>
            <w:vAlign w:val="center"/>
            <w:hideMark/>
          </w:tcPr>
          <w:p w14:paraId="50FF150D" w14:textId="77777777" w:rsidR="005A043A" w:rsidRPr="00214F41" w:rsidRDefault="005A043A" w:rsidP="00286762">
            <w:pPr>
              <w:jc w:val="center"/>
              <w:rPr>
                <w:sz w:val="18"/>
                <w:szCs w:val="18"/>
                <w:lang w:val="en-GB"/>
              </w:rPr>
            </w:pPr>
            <w:r w:rsidRPr="00214F41">
              <w:rPr>
                <w:sz w:val="18"/>
                <w:szCs w:val="18"/>
                <w:lang w:val="en-GB"/>
              </w:rPr>
              <w:t>52.5±7.1</w:t>
            </w:r>
          </w:p>
        </w:tc>
        <w:tc>
          <w:tcPr>
            <w:tcW w:w="202" w:type="pct"/>
            <w:shd w:val="clear" w:color="000000" w:fill="FFFFFF"/>
            <w:vAlign w:val="center"/>
            <w:hideMark/>
          </w:tcPr>
          <w:p w14:paraId="64D7647E" w14:textId="77777777" w:rsidR="005A043A" w:rsidRPr="00214F41" w:rsidRDefault="005A043A" w:rsidP="00286762">
            <w:pPr>
              <w:jc w:val="center"/>
              <w:rPr>
                <w:sz w:val="18"/>
                <w:szCs w:val="18"/>
                <w:lang w:val="en-GB"/>
              </w:rPr>
            </w:pPr>
            <w:r w:rsidRPr="00214F41">
              <w:rPr>
                <w:sz w:val="18"/>
                <w:szCs w:val="18"/>
                <w:lang w:val="en-GB"/>
              </w:rPr>
              <w:t>57/52.8</w:t>
            </w:r>
          </w:p>
        </w:tc>
        <w:tc>
          <w:tcPr>
            <w:tcW w:w="265" w:type="pct"/>
            <w:gridSpan w:val="2"/>
            <w:shd w:val="clear" w:color="000000" w:fill="FFFFFF"/>
            <w:vAlign w:val="center"/>
            <w:hideMark/>
          </w:tcPr>
          <w:p w14:paraId="36372EA2" w14:textId="77777777" w:rsidR="005A043A" w:rsidRPr="00214F41" w:rsidRDefault="005A043A" w:rsidP="00286762">
            <w:pPr>
              <w:jc w:val="center"/>
              <w:rPr>
                <w:sz w:val="18"/>
                <w:szCs w:val="18"/>
                <w:lang w:val="en-GB"/>
              </w:rPr>
            </w:pPr>
            <w:r w:rsidRPr="00214F41">
              <w:rPr>
                <w:sz w:val="18"/>
                <w:szCs w:val="18"/>
                <w:lang w:val="en-GB"/>
              </w:rPr>
              <w:t>27.02±1.85</w:t>
            </w:r>
          </w:p>
        </w:tc>
        <w:tc>
          <w:tcPr>
            <w:tcW w:w="266" w:type="pct"/>
            <w:gridSpan w:val="2"/>
            <w:shd w:val="clear" w:color="000000" w:fill="FFFFFF"/>
            <w:vAlign w:val="center"/>
            <w:hideMark/>
          </w:tcPr>
          <w:p w14:paraId="7E04D62A" w14:textId="77777777" w:rsidR="005A043A" w:rsidRPr="00214F41" w:rsidRDefault="005A043A" w:rsidP="00286762">
            <w:pPr>
              <w:jc w:val="center"/>
              <w:rPr>
                <w:sz w:val="18"/>
                <w:szCs w:val="18"/>
                <w:lang w:val="en-GB"/>
              </w:rPr>
            </w:pPr>
            <w:r w:rsidRPr="00214F41">
              <w:rPr>
                <w:sz w:val="18"/>
                <w:szCs w:val="18"/>
                <w:lang w:val="en-GB"/>
              </w:rPr>
              <w:t>27.07/1.97</w:t>
            </w:r>
          </w:p>
        </w:tc>
      </w:tr>
      <w:tr w:rsidR="005A043A" w:rsidRPr="0072287D" w14:paraId="3EA86986" w14:textId="77777777" w:rsidTr="00286762">
        <w:trPr>
          <w:trHeight w:val="930"/>
        </w:trPr>
        <w:tc>
          <w:tcPr>
            <w:tcW w:w="338" w:type="pct"/>
            <w:shd w:val="clear" w:color="000000" w:fill="FFFFFF"/>
            <w:vAlign w:val="center"/>
            <w:hideMark/>
          </w:tcPr>
          <w:p w14:paraId="7943E5AF" w14:textId="77777777" w:rsidR="005A043A" w:rsidRPr="00214F41" w:rsidRDefault="005A043A" w:rsidP="00286762">
            <w:pPr>
              <w:jc w:val="center"/>
              <w:rPr>
                <w:sz w:val="18"/>
                <w:szCs w:val="18"/>
                <w:lang w:val="en-GB"/>
              </w:rPr>
            </w:pPr>
            <w:r w:rsidRPr="00214F41">
              <w:rPr>
                <w:sz w:val="18"/>
                <w:szCs w:val="18"/>
                <w:lang w:val="en-GB"/>
              </w:rPr>
              <w:t xml:space="preserve">Takeda et al., 2016 </w:t>
            </w:r>
            <w:r w:rsidRPr="00214F41">
              <w:rPr>
                <w:sz w:val="18"/>
                <w:szCs w:val="18"/>
              </w:rPr>
              <w:fldChar w:fldCharType="begin" w:fldLock="1"/>
            </w:r>
            <w:r>
              <w:rPr>
                <w:sz w:val="18"/>
                <w:szCs w:val="18"/>
                <w:lang w:val="en-GB"/>
              </w:rPr>
              <w:instrText>ADDIN CSL_CITATION {"citationItems":[{"id":"ITEM-1","itemData":{"URL":"https://clinicaltrials.gov/ct2/show/NCT01890122","accessed":{"date-parts":[["2022","5","2"]]},"id":"ITEM-1","issued":{"date-parts":[["0"]]},"title":"Efficacy and Safety of Alogliptin and Metformin Fixed-Dose Combination in Participants With Type 2 Diabetes - Full Text View - ClinicalTrials.gov","type":"webpage"},"uris":["http://www.mendeley.com/documents/?uuid=05f29a7b-bb60-3219-a047-92bf78e7a918"]}],"mendeley":{"formattedCitation":"[35]","plainTextFormattedCitation":"[35]","previouslyFormattedCitation":"[35]"},"properties":{"noteIndex":0},"schema":"https://github.com/citation-style-language/schema/raw/master/csl-citation.json"}</w:instrText>
            </w:r>
            <w:r w:rsidRPr="00214F41">
              <w:rPr>
                <w:sz w:val="18"/>
                <w:szCs w:val="18"/>
              </w:rPr>
              <w:fldChar w:fldCharType="separate"/>
            </w:r>
            <w:r w:rsidRPr="00FF29A9">
              <w:rPr>
                <w:noProof/>
                <w:sz w:val="18"/>
                <w:szCs w:val="18"/>
                <w:lang w:val="en-GB"/>
              </w:rPr>
              <w:t>[35]</w:t>
            </w:r>
            <w:r w:rsidRPr="00214F41">
              <w:rPr>
                <w:sz w:val="18"/>
                <w:szCs w:val="18"/>
              </w:rPr>
              <w:fldChar w:fldCharType="end"/>
            </w:r>
          </w:p>
        </w:tc>
        <w:tc>
          <w:tcPr>
            <w:tcW w:w="171" w:type="pct"/>
            <w:shd w:val="clear" w:color="000000" w:fill="FFFFFF"/>
            <w:vAlign w:val="center"/>
            <w:hideMark/>
          </w:tcPr>
          <w:p w14:paraId="3CCF6382"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7B2952A8" w14:textId="77777777" w:rsidR="005A043A" w:rsidRPr="00214F41" w:rsidRDefault="005A043A" w:rsidP="00286762">
            <w:pPr>
              <w:jc w:val="center"/>
              <w:rPr>
                <w:sz w:val="18"/>
                <w:szCs w:val="18"/>
                <w:lang w:val="en-GB"/>
              </w:rPr>
            </w:pPr>
            <w:r w:rsidRPr="00214F41">
              <w:rPr>
                <w:sz w:val="18"/>
                <w:szCs w:val="18"/>
                <w:lang w:val="en-GB"/>
              </w:rPr>
              <w:t>To evaluate the efficacy and safety of metformin alone on T2DM (T2DM).</w:t>
            </w:r>
          </w:p>
        </w:tc>
        <w:tc>
          <w:tcPr>
            <w:tcW w:w="364" w:type="pct"/>
            <w:shd w:val="clear" w:color="000000" w:fill="FFFFFF"/>
            <w:vAlign w:val="center"/>
            <w:hideMark/>
          </w:tcPr>
          <w:p w14:paraId="7B54EE77" w14:textId="77777777" w:rsidR="005A043A" w:rsidRPr="00214F41" w:rsidRDefault="005A043A" w:rsidP="00286762">
            <w:pPr>
              <w:jc w:val="center"/>
              <w:rPr>
                <w:sz w:val="18"/>
                <w:szCs w:val="18"/>
                <w:lang w:val="en-GB"/>
              </w:rPr>
            </w:pPr>
            <w:r w:rsidRPr="00214F41">
              <w:rPr>
                <w:sz w:val="18"/>
                <w:szCs w:val="18"/>
                <w:lang w:val="en-GB"/>
              </w:rPr>
              <w:t>647/647</w:t>
            </w:r>
          </w:p>
        </w:tc>
        <w:tc>
          <w:tcPr>
            <w:tcW w:w="200" w:type="pct"/>
            <w:shd w:val="clear" w:color="000000" w:fill="FFFFFF"/>
            <w:vAlign w:val="center"/>
            <w:hideMark/>
          </w:tcPr>
          <w:p w14:paraId="044D39C1"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21AD5198" w14:textId="77777777" w:rsidR="005A043A" w:rsidRPr="00214F41" w:rsidRDefault="005A043A" w:rsidP="00286762">
            <w:pPr>
              <w:jc w:val="center"/>
              <w:rPr>
                <w:sz w:val="18"/>
                <w:szCs w:val="18"/>
                <w:lang w:val="en-GB"/>
              </w:rPr>
            </w:pPr>
            <w:r w:rsidRPr="00214F41">
              <w:rPr>
                <w:sz w:val="18"/>
                <w:szCs w:val="18"/>
                <w:lang w:val="en-GB"/>
              </w:rPr>
              <w:t xml:space="preserve">Glucophage </w:t>
            </w:r>
          </w:p>
        </w:tc>
        <w:tc>
          <w:tcPr>
            <w:tcW w:w="324" w:type="pct"/>
            <w:shd w:val="clear" w:color="000000" w:fill="FFFFFF"/>
            <w:vAlign w:val="center"/>
            <w:hideMark/>
          </w:tcPr>
          <w:p w14:paraId="111FFBB4" w14:textId="77777777" w:rsidR="005A043A" w:rsidRPr="00214F41" w:rsidRDefault="005A043A" w:rsidP="00286762">
            <w:pPr>
              <w:jc w:val="center"/>
              <w:rPr>
                <w:sz w:val="18"/>
                <w:szCs w:val="18"/>
                <w:lang w:val="en-GB"/>
              </w:rPr>
            </w:pPr>
            <w:r w:rsidRPr="00214F41">
              <w:rPr>
                <w:sz w:val="18"/>
                <w:szCs w:val="18"/>
                <w:lang w:val="en-GB"/>
              </w:rPr>
              <w:t>1000mg/2/d</w:t>
            </w:r>
          </w:p>
        </w:tc>
        <w:tc>
          <w:tcPr>
            <w:tcW w:w="204" w:type="pct"/>
            <w:shd w:val="clear" w:color="000000" w:fill="FFFFFF"/>
            <w:vAlign w:val="center"/>
            <w:hideMark/>
          </w:tcPr>
          <w:p w14:paraId="1307E6CF" w14:textId="77777777" w:rsidR="005A043A" w:rsidRPr="00214F41" w:rsidRDefault="005A043A" w:rsidP="00286762">
            <w:pPr>
              <w:jc w:val="center"/>
              <w:rPr>
                <w:sz w:val="18"/>
                <w:szCs w:val="18"/>
                <w:lang w:val="en-GB"/>
              </w:rPr>
            </w:pPr>
            <w:r w:rsidRPr="00214F41">
              <w:rPr>
                <w:sz w:val="18"/>
                <w:szCs w:val="18"/>
                <w:lang w:val="en-GB"/>
              </w:rPr>
              <w:t>182</w:t>
            </w:r>
          </w:p>
        </w:tc>
        <w:tc>
          <w:tcPr>
            <w:tcW w:w="247" w:type="pct"/>
            <w:shd w:val="clear" w:color="000000" w:fill="FFFFFF"/>
            <w:vAlign w:val="center"/>
            <w:hideMark/>
          </w:tcPr>
          <w:p w14:paraId="312E5271"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591D7837"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5A99B48A" w14:textId="77777777" w:rsidR="005A043A" w:rsidRPr="00214F41" w:rsidRDefault="005A043A" w:rsidP="00286762">
            <w:pPr>
              <w:jc w:val="center"/>
              <w:rPr>
                <w:sz w:val="18"/>
                <w:szCs w:val="18"/>
                <w:lang w:val="en-GB"/>
              </w:rPr>
            </w:pPr>
            <w:r w:rsidRPr="00214F41">
              <w:rPr>
                <w:sz w:val="18"/>
                <w:szCs w:val="18"/>
                <w:lang w:val="en-GB"/>
              </w:rPr>
              <w:t>PBO</w:t>
            </w:r>
          </w:p>
        </w:tc>
        <w:tc>
          <w:tcPr>
            <w:tcW w:w="245" w:type="pct"/>
            <w:gridSpan w:val="2"/>
            <w:shd w:val="clear" w:color="000000" w:fill="FFFFFF"/>
            <w:vAlign w:val="center"/>
            <w:hideMark/>
          </w:tcPr>
          <w:p w14:paraId="55AFF4D0" w14:textId="77777777" w:rsidR="005A043A" w:rsidRPr="00214F41" w:rsidRDefault="005A043A" w:rsidP="00286762">
            <w:pPr>
              <w:jc w:val="center"/>
              <w:rPr>
                <w:sz w:val="18"/>
                <w:szCs w:val="18"/>
                <w:lang w:val="en-GB"/>
              </w:rPr>
            </w:pPr>
            <w:r w:rsidRPr="00214F41">
              <w:rPr>
                <w:sz w:val="18"/>
                <w:szCs w:val="18"/>
                <w:lang w:val="en-GB"/>
              </w:rPr>
              <w:t>52.9±10.1</w:t>
            </w:r>
          </w:p>
        </w:tc>
        <w:tc>
          <w:tcPr>
            <w:tcW w:w="202" w:type="pct"/>
            <w:shd w:val="clear" w:color="000000" w:fill="FFFFFF"/>
            <w:vAlign w:val="center"/>
            <w:hideMark/>
          </w:tcPr>
          <w:p w14:paraId="5A4FB1DE" w14:textId="77777777" w:rsidR="005A043A" w:rsidRPr="00214F41" w:rsidRDefault="005A043A" w:rsidP="00286762">
            <w:pPr>
              <w:jc w:val="center"/>
              <w:rPr>
                <w:sz w:val="18"/>
                <w:szCs w:val="18"/>
                <w:lang w:val="en-GB"/>
              </w:rPr>
            </w:pPr>
            <w:r w:rsidRPr="00214F41">
              <w:rPr>
                <w:sz w:val="18"/>
                <w:szCs w:val="18"/>
                <w:lang w:val="en-GB"/>
              </w:rPr>
              <w:t>177/54.5</w:t>
            </w:r>
          </w:p>
        </w:tc>
        <w:tc>
          <w:tcPr>
            <w:tcW w:w="265" w:type="pct"/>
            <w:gridSpan w:val="2"/>
            <w:shd w:val="clear" w:color="000000" w:fill="FFFFFF"/>
            <w:vAlign w:val="center"/>
            <w:hideMark/>
          </w:tcPr>
          <w:p w14:paraId="3E67777A" w14:textId="77777777" w:rsidR="005A043A" w:rsidRPr="00214F41" w:rsidRDefault="005A043A" w:rsidP="00286762">
            <w:pPr>
              <w:jc w:val="center"/>
              <w:rPr>
                <w:sz w:val="18"/>
                <w:szCs w:val="18"/>
                <w:lang w:val="en-GB"/>
              </w:rPr>
            </w:pPr>
            <w:r w:rsidRPr="00214F41">
              <w:rPr>
                <w:sz w:val="18"/>
                <w:szCs w:val="18"/>
                <w:lang w:val="en-GB"/>
              </w:rPr>
              <w:t>26.3±3.6</w:t>
            </w:r>
          </w:p>
        </w:tc>
        <w:tc>
          <w:tcPr>
            <w:tcW w:w="266" w:type="pct"/>
            <w:gridSpan w:val="2"/>
            <w:shd w:val="clear" w:color="000000" w:fill="FFFFFF"/>
            <w:vAlign w:val="center"/>
            <w:hideMark/>
          </w:tcPr>
          <w:p w14:paraId="225F5764" w14:textId="77777777" w:rsidR="005A043A" w:rsidRPr="00214F41" w:rsidRDefault="005A043A" w:rsidP="00286762">
            <w:pPr>
              <w:jc w:val="center"/>
              <w:rPr>
                <w:sz w:val="18"/>
                <w:szCs w:val="18"/>
                <w:lang w:val="en-GB"/>
              </w:rPr>
            </w:pPr>
            <w:r w:rsidRPr="00214F41">
              <w:rPr>
                <w:sz w:val="18"/>
                <w:szCs w:val="18"/>
                <w:lang w:val="en-GB"/>
              </w:rPr>
              <w:t>26.6/4.2</w:t>
            </w:r>
          </w:p>
        </w:tc>
      </w:tr>
      <w:tr w:rsidR="005A043A" w:rsidRPr="0072287D" w14:paraId="4F53B8AE" w14:textId="77777777" w:rsidTr="00286762">
        <w:trPr>
          <w:trHeight w:val="930"/>
        </w:trPr>
        <w:tc>
          <w:tcPr>
            <w:tcW w:w="338" w:type="pct"/>
            <w:shd w:val="clear" w:color="000000" w:fill="FFFFFF"/>
            <w:vAlign w:val="center"/>
            <w:hideMark/>
          </w:tcPr>
          <w:p w14:paraId="5DE51D7C" w14:textId="77777777" w:rsidR="005A043A" w:rsidRPr="00214F41" w:rsidRDefault="005A043A" w:rsidP="00286762">
            <w:pPr>
              <w:jc w:val="center"/>
              <w:rPr>
                <w:sz w:val="18"/>
                <w:szCs w:val="18"/>
                <w:lang w:val="en-GB"/>
              </w:rPr>
            </w:pPr>
            <w:r w:rsidRPr="00214F41">
              <w:rPr>
                <w:sz w:val="18"/>
                <w:szCs w:val="18"/>
                <w:lang w:val="en-GB"/>
              </w:rPr>
              <w:t xml:space="preserve">Takeshita et al., 2019 </w:t>
            </w:r>
            <w:r w:rsidRPr="00214F41">
              <w:rPr>
                <w:sz w:val="18"/>
                <w:szCs w:val="18"/>
                <w:lang w:val="en-GB"/>
              </w:rPr>
              <w:fldChar w:fldCharType="begin" w:fldLock="1"/>
            </w:r>
            <w:r>
              <w:rPr>
                <w:sz w:val="18"/>
                <w:szCs w:val="18"/>
                <w:lang w:val="en-GB"/>
              </w:rPr>
              <w:instrText>ADDIN CSL_CITATION {"citationItems":[{"id":"ITEM-1","itemData":{"DOI":"10.1111/jdi.12920","ISSN":"2040-1124","abstract":"Aims/Introduction: The aim of the present study was to investigate the effects of metformin and a dipeptidyl peptidase-4 inhibitor, alogliptin, on body composition in a 12-week randomized add-on trial in Japanese participants with type 2 diabetes. Materials and Methods: A total of 84 participants with poorly controlled type 2 diabetes undergoing antidiabetic therapy were randomly assigned to receive alogliptin (25 mg, once daily) or metformin (1,000 mg, twice daily) for 12 weeks. The primary efficacy end-point was body composition. The secondary end-points included factors associated with decreased bodyweight. Results: Compared with the baseline values, alogliptin significantly increased bodyweight (66.5 ± 19.2 to 67.6 ± 19.3 kg), body mass index (BMI; 25.4 ± 6.1 to 25.8 ± 6.3 kg/m2) and fat mass (20.3 ± 12.8 to 21.8 ± 14.5 kg), whereas metformin had no significant effect on body composition. Alogliptin was inferior to metformin in reducing bodyweight (0.84 ± 1.57 vs −0.35 ± 1.53 kg, P = 0.002), BMI (0.34 ± 0.69 to −0.15 ± 0.56 kg/m2, P = 0.002) and fat mass (1.49 ± 5.06 vs −0.04 ± 1.81 kg, P = 0.042). BMI at baseline was associated with changes in bodyweight negatively in the metformin group and positively in the alogliptin group. Conclusions: Metformin and alogliptin exert opposite effects on bodyweight in type 2 diabetes patients who are overweight. The higher the BMI, the more metformin reduces bodyweight and alogliptin increases weight.","author":[{"dropping-particle":"","family":"Takeshita","given":"Y","non-dropping-particle":"","parse-names":false,"suffix":""},{"dropping-particle":"","family":"Kita","given":"Y","non-dropping-particle":"","parse-names":false,"suffix":""},{"dropping-particle":"","family":"Kato","given":"K.-I.","non-dropping-particle":"","parse-names":false,"suffix":""},{"dropping-particle":"","family":"Kanamori","given":"T","non-dropping-particle":"","parse-names":false,"suffix":""},{"dropping-particle":"","family":"Misu","given":"H","non-dropping-particle":"","parse-names":false,"suffix":""},{"dropping-particle":"","family":"Kaneko","given":"S","non-dropping-particle":"","parse-names":false,"suffix":""},{"dropping-particle":"","family":"Takamura","given":"T","non-dropping-particle":"","parse-names":false,"suffix":""}],"container-title":"Journal of Diabetes Investigation","id":"ITEM-1","issue":"3","issued":{"date-parts":[["2019"]]},"page":"723-730","title":"Effects of metformin and alogliptin on body composition in people with type 2 diabetes","type":"article-journal","volume":"10"},"uris":["http://www.mendeley.com/documents/?uuid=14d54f83-5687-4e1f-b2b4-1ca883e8a459"]}],"mendeley":{"formattedCitation":"[36]","plainTextFormattedCitation":"[36]","previouslyFormattedCitation":"[36]"},"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[36]</w:t>
            </w:r>
            <w:r w:rsidRPr="00214F41">
              <w:rPr>
                <w:sz w:val="18"/>
                <w:szCs w:val="18"/>
                <w:lang w:val="en-GB"/>
              </w:rPr>
              <w:fldChar w:fldCharType="end"/>
            </w:r>
          </w:p>
        </w:tc>
        <w:tc>
          <w:tcPr>
            <w:tcW w:w="171" w:type="pct"/>
            <w:shd w:val="clear" w:color="000000" w:fill="FFFFFF"/>
            <w:vAlign w:val="center"/>
            <w:hideMark/>
          </w:tcPr>
          <w:p w14:paraId="39A8F5CA" w14:textId="77777777" w:rsidR="005A043A" w:rsidRPr="00214F41" w:rsidRDefault="005A043A" w:rsidP="00286762">
            <w:pPr>
              <w:jc w:val="center"/>
              <w:rPr>
                <w:sz w:val="18"/>
                <w:szCs w:val="18"/>
                <w:lang w:val="en-GB"/>
              </w:rPr>
            </w:pPr>
            <w:r w:rsidRPr="00214F41">
              <w:rPr>
                <w:sz w:val="18"/>
                <w:szCs w:val="18"/>
                <w:lang w:val="en-GB"/>
              </w:rPr>
              <w:t>PP</w:t>
            </w:r>
          </w:p>
        </w:tc>
        <w:tc>
          <w:tcPr>
            <w:tcW w:w="744" w:type="pct"/>
            <w:shd w:val="clear" w:color="000000" w:fill="FFFFFF"/>
            <w:vAlign w:val="center"/>
            <w:hideMark/>
          </w:tcPr>
          <w:p w14:paraId="21EA14C3" w14:textId="77777777" w:rsidR="005A043A" w:rsidRPr="00214F41" w:rsidRDefault="005A043A" w:rsidP="00286762">
            <w:pPr>
              <w:jc w:val="center"/>
              <w:rPr>
                <w:sz w:val="18"/>
                <w:szCs w:val="18"/>
                <w:lang w:val="en-GB"/>
              </w:rPr>
            </w:pPr>
            <w:r w:rsidRPr="00214F41">
              <w:rPr>
                <w:sz w:val="18"/>
                <w:szCs w:val="18"/>
                <w:lang w:val="en-GB"/>
              </w:rPr>
              <w:t xml:space="preserve">To investigate the effects of metformin or a dipeptidyl peptidase‐4 inhibitor, </w:t>
            </w:r>
            <w:proofErr w:type="spellStart"/>
            <w:r w:rsidRPr="00214F41">
              <w:rPr>
                <w:sz w:val="18"/>
                <w:szCs w:val="18"/>
                <w:lang w:val="en-GB"/>
              </w:rPr>
              <w:t>alogliptin</w:t>
            </w:r>
            <w:proofErr w:type="spellEnd"/>
            <w:r w:rsidRPr="00214F41">
              <w:rPr>
                <w:sz w:val="18"/>
                <w:szCs w:val="18"/>
                <w:lang w:val="en-GB"/>
              </w:rPr>
              <w:t>, on body composition in a 12‐week randomized trial in Japanese participants with T2DM.</w:t>
            </w:r>
          </w:p>
        </w:tc>
        <w:tc>
          <w:tcPr>
            <w:tcW w:w="364" w:type="pct"/>
            <w:shd w:val="clear" w:color="000000" w:fill="FFFFFF"/>
            <w:vAlign w:val="center"/>
            <w:hideMark/>
          </w:tcPr>
          <w:p w14:paraId="2C2B302B" w14:textId="77777777" w:rsidR="005A043A" w:rsidRPr="00214F41" w:rsidRDefault="005A043A" w:rsidP="00286762">
            <w:pPr>
              <w:jc w:val="center"/>
              <w:rPr>
                <w:sz w:val="18"/>
                <w:szCs w:val="18"/>
                <w:lang w:val="en-GB"/>
              </w:rPr>
            </w:pPr>
            <w:r w:rsidRPr="00214F41">
              <w:rPr>
                <w:sz w:val="18"/>
                <w:szCs w:val="18"/>
                <w:lang w:val="en-GB"/>
              </w:rPr>
              <w:t>84/80</w:t>
            </w:r>
          </w:p>
        </w:tc>
        <w:tc>
          <w:tcPr>
            <w:tcW w:w="200" w:type="pct"/>
            <w:shd w:val="clear" w:color="000000" w:fill="FFFFFF"/>
            <w:vAlign w:val="center"/>
            <w:hideMark/>
          </w:tcPr>
          <w:p w14:paraId="0FE3A55C"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2B4B75B1" w14:textId="77777777" w:rsidR="005A043A" w:rsidRPr="00027128" w:rsidRDefault="005A043A" w:rsidP="00286762">
            <w:pPr>
              <w:jc w:val="center"/>
              <w:rPr>
                <w:sz w:val="18"/>
                <w:szCs w:val="18"/>
                <w:lang w:val="en-GB"/>
              </w:rPr>
            </w:pPr>
            <w:r w:rsidRPr="00027128">
              <w:rPr>
                <w:sz w:val="18"/>
                <w:szCs w:val="18"/>
                <w:lang w:val="en-GB"/>
              </w:rPr>
              <w:t>Metformin (Sumitomo Dainippon Pharma Co. Ltd., Osaka, Japan)</w:t>
            </w:r>
          </w:p>
        </w:tc>
        <w:tc>
          <w:tcPr>
            <w:tcW w:w="324" w:type="pct"/>
            <w:shd w:val="clear" w:color="000000" w:fill="FFFFFF"/>
            <w:vAlign w:val="center"/>
            <w:hideMark/>
          </w:tcPr>
          <w:p w14:paraId="08EED4C8" w14:textId="77777777" w:rsidR="005A043A" w:rsidRPr="00214F41" w:rsidRDefault="005A043A" w:rsidP="00286762">
            <w:pPr>
              <w:jc w:val="center"/>
              <w:rPr>
                <w:sz w:val="18"/>
                <w:szCs w:val="18"/>
                <w:lang w:val="en-GB"/>
              </w:rPr>
            </w:pPr>
            <w:r w:rsidRPr="00214F41">
              <w:rPr>
                <w:sz w:val="18"/>
                <w:szCs w:val="18"/>
                <w:lang w:val="en-GB"/>
              </w:rPr>
              <w:t>1076mg/2/d</w:t>
            </w:r>
          </w:p>
        </w:tc>
        <w:tc>
          <w:tcPr>
            <w:tcW w:w="204" w:type="pct"/>
            <w:shd w:val="clear" w:color="000000" w:fill="FFFFFF"/>
            <w:vAlign w:val="center"/>
            <w:hideMark/>
          </w:tcPr>
          <w:p w14:paraId="4D65A917" w14:textId="77777777" w:rsidR="005A043A" w:rsidRPr="00214F41" w:rsidRDefault="005A043A" w:rsidP="00286762">
            <w:pPr>
              <w:jc w:val="center"/>
              <w:rPr>
                <w:sz w:val="18"/>
                <w:szCs w:val="18"/>
                <w:lang w:val="en-GB"/>
              </w:rPr>
            </w:pPr>
            <w:r w:rsidRPr="00214F41">
              <w:rPr>
                <w:sz w:val="18"/>
                <w:szCs w:val="18"/>
                <w:lang w:val="en-GB"/>
              </w:rPr>
              <w:t>84</w:t>
            </w:r>
          </w:p>
        </w:tc>
        <w:tc>
          <w:tcPr>
            <w:tcW w:w="247" w:type="pct"/>
            <w:shd w:val="clear" w:color="000000" w:fill="FFFFFF"/>
            <w:vAlign w:val="center"/>
            <w:hideMark/>
          </w:tcPr>
          <w:p w14:paraId="5014A62E"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43380FD9"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58C4C934" w14:textId="77777777" w:rsidR="005A043A" w:rsidRPr="00214F41" w:rsidRDefault="005A043A" w:rsidP="00286762">
            <w:pPr>
              <w:jc w:val="center"/>
              <w:rPr>
                <w:sz w:val="18"/>
                <w:szCs w:val="18"/>
                <w:lang w:val="en-GB"/>
              </w:rPr>
            </w:pPr>
            <w:proofErr w:type="spellStart"/>
            <w:r w:rsidRPr="00214F41">
              <w:rPr>
                <w:sz w:val="18"/>
                <w:szCs w:val="18"/>
                <w:lang w:val="en-GB"/>
              </w:rPr>
              <w:t>alogliptin</w:t>
            </w:r>
            <w:proofErr w:type="spellEnd"/>
            <w:r w:rsidRPr="00214F41">
              <w:rPr>
                <w:sz w:val="18"/>
                <w:szCs w:val="18"/>
                <w:lang w:val="en-GB"/>
              </w:rPr>
              <w:t>/DPP4 inhibitor</w:t>
            </w:r>
          </w:p>
        </w:tc>
        <w:tc>
          <w:tcPr>
            <w:tcW w:w="245" w:type="pct"/>
            <w:gridSpan w:val="2"/>
            <w:shd w:val="clear" w:color="000000" w:fill="FFFFFF"/>
            <w:vAlign w:val="center"/>
            <w:hideMark/>
          </w:tcPr>
          <w:p w14:paraId="1067B3C6" w14:textId="77777777" w:rsidR="005A043A" w:rsidRPr="00214F41" w:rsidRDefault="005A043A" w:rsidP="00286762">
            <w:pPr>
              <w:jc w:val="center"/>
              <w:rPr>
                <w:sz w:val="18"/>
                <w:szCs w:val="18"/>
                <w:lang w:val="en-GB"/>
              </w:rPr>
            </w:pPr>
            <w:r w:rsidRPr="00214F41">
              <w:rPr>
                <w:sz w:val="18"/>
                <w:szCs w:val="18"/>
                <w:lang w:val="en-GB"/>
              </w:rPr>
              <w:t>63.4±11.8</w:t>
            </w:r>
          </w:p>
        </w:tc>
        <w:tc>
          <w:tcPr>
            <w:tcW w:w="202" w:type="pct"/>
            <w:shd w:val="clear" w:color="000000" w:fill="FFFFFF"/>
            <w:vAlign w:val="center"/>
            <w:hideMark/>
          </w:tcPr>
          <w:p w14:paraId="75686B46" w14:textId="77777777" w:rsidR="005A043A" w:rsidRPr="00214F41" w:rsidRDefault="005A043A" w:rsidP="00286762">
            <w:pPr>
              <w:jc w:val="center"/>
              <w:rPr>
                <w:sz w:val="18"/>
                <w:szCs w:val="18"/>
                <w:lang w:val="en-GB"/>
              </w:rPr>
            </w:pPr>
            <w:r w:rsidRPr="00214F41">
              <w:rPr>
                <w:sz w:val="18"/>
                <w:szCs w:val="18"/>
                <w:lang w:val="en-GB"/>
              </w:rPr>
              <w:t>58/69</w:t>
            </w:r>
          </w:p>
        </w:tc>
        <w:tc>
          <w:tcPr>
            <w:tcW w:w="265" w:type="pct"/>
            <w:gridSpan w:val="2"/>
            <w:shd w:val="clear" w:color="000000" w:fill="FFFFFF"/>
            <w:vAlign w:val="center"/>
            <w:hideMark/>
          </w:tcPr>
          <w:p w14:paraId="41E84D0C" w14:textId="77777777" w:rsidR="005A043A" w:rsidRPr="00214F41" w:rsidRDefault="005A043A" w:rsidP="00286762">
            <w:pPr>
              <w:jc w:val="center"/>
              <w:rPr>
                <w:sz w:val="18"/>
                <w:szCs w:val="18"/>
                <w:lang w:val="en-GB"/>
              </w:rPr>
            </w:pPr>
            <w:r w:rsidRPr="00214F41">
              <w:rPr>
                <w:sz w:val="18"/>
                <w:szCs w:val="18"/>
                <w:lang w:val="en-GB"/>
              </w:rPr>
              <w:t>23.8±4</w:t>
            </w:r>
          </w:p>
        </w:tc>
        <w:tc>
          <w:tcPr>
            <w:tcW w:w="266" w:type="pct"/>
            <w:gridSpan w:val="2"/>
            <w:shd w:val="clear" w:color="000000" w:fill="FFFFFF"/>
            <w:vAlign w:val="center"/>
            <w:hideMark/>
          </w:tcPr>
          <w:p w14:paraId="07E09F80" w14:textId="77777777" w:rsidR="005A043A" w:rsidRPr="00214F41" w:rsidRDefault="005A043A" w:rsidP="00286762">
            <w:pPr>
              <w:jc w:val="center"/>
              <w:rPr>
                <w:sz w:val="18"/>
                <w:szCs w:val="18"/>
                <w:lang w:val="en-GB"/>
              </w:rPr>
            </w:pPr>
            <w:r w:rsidRPr="00214F41">
              <w:rPr>
                <w:sz w:val="18"/>
                <w:szCs w:val="18"/>
                <w:lang w:val="en-GB"/>
              </w:rPr>
              <w:t>25.4±6</w:t>
            </w:r>
          </w:p>
        </w:tc>
      </w:tr>
      <w:tr w:rsidR="005A043A" w:rsidRPr="0072287D" w14:paraId="7B987951" w14:textId="77777777" w:rsidTr="00286762">
        <w:trPr>
          <w:trHeight w:val="930"/>
        </w:trPr>
        <w:tc>
          <w:tcPr>
            <w:tcW w:w="338" w:type="pct"/>
            <w:shd w:val="clear" w:color="000000" w:fill="FFFFFF"/>
            <w:vAlign w:val="center"/>
            <w:hideMark/>
          </w:tcPr>
          <w:p w14:paraId="59E0DA7A" w14:textId="77777777" w:rsidR="005A043A" w:rsidRPr="00214F41" w:rsidRDefault="005A043A" w:rsidP="00286762">
            <w:pPr>
              <w:jc w:val="center"/>
              <w:rPr>
                <w:sz w:val="18"/>
                <w:szCs w:val="18"/>
                <w:lang w:val="en-GB"/>
              </w:rPr>
            </w:pPr>
            <w:proofErr w:type="spellStart"/>
            <w:r w:rsidRPr="00214F41">
              <w:rPr>
                <w:sz w:val="18"/>
                <w:szCs w:val="18"/>
                <w:lang w:val="en-GB"/>
              </w:rPr>
              <w:t>Umpierrez</w:t>
            </w:r>
            <w:proofErr w:type="spellEnd"/>
            <w:r w:rsidRPr="00214F41">
              <w:rPr>
                <w:sz w:val="18"/>
                <w:szCs w:val="18"/>
                <w:lang w:val="en-GB"/>
              </w:rPr>
              <w:t xml:space="preserve"> et al., 2014 </w:t>
            </w:r>
            <w:r w:rsidRPr="00214F41">
              <w:rPr>
                <w:sz w:val="18"/>
                <w:szCs w:val="18"/>
                <w:lang w:val="en-GB"/>
              </w:rPr>
              <w:fldChar w:fldCharType="begin" w:fldLock="1"/>
            </w:r>
            <w:r>
              <w:rPr>
                <w:sz w:val="18"/>
                <w:szCs w:val="18"/>
                <w:lang w:val="en-GB"/>
              </w:rPr>
              <w:instrText>ADDIN CSL_CITATION {"citationItems":[{"id":"ITEM-1","itemData":{"DOI":"10.2337/dc13-2759","ISSN":"1935-5548","abstract":"OBJECTIVE: Compare the efficacy and safety of monotherapy with dulaglutide, a once-weekly GLP-1 receptor agonist, to metformin-treated patients with type 2 diabetes. The primary objective compared dulaglutide 1.5 mg and metformin on change from baseline glycosylated hemoglobin A1c (HbA1c) at 26 weeks. RESEARCH DESIGN AND METHODS: This 52-week double-blind study randomized patients to subcutaneous dulaglutide 1.5 mg, dulaglutide 0.75 mg, or metformin. Patients (N = 807) had HbA1c ≥6.5% (≥48 mmol/mol) and ≤9.5% (≤80 mmol/mol) with diet and exercise alone or low-dose oral antihyperglycemic medication (OAM) monotherapy; OAMs were discontinued at beginning of lead-in period. RESULTS: At 26 weeks, changes from baseline HbA1c (least squares [LS] mean ± SE) were: dulaglutide 1.5 mg, -0.78 ± 0.06% (-8.5 ± 0.70 mmol/mol); dulaglutide 0.75 mg, -0.71 ± 0.06% (-7.8 ± 0.70 mmol/mol); and metformin, -0.56 ± 0.06% (-6.1 ± 0.70 mmol/mol). Dulaglutide 1.5 and 0.75 mg were superior to metformin (LS mean difference): -0.22% (-2.4 mmol/mol) and -0.15% (-1.6 mmol/mol) (one-sided P &lt; 0.025, both comparisons), respectively. Greater percentages reached HbA1c targets &lt;7.0% (&lt;53 mmol/mol) and ≤6.5% (≤48 mmol/mol) with dulaglutide 1.5 and 0.75 mg compared with metformin (P &lt; 0.05, all comparisons). No severe hypoglycemia was reported. Compared with metformin, decrease in weight was similar with dulaglutide 1.5 mg and smaller with dulaglutide 0.75 mg. Over 52 weeks, nausea, diarrhea, and vomiting were the most common adverse events; incidences were similar between dulaglutide and metformin. CONCLUSIONS: Dulaglutide improves glycemic control and is well tolerated as monotherapy in patients with early stage type 2 diabetes.","author":[{"dropping-particle":"","family":"Umpierrez","given":"Guillermo","non-dropping-particle":"","parse-names":false,"suffix":""},{"dropping-particle":"","family":"Tofé Povedano","given":"Santiago","non-dropping-particle":"","parse-names":false,"suffix":""},{"dropping-particle":"","family":"Pérez Manghi","given":"Federico","non-dropping-particle":"","parse-names":false,"suffix":""},{"dropping-particle":"","family":"Shurzinske","given":"Linda","non-dropping-particle":"","parse-names":false,"suffix":""},{"dropping-particle":"","family":"Pechtner","given":"Valeria","non-dropping-particle":"","parse-names":false,"suffix":""}],"container-title":"Diabetes Care","id":"ITEM-1","issue":"8","issued":{"date-parts":[["2014"]]},"language":"eng","note":"Accession Number: 97233711. Language: English. Entry Date: 20150508. Revision Date: 20170719. Publication Type: Article. Journal Subset: Biomedical; Blind Peer Reviewed; Editorial Board Reviewed; Expert Peer Reviewed; Peer Reviewed; USA. NLM UID: 7805975.","page":"2168-2176","title":"Efficacy and safety of dulaglutide monotherapy versus metformin in type 2 diabetes in a randomized controlled trial (AWARD-3)","type":"article-journal","volume":"37"},"uris":["http://www.mendeley.com/documents/?uuid=d0a1eadf-a9ff-4d89-85bf-e2c6c80475e0"]}],"mendeley":{"formattedCitation":"[37]","plainTextFormattedCitation":"[37]","previouslyFormattedCitation":"[37]"},"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[37]</w:t>
            </w:r>
            <w:r w:rsidRPr="00214F41">
              <w:rPr>
                <w:sz w:val="18"/>
                <w:szCs w:val="18"/>
                <w:lang w:val="en-GB"/>
              </w:rPr>
              <w:fldChar w:fldCharType="end"/>
            </w:r>
          </w:p>
        </w:tc>
        <w:tc>
          <w:tcPr>
            <w:tcW w:w="171" w:type="pct"/>
            <w:shd w:val="clear" w:color="000000" w:fill="FFFFFF"/>
            <w:vAlign w:val="center"/>
            <w:hideMark/>
          </w:tcPr>
          <w:p w14:paraId="222A7069"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512729CF" w14:textId="77777777" w:rsidR="005A043A" w:rsidRPr="00214F41" w:rsidRDefault="005A043A" w:rsidP="00286762">
            <w:pPr>
              <w:jc w:val="center"/>
              <w:rPr>
                <w:sz w:val="18"/>
                <w:szCs w:val="18"/>
                <w:lang w:val="en-GB"/>
              </w:rPr>
            </w:pPr>
            <w:r w:rsidRPr="00214F41">
              <w:rPr>
                <w:sz w:val="18"/>
                <w:szCs w:val="18"/>
                <w:lang w:val="en-GB"/>
              </w:rPr>
              <w:t>To compare the efficacy and safety of monotherapy with dulaglutide, a once-weekly</w:t>
            </w:r>
            <w:r w:rsidRPr="00214F41">
              <w:rPr>
                <w:sz w:val="18"/>
                <w:szCs w:val="18"/>
                <w:lang w:val="en-GB"/>
              </w:rPr>
              <w:br/>
              <w:t xml:space="preserve">GLP-1 receptor agonist, to </w:t>
            </w:r>
            <w:r w:rsidRPr="00214F41">
              <w:rPr>
                <w:sz w:val="18"/>
                <w:szCs w:val="18"/>
                <w:lang w:val="en-GB"/>
              </w:rPr>
              <w:lastRenderedPageBreak/>
              <w:t>metformin-treated patients with T2DM at 26 weeks.</w:t>
            </w:r>
          </w:p>
        </w:tc>
        <w:tc>
          <w:tcPr>
            <w:tcW w:w="364" w:type="pct"/>
            <w:shd w:val="clear" w:color="000000" w:fill="FFFFFF"/>
            <w:vAlign w:val="center"/>
            <w:hideMark/>
          </w:tcPr>
          <w:p w14:paraId="667BD6D8" w14:textId="77777777" w:rsidR="005A043A" w:rsidRPr="00214F41" w:rsidRDefault="005A043A" w:rsidP="00286762">
            <w:pPr>
              <w:jc w:val="center"/>
              <w:rPr>
                <w:sz w:val="18"/>
                <w:szCs w:val="18"/>
                <w:lang w:val="en-GB"/>
              </w:rPr>
            </w:pPr>
            <w:r w:rsidRPr="00214F41">
              <w:rPr>
                <w:sz w:val="18"/>
                <w:szCs w:val="18"/>
                <w:lang w:val="en-GB"/>
              </w:rPr>
              <w:lastRenderedPageBreak/>
              <w:t>807/807</w:t>
            </w:r>
          </w:p>
        </w:tc>
        <w:tc>
          <w:tcPr>
            <w:tcW w:w="200" w:type="pct"/>
            <w:shd w:val="clear" w:color="000000" w:fill="FFFFFF"/>
            <w:vAlign w:val="center"/>
            <w:hideMark/>
          </w:tcPr>
          <w:p w14:paraId="37EE04D8"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413CAD48"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4FD082B0" w14:textId="77777777" w:rsidR="005A043A" w:rsidRPr="00214F41" w:rsidRDefault="005A043A" w:rsidP="00286762">
            <w:pPr>
              <w:jc w:val="center"/>
              <w:rPr>
                <w:sz w:val="18"/>
                <w:szCs w:val="18"/>
                <w:lang w:val="en-GB"/>
              </w:rPr>
            </w:pPr>
            <w:r w:rsidRPr="00214F41">
              <w:rPr>
                <w:sz w:val="18"/>
                <w:szCs w:val="18"/>
                <w:lang w:val="en-GB"/>
              </w:rPr>
              <w:t>2000mg/</w:t>
            </w:r>
            <w:proofErr w:type="spellStart"/>
            <w:r w:rsidRPr="00214F41">
              <w:rPr>
                <w:sz w:val="18"/>
                <w:szCs w:val="18"/>
                <w:lang w:val="en-GB"/>
              </w:rPr>
              <w:t>nd</w:t>
            </w:r>
            <w:proofErr w:type="spellEnd"/>
          </w:p>
        </w:tc>
        <w:tc>
          <w:tcPr>
            <w:tcW w:w="204" w:type="pct"/>
            <w:shd w:val="clear" w:color="000000" w:fill="FFFFFF"/>
            <w:vAlign w:val="center"/>
            <w:hideMark/>
          </w:tcPr>
          <w:p w14:paraId="0D328A7C" w14:textId="77777777" w:rsidR="005A043A" w:rsidRPr="00214F41" w:rsidRDefault="005A043A" w:rsidP="00286762">
            <w:pPr>
              <w:jc w:val="center"/>
              <w:rPr>
                <w:sz w:val="18"/>
                <w:szCs w:val="18"/>
                <w:lang w:val="en-GB"/>
              </w:rPr>
            </w:pPr>
            <w:r w:rsidRPr="00214F41">
              <w:rPr>
                <w:sz w:val="18"/>
                <w:szCs w:val="18"/>
                <w:lang w:val="en-GB"/>
              </w:rPr>
              <w:t>264</w:t>
            </w:r>
          </w:p>
        </w:tc>
        <w:tc>
          <w:tcPr>
            <w:tcW w:w="247" w:type="pct"/>
            <w:shd w:val="clear" w:color="000000" w:fill="FFFFFF"/>
            <w:vAlign w:val="center"/>
            <w:hideMark/>
          </w:tcPr>
          <w:p w14:paraId="66F763C7"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3BBBB3FE"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2AF4E3ED" w14:textId="77777777" w:rsidR="005A043A" w:rsidRPr="00214F41" w:rsidRDefault="005A043A" w:rsidP="00286762">
            <w:pPr>
              <w:jc w:val="center"/>
              <w:rPr>
                <w:sz w:val="18"/>
                <w:szCs w:val="18"/>
                <w:lang w:val="en-GB"/>
              </w:rPr>
            </w:pPr>
            <w:r w:rsidRPr="00214F41">
              <w:rPr>
                <w:sz w:val="18"/>
                <w:szCs w:val="18"/>
                <w:lang w:val="en-GB"/>
              </w:rPr>
              <w:t>dulaglutide 0,75 mg/GLP-1 receptor agonist</w:t>
            </w:r>
          </w:p>
        </w:tc>
        <w:tc>
          <w:tcPr>
            <w:tcW w:w="245" w:type="pct"/>
            <w:gridSpan w:val="2"/>
            <w:shd w:val="clear" w:color="000000" w:fill="FFFFFF"/>
            <w:vAlign w:val="center"/>
            <w:hideMark/>
          </w:tcPr>
          <w:p w14:paraId="0FD8CDF9" w14:textId="77777777" w:rsidR="005A043A" w:rsidRPr="00214F41" w:rsidRDefault="005A043A" w:rsidP="00286762">
            <w:pPr>
              <w:jc w:val="center"/>
              <w:rPr>
                <w:sz w:val="18"/>
                <w:szCs w:val="18"/>
                <w:lang w:val="en-GB"/>
              </w:rPr>
            </w:pPr>
            <w:r w:rsidRPr="00214F41">
              <w:rPr>
                <w:sz w:val="18"/>
                <w:szCs w:val="18"/>
                <w:lang w:val="en-GB"/>
              </w:rPr>
              <w:t>55.5±10.5</w:t>
            </w:r>
          </w:p>
        </w:tc>
        <w:tc>
          <w:tcPr>
            <w:tcW w:w="202" w:type="pct"/>
            <w:shd w:val="clear" w:color="000000" w:fill="FFFFFF"/>
            <w:vAlign w:val="center"/>
            <w:hideMark/>
          </w:tcPr>
          <w:p w14:paraId="0B6278E4" w14:textId="77777777" w:rsidR="005A043A" w:rsidRPr="00214F41" w:rsidRDefault="005A043A" w:rsidP="00286762">
            <w:pPr>
              <w:jc w:val="center"/>
              <w:rPr>
                <w:sz w:val="18"/>
                <w:szCs w:val="18"/>
                <w:lang w:val="en-GB"/>
              </w:rPr>
            </w:pPr>
            <w:r w:rsidRPr="00214F41">
              <w:rPr>
                <w:sz w:val="18"/>
                <w:szCs w:val="18"/>
                <w:lang w:val="en-GB"/>
              </w:rPr>
              <w:t>239/44.4</w:t>
            </w:r>
          </w:p>
        </w:tc>
        <w:tc>
          <w:tcPr>
            <w:tcW w:w="265" w:type="pct"/>
            <w:gridSpan w:val="2"/>
            <w:shd w:val="clear" w:color="000000" w:fill="FFFFFF"/>
            <w:vAlign w:val="center"/>
            <w:hideMark/>
          </w:tcPr>
          <w:p w14:paraId="5BC4757A" w14:textId="77777777" w:rsidR="005A043A" w:rsidRPr="00214F41" w:rsidRDefault="005A043A" w:rsidP="00286762">
            <w:pPr>
              <w:jc w:val="center"/>
              <w:rPr>
                <w:sz w:val="18"/>
                <w:szCs w:val="18"/>
                <w:lang w:val="en-GB"/>
              </w:rPr>
            </w:pPr>
            <w:r w:rsidRPr="00214F41">
              <w:rPr>
                <w:sz w:val="18"/>
                <w:szCs w:val="18"/>
                <w:lang w:val="en-GB"/>
              </w:rPr>
              <w:t>33±5</w:t>
            </w:r>
          </w:p>
        </w:tc>
        <w:tc>
          <w:tcPr>
            <w:tcW w:w="266" w:type="pct"/>
            <w:gridSpan w:val="2"/>
            <w:shd w:val="clear" w:color="000000" w:fill="FFFFFF"/>
            <w:vAlign w:val="center"/>
            <w:hideMark/>
          </w:tcPr>
          <w:p w14:paraId="1ADBC16F" w14:textId="77777777" w:rsidR="005A043A" w:rsidRPr="00214F41" w:rsidRDefault="005A043A" w:rsidP="00286762">
            <w:pPr>
              <w:jc w:val="center"/>
              <w:rPr>
                <w:sz w:val="18"/>
                <w:szCs w:val="18"/>
                <w:lang w:val="en-GB"/>
              </w:rPr>
            </w:pPr>
            <w:r w:rsidRPr="00214F41">
              <w:rPr>
                <w:sz w:val="18"/>
                <w:szCs w:val="18"/>
                <w:lang w:val="en-GB"/>
              </w:rPr>
              <w:t>33±6</w:t>
            </w:r>
          </w:p>
        </w:tc>
      </w:tr>
      <w:tr w:rsidR="005A043A" w:rsidRPr="0072287D" w14:paraId="096F1857" w14:textId="77777777" w:rsidTr="00286762">
        <w:trPr>
          <w:trHeight w:val="930"/>
        </w:trPr>
        <w:tc>
          <w:tcPr>
            <w:tcW w:w="338" w:type="pct"/>
            <w:shd w:val="clear" w:color="000000" w:fill="FFFFFF"/>
            <w:vAlign w:val="center"/>
            <w:hideMark/>
          </w:tcPr>
          <w:p w14:paraId="237308E5" w14:textId="77777777" w:rsidR="005A043A" w:rsidRPr="00214F41" w:rsidRDefault="005A043A" w:rsidP="00286762">
            <w:pPr>
              <w:jc w:val="center"/>
              <w:rPr>
                <w:sz w:val="18"/>
                <w:szCs w:val="18"/>
                <w:lang w:val="en-GB"/>
              </w:rPr>
            </w:pPr>
            <w:r w:rsidRPr="00214F41">
              <w:rPr>
                <w:sz w:val="18"/>
                <w:szCs w:val="18"/>
                <w:lang w:val="en-GB"/>
              </w:rPr>
              <w:t xml:space="preserve">Williams -Herman et al., 2010a </w:t>
            </w:r>
            <w:r w:rsidRPr="00214F41">
              <w:rPr>
                <w:sz w:val="18"/>
                <w:szCs w:val="18"/>
                <w:lang w:val="en-GB"/>
              </w:rPr>
              <w:fldChar w:fldCharType="begin" w:fldLock="1"/>
            </w:r>
            <w:r>
              <w:rPr>
                <w:sz w:val="18"/>
                <w:szCs w:val="18"/>
                <w:lang w:val="en-GB"/>
              </w:rPr>
              <w:instrText>ADDIN CSL_CITATION {"citationItems":[{"id":"ITEM-1","itemData":{"DOI":"10.1111/J.1463-1326.2010.01204.X","ISSN":"1463-1326","PMID":"20415693","abstract":"Aim: To assess the 104-week efficacy and safety of sitagliptin and metformin as initial combination therapy and as monotherapy in patients with type 2 diabetes and inadequate glycaemic control (HbA1c 7.5-11%) on diet and exercise.Methods: This study was a 50-week, double-blind extension of a 54-week, randomized, double-blind, factorial study of the initial combination of sitagliptin and metformin, metformin monotherapy and sitagliptin monotherapy (104 weeks total duration). Patients assigned to active therapy in the 54-week base study remained on those treatments in the extension study: sitagliptin 50 mg b.i.d. + metformin 1000 mg b.i.d. (higher dose combination), sitagliptin 50 mg b.i.d. + metformin 500 mg b.i.d. (lower dose combination), metformin 1000 mg b.i.d. (higher dose), metformin 500 mg b.i.d. (lower dose) and sitagliptin 100 mg q.d. Patients randomized to receive the sequence of placebo/metformin were switched, in a blinded manner, from placebo to metformin monotherapy uptitrated to 1000 mg b.i.d. beginning at week 24 and remained on higher dose metformin through the extension.Results: Amongst patients who entered the extension study without having initiated glycaemic rescue therapy, least-squares mean changes in HbA1c from baseline at week 104 were -1.7% (higher dose combination), -1.4% (lower dose combination), -1.3% (higher dose), -1.1% (lower dose) and -1.2% (sitagliptin). The proportions of patients with an HbA1c &lt;7% at week 104 were 60% (higher dose combination), 45% (lower dose combination), 45% (higher dose), 28% (lower dose) and 32% (sitagliptin). Fasting and postmeal measures of glycaemic control and β-cell function improved in all groups, with glycaemic responses generally maintained over the 104-week treatment period. The incidence of hypoglycaemia was low across all groups. The incidences of gastrointestinal adverse experiences were generally lower in the sitagliptin group and similar between the metformin monotherapy and combination groups.Conclusions: Initial combination therapy with sitagliptin and metformin and monotherapy with either drug alone provided substantial and sustained glycaemic improvements and were well tolerated over 104 weeks in patients with type 2 diabetes. © 2010 Blackwell Publishing Ltd.","author":[{"dropping-particle":"","family":"Williams-Herman","given":"D.","non-dropping-particle":"","parse-names":false,"suffix":""},{"dropping-particle":"","family":"Johnson","given":"J.","non-dropping-particle":"","parse-names":false,"suffix":""},{"dropping-particle":"","family":"Teng","given":"R.","non-dropping-particle":"","parse-names":false,"suffix":""},{"dropping-particle":"","family":"Golm","given":"G.","non-dropping-particle":"","parse-names":false,"suffix":""},{"dropping-particle":"","family":"Kaufman","given":"K. D.","non-dropping-particle":"","parse-names":false,"suffix":""},{"dropping-particle":"","family":"Goldstein","given":"B. J.","non-dropping-particle":"","parse-names":false,"suffix":""},{"dropping-particle":"","family":"Amatruda","given":"J. M.","non-dropping-particle":"","parse-names":false,"suffix":""}],"container-title":"Diabetes, Obesity and Metabolism","id":"ITEM-1","issue":"5","issued":{"date-parts":[["2010","5","1"]]},"page":"442-451","publisher":"John Wiley &amp; Sons, Ltd","title":"Efficacy and safety of sitagliptin and metformin as initial combination therapy and as monotherapy over 2 years in patients with type 2 diabetes","type":"article-journal","volume":"12"},"uris":["http://www.mendeley.com/documents/?uuid=9c92f52a-18ff-3a86-95dd-14367dcc9549"]}],"mendeley":{"formattedCitation":"[38]","plainTextFormattedCitation":"[38]","previouslyFormattedCitation":"[38]"},"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[38]</w:t>
            </w:r>
            <w:r w:rsidRPr="00214F41">
              <w:rPr>
                <w:sz w:val="18"/>
                <w:szCs w:val="18"/>
                <w:lang w:val="en-GB"/>
              </w:rPr>
              <w:fldChar w:fldCharType="end"/>
            </w:r>
          </w:p>
        </w:tc>
        <w:tc>
          <w:tcPr>
            <w:tcW w:w="171" w:type="pct"/>
            <w:vMerge w:val="restart"/>
            <w:shd w:val="clear" w:color="000000" w:fill="FFFFFF"/>
            <w:vAlign w:val="center"/>
            <w:hideMark/>
          </w:tcPr>
          <w:p w14:paraId="0F290566"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vMerge w:val="restart"/>
            <w:shd w:val="clear" w:color="000000" w:fill="FFFFFF"/>
            <w:vAlign w:val="center"/>
            <w:hideMark/>
          </w:tcPr>
          <w:p w14:paraId="33C0C31E" w14:textId="77777777" w:rsidR="005A043A" w:rsidRPr="00214F41" w:rsidRDefault="005A043A" w:rsidP="00286762">
            <w:pPr>
              <w:jc w:val="center"/>
              <w:rPr>
                <w:sz w:val="18"/>
                <w:szCs w:val="18"/>
                <w:lang w:val="en-GB"/>
              </w:rPr>
            </w:pPr>
            <w:r w:rsidRPr="00214F41">
              <w:rPr>
                <w:sz w:val="18"/>
                <w:szCs w:val="18"/>
                <w:lang w:val="en-GB"/>
              </w:rPr>
              <w:t>To assess the 104‐week efficacy and safety of sitagliptin and metformin as monotherapies in patients with T2DM and inadequate glycaemic control (HbA1c 7.5–11%) on diet and exercise.</w:t>
            </w:r>
          </w:p>
        </w:tc>
        <w:tc>
          <w:tcPr>
            <w:tcW w:w="364" w:type="pct"/>
            <w:vMerge w:val="restart"/>
            <w:shd w:val="clear" w:color="000000" w:fill="FFFFFF"/>
            <w:vAlign w:val="center"/>
            <w:hideMark/>
          </w:tcPr>
          <w:p w14:paraId="050A1E0F" w14:textId="77777777" w:rsidR="005A043A" w:rsidRPr="00214F41" w:rsidRDefault="005A043A" w:rsidP="00286762">
            <w:pPr>
              <w:jc w:val="center"/>
              <w:rPr>
                <w:sz w:val="18"/>
                <w:szCs w:val="18"/>
                <w:lang w:val="en-GB"/>
              </w:rPr>
            </w:pPr>
            <w:r w:rsidRPr="00214F41">
              <w:rPr>
                <w:sz w:val="18"/>
                <w:szCs w:val="18"/>
                <w:lang w:val="en-GB"/>
              </w:rPr>
              <w:t>1091/1091</w:t>
            </w:r>
          </w:p>
        </w:tc>
        <w:tc>
          <w:tcPr>
            <w:tcW w:w="200" w:type="pct"/>
            <w:vMerge w:val="restart"/>
            <w:shd w:val="clear" w:color="000000" w:fill="FFFFFF"/>
            <w:vAlign w:val="center"/>
            <w:hideMark/>
          </w:tcPr>
          <w:p w14:paraId="702FD5DA" w14:textId="77777777" w:rsidR="005A043A" w:rsidRPr="00214F41" w:rsidRDefault="005A043A" w:rsidP="00286762">
            <w:pPr>
              <w:jc w:val="center"/>
              <w:rPr>
                <w:sz w:val="18"/>
                <w:szCs w:val="18"/>
                <w:lang w:val="en-GB"/>
              </w:rPr>
            </w:pPr>
            <w:r w:rsidRPr="00214F41">
              <w:rPr>
                <w:sz w:val="18"/>
                <w:szCs w:val="18"/>
                <w:lang w:val="en-GB"/>
              </w:rPr>
              <w:t>S</w:t>
            </w:r>
          </w:p>
        </w:tc>
        <w:tc>
          <w:tcPr>
            <w:tcW w:w="448" w:type="pct"/>
            <w:vMerge w:val="restart"/>
            <w:shd w:val="clear" w:color="000000" w:fill="FFFFFF"/>
            <w:vAlign w:val="center"/>
            <w:hideMark/>
          </w:tcPr>
          <w:p w14:paraId="762BF312"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0F18E284" w14:textId="77777777" w:rsidR="005A043A" w:rsidRPr="00214F41" w:rsidRDefault="005A043A" w:rsidP="00286762">
            <w:pPr>
              <w:jc w:val="center"/>
              <w:rPr>
                <w:sz w:val="18"/>
                <w:szCs w:val="18"/>
                <w:lang w:val="en-GB"/>
              </w:rPr>
            </w:pPr>
            <w:r w:rsidRPr="00214F41">
              <w:rPr>
                <w:sz w:val="18"/>
                <w:szCs w:val="18"/>
                <w:lang w:val="en-GB"/>
              </w:rPr>
              <w:t>1000mg/2/d</w:t>
            </w:r>
          </w:p>
        </w:tc>
        <w:tc>
          <w:tcPr>
            <w:tcW w:w="204" w:type="pct"/>
            <w:vMerge w:val="restart"/>
            <w:shd w:val="clear" w:color="000000" w:fill="FFFFFF"/>
            <w:vAlign w:val="center"/>
            <w:hideMark/>
          </w:tcPr>
          <w:p w14:paraId="48B6A7DC" w14:textId="77777777" w:rsidR="005A043A" w:rsidRPr="00214F41" w:rsidRDefault="005A043A" w:rsidP="00286762">
            <w:pPr>
              <w:jc w:val="center"/>
              <w:rPr>
                <w:sz w:val="18"/>
                <w:szCs w:val="18"/>
                <w:lang w:val="en-GB"/>
              </w:rPr>
            </w:pPr>
            <w:r w:rsidRPr="00214F41">
              <w:rPr>
                <w:sz w:val="18"/>
                <w:szCs w:val="18"/>
                <w:lang w:val="en-GB"/>
              </w:rPr>
              <w:t>728</w:t>
            </w:r>
          </w:p>
        </w:tc>
        <w:tc>
          <w:tcPr>
            <w:tcW w:w="247" w:type="pct"/>
            <w:vMerge w:val="restart"/>
            <w:shd w:val="clear" w:color="000000" w:fill="FFFFFF"/>
            <w:vAlign w:val="center"/>
            <w:hideMark/>
          </w:tcPr>
          <w:p w14:paraId="22528ED2"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543DD758"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vMerge w:val="restart"/>
            <w:shd w:val="clear" w:color="000000" w:fill="FFFFFF"/>
            <w:vAlign w:val="center"/>
            <w:hideMark/>
          </w:tcPr>
          <w:p w14:paraId="637B28A1" w14:textId="77777777" w:rsidR="005A043A" w:rsidRPr="00214F41" w:rsidRDefault="005A043A" w:rsidP="00286762">
            <w:pPr>
              <w:jc w:val="center"/>
              <w:rPr>
                <w:sz w:val="18"/>
                <w:szCs w:val="18"/>
                <w:lang w:val="en-GB"/>
              </w:rPr>
            </w:pPr>
            <w:r w:rsidRPr="00214F41">
              <w:rPr>
                <w:sz w:val="18"/>
                <w:szCs w:val="18"/>
                <w:lang w:val="en-GB"/>
              </w:rPr>
              <w:t>Sitagliptin 100 mg/DPP4</w:t>
            </w:r>
          </w:p>
          <w:p w14:paraId="06D28447"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55295ED3" w14:textId="77777777" w:rsidR="005A043A" w:rsidRPr="00214F41" w:rsidRDefault="005A043A" w:rsidP="00286762">
            <w:pPr>
              <w:jc w:val="center"/>
              <w:rPr>
                <w:sz w:val="18"/>
                <w:szCs w:val="18"/>
                <w:lang w:val="en-GB"/>
              </w:rPr>
            </w:pPr>
            <w:r w:rsidRPr="00214F41">
              <w:rPr>
                <w:sz w:val="18"/>
                <w:szCs w:val="18"/>
                <w:lang w:val="en-GB"/>
              </w:rPr>
              <w:t>53.4±10.2</w:t>
            </w:r>
          </w:p>
        </w:tc>
        <w:tc>
          <w:tcPr>
            <w:tcW w:w="202" w:type="pct"/>
            <w:shd w:val="clear" w:color="000000" w:fill="FFFFFF"/>
            <w:vAlign w:val="center"/>
            <w:hideMark/>
          </w:tcPr>
          <w:p w14:paraId="2F27A5FC" w14:textId="77777777" w:rsidR="005A043A" w:rsidRPr="00214F41" w:rsidRDefault="005A043A" w:rsidP="00286762">
            <w:pPr>
              <w:jc w:val="center"/>
              <w:rPr>
                <w:sz w:val="18"/>
                <w:szCs w:val="18"/>
                <w:lang w:val="en-GB"/>
              </w:rPr>
            </w:pPr>
            <w:r w:rsidRPr="00214F41">
              <w:rPr>
                <w:sz w:val="18"/>
                <w:szCs w:val="18"/>
                <w:lang w:val="en-GB"/>
              </w:rPr>
              <w:t>182/50.4</w:t>
            </w:r>
          </w:p>
        </w:tc>
        <w:tc>
          <w:tcPr>
            <w:tcW w:w="265" w:type="pct"/>
            <w:gridSpan w:val="2"/>
            <w:shd w:val="clear" w:color="000000" w:fill="FFFFFF"/>
            <w:vAlign w:val="center"/>
            <w:hideMark/>
          </w:tcPr>
          <w:p w14:paraId="1F178C84" w14:textId="77777777" w:rsidR="005A043A" w:rsidRPr="00214F41" w:rsidRDefault="005A043A" w:rsidP="00286762">
            <w:pPr>
              <w:jc w:val="center"/>
              <w:rPr>
                <w:sz w:val="18"/>
                <w:szCs w:val="18"/>
                <w:lang w:val="en-GB"/>
              </w:rPr>
            </w:pPr>
            <w:r w:rsidRPr="00214F41">
              <w:rPr>
                <w:sz w:val="18"/>
                <w:szCs w:val="18"/>
                <w:lang w:val="en-GB"/>
              </w:rPr>
              <w:t>32.1±6.8</w:t>
            </w:r>
          </w:p>
        </w:tc>
        <w:tc>
          <w:tcPr>
            <w:tcW w:w="266" w:type="pct"/>
            <w:gridSpan w:val="2"/>
            <w:vMerge w:val="restart"/>
            <w:shd w:val="clear" w:color="000000" w:fill="FFFFFF"/>
            <w:vAlign w:val="center"/>
            <w:hideMark/>
          </w:tcPr>
          <w:p w14:paraId="657660DE" w14:textId="77777777" w:rsidR="005A043A" w:rsidRPr="00214F41" w:rsidRDefault="005A043A" w:rsidP="00286762">
            <w:pPr>
              <w:jc w:val="center"/>
              <w:rPr>
                <w:sz w:val="18"/>
                <w:szCs w:val="18"/>
                <w:lang w:val="en-GB"/>
              </w:rPr>
            </w:pPr>
            <w:r w:rsidRPr="00214F41">
              <w:rPr>
                <w:sz w:val="18"/>
                <w:szCs w:val="18"/>
                <w:lang w:val="en-GB"/>
              </w:rPr>
              <w:t>31.2/5.9</w:t>
            </w:r>
          </w:p>
        </w:tc>
      </w:tr>
      <w:tr w:rsidR="005A043A" w:rsidRPr="0072287D" w14:paraId="73165866" w14:textId="77777777" w:rsidTr="00286762">
        <w:trPr>
          <w:trHeight w:val="930"/>
        </w:trPr>
        <w:tc>
          <w:tcPr>
            <w:tcW w:w="338" w:type="pct"/>
            <w:shd w:val="clear" w:color="000000" w:fill="FFFFFF"/>
            <w:vAlign w:val="center"/>
            <w:hideMark/>
          </w:tcPr>
          <w:p w14:paraId="06058678" w14:textId="77777777" w:rsidR="005A043A" w:rsidRPr="00214F41" w:rsidRDefault="005A043A" w:rsidP="00286762">
            <w:pPr>
              <w:jc w:val="center"/>
              <w:rPr>
                <w:sz w:val="18"/>
                <w:szCs w:val="18"/>
                <w:lang w:val="en-GB"/>
              </w:rPr>
            </w:pPr>
            <w:r w:rsidRPr="00214F41">
              <w:rPr>
                <w:sz w:val="18"/>
                <w:szCs w:val="18"/>
                <w:lang w:val="en-GB"/>
              </w:rPr>
              <w:t>Williams -Herman et al., 2010b</w:t>
            </w:r>
          </w:p>
        </w:tc>
        <w:tc>
          <w:tcPr>
            <w:tcW w:w="171" w:type="pct"/>
            <w:vMerge/>
            <w:shd w:val="clear" w:color="000000" w:fill="FFFFFF"/>
            <w:vAlign w:val="center"/>
            <w:hideMark/>
          </w:tcPr>
          <w:p w14:paraId="1D045A4D" w14:textId="77777777" w:rsidR="005A043A" w:rsidRPr="00214F41" w:rsidRDefault="005A043A" w:rsidP="00286762">
            <w:pPr>
              <w:jc w:val="center"/>
              <w:rPr>
                <w:sz w:val="18"/>
                <w:szCs w:val="18"/>
                <w:lang w:val="en-GB"/>
              </w:rPr>
            </w:pPr>
          </w:p>
        </w:tc>
        <w:tc>
          <w:tcPr>
            <w:tcW w:w="744" w:type="pct"/>
            <w:vMerge/>
            <w:shd w:val="clear" w:color="000000" w:fill="FFFFFF"/>
            <w:vAlign w:val="center"/>
            <w:hideMark/>
          </w:tcPr>
          <w:p w14:paraId="4B08F1FF" w14:textId="77777777" w:rsidR="005A043A" w:rsidRPr="00214F41" w:rsidRDefault="005A043A" w:rsidP="00286762">
            <w:pPr>
              <w:jc w:val="center"/>
              <w:rPr>
                <w:sz w:val="18"/>
                <w:szCs w:val="18"/>
                <w:lang w:val="en-GB"/>
              </w:rPr>
            </w:pPr>
          </w:p>
        </w:tc>
        <w:tc>
          <w:tcPr>
            <w:tcW w:w="364" w:type="pct"/>
            <w:vMerge/>
            <w:shd w:val="clear" w:color="000000" w:fill="FFFFFF"/>
            <w:vAlign w:val="center"/>
            <w:hideMark/>
          </w:tcPr>
          <w:p w14:paraId="31389C0E" w14:textId="77777777" w:rsidR="005A043A" w:rsidRPr="00214F41" w:rsidRDefault="005A043A" w:rsidP="00286762">
            <w:pPr>
              <w:jc w:val="center"/>
              <w:rPr>
                <w:sz w:val="18"/>
                <w:szCs w:val="18"/>
                <w:lang w:val="en-GB"/>
              </w:rPr>
            </w:pPr>
          </w:p>
        </w:tc>
        <w:tc>
          <w:tcPr>
            <w:tcW w:w="200" w:type="pct"/>
            <w:vMerge/>
            <w:shd w:val="clear" w:color="000000" w:fill="FFFFFF"/>
            <w:vAlign w:val="center"/>
            <w:hideMark/>
          </w:tcPr>
          <w:p w14:paraId="63C78573" w14:textId="77777777" w:rsidR="005A043A" w:rsidRPr="00214F41" w:rsidRDefault="005A043A" w:rsidP="00286762">
            <w:pPr>
              <w:jc w:val="center"/>
              <w:rPr>
                <w:sz w:val="18"/>
                <w:szCs w:val="18"/>
                <w:lang w:val="en-GB"/>
              </w:rPr>
            </w:pPr>
          </w:p>
        </w:tc>
        <w:tc>
          <w:tcPr>
            <w:tcW w:w="448" w:type="pct"/>
            <w:vMerge/>
            <w:shd w:val="clear" w:color="000000" w:fill="FFFFFF"/>
            <w:vAlign w:val="center"/>
            <w:hideMark/>
          </w:tcPr>
          <w:p w14:paraId="785767BD" w14:textId="77777777" w:rsidR="005A043A" w:rsidRPr="00214F41" w:rsidRDefault="005A043A" w:rsidP="00286762">
            <w:pPr>
              <w:jc w:val="center"/>
              <w:rPr>
                <w:sz w:val="18"/>
                <w:szCs w:val="18"/>
                <w:lang w:val="en-GB"/>
              </w:rPr>
            </w:pPr>
          </w:p>
        </w:tc>
        <w:tc>
          <w:tcPr>
            <w:tcW w:w="324" w:type="pct"/>
            <w:shd w:val="clear" w:color="000000" w:fill="FFFFFF"/>
            <w:vAlign w:val="center"/>
            <w:hideMark/>
          </w:tcPr>
          <w:p w14:paraId="4C33AB21" w14:textId="77777777" w:rsidR="005A043A" w:rsidRPr="00214F41" w:rsidRDefault="005A043A" w:rsidP="00286762">
            <w:pPr>
              <w:jc w:val="center"/>
              <w:rPr>
                <w:sz w:val="18"/>
                <w:szCs w:val="18"/>
                <w:lang w:val="en-GB"/>
              </w:rPr>
            </w:pPr>
            <w:r w:rsidRPr="00214F41">
              <w:rPr>
                <w:sz w:val="18"/>
                <w:szCs w:val="18"/>
                <w:lang w:val="en-GB"/>
              </w:rPr>
              <w:t>2000mg/2/d</w:t>
            </w:r>
          </w:p>
        </w:tc>
        <w:tc>
          <w:tcPr>
            <w:tcW w:w="204" w:type="pct"/>
            <w:vMerge/>
            <w:shd w:val="clear" w:color="000000" w:fill="FFFFFF"/>
            <w:vAlign w:val="center"/>
            <w:hideMark/>
          </w:tcPr>
          <w:p w14:paraId="7538F95C" w14:textId="77777777" w:rsidR="005A043A" w:rsidRPr="00214F41" w:rsidRDefault="005A043A" w:rsidP="00286762">
            <w:pPr>
              <w:jc w:val="center"/>
              <w:rPr>
                <w:sz w:val="18"/>
                <w:szCs w:val="18"/>
                <w:lang w:val="en-GB"/>
              </w:rPr>
            </w:pPr>
          </w:p>
        </w:tc>
        <w:tc>
          <w:tcPr>
            <w:tcW w:w="247" w:type="pct"/>
            <w:vMerge/>
            <w:shd w:val="clear" w:color="000000" w:fill="FFFFFF"/>
            <w:vAlign w:val="center"/>
            <w:hideMark/>
          </w:tcPr>
          <w:p w14:paraId="25C33F9A" w14:textId="77777777" w:rsidR="005A043A" w:rsidRPr="00214F41" w:rsidRDefault="005A043A" w:rsidP="00286762">
            <w:pPr>
              <w:jc w:val="center"/>
              <w:rPr>
                <w:sz w:val="18"/>
                <w:szCs w:val="18"/>
                <w:lang w:val="en-GB"/>
              </w:rPr>
            </w:pPr>
          </w:p>
        </w:tc>
        <w:tc>
          <w:tcPr>
            <w:tcW w:w="491" w:type="pct"/>
            <w:shd w:val="clear" w:color="000000" w:fill="FFFFFF"/>
            <w:vAlign w:val="center"/>
          </w:tcPr>
          <w:p w14:paraId="4E6BB01D"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vMerge/>
            <w:shd w:val="clear" w:color="000000" w:fill="FFFFFF"/>
            <w:vAlign w:val="center"/>
            <w:hideMark/>
          </w:tcPr>
          <w:p w14:paraId="14503915" w14:textId="77777777" w:rsidR="005A043A" w:rsidRPr="00214F41" w:rsidRDefault="005A043A" w:rsidP="00286762">
            <w:pPr>
              <w:jc w:val="center"/>
              <w:rPr>
                <w:sz w:val="18"/>
                <w:szCs w:val="18"/>
                <w:lang w:val="en-GB"/>
              </w:rPr>
            </w:pPr>
          </w:p>
        </w:tc>
        <w:tc>
          <w:tcPr>
            <w:tcW w:w="245" w:type="pct"/>
            <w:gridSpan w:val="2"/>
            <w:shd w:val="clear" w:color="000000" w:fill="FFFFFF"/>
            <w:vAlign w:val="center"/>
            <w:hideMark/>
          </w:tcPr>
          <w:p w14:paraId="64AA875C" w14:textId="77777777" w:rsidR="005A043A" w:rsidRPr="00214F41" w:rsidRDefault="005A043A" w:rsidP="00286762">
            <w:pPr>
              <w:jc w:val="center"/>
              <w:rPr>
                <w:sz w:val="18"/>
                <w:szCs w:val="18"/>
                <w:lang w:val="en-GB"/>
              </w:rPr>
            </w:pPr>
            <w:r w:rsidRPr="00214F41">
              <w:rPr>
                <w:sz w:val="18"/>
                <w:szCs w:val="18"/>
                <w:lang w:val="en-GB"/>
              </w:rPr>
              <w:t>53.2±9.9</w:t>
            </w:r>
          </w:p>
        </w:tc>
        <w:tc>
          <w:tcPr>
            <w:tcW w:w="202" w:type="pct"/>
            <w:shd w:val="clear" w:color="000000" w:fill="FFFFFF"/>
            <w:vAlign w:val="center"/>
            <w:hideMark/>
          </w:tcPr>
          <w:p w14:paraId="7D17BF1E" w14:textId="77777777" w:rsidR="005A043A" w:rsidRPr="00214F41" w:rsidRDefault="005A043A" w:rsidP="00286762">
            <w:pPr>
              <w:jc w:val="center"/>
              <w:rPr>
                <w:sz w:val="18"/>
                <w:szCs w:val="18"/>
                <w:lang w:val="en-GB"/>
              </w:rPr>
            </w:pPr>
            <w:r w:rsidRPr="00214F41">
              <w:rPr>
                <w:sz w:val="18"/>
                <w:szCs w:val="18"/>
                <w:lang w:val="en-GB"/>
              </w:rPr>
              <w:t>175/48.5</w:t>
            </w:r>
          </w:p>
        </w:tc>
        <w:tc>
          <w:tcPr>
            <w:tcW w:w="265" w:type="pct"/>
            <w:gridSpan w:val="2"/>
            <w:shd w:val="clear" w:color="000000" w:fill="FFFFFF"/>
            <w:vAlign w:val="center"/>
            <w:hideMark/>
          </w:tcPr>
          <w:p w14:paraId="130BD4EB" w14:textId="77777777" w:rsidR="005A043A" w:rsidRPr="00214F41" w:rsidRDefault="005A043A" w:rsidP="00286762">
            <w:pPr>
              <w:jc w:val="center"/>
              <w:rPr>
                <w:sz w:val="18"/>
                <w:szCs w:val="18"/>
                <w:lang w:val="en-GB"/>
              </w:rPr>
            </w:pPr>
            <w:r w:rsidRPr="00214F41">
              <w:rPr>
                <w:sz w:val="18"/>
                <w:szCs w:val="18"/>
                <w:lang w:val="en-GB"/>
              </w:rPr>
              <w:t>32.2±7.1</w:t>
            </w:r>
          </w:p>
        </w:tc>
        <w:tc>
          <w:tcPr>
            <w:tcW w:w="266" w:type="pct"/>
            <w:gridSpan w:val="2"/>
            <w:vMerge/>
            <w:shd w:val="clear" w:color="000000" w:fill="FFFFFF"/>
            <w:vAlign w:val="center"/>
            <w:hideMark/>
          </w:tcPr>
          <w:p w14:paraId="47F3E7F4" w14:textId="77777777" w:rsidR="005A043A" w:rsidRPr="00214F41" w:rsidRDefault="005A043A" w:rsidP="00286762">
            <w:pPr>
              <w:jc w:val="center"/>
              <w:rPr>
                <w:sz w:val="18"/>
                <w:szCs w:val="18"/>
                <w:lang w:val="en-GB"/>
              </w:rPr>
            </w:pPr>
          </w:p>
        </w:tc>
      </w:tr>
      <w:tr w:rsidR="005A043A" w:rsidRPr="0072287D" w14:paraId="4E4B53EB" w14:textId="77777777" w:rsidTr="00286762">
        <w:trPr>
          <w:trHeight w:val="930"/>
        </w:trPr>
        <w:tc>
          <w:tcPr>
            <w:tcW w:w="338" w:type="pct"/>
            <w:shd w:val="clear" w:color="000000" w:fill="FFFFFF"/>
            <w:vAlign w:val="center"/>
            <w:hideMark/>
          </w:tcPr>
          <w:p w14:paraId="3B4A3C50" w14:textId="77777777" w:rsidR="005A043A" w:rsidRPr="00214F41" w:rsidRDefault="005A043A" w:rsidP="00286762">
            <w:pPr>
              <w:jc w:val="center"/>
              <w:rPr>
                <w:sz w:val="18"/>
                <w:szCs w:val="18"/>
                <w:lang w:val="en-GB"/>
              </w:rPr>
            </w:pPr>
            <w:r w:rsidRPr="00214F41">
              <w:rPr>
                <w:sz w:val="18"/>
                <w:szCs w:val="18"/>
                <w:lang w:val="en-GB"/>
              </w:rPr>
              <w:t xml:space="preserve">Yoon et al., 2010 </w:t>
            </w:r>
            <w:r w:rsidRPr="00214F41">
              <w:rPr>
                <w:sz w:val="18"/>
                <w:szCs w:val="18"/>
              </w:rPr>
              <w:fldChar w:fldCharType="begin" w:fldLock="1"/>
            </w:r>
            <w:r>
              <w:rPr>
                <w:sz w:val="18"/>
                <w:szCs w:val="18"/>
                <w:lang w:val="en-GB"/>
              </w:rPr>
              <w:instrText>ADDIN CSL_CITATION {"citationItems":[{"id":"ITEM-1","itemData":{"DOI":"10.4093/dmj.2011.35.1.26","ISSN":"2233-6087","PMID":"21537410","abstract":"BACKGROUND: Although many anti-diabetic drugs have been used to control hyperglycemia for decades, the efficacy of commonly-used oral glucose-lowering agents in Korean type 2 diabetic patients has yet to be clearly demonstrated.\nMETHODS: We evaluated the efficacy of glimepiride, metformin, and rosiglitazone as initial treatment for drug-naïve type 2 diabetes mellitus patients in a 48-week, double-blind, randomized controlled study that included 349 Korean patients. Our primary goal was to determine the change in HbA1c levels from baseline to end point. Our secondary goal was to evaluate changes in fasting plasma glucose (FPG) levels, body weight, frequency of adverse events, and the proportion of participants achieving target HbA1c levels.\nRESULTS: HbA1c levels decreased from 7.8\\% to 6.9\\% in the glimepiride group (P{\\textless}0.001), from 7.9\\% to 7.0\\% in the metformin group (P{\\textless}0.001), and from 7.8\\% to 7.0\\% (P{\\textless}0.001) in the rosiglitazone group. Glimepiride and rosiglitazone significantly increased body weight and metformin reduced body weight during the study period. Symptomatic hypoglycemia was more frequent in the glimepiride group and diarrhea was more frequent in the metformin group.\nCONCLUSION: The efficacy of glimepiride, metformin, and rosiglitazone as antidiabetic monotherapies in drug-naïve Korean type 2 diabetic patients was similar in the three groups, with no statistical difference. This study is the first randomized controlled trial to evaluate the efficacy of commonly-used oral hypoglycemic agents in Korean type 2 diabetic patients. An additional subgroup analysis is recommended to obtain more detailed information.","author":[{"dropping-particle":"","family":"Yoon","given":"Kun Ho","non-dropping-particle":"","parse-names":false,"suffix":""},{"dropping-particle":"","family":"Shin","given":"Jeong Ah","non-dropping-particle":"","parse-names":false,"suffix":""},{"dropping-particle":"","family":"Kwon","given":"Hyuk Sang","non-dropping-particle":"","parse-names":false,"suffix":""},{"dropping-particle":"","family":"Lee","given":"Seung Hwan","non-dropping-particle":"","parse-names":false,"suffix":""},{"dropping-particle":"","family":"Min","given":"Kyung Wan","non-dropping-particle":"","parse-names":false,"suffix":""},{"dropping-particle":"","family":"Ahn","given":"Yu Bae","non-dropping-particle":"","parse-names":false,"suffix":""},{"dropping-particle":"","family":"Yoo","given":"Soon Jib","non-dropping-particle":"","parse-names":false,"suffix":""},{"dropping-particle":"","family":"Ahn","given":"Kyu Jeung","non-dropping-particle":"","parse-names":false,"suffix":""},{"dropping-particle":"","family":"Park","given":"Sung Woo","non-dropping-particle":"","parse-names":false,"suffix":""},{"dropping-particle":"","family":"Lee","given":"Kwan Woo","non-dropping-particle":"","parse-names":false,"suffix":""},{"dropping-particle":"","family":"Sung","given":"Yeon Ah","non-dropping-particle":"","parse-names":false,"suffix":""},{"dropping-particle":"","family":"Park","given":"Tae Sun","non-dropping-particle":"","parse-names":false,"suffix":""},{"dropping-particle":"","family":"Kim","given":"Min Seon","non-dropping-particle":"","parse-names":false,"suffix":""},{"dropping-particle":"","family":"Kim","given":"Yong Ki","non-dropping-particle":"","parse-names":false,"suffix":""},{"dropping-particle":"","family":"Nam","given":"Moon Suk","non-dropping-particle":"","parse-names":false,"suffix":""},{"dropping-particle":"","family":"Kim","given":"Hye Soon","non-dropping-particle":"","parse-names":false,"suffix":""},{"dropping-particle":"","family":"Park","given":"Ie Byung","non-dropping-particle":"","parse-names":false,"suffix":""},{"dropping-particle":"","family":"Park","given":"Jong Suk","non-dropping-particle":"","parse-names":false,"suffix":""},{"dropping-particle":"","family":"Woo","given":"Jeong Taek","non-dropping-particle":"","parse-names":false,"suffix":""},{"dropping-particle":"","family":"Son","given":"Ho Young","non-dropping-particle":"","parse-names":false,"suffix":""}],"container-title":"Diabetes \\&amp; Metabolism Journal","id":"ITEM-1","issue":"1","issued":{"date-parts":[["2011","2"]]},"page":"26-33","title":"Comparison of the efficacy of glimepiride, metformin, and rosiglitazone monotherapy in korean drug-naïve type 2 diabetic patients: the practical evidence of antidiabetic monotherapy study","title-short":"Comparison of the efficacy of glimepiride, metform","type":"article-journal","volume":"35"},"uris":["http://www.mendeley.com/documents/?uuid=c8b4d65d-cd07-45e5-bb3a-c014877c63cf"]}],"mendeley":{"formattedCitation":"[39]","plainTextFormattedCitation":"[39]","previouslyFormattedCitation":"[39]"},"properties":{"noteIndex":0},"schema":"https://github.com/citation-style-language/schema/raw/master/csl-citation.json"}</w:instrText>
            </w:r>
            <w:r w:rsidRPr="00214F41">
              <w:rPr>
                <w:sz w:val="18"/>
                <w:szCs w:val="18"/>
              </w:rPr>
              <w:fldChar w:fldCharType="separate"/>
            </w:r>
            <w:r w:rsidRPr="00FF29A9">
              <w:rPr>
                <w:noProof/>
                <w:sz w:val="18"/>
                <w:szCs w:val="18"/>
                <w:lang w:val="en-GB"/>
              </w:rPr>
              <w:t>[39]</w:t>
            </w:r>
            <w:r w:rsidRPr="00214F41">
              <w:rPr>
                <w:sz w:val="18"/>
                <w:szCs w:val="18"/>
              </w:rPr>
              <w:fldChar w:fldCharType="end"/>
            </w:r>
          </w:p>
        </w:tc>
        <w:tc>
          <w:tcPr>
            <w:tcW w:w="171" w:type="pct"/>
            <w:shd w:val="clear" w:color="000000" w:fill="FFFFFF"/>
            <w:vAlign w:val="center"/>
            <w:hideMark/>
          </w:tcPr>
          <w:p w14:paraId="29F89B43"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416916C8" w14:textId="77777777" w:rsidR="005A043A" w:rsidRPr="00214F41" w:rsidRDefault="005A043A" w:rsidP="00286762">
            <w:pPr>
              <w:jc w:val="center"/>
              <w:rPr>
                <w:sz w:val="18"/>
                <w:szCs w:val="18"/>
                <w:lang w:val="en-GB"/>
              </w:rPr>
            </w:pPr>
            <w:r w:rsidRPr="00214F41">
              <w:rPr>
                <w:sz w:val="18"/>
                <w:szCs w:val="18"/>
                <w:lang w:val="en-GB"/>
              </w:rPr>
              <w:t>To evaluate  the efficacy of glimepiride or metformin as initial treatment for drug-naïve T2DMmellitus patients</w:t>
            </w:r>
          </w:p>
        </w:tc>
        <w:tc>
          <w:tcPr>
            <w:tcW w:w="364" w:type="pct"/>
            <w:shd w:val="clear" w:color="000000" w:fill="FFFFFF"/>
            <w:vAlign w:val="center"/>
            <w:hideMark/>
          </w:tcPr>
          <w:p w14:paraId="779BCE65" w14:textId="77777777" w:rsidR="005A043A" w:rsidRPr="00214F41" w:rsidRDefault="005A043A" w:rsidP="00286762">
            <w:pPr>
              <w:jc w:val="center"/>
              <w:rPr>
                <w:sz w:val="18"/>
                <w:szCs w:val="18"/>
                <w:lang w:val="en-GB"/>
              </w:rPr>
            </w:pPr>
            <w:r w:rsidRPr="00214F41">
              <w:rPr>
                <w:sz w:val="18"/>
                <w:szCs w:val="18"/>
                <w:lang w:val="en-GB"/>
              </w:rPr>
              <w:t>349/349</w:t>
            </w:r>
          </w:p>
        </w:tc>
        <w:tc>
          <w:tcPr>
            <w:tcW w:w="200" w:type="pct"/>
            <w:shd w:val="clear" w:color="000000" w:fill="FFFFFF"/>
            <w:vAlign w:val="center"/>
            <w:hideMark/>
          </w:tcPr>
          <w:p w14:paraId="2F49ED6E"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42266ECD"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57758025" w14:textId="77777777" w:rsidR="005A043A" w:rsidRPr="00214F41" w:rsidRDefault="005A043A" w:rsidP="00286762">
            <w:pPr>
              <w:jc w:val="center"/>
              <w:rPr>
                <w:sz w:val="18"/>
                <w:szCs w:val="18"/>
                <w:lang w:val="en-GB"/>
              </w:rPr>
            </w:pPr>
            <w:r w:rsidRPr="00214F41">
              <w:rPr>
                <w:sz w:val="18"/>
                <w:szCs w:val="18"/>
                <w:lang w:val="en-GB"/>
              </w:rPr>
              <w:t>1238mg/2/d</w:t>
            </w:r>
          </w:p>
        </w:tc>
        <w:tc>
          <w:tcPr>
            <w:tcW w:w="204" w:type="pct"/>
            <w:shd w:val="clear" w:color="000000" w:fill="FFFFFF"/>
            <w:vAlign w:val="center"/>
            <w:hideMark/>
          </w:tcPr>
          <w:p w14:paraId="51C1E4D5" w14:textId="77777777" w:rsidR="005A043A" w:rsidRPr="00214F41" w:rsidRDefault="005A043A" w:rsidP="00286762">
            <w:pPr>
              <w:jc w:val="center"/>
              <w:rPr>
                <w:sz w:val="18"/>
                <w:szCs w:val="18"/>
                <w:lang w:val="en-GB"/>
              </w:rPr>
            </w:pPr>
            <w:r w:rsidRPr="00214F41">
              <w:rPr>
                <w:sz w:val="18"/>
                <w:szCs w:val="18"/>
                <w:lang w:val="en-GB"/>
              </w:rPr>
              <w:t>336</w:t>
            </w:r>
          </w:p>
        </w:tc>
        <w:tc>
          <w:tcPr>
            <w:tcW w:w="247" w:type="pct"/>
            <w:shd w:val="clear" w:color="000000" w:fill="FFFFFF"/>
            <w:vAlign w:val="center"/>
            <w:hideMark/>
          </w:tcPr>
          <w:p w14:paraId="16748D9B"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10693F10"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30A514CB" w14:textId="77777777" w:rsidR="005A043A" w:rsidRPr="00214F41" w:rsidRDefault="005A043A" w:rsidP="00286762">
            <w:pPr>
              <w:jc w:val="center"/>
              <w:rPr>
                <w:sz w:val="18"/>
                <w:szCs w:val="18"/>
                <w:lang w:val="en-GB"/>
              </w:rPr>
            </w:pPr>
            <w:r w:rsidRPr="00214F41">
              <w:rPr>
                <w:sz w:val="18"/>
                <w:szCs w:val="18"/>
                <w:lang w:val="en-GB"/>
              </w:rPr>
              <w:t xml:space="preserve">glimepiride/sulfonylurea derivatives </w:t>
            </w:r>
          </w:p>
        </w:tc>
        <w:tc>
          <w:tcPr>
            <w:tcW w:w="245" w:type="pct"/>
            <w:gridSpan w:val="2"/>
            <w:shd w:val="clear" w:color="000000" w:fill="FFFFFF"/>
            <w:vAlign w:val="center"/>
            <w:hideMark/>
          </w:tcPr>
          <w:p w14:paraId="481B6A44" w14:textId="77777777" w:rsidR="005A043A" w:rsidRPr="00214F41" w:rsidRDefault="005A043A" w:rsidP="00286762">
            <w:pPr>
              <w:jc w:val="center"/>
              <w:rPr>
                <w:sz w:val="18"/>
                <w:szCs w:val="18"/>
                <w:lang w:val="en-GB"/>
              </w:rPr>
            </w:pPr>
            <w:r w:rsidRPr="00214F41">
              <w:rPr>
                <w:sz w:val="18"/>
                <w:szCs w:val="18"/>
                <w:lang w:val="en-GB"/>
              </w:rPr>
              <w:t>51.29±8.72</w:t>
            </w:r>
          </w:p>
        </w:tc>
        <w:tc>
          <w:tcPr>
            <w:tcW w:w="202" w:type="pct"/>
            <w:shd w:val="clear" w:color="000000" w:fill="FFFFFF"/>
            <w:vAlign w:val="center"/>
            <w:hideMark/>
          </w:tcPr>
          <w:p w14:paraId="5EC88738" w14:textId="77777777" w:rsidR="005A043A" w:rsidRPr="00214F41" w:rsidRDefault="005A043A" w:rsidP="00286762">
            <w:pPr>
              <w:jc w:val="center"/>
              <w:rPr>
                <w:sz w:val="18"/>
                <w:szCs w:val="18"/>
                <w:lang w:val="en-GB"/>
              </w:rPr>
            </w:pPr>
            <w:r w:rsidRPr="00214F41">
              <w:rPr>
                <w:sz w:val="18"/>
                <w:szCs w:val="18"/>
                <w:lang w:val="en-GB"/>
              </w:rPr>
              <w:t>132/56.9</w:t>
            </w:r>
          </w:p>
        </w:tc>
        <w:tc>
          <w:tcPr>
            <w:tcW w:w="265" w:type="pct"/>
            <w:gridSpan w:val="2"/>
            <w:shd w:val="clear" w:color="000000" w:fill="FFFFFF"/>
            <w:vAlign w:val="center"/>
            <w:hideMark/>
          </w:tcPr>
          <w:p w14:paraId="4DF86B59" w14:textId="77777777" w:rsidR="005A043A" w:rsidRPr="00214F41" w:rsidRDefault="005A043A" w:rsidP="00286762">
            <w:pPr>
              <w:jc w:val="center"/>
              <w:rPr>
                <w:sz w:val="18"/>
                <w:szCs w:val="18"/>
                <w:lang w:val="en-GB"/>
              </w:rPr>
            </w:pPr>
            <w:r w:rsidRPr="00214F41">
              <w:rPr>
                <w:sz w:val="18"/>
                <w:szCs w:val="18"/>
                <w:lang w:val="en-GB"/>
              </w:rPr>
              <w:t>25.7±3.2</w:t>
            </w:r>
          </w:p>
        </w:tc>
        <w:tc>
          <w:tcPr>
            <w:tcW w:w="266" w:type="pct"/>
            <w:gridSpan w:val="2"/>
            <w:shd w:val="clear" w:color="000000" w:fill="FFFFFF"/>
            <w:vAlign w:val="center"/>
            <w:hideMark/>
          </w:tcPr>
          <w:p w14:paraId="4E3B26C6" w14:textId="77777777" w:rsidR="005A043A" w:rsidRPr="00214F41" w:rsidRDefault="005A043A" w:rsidP="00286762">
            <w:pPr>
              <w:jc w:val="center"/>
              <w:rPr>
                <w:sz w:val="18"/>
                <w:szCs w:val="18"/>
                <w:lang w:val="en-GB"/>
              </w:rPr>
            </w:pPr>
            <w:r w:rsidRPr="00214F41">
              <w:rPr>
                <w:sz w:val="18"/>
                <w:szCs w:val="18"/>
                <w:lang w:val="en-GB"/>
              </w:rPr>
              <w:t>25.5/3.1</w:t>
            </w:r>
          </w:p>
        </w:tc>
      </w:tr>
      <w:tr w:rsidR="005A043A" w:rsidRPr="0072287D" w14:paraId="0F594DBC" w14:textId="77777777" w:rsidTr="00286762">
        <w:trPr>
          <w:trHeight w:val="930"/>
        </w:trPr>
        <w:tc>
          <w:tcPr>
            <w:tcW w:w="338" w:type="pct"/>
            <w:shd w:val="clear" w:color="000000" w:fill="FFFFFF"/>
            <w:vAlign w:val="center"/>
            <w:hideMark/>
          </w:tcPr>
          <w:p w14:paraId="3ADF3DFB" w14:textId="77777777" w:rsidR="005A043A" w:rsidRPr="00214F41" w:rsidRDefault="005A043A" w:rsidP="00286762">
            <w:pPr>
              <w:jc w:val="center"/>
              <w:rPr>
                <w:sz w:val="18"/>
                <w:szCs w:val="18"/>
                <w:lang w:val="en-GB"/>
              </w:rPr>
            </w:pPr>
            <w:r w:rsidRPr="00214F41">
              <w:rPr>
                <w:sz w:val="18"/>
                <w:szCs w:val="18"/>
                <w:lang w:val="en-GB"/>
              </w:rPr>
              <w:t xml:space="preserve">Yuan et al., 2012 </w:t>
            </w:r>
            <w:r w:rsidRPr="00214F41">
              <w:rPr>
                <w:sz w:val="18"/>
                <w:szCs w:val="18"/>
              </w:rPr>
              <w:fldChar w:fldCharType="begin" w:fldLock="1"/>
            </w:r>
            <w:r>
              <w:rPr>
                <w:sz w:val="18"/>
                <w:szCs w:val="18"/>
                <w:lang w:val="en-GB"/>
              </w:rPr>
              <w:instrText>ADDIN CSL_CITATION {"citationItems":[{"id":"ITEM-1","itemData":{"DOI":"10.3760/cma.j.issn.0366-6999.2012.15.006","ISSN":"0366-6999","abstract":"Background Incretin-based therapies provide additional options for treating type 2 diabetes. We aimed to evaluate the efficacy and tolerability of exenatide monotherapy in obese patients with type 2 diabetes. Methods A 26-week, metformin controlled, parallel-group study was conducted among antidiabetic drug-naive obese patients aged {\\textgreater}18 years, and with type 2 diabetes. Participating patients were randomly assigned to receive exenatide or metformin treatments. Results Fifty-nine patients (age (50.5±8.6) years, body mass index (BMI) (30.2±1.6) kg/m2, and hemoglobin A1C (HbA1C (8.2±1.2)\\%) were enrolled in the study. Glucose control and weight reduction improved in both groups receiving treatment. HbA1C and oral glucose tolerance test (OGTT) 2 hour glycemia reduction with exenatide was superior to that obtained with metformin ((-2.10±1.79)\\% vs. (-1.66±1.38)\\%, (-5.11±2.68) mmol/L vs. (-2.80±2.70) mmol/L, P {\\textless}0.05). Fast plasma glucose (FPG) reduction was not significantly different between the two groups ((-1.8±2.0) mmol/L vs. (-1.6±1.7) mmol/L, P {\\textgreater}0.05). Patients treated with exenatide achieved HbA1C of {\\textless}7\\% (97\\% of patients) and {\\textless}6.5\\% (79\\%) at end-point, vs. 93\\% and 73\\% with metformin (P {\\textgreater}0.05). Greater weight reduction was also achieved with exenatide ((-5.80±3.66) kg) than with metformin ((-3.81±1.38) kg, P {\\textless}0.01). Homeostasis model assessment of beta-cell function (HOMA-B) was not significantly increased, but the insulinogenic index and HOMA for insulin sensitivity (HOMA-S) were greatly improved in the exenatide group (P {\\textless}0.05). Nausea was the most common adverse effect in exenatide treatment (30\\% vs. 8\\%; P {\\textless}0.05), but most cases were of mild to moderate intensity. One case in the exenatide group was withdrawn early because of severe nausea. Hypoglycemia events were often observed during the first 4 weeks, with 12\\% of patients in the exenatide and 3.2\\% in metformin groups, respectively (P {\\textless}0.05). No incidents of severe hypoglycemia were reported. Conclusions Exenatide demonstrated more beneficial effects on HbA1C, weight reduction and insulin resistance during 26 weeks of treatment, but there were more hypoglycemic events and mild-to-moderate nausea compared with metformin. These results suggested that exenatide monotherapy may provide a viable treatment option in newly developed type 2 diabetes.","author":[{"dropping-particle":"","family":"Yuan","given":"G.-H.","non-dropping-particle":"","parse-names":false,"suffix":""},{"dropping-particle":"","family":"Song","given":"W.-L.","non-dropping-particle":"","parse-names":false,"suffix":""},{"dropping-particle":"","family":"Huang","given":"Y.-Y.","non-dropping-particle":"","parse-names":false,"suffix":""},{"dropping-particle":"","family":"Guo","given":"X.-H.","non-dropping-particle":"","parse-names":false,"suffix":""},{"dropping-particle":"","family":"Gao","given":"Y","non-dropping-particle":"","parse-names":false,"suffix":""}],"container-title":"Chinese Medical Journal","id":"ITEM-1","issue":"15","issued":{"date-parts":[["2012"]]},"page":"2677-2681","title":"Efficacy and tolerability of exenatide monotherapy in obese patients with newly diagnosed type 2 diabetes: {A} randomized, 26 weeks metformin-controlled, parallel-group study","type":"article-journal","volume":"125"},"uris":["http://www.mendeley.com/documents/?uuid=063a54fc-efb0-498e-ab5a-b9c7e08f066f"]}],"mendeley":{"formattedCitation":"[40]","plainTextFormattedCitation":"[40]","previouslyFormattedCitation":"[40]"},"properties":{"noteIndex":0},"schema":"https://github.com/citation-style-language/schema/raw/master/csl-citation.json"}</w:instrText>
            </w:r>
            <w:r w:rsidRPr="00214F41">
              <w:rPr>
                <w:sz w:val="18"/>
                <w:szCs w:val="18"/>
              </w:rPr>
              <w:fldChar w:fldCharType="separate"/>
            </w:r>
            <w:r w:rsidRPr="00FF29A9">
              <w:rPr>
                <w:noProof/>
                <w:sz w:val="18"/>
                <w:szCs w:val="18"/>
                <w:lang w:val="en-GB"/>
              </w:rPr>
              <w:t>[40]</w:t>
            </w:r>
            <w:r w:rsidRPr="00214F41">
              <w:rPr>
                <w:sz w:val="18"/>
                <w:szCs w:val="18"/>
              </w:rPr>
              <w:fldChar w:fldCharType="end"/>
            </w:r>
          </w:p>
        </w:tc>
        <w:tc>
          <w:tcPr>
            <w:tcW w:w="171" w:type="pct"/>
            <w:shd w:val="clear" w:color="000000" w:fill="FFFFFF"/>
            <w:vAlign w:val="center"/>
            <w:hideMark/>
          </w:tcPr>
          <w:p w14:paraId="21599755" w14:textId="77777777" w:rsidR="005A043A" w:rsidRPr="00214F41" w:rsidRDefault="005A043A" w:rsidP="00286762">
            <w:pPr>
              <w:jc w:val="center"/>
              <w:rPr>
                <w:sz w:val="18"/>
                <w:szCs w:val="18"/>
                <w:lang w:val="en-GB"/>
              </w:rPr>
            </w:pPr>
            <w:r w:rsidRPr="00214F41">
              <w:rPr>
                <w:sz w:val="18"/>
                <w:szCs w:val="18"/>
                <w:lang w:val="en-GB"/>
              </w:rPr>
              <w:t>ITT</w:t>
            </w:r>
          </w:p>
        </w:tc>
        <w:tc>
          <w:tcPr>
            <w:tcW w:w="744" w:type="pct"/>
            <w:shd w:val="clear" w:color="000000" w:fill="FFFFFF"/>
            <w:vAlign w:val="center"/>
            <w:hideMark/>
          </w:tcPr>
          <w:p w14:paraId="050F66DB" w14:textId="77777777" w:rsidR="005A043A" w:rsidRPr="00214F41" w:rsidRDefault="005A043A" w:rsidP="00286762">
            <w:pPr>
              <w:jc w:val="center"/>
              <w:rPr>
                <w:sz w:val="18"/>
                <w:szCs w:val="18"/>
                <w:lang w:val="en-GB"/>
              </w:rPr>
            </w:pPr>
            <w:r w:rsidRPr="00214F41">
              <w:rPr>
                <w:sz w:val="18"/>
                <w:szCs w:val="18"/>
                <w:lang w:val="en-GB"/>
              </w:rPr>
              <w:t>To evaluate the efficacy and tolerability of exenatide or metformin monotherapy in obese patients with T2DM.</w:t>
            </w:r>
          </w:p>
        </w:tc>
        <w:tc>
          <w:tcPr>
            <w:tcW w:w="364" w:type="pct"/>
            <w:shd w:val="clear" w:color="000000" w:fill="FFFFFF"/>
            <w:vAlign w:val="center"/>
            <w:hideMark/>
          </w:tcPr>
          <w:p w14:paraId="3AE9A445" w14:textId="77777777" w:rsidR="005A043A" w:rsidRPr="00214F41" w:rsidRDefault="005A043A" w:rsidP="00286762">
            <w:pPr>
              <w:jc w:val="center"/>
              <w:rPr>
                <w:sz w:val="18"/>
                <w:szCs w:val="18"/>
                <w:lang w:val="en-GB"/>
              </w:rPr>
            </w:pPr>
            <w:r w:rsidRPr="00214F41">
              <w:rPr>
                <w:sz w:val="18"/>
                <w:szCs w:val="18"/>
                <w:lang w:val="en-GB"/>
              </w:rPr>
              <w:t>59/59</w:t>
            </w:r>
          </w:p>
        </w:tc>
        <w:tc>
          <w:tcPr>
            <w:tcW w:w="200" w:type="pct"/>
            <w:shd w:val="clear" w:color="000000" w:fill="FFFFFF"/>
            <w:vAlign w:val="center"/>
            <w:hideMark/>
          </w:tcPr>
          <w:p w14:paraId="304FB433" w14:textId="77777777" w:rsidR="005A043A" w:rsidRPr="00214F41" w:rsidRDefault="005A043A" w:rsidP="00286762">
            <w:pPr>
              <w:jc w:val="center"/>
              <w:rPr>
                <w:sz w:val="18"/>
                <w:szCs w:val="18"/>
                <w:lang w:val="en-GB"/>
              </w:rPr>
            </w:pPr>
            <w:r w:rsidRPr="00214F41">
              <w:rPr>
                <w:sz w:val="18"/>
                <w:szCs w:val="18"/>
                <w:lang w:val="en-GB"/>
              </w:rPr>
              <w:t>S</w:t>
            </w:r>
          </w:p>
        </w:tc>
        <w:tc>
          <w:tcPr>
            <w:tcW w:w="448" w:type="pct"/>
            <w:shd w:val="clear" w:color="000000" w:fill="FFFFFF"/>
            <w:vAlign w:val="center"/>
            <w:hideMark/>
          </w:tcPr>
          <w:p w14:paraId="7CC0C6CA"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24" w:type="pct"/>
            <w:shd w:val="clear" w:color="000000" w:fill="FFFFFF"/>
            <w:vAlign w:val="center"/>
            <w:hideMark/>
          </w:tcPr>
          <w:p w14:paraId="0A97316A" w14:textId="77777777" w:rsidR="005A043A" w:rsidRPr="00214F41" w:rsidRDefault="005A043A" w:rsidP="00286762">
            <w:pPr>
              <w:jc w:val="center"/>
              <w:rPr>
                <w:sz w:val="18"/>
                <w:szCs w:val="18"/>
                <w:lang w:val="en-GB"/>
              </w:rPr>
            </w:pPr>
            <w:r w:rsidRPr="00214F41">
              <w:rPr>
                <w:sz w:val="18"/>
                <w:szCs w:val="18"/>
                <w:lang w:val="en-GB"/>
              </w:rPr>
              <w:t>2000mg/2/d</w:t>
            </w:r>
          </w:p>
        </w:tc>
        <w:tc>
          <w:tcPr>
            <w:tcW w:w="204" w:type="pct"/>
            <w:shd w:val="clear" w:color="000000" w:fill="FFFFFF"/>
            <w:vAlign w:val="center"/>
            <w:hideMark/>
          </w:tcPr>
          <w:p w14:paraId="654F7710" w14:textId="77777777" w:rsidR="005A043A" w:rsidRPr="00214F41" w:rsidRDefault="005A043A" w:rsidP="00286762">
            <w:pPr>
              <w:jc w:val="center"/>
              <w:rPr>
                <w:sz w:val="18"/>
                <w:szCs w:val="18"/>
                <w:lang w:val="en-GB"/>
              </w:rPr>
            </w:pPr>
            <w:r w:rsidRPr="00214F41">
              <w:rPr>
                <w:sz w:val="18"/>
                <w:szCs w:val="18"/>
                <w:lang w:val="en-GB"/>
              </w:rPr>
              <w:t>182</w:t>
            </w:r>
          </w:p>
        </w:tc>
        <w:tc>
          <w:tcPr>
            <w:tcW w:w="247" w:type="pct"/>
            <w:shd w:val="clear" w:color="000000" w:fill="FFFFFF"/>
            <w:vAlign w:val="center"/>
            <w:hideMark/>
          </w:tcPr>
          <w:p w14:paraId="34978C8F" w14:textId="77777777" w:rsidR="005A043A" w:rsidRPr="00214F41" w:rsidRDefault="005A043A" w:rsidP="00286762">
            <w:pPr>
              <w:jc w:val="center"/>
              <w:rPr>
                <w:sz w:val="18"/>
                <w:szCs w:val="18"/>
                <w:lang w:val="en-GB"/>
              </w:rPr>
            </w:pPr>
            <w:r w:rsidRPr="00214F41">
              <w:rPr>
                <w:sz w:val="18"/>
                <w:szCs w:val="18"/>
                <w:lang w:val="en-GB"/>
              </w:rPr>
              <w:t>IR</w:t>
            </w:r>
          </w:p>
        </w:tc>
        <w:tc>
          <w:tcPr>
            <w:tcW w:w="491" w:type="pct"/>
            <w:shd w:val="clear" w:color="000000" w:fill="FFFFFF"/>
            <w:vAlign w:val="center"/>
          </w:tcPr>
          <w:p w14:paraId="34F82B6F" w14:textId="77777777" w:rsidR="005A043A" w:rsidRPr="00214F41" w:rsidRDefault="005A043A" w:rsidP="00286762">
            <w:pPr>
              <w:jc w:val="center"/>
              <w:rPr>
                <w:sz w:val="18"/>
                <w:szCs w:val="18"/>
                <w:lang w:val="en-GB"/>
              </w:rPr>
            </w:pPr>
            <w:r w:rsidRPr="00214F41">
              <w:rPr>
                <w:sz w:val="18"/>
                <w:szCs w:val="18"/>
                <w:lang w:val="en-GB"/>
              </w:rPr>
              <w:t>Metformin IR</w:t>
            </w:r>
          </w:p>
        </w:tc>
        <w:tc>
          <w:tcPr>
            <w:tcW w:w="491" w:type="pct"/>
            <w:shd w:val="clear" w:color="000000" w:fill="FFFFFF"/>
            <w:vAlign w:val="center"/>
            <w:hideMark/>
          </w:tcPr>
          <w:p w14:paraId="2FA700DD" w14:textId="77777777" w:rsidR="005A043A" w:rsidRPr="00214F41" w:rsidRDefault="005A043A" w:rsidP="00286762">
            <w:pPr>
              <w:jc w:val="center"/>
              <w:rPr>
                <w:sz w:val="18"/>
                <w:szCs w:val="18"/>
                <w:lang w:val="en-GB"/>
              </w:rPr>
            </w:pPr>
            <w:r w:rsidRPr="00214F41">
              <w:rPr>
                <w:sz w:val="18"/>
                <w:szCs w:val="18"/>
                <w:lang w:val="en-GB"/>
              </w:rPr>
              <w:t>Exenatide/GLP-1 receptor agonist</w:t>
            </w:r>
          </w:p>
        </w:tc>
        <w:tc>
          <w:tcPr>
            <w:tcW w:w="245" w:type="pct"/>
            <w:gridSpan w:val="2"/>
            <w:shd w:val="clear" w:color="000000" w:fill="FFFFFF"/>
            <w:vAlign w:val="center"/>
            <w:hideMark/>
          </w:tcPr>
          <w:p w14:paraId="34D8F953" w14:textId="77777777" w:rsidR="005A043A" w:rsidRPr="00214F41" w:rsidRDefault="005A043A" w:rsidP="00286762">
            <w:pPr>
              <w:jc w:val="center"/>
              <w:rPr>
                <w:sz w:val="18"/>
                <w:szCs w:val="18"/>
                <w:lang w:val="en-GB"/>
              </w:rPr>
            </w:pPr>
            <w:r w:rsidRPr="00214F41">
              <w:rPr>
                <w:sz w:val="18"/>
                <w:szCs w:val="18"/>
                <w:lang w:val="en-GB"/>
              </w:rPr>
              <w:t>57.8±9.4</w:t>
            </w:r>
          </w:p>
        </w:tc>
        <w:tc>
          <w:tcPr>
            <w:tcW w:w="202" w:type="pct"/>
            <w:shd w:val="clear" w:color="000000" w:fill="FFFFFF"/>
            <w:vAlign w:val="center"/>
            <w:hideMark/>
          </w:tcPr>
          <w:p w14:paraId="02E1B33B" w14:textId="77777777" w:rsidR="005A043A" w:rsidRPr="00214F41" w:rsidRDefault="005A043A" w:rsidP="00286762">
            <w:pPr>
              <w:jc w:val="center"/>
              <w:rPr>
                <w:sz w:val="18"/>
                <w:szCs w:val="18"/>
                <w:lang w:val="en-GB"/>
              </w:rPr>
            </w:pPr>
            <w:r w:rsidRPr="00214F41">
              <w:rPr>
                <w:sz w:val="18"/>
                <w:szCs w:val="18"/>
                <w:lang w:val="en-GB"/>
              </w:rPr>
              <w:t>29/49.2</w:t>
            </w:r>
          </w:p>
        </w:tc>
        <w:tc>
          <w:tcPr>
            <w:tcW w:w="265" w:type="pct"/>
            <w:gridSpan w:val="2"/>
            <w:shd w:val="clear" w:color="000000" w:fill="FFFFFF"/>
            <w:vAlign w:val="center"/>
            <w:hideMark/>
          </w:tcPr>
          <w:p w14:paraId="27A59C40" w14:textId="77777777" w:rsidR="005A043A" w:rsidRPr="00214F41" w:rsidRDefault="005A043A" w:rsidP="00286762">
            <w:pPr>
              <w:jc w:val="center"/>
              <w:rPr>
                <w:sz w:val="18"/>
                <w:szCs w:val="18"/>
                <w:lang w:val="en-GB"/>
              </w:rPr>
            </w:pPr>
            <w:r w:rsidRPr="00214F41">
              <w:rPr>
                <w:sz w:val="18"/>
                <w:szCs w:val="18"/>
                <w:lang w:val="en-GB"/>
              </w:rPr>
              <w:t>29.3±2.6</w:t>
            </w:r>
          </w:p>
        </w:tc>
        <w:tc>
          <w:tcPr>
            <w:tcW w:w="266" w:type="pct"/>
            <w:gridSpan w:val="2"/>
            <w:shd w:val="clear" w:color="000000" w:fill="FFFFFF"/>
            <w:vAlign w:val="center"/>
            <w:hideMark/>
          </w:tcPr>
          <w:p w14:paraId="17681779" w14:textId="77777777" w:rsidR="005A043A" w:rsidRPr="00214F41" w:rsidRDefault="005A043A" w:rsidP="00286762">
            <w:pPr>
              <w:jc w:val="center"/>
              <w:rPr>
                <w:sz w:val="18"/>
                <w:szCs w:val="18"/>
                <w:lang w:val="en-GB"/>
              </w:rPr>
            </w:pPr>
            <w:r w:rsidRPr="00214F41">
              <w:rPr>
                <w:sz w:val="18"/>
                <w:szCs w:val="18"/>
                <w:lang w:val="en-GB"/>
              </w:rPr>
              <w:t>30.6/2.8</w:t>
            </w:r>
          </w:p>
        </w:tc>
      </w:tr>
      <w:tr w:rsidR="005A043A" w:rsidRPr="00214F41" w14:paraId="6D98FCA1" w14:textId="77777777" w:rsidTr="00286762">
        <w:trPr>
          <w:trHeight w:val="930"/>
        </w:trPr>
        <w:tc>
          <w:tcPr>
            <w:tcW w:w="338" w:type="pct"/>
            <w:shd w:val="clear" w:color="000000" w:fill="FFFFFF"/>
            <w:vAlign w:val="center"/>
            <w:hideMark/>
          </w:tcPr>
          <w:p w14:paraId="7007D16D" w14:textId="77777777" w:rsidR="005A043A" w:rsidRPr="00214F41" w:rsidRDefault="005A043A" w:rsidP="00286762">
            <w:pPr>
              <w:jc w:val="center"/>
              <w:rPr>
                <w:sz w:val="18"/>
                <w:szCs w:val="18"/>
              </w:rPr>
            </w:pPr>
            <w:r w:rsidRPr="00214F41">
              <w:rPr>
                <w:sz w:val="18"/>
                <w:szCs w:val="18"/>
                <w:lang w:val="en-GB"/>
              </w:rPr>
              <w:t xml:space="preserve">List et al., 2009 </w:t>
            </w:r>
            <w:r w:rsidRPr="00214F41">
              <w:rPr>
                <w:sz w:val="18"/>
                <w:szCs w:val="18"/>
              </w:rPr>
              <w:fldChar w:fldCharType="begin" w:fldLock="1"/>
            </w:r>
            <w:r>
              <w:rPr>
                <w:sz w:val="18"/>
                <w:szCs w:val="18"/>
                <w:lang w:val="en-GB"/>
              </w:rPr>
              <w:instrText xml:space="preserve">ADDIN CSL_CITATION {"citationItems":[{"id":"ITEM-1","itemData":{"DOI":"10.2337/dc08-1863","ISSN":"0149-5992","abstract":"OBJECTIVE Dapagliflozin, a novel inhibitor of renal sodium-glucose cotransporter 2, allows an insulin-independent approach to improve type 2 diabetes hyperglycemia. In this multiple-dose study we evaluated the safety and efficacy of dapagliflozin in type 2 diabetic patients.  RESEARCH DESIGN AND METHODS Type 2 diabetic patients were randomly assigned to one of five dapagliflozin doses, metformin XR, or placebo for 12 weeks. The primary objective was to compare mean change from baseline in A1C. Other objectives included comparison of changes in fasting plasma glucose (FPG), weight, adverse events, and laboratory measurements.  RESULTS After 12 weeks, dapagliflozin induced moderate glucosuria (52–85 g urinary glucose/day) and demonstrated significant glycemic improvements versus placebo (ΔA1C −0.55 to −0.90% and ΔFPG −16 to −31 mg/dl). Weight loss change versus placebo was −1.3 to −2.0 kg. There was no change in renal function. Serum uric acid decreased, serum magnesium increased, serum phosphate increased at higher doses, and dose-related 24-h urine volume and hematocrit increased, all of small magnitude. Treatment-emergent adverse events were similar across all groups.  CONCLUSIONS Dapagliflozin improved hyperglycemia and facilitates weight loss in type 2 diabetic patients by inducing controlled glucosuria with urinary loss of </w:instrText>
            </w:r>
            <w:r>
              <w:rPr>
                <w:rFonts w:ascii="Cambria Math" w:hAnsi="Cambria Math" w:cs="Cambria Math"/>
                <w:sz w:val="18"/>
                <w:szCs w:val="18"/>
                <w:lang w:val="en-GB"/>
              </w:rPr>
              <w:instrText>∼</w:instrText>
            </w:r>
            <w:r>
              <w:rPr>
                <w:sz w:val="18"/>
                <w:szCs w:val="18"/>
                <w:lang w:val="en-GB"/>
              </w:rPr>
              <w:instrText>200–300 kcal/day. Dapagliflozin treatment demonstrated no persistent, clinically significant osmolarity, volume, or renal status changes.","author":[{"dropping-particle":"","family":"List","given":"James F","non-dropping-particle":"","parse-names":false,"suffix":""},{"dropping-particle":"","family":"Woo","given":"Vincent","non-dropping-particle":"","parse-names":false,"suffix":""},{"dropping-particle":"","family":"Morales","given":"Enrique","non-dropping-particle":"","parse-names":false,"suffix":""},{"dropping-particle":"","family":"Tang","given":"Weihua","non-dropping-particle":"","parse-names":false,"suffix":""},{"dropping-particle":"","family":"Fiedorek","given":"Fred T","non-dropping-particle":"","parse-names":false,"suffix":""}],"container-title":"Diabetes Care","id":"ITEM-1","issue":"4","issued":{"date-parts":[["2009","2","28"]]},"page":"650-657","title":"Sodium-Glucose Cotransport Inhibition With Dapagliflozin in Type 2 Diabetes","type":"article-journal","volume":"32"},"uris":["http://www.mendeley.com/documents/?uuid=8650f4bf-4e55-4377-b206-a628b087232d"]}],"mendeley":{"formattedCitation":"[41]","plainTextFormattedCitation":"[41]","previouslyFormattedCitation":"[41]"},"properties":{"noteIndex":0},"schema":"https://github.com/citation-style-language/schema/raw/master/csl-citation.json"}</w:instrText>
            </w:r>
            <w:r w:rsidRPr="00214F41">
              <w:rPr>
                <w:sz w:val="18"/>
                <w:szCs w:val="18"/>
              </w:rPr>
              <w:fldChar w:fldCharType="separate"/>
            </w:r>
            <w:r w:rsidRPr="00FF29A9">
              <w:rPr>
                <w:noProof/>
                <w:sz w:val="18"/>
                <w:szCs w:val="18"/>
              </w:rPr>
              <w:t>[41]</w:t>
            </w:r>
            <w:r w:rsidRPr="00214F41">
              <w:rPr>
                <w:sz w:val="18"/>
                <w:szCs w:val="18"/>
              </w:rPr>
              <w:fldChar w:fldCharType="end"/>
            </w:r>
          </w:p>
        </w:tc>
        <w:tc>
          <w:tcPr>
            <w:tcW w:w="171" w:type="pct"/>
            <w:shd w:val="clear" w:color="000000" w:fill="FFFFFF"/>
            <w:vAlign w:val="center"/>
            <w:hideMark/>
          </w:tcPr>
          <w:p w14:paraId="76FA4246" w14:textId="77777777" w:rsidR="005A043A" w:rsidRPr="00214F41" w:rsidRDefault="005A043A" w:rsidP="00286762">
            <w:pPr>
              <w:jc w:val="center"/>
              <w:rPr>
                <w:sz w:val="18"/>
                <w:szCs w:val="18"/>
              </w:rPr>
            </w:pPr>
            <w:r w:rsidRPr="00214F41">
              <w:rPr>
                <w:sz w:val="18"/>
                <w:szCs w:val="18"/>
              </w:rPr>
              <w:t>ITT</w:t>
            </w:r>
          </w:p>
        </w:tc>
        <w:tc>
          <w:tcPr>
            <w:tcW w:w="744" w:type="pct"/>
            <w:shd w:val="clear" w:color="000000" w:fill="FFFFFF"/>
            <w:vAlign w:val="center"/>
            <w:hideMark/>
          </w:tcPr>
          <w:p w14:paraId="79CD650C" w14:textId="77777777" w:rsidR="005A043A" w:rsidRPr="00214F41" w:rsidRDefault="005A043A" w:rsidP="00286762">
            <w:pPr>
              <w:jc w:val="center"/>
              <w:rPr>
                <w:sz w:val="18"/>
                <w:szCs w:val="18"/>
                <w:lang w:val="en-GB"/>
              </w:rPr>
            </w:pPr>
            <w:r w:rsidRPr="00214F41">
              <w:rPr>
                <w:sz w:val="18"/>
                <w:szCs w:val="18"/>
                <w:lang w:val="en-GB"/>
              </w:rPr>
              <w:t>To evaluate the safety and efficacy of metformin in type 2 diabetic patients.</w:t>
            </w:r>
          </w:p>
        </w:tc>
        <w:tc>
          <w:tcPr>
            <w:tcW w:w="364" w:type="pct"/>
            <w:shd w:val="clear" w:color="000000" w:fill="FFFFFF"/>
            <w:vAlign w:val="center"/>
            <w:hideMark/>
          </w:tcPr>
          <w:p w14:paraId="57AA73AC" w14:textId="77777777" w:rsidR="005A043A" w:rsidRPr="00214F41" w:rsidRDefault="005A043A" w:rsidP="00286762">
            <w:pPr>
              <w:jc w:val="center"/>
              <w:rPr>
                <w:sz w:val="18"/>
                <w:szCs w:val="18"/>
              </w:rPr>
            </w:pPr>
            <w:r w:rsidRPr="00214F41">
              <w:rPr>
                <w:sz w:val="18"/>
                <w:szCs w:val="18"/>
              </w:rPr>
              <w:t>389/389</w:t>
            </w:r>
          </w:p>
        </w:tc>
        <w:tc>
          <w:tcPr>
            <w:tcW w:w="200" w:type="pct"/>
            <w:shd w:val="clear" w:color="000000" w:fill="FFFFFF"/>
            <w:vAlign w:val="center"/>
            <w:hideMark/>
          </w:tcPr>
          <w:p w14:paraId="41246021" w14:textId="77777777" w:rsidR="005A043A" w:rsidRPr="00214F41" w:rsidRDefault="005A043A" w:rsidP="00286762">
            <w:pPr>
              <w:jc w:val="center"/>
              <w:rPr>
                <w:sz w:val="18"/>
                <w:szCs w:val="18"/>
              </w:rPr>
            </w:pPr>
            <w:r w:rsidRPr="00214F41">
              <w:rPr>
                <w:sz w:val="18"/>
                <w:szCs w:val="18"/>
              </w:rPr>
              <w:t>S</w:t>
            </w:r>
          </w:p>
        </w:tc>
        <w:tc>
          <w:tcPr>
            <w:tcW w:w="448" w:type="pct"/>
            <w:shd w:val="clear" w:color="000000" w:fill="FFFFFF"/>
            <w:vAlign w:val="center"/>
            <w:hideMark/>
          </w:tcPr>
          <w:p w14:paraId="2B88B93E"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324" w:type="pct"/>
            <w:shd w:val="clear" w:color="000000" w:fill="FFFFFF"/>
            <w:vAlign w:val="center"/>
            <w:hideMark/>
          </w:tcPr>
          <w:p w14:paraId="37373E8A" w14:textId="77777777" w:rsidR="005A043A" w:rsidRPr="00214F41" w:rsidRDefault="005A043A" w:rsidP="00286762">
            <w:pPr>
              <w:jc w:val="center"/>
              <w:rPr>
                <w:sz w:val="18"/>
                <w:szCs w:val="18"/>
              </w:rPr>
            </w:pPr>
            <w:r w:rsidRPr="00214F41">
              <w:rPr>
                <w:sz w:val="18"/>
                <w:szCs w:val="18"/>
              </w:rPr>
              <w:t>1500mg/</w:t>
            </w:r>
            <w:proofErr w:type="spellStart"/>
            <w:r w:rsidRPr="00214F41">
              <w:rPr>
                <w:sz w:val="18"/>
                <w:szCs w:val="18"/>
              </w:rPr>
              <w:t>nd</w:t>
            </w:r>
            <w:proofErr w:type="spellEnd"/>
          </w:p>
        </w:tc>
        <w:tc>
          <w:tcPr>
            <w:tcW w:w="204" w:type="pct"/>
            <w:shd w:val="clear" w:color="000000" w:fill="FFFFFF"/>
            <w:vAlign w:val="center"/>
            <w:hideMark/>
          </w:tcPr>
          <w:p w14:paraId="5D6704C1" w14:textId="77777777" w:rsidR="005A043A" w:rsidRPr="00214F41" w:rsidRDefault="005A043A" w:rsidP="00286762">
            <w:pPr>
              <w:jc w:val="center"/>
              <w:rPr>
                <w:sz w:val="18"/>
                <w:szCs w:val="18"/>
              </w:rPr>
            </w:pPr>
            <w:r w:rsidRPr="00214F41">
              <w:rPr>
                <w:sz w:val="18"/>
                <w:szCs w:val="18"/>
              </w:rPr>
              <w:t>84</w:t>
            </w:r>
          </w:p>
        </w:tc>
        <w:tc>
          <w:tcPr>
            <w:tcW w:w="247" w:type="pct"/>
            <w:shd w:val="clear" w:color="000000" w:fill="FFFFFF"/>
            <w:vAlign w:val="center"/>
            <w:hideMark/>
          </w:tcPr>
          <w:p w14:paraId="542E4B09" w14:textId="77777777" w:rsidR="005A043A" w:rsidRPr="00214F41" w:rsidRDefault="005A043A" w:rsidP="00286762">
            <w:pPr>
              <w:jc w:val="center"/>
              <w:rPr>
                <w:sz w:val="18"/>
                <w:szCs w:val="18"/>
              </w:rPr>
            </w:pPr>
            <w:r w:rsidRPr="00214F41">
              <w:rPr>
                <w:sz w:val="18"/>
                <w:szCs w:val="18"/>
              </w:rPr>
              <w:t>XR</w:t>
            </w:r>
          </w:p>
        </w:tc>
        <w:tc>
          <w:tcPr>
            <w:tcW w:w="491" w:type="pct"/>
            <w:shd w:val="clear" w:color="000000" w:fill="FFFFFF"/>
            <w:vAlign w:val="center"/>
          </w:tcPr>
          <w:p w14:paraId="0F0179D4" w14:textId="77777777" w:rsidR="005A043A" w:rsidRPr="00214F41" w:rsidRDefault="005A043A" w:rsidP="00286762">
            <w:pPr>
              <w:jc w:val="center"/>
              <w:rPr>
                <w:sz w:val="18"/>
                <w:szCs w:val="18"/>
              </w:rPr>
            </w:pPr>
            <w:r w:rsidRPr="00214F41">
              <w:rPr>
                <w:sz w:val="18"/>
                <w:szCs w:val="18"/>
              </w:rPr>
              <w:t>Metformin XR</w:t>
            </w:r>
          </w:p>
        </w:tc>
        <w:tc>
          <w:tcPr>
            <w:tcW w:w="491" w:type="pct"/>
            <w:shd w:val="clear" w:color="000000" w:fill="FFFFFF"/>
            <w:vAlign w:val="center"/>
            <w:hideMark/>
          </w:tcPr>
          <w:p w14:paraId="46AB8086" w14:textId="77777777" w:rsidR="005A043A" w:rsidRPr="00214F41" w:rsidRDefault="005A043A" w:rsidP="00286762">
            <w:pPr>
              <w:jc w:val="center"/>
              <w:rPr>
                <w:sz w:val="18"/>
                <w:szCs w:val="18"/>
              </w:rPr>
            </w:pPr>
            <w:r w:rsidRPr="00214F41">
              <w:rPr>
                <w:sz w:val="18"/>
                <w:szCs w:val="18"/>
              </w:rPr>
              <w:t>PBO</w:t>
            </w:r>
          </w:p>
        </w:tc>
        <w:tc>
          <w:tcPr>
            <w:tcW w:w="245" w:type="pct"/>
            <w:gridSpan w:val="2"/>
            <w:shd w:val="clear" w:color="000000" w:fill="FFFFFF"/>
            <w:vAlign w:val="center"/>
            <w:hideMark/>
          </w:tcPr>
          <w:p w14:paraId="3C6E6B99" w14:textId="77777777" w:rsidR="005A043A" w:rsidRPr="00214F41" w:rsidRDefault="005A043A" w:rsidP="00286762">
            <w:pPr>
              <w:jc w:val="center"/>
              <w:rPr>
                <w:sz w:val="18"/>
                <w:szCs w:val="18"/>
              </w:rPr>
            </w:pPr>
            <w:r w:rsidRPr="00214F41">
              <w:rPr>
                <w:sz w:val="18"/>
                <w:szCs w:val="18"/>
              </w:rPr>
              <w:t>53.5±10</w:t>
            </w:r>
          </w:p>
        </w:tc>
        <w:tc>
          <w:tcPr>
            <w:tcW w:w="202" w:type="pct"/>
            <w:shd w:val="clear" w:color="000000" w:fill="FFFFFF"/>
            <w:vAlign w:val="center"/>
            <w:hideMark/>
          </w:tcPr>
          <w:p w14:paraId="73229B07" w14:textId="77777777" w:rsidR="005A043A" w:rsidRPr="00214F41" w:rsidRDefault="005A043A" w:rsidP="00286762">
            <w:pPr>
              <w:jc w:val="center"/>
              <w:rPr>
                <w:sz w:val="18"/>
                <w:szCs w:val="18"/>
              </w:rPr>
            </w:pPr>
            <w:r w:rsidRPr="00214F41">
              <w:rPr>
                <w:sz w:val="18"/>
                <w:szCs w:val="18"/>
              </w:rPr>
              <w:t>57/51.8</w:t>
            </w:r>
          </w:p>
        </w:tc>
        <w:tc>
          <w:tcPr>
            <w:tcW w:w="265" w:type="pct"/>
            <w:gridSpan w:val="2"/>
            <w:shd w:val="clear" w:color="000000" w:fill="FFFFFF"/>
            <w:vAlign w:val="center"/>
            <w:hideMark/>
          </w:tcPr>
          <w:p w14:paraId="11A26291" w14:textId="77777777" w:rsidR="005A043A" w:rsidRPr="00214F41" w:rsidRDefault="005A043A" w:rsidP="00286762">
            <w:pPr>
              <w:jc w:val="center"/>
              <w:rPr>
                <w:sz w:val="18"/>
                <w:szCs w:val="18"/>
              </w:rPr>
            </w:pPr>
            <w:r w:rsidRPr="00214F41">
              <w:rPr>
                <w:sz w:val="18"/>
                <w:szCs w:val="18"/>
              </w:rPr>
              <w:t>32±5</w:t>
            </w:r>
          </w:p>
        </w:tc>
        <w:tc>
          <w:tcPr>
            <w:tcW w:w="266" w:type="pct"/>
            <w:gridSpan w:val="2"/>
            <w:shd w:val="clear" w:color="000000" w:fill="FFFFFF"/>
            <w:vAlign w:val="center"/>
            <w:hideMark/>
          </w:tcPr>
          <w:p w14:paraId="1DAC1471" w14:textId="77777777" w:rsidR="005A043A" w:rsidRPr="00214F41" w:rsidRDefault="005A043A" w:rsidP="00286762">
            <w:pPr>
              <w:jc w:val="center"/>
              <w:rPr>
                <w:sz w:val="18"/>
                <w:szCs w:val="18"/>
              </w:rPr>
            </w:pPr>
            <w:r w:rsidRPr="00214F41">
              <w:rPr>
                <w:sz w:val="18"/>
                <w:szCs w:val="18"/>
              </w:rPr>
              <w:t>32/5</w:t>
            </w:r>
          </w:p>
        </w:tc>
      </w:tr>
      <w:tr w:rsidR="005A043A" w:rsidRPr="00214F41" w14:paraId="2C6618A0" w14:textId="77777777" w:rsidTr="00286762">
        <w:trPr>
          <w:trHeight w:val="930"/>
        </w:trPr>
        <w:tc>
          <w:tcPr>
            <w:tcW w:w="338" w:type="pct"/>
            <w:shd w:val="clear" w:color="000000" w:fill="FFFFFF"/>
            <w:vAlign w:val="center"/>
            <w:hideMark/>
          </w:tcPr>
          <w:p w14:paraId="21209491" w14:textId="77777777" w:rsidR="005A043A" w:rsidRPr="00214F41" w:rsidRDefault="005A043A" w:rsidP="00286762">
            <w:pPr>
              <w:jc w:val="center"/>
              <w:rPr>
                <w:sz w:val="18"/>
                <w:szCs w:val="18"/>
              </w:rPr>
            </w:pPr>
            <w:r w:rsidRPr="00214F41">
              <w:rPr>
                <w:sz w:val="18"/>
                <w:szCs w:val="18"/>
              </w:rPr>
              <w:t xml:space="preserve">NCT00859898, 2014 </w:t>
            </w:r>
            <w:r w:rsidRPr="00214F41">
              <w:rPr>
                <w:sz w:val="18"/>
                <w:szCs w:val="18"/>
              </w:rPr>
              <w:fldChar w:fldCharType="begin" w:fldLock="1"/>
            </w:r>
            <w:r>
              <w:rPr>
                <w:sz w:val="18"/>
                <w:szCs w:val="18"/>
              </w:rPr>
              <w:instrText>ADDIN CSL_CITATION {"citationItems":[{"id":"ITEM-1","itemData":{"URL":"https://clinicaltrials.gov/ct2/show/NCT00859898","accessed":{"date-parts":[["2022","5","2"]]},"id":"ITEM-1","issued":{"date-parts":[["0"]]},"title":"Study of Dapagliflozin in Combination With Metformin XR to Initiate the Treatment of Type 2 Diabetes - Full Text View - ClinicalTrials.gov","type":"webpage"},"uris":["http://www.mendeley.com/documents/?uuid=8d8ce69f-acb6-316b-907a-8c8cd81be831"]}],"mendeley":{"formattedCitation":"[42]","plainTextFormattedCitation":"[42]","previouslyFormattedCitation":"[42]"},"properties":{"noteIndex":0},"schema":"https://github.com/citation-style-language/schema/raw/master/csl-citation.json"}</w:instrText>
            </w:r>
            <w:r w:rsidRPr="00214F41">
              <w:rPr>
                <w:sz w:val="18"/>
                <w:szCs w:val="18"/>
              </w:rPr>
              <w:fldChar w:fldCharType="separate"/>
            </w:r>
            <w:r w:rsidRPr="00FF29A9">
              <w:rPr>
                <w:noProof/>
                <w:sz w:val="18"/>
                <w:szCs w:val="18"/>
              </w:rPr>
              <w:t>[42]</w:t>
            </w:r>
            <w:r w:rsidRPr="00214F41">
              <w:rPr>
                <w:sz w:val="18"/>
                <w:szCs w:val="18"/>
              </w:rPr>
              <w:fldChar w:fldCharType="end"/>
            </w:r>
          </w:p>
        </w:tc>
        <w:tc>
          <w:tcPr>
            <w:tcW w:w="171" w:type="pct"/>
            <w:shd w:val="clear" w:color="000000" w:fill="FFFFFF"/>
            <w:vAlign w:val="center"/>
            <w:hideMark/>
          </w:tcPr>
          <w:p w14:paraId="79F03DB0" w14:textId="77777777" w:rsidR="005A043A" w:rsidRPr="00214F41" w:rsidRDefault="005A043A" w:rsidP="00286762">
            <w:pPr>
              <w:jc w:val="center"/>
              <w:rPr>
                <w:sz w:val="18"/>
                <w:szCs w:val="18"/>
              </w:rPr>
            </w:pPr>
            <w:r w:rsidRPr="00214F41">
              <w:rPr>
                <w:sz w:val="18"/>
                <w:szCs w:val="18"/>
              </w:rPr>
              <w:t>ITT</w:t>
            </w:r>
          </w:p>
        </w:tc>
        <w:tc>
          <w:tcPr>
            <w:tcW w:w="744" w:type="pct"/>
            <w:shd w:val="clear" w:color="000000" w:fill="FFFFFF"/>
            <w:vAlign w:val="center"/>
            <w:hideMark/>
          </w:tcPr>
          <w:p w14:paraId="107B7FED" w14:textId="77777777" w:rsidR="005A043A" w:rsidRPr="00214F41" w:rsidRDefault="005A043A" w:rsidP="00286762">
            <w:pPr>
              <w:jc w:val="center"/>
              <w:rPr>
                <w:sz w:val="18"/>
                <w:szCs w:val="18"/>
                <w:lang w:val="en-GB"/>
              </w:rPr>
            </w:pPr>
            <w:r w:rsidRPr="00214F41">
              <w:rPr>
                <w:sz w:val="18"/>
                <w:szCs w:val="18"/>
                <w:lang w:val="en-GB"/>
              </w:rPr>
              <w:t xml:space="preserve">To compare the change from baseline in haemoglobin A1C achieved with metformin XR monotherapy and compared with Dapagliflozin monotherapy, after 24 weeks of oral </w:t>
            </w:r>
            <w:r w:rsidRPr="00214F41">
              <w:rPr>
                <w:sz w:val="18"/>
                <w:szCs w:val="18"/>
                <w:lang w:val="en-GB"/>
              </w:rPr>
              <w:lastRenderedPageBreak/>
              <w:t xml:space="preserve">administration of double-blind treatment. </w:t>
            </w:r>
          </w:p>
        </w:tc>
        <w:tc>
          <w:tcPr>
            <w:tcW w:w="364" w:type="pct"/>
            <w:shd w:val="clear" w:color="000000" w:fill="FFFFFF"/>
            <w:vAlign w:val="center"/>
            <w:hideMark/>
          </w:tcPr>
          <w:p w14:paraId="6CE76BA8" w14:textId="77777777" w:rsidR="005A043A" w:rsidRPr="00214F41" w:rsidRDefault="005A043A" w:rsidP="00286762">
            <w:pPr>
              <w:jc w:val="center"/>
              <w:rPr>
                <w:sz w:val="18"/>
                <w:szCs w:val="18"/>
              </w:rPr>
            </w:pPr>
            <w:r w:rsidRPr="00214F41">
              <w:rPr>
                <w:sz w:val="18"/>
                <w:szCs w:val="18"/>
              </w:rPr>
              <w:lastRenderedPageBreak/>
              <w:t>638/638</w:t>
            </w:r>
          </w:p>
        </w:tc>
        <w:tc>
          <w:tcPr>
            <w:tcW w:w="200" w:type="pct"/>
            <w:shd w:val="clear" w:color="000000" w:fill="FFFFFF"/>
            <w:vAlign w:val="center"/>
            <w:hideMark/>
          </w:tcPr>
          <w:p w14:paraId="0519ED98" w14:textId="77777777" w:rsidR="005A043A" w:rsidRPr="00214F41" w:rsidRDefault="005A043A" w:rsidP="00286762">
            <w:pPr>
              <w:jc w:val="center"/>
              <w:rPr>
                <w:sz w:val="18"/>
                <w:szCs w:val="18"/>
              </w:rPr>
            </w:pPr>
            <w:r w:rsidRPr="00214F41">
              <w:rPr>
                <w:sz w:val="18"/>
                <w:szCs w:val="18"/>
              </w:rPr>
              <w:t>S</w:t>
            </w:r>
          </w:p>
        </w:tc>
        <w:tc>
          <w:tcPr>
            <w:tcW w:w="448" w:type="pct"/>
            <w:shd w:val="clear" w:color="000000" w:fill="FFFFFF"/>
            <w:vAlign w:val="center"/>
            <w:hideMark/>
          </w:tcPr>
          <w:p w14:paraId="4EBC8083" w14:textId="77777777" w:rsidR="005A043A" w:rsidRPr="00214F41" w:rsidRDefault="005A043A" w:rsidP="00286762">
            <w:pPr>
              <w:jc w:val="center"/>
              <w:rPr>
                <w:sz w:val="18"/>
                <w:szCs w:val="18"/>
              </w:rPr>
            </w:pPr>
            <w:r w:rsidRPr="00214F41">
              <w:rPr>
                <w:sz w:val="18"/>
                <w:szCs w:val="18"/>
              </w:rPr>
              <w:t>Glucophage®</w:t>
            </w:r>
          </w:p>
        </w:tc>
        <w:tc>
          <w:tcPr>
            <w:tcW w:w="324" w:type="pct"/>
            <w:shd w:val="clear" w:color="000000" w:fill="FFFFFF"/>
            <w:vAlign w:val="center"/>
            <w:hideMark/>
          </w:tcPr>
          <w:p w14:paraId="309B0672" w14:textId="77777777" w:rsidR="005A043A" w:rsidRPr="00214F41" w:rsidRDefault="005A043A" w:rsidP="00286762">
            <w:pPr>
              <w:jc w:val="center"/>
              <w:rPr>
                <w:sz w:val="18"/>
                <w:szCs w:val="18"/>
              </w:rPr>
            </w:pPr>
            <w:r w:rsidRPr="00214F41">
              <w:rPr>
                <w:sz w:val="18"/>
                <w:szCs w:val="18"/>
              </w:rPr>
              <w:t>2000mg/1/d</w:t>
            </w:r>
          </w:p>
        </w:tc>
        <w:tc>
          <w:tcPr>
            <w:tcW w:w="204" w:type="pct"/>
            <w:shd w:val="clear" w:color="000000" w:fill="FFFFFF"/>
            <w:vAlign w:val="center"/>
            <w:hideMark/>
          </w:tcPr>
          <w:p w14:paraId="4653099F" w14:textId="77777777" w:rsidR="005A043A" w:rsidRPr="00214F41" w:rsidRDefault="005A043A" w:rsidP="00286762">
            <w:pPr>
              <w:jc w:val="center"/>
              <w:rPr>
                <w:sz w:val="18"/>
                <w:szCs w:val="18"/>
              </w:rPr>
            </w:pPr>
            <w:r w:rsidRPr="00214F41">
              <w:rPr>
                <w:sz w:val="18"/>
                <w:szCs w:val="18"/>
              </w:rPr>
              <w:t>168</w:t>
            </w:r>
          </w:p>
        </w:tc>
        <w:tc>
          <w:tcPr>
            <w:tcW w:w="247" w:type="pct"/>
            <w:shd w:val="clear" w:color="000000" w:fill="FFFFFF"/>
            <w:vAlign w:val="center"/>
            <w:hideMark/>
          </w:tcPr>
          <w:p w14:paraId="7AA4FA2A" w14:textId="77777777" w:rsidR="005A043A" w:rsidRPr="00214F41" w:rsidRDefault="005A043A" w:rsidP="00286762">
            <w:pPr>
              <w:jc w:val="center"/>
              <w:rPr>
                <w:sz w:val="18"/>
                <w:szCs w:val="18"/>
              </w:rPr>
            </w:pPr>
            <w:r w:rsidRPr="00214F41">
              <w:rPr>
                <w:sz w:val="18"/>
                <w:szCs w:val="18"/>
              </w:rPr>
              <w:t>XR</w:t>
            </w:r>
          </w:p>
        </w:tc>
        <w:tc>
          <w:tcPr>
            <w:tcW w:w="491" w:type="pct"/>
            <w:shd w:val="clear" w:color="000000" w:fill="FFFFFF"/>
            <w:vAlign w:val="center"/>
          </w:tcPr>
          <w:p w14:paraId="261E228F" w14:textId="77777777" w:rsidR="005A043A" w:rsidRPr="00214F41" w:rsidRDefault="005A043A" w:rsidP="00286762">
            <w:pPr>
              <w:jc w:val="center"/>
              <w:rPr>
                <w:sz w:val="18"/>
                <w:szCs w:val="18"/>
              </w:rPr>
            </w:pPr>
            <w:r w:rsidRPr="00214F41">
              <w:rPr>
                <w:sz w:val="18"/>
                <w:szCs w:val="18"/>
              </w:rPr>
              <w:t>Metformin XR</w:t>
            </w:r>
          </w:p>
        </w:tc>
        <w:tc>
          <w:tcPr>
            <w:tcW w:w="491" w:type="pct"/>
            <w:shd w:val="clear" w:color="000000" w:fill="FFFFFF"/>
            <w:vAlign w:val="center"/>
            <w:hideMark/>
          </w:tcPr>
          <w:p w14:paraId="6D2080D1" w14:textId="77777777" w:rsidR="005A043A" w:rsidRPr="00214F41" w:rsidRDefault="005A043A" w:rsidP="00286762">
            <w:pPr>
              <w:jc w:val="center"/>
              <w:rPr>
                <w:sz w:val="18"/>
                <w:szCs w:val="18"/>
              </w:rPr>
            </w:pPr>
            <w:r w:rsidRPr="00214F41">
              <w:rPr>
                <w:sz w:val="18"/>
                <w:szCs w:val="18"/>
              </w:rPr>
              <w:t>Dapagliflozin/SGLT2 inhibitor</w:t>
            </w:r>
          </w:p>
        </w:tc>
        <w:tc>
          <w:tcPr>
            <w:tcW w:w="245" w:type="pct"/>
            <w:gridSpan w:val="2"/>
            <w:shd w:val="clear" w:color="000000" w:fill="FFFFFF"/>
            <w:vAlign w:val="center"/>
            <w:hideMark/>
          </w:tcPr>
          <w:p w14:paraId="12FACCF6" w14:textId="77777777" w:rsidR="005A043A" w:rsidRPr="00214F41" w:rsidRDefault="005A043A" w:rsidP="00286762">
            <w:pPr>
              <w:jc w:val="center"/>
              <w:rPr>
                <w:sz w:val="18"/>
                <w:szCs w:val="18"/>
              </w:rPr>
            </w:pPr>
            <w:r w:rsidRPr="00214F41">
              <w:rPr>
                <w:sz w:val="18"/>
                <w:szCs w:val="18"/>
              </w:rPr>
              <w:t>51.9±11</w:t>
            </w:r>
          </w:p>
        </w:tc>
        <w:tc>
          <w:tcPr>
            <w:tcW w:w="202" w:type="pct"/>
            <w:shd w:val="clear" w:color="000000" w:fill="FFFFFF"/>
            <w:vAlign w:val="center"/>
            <w:hideMark/>
          </w:tcPr>
          <w:p w14:paraId="3A95B6BC" w14:textId="77777777" w:rsidR="005A043A" w:rsidRPr="00214F41" w:rsidRDefault="005A043A" w:rsidP="00286762">
            <w:pPr>
              <w:jc w:val="center"/>
              <w:rPr>
                <w:sz w:val="18"/>
                <w:szCs w:val="18"/>
              </w:rPr>
            </w:pPr>
            <w:r w:rsidRPr="00214F41">
              <w:rPr>
                <w:sz w:val="18"/>
                <w:szCs w:val="18"/>
              </w:rPr>
              <w:t>202/47.3</w:t>
            </w:r>
          </w:p>
        </w:tc>
        <w:tc>
          <w:tcPr>
            <w:tcW w:w="265" w:type="pct"/>
            <w:gridSpan w:val="2"/>
            <w:shd w:val="clear" w:color="000000" w:fill="FFFFFF"/>
            <w:vAlign w:val="center"/>
            <w:hideMark/>
          </w:tcPr>
          <w:p w14:paraId="1C901B12" w14:textId="77777777" w:rsidR="005A043A" w:rsidRPr="00214F41" w:rsidRDefault="005A043A" w:rsidP="00286762">
            <w:pPr>
              <w:jc w:val="center"/>
              <w:rPr>
                <w:sz w:val="18"/>
                <w:szCs w:val="18"/>
              </w:rPr>
            </w:pPr>
            <w:r w:rsidRPr="00214F41">
              <w:rPr>
                <w:sz w:val="18"/>
                <w:szCs w:val="18"/>
              </w:rPr>
              <w:t>&lt; 25: 21; &lt;27: 20; &lt;30: 49</w:t>
            </w:r>
            <w:r w:rsidRPr="00214F41">
              <w:rPr>
                <w:sz w:val="18"/>
                <w:szCs w:val="18"/>
              </w:rPr>
              <w:br/>
              <w:t>≥30: 118</w:t>
            </w:r>
          </w:p>
          <w:p w14:paraId="5F6B5409" w14:textId="77777777" w:rsidR="005A043A" w:rsidRPr="00214F41" w:rsidRDefault="005A043A" w:rsidP="00286762">
            <w:pPr>
              <w:jc w:val="center"/>
              <w:rPr>
                <w:sz w:val="18"/>
                <w:szCs w:val="18"/>
              </w:rPr>
            </w:pPr>
          </w:p>
        </w:tc>
        <w:tc>
          <w:tcPr>
            <w:tcW w:w="266" w:type="pct"/>
            <w:gridSpan w:val="2"/>
            <w:shd w:val="clear" w:color="000000" w:fill="FFFFFF"/>
            <w:vAlign w:val="center"/>
            <w:hideMark/>
          </w:tcPr>
          <w:p w14:paraId="3383B696" w14:textId="77777777" w:rsidR="005A043A" w:rsidRPr="00214F41" w:rsidRDefault="005A043A" w:rsidP="00286762">
            <w:pPr>
              <w:jc w:val="center"/>
              <w:rPr>
                <w:sz w:val="18"/>
                <w:szCs w:val="18"/>
              </w:rPr>
            </w:pPr>
            <w:r w:rsidRPr="00214F41">
              <w:rPr>
                <w:sz w:val="18"/>
                <w:szCs w:val="18"/>
              </w:rPr>
              <w:t>&lt; 25: 25; &lt;27: 24; &lt;30: 39</w:t>
            </w:r>
          </w:p>
          <w:p w14:paraId="5F005FBF" w14:textId="77777777" w:rsidR="005A043A" w:rsidRPr="00214F41" w:rsidRDefault="005A043A" w:rsidP="00286762">
            <w:pPr>
              <w:jc w:val="center"/>
              <w:rPr>
                <w:sz w:val="18"/>
                <w:szCs w:val="18"/>
              </w:rPr>
            </w:pPr>
            <w:r w:rsidRPr="00214F41">
              <w:rPr>
                <w:sz w:val="18"/>
                <w:szCs w:val="18"/>
              </w:rPr>
              <w:t>≥30: 131</w:t>
            </w:r>
          </w:p>
        </w:tc>
      </w:tr>
    </w:tbl>
    <w:p w14:paraId="63CB7DBA" w14:textId="77777777" w:rsidR="005A043A" w:rsidRDefault="005A043A" w:rsidP="005A043A">
      <w:pPr>
        <w:spacing w:line="360" w:lineRule="auto"/>
        <w:jc w:val="both"/>
      </w:pPr>
      <w:r w:rsidRPr="006A3A77">
        <w:t xml:space="preserve">Abbreviations: MET -  metformin ; ITT - intention to treat; PP - per protocol; S - started metformin therapy in the study; P - preexisting metformin therapy; </w:t>
      </w:r>
      <w:proofErr w:type="spellStart"/>
      <w:r w:rsidRPr="006A3A77">
        <w:t>nd</w:t>
      </w:r>
      <w:proofErr w:type="spellEnd"/>
      <w:r w:rsidRPr="006A3A77">
        <w:t xml:space="preserve"> – no data.</w:t>
      </w:r>
    </w:p>
    <w:p w14:paraId="10A32CFA" w14:textId="77777777" w:rsidR="005A043A" w:rsidRPr="006A3A77" w:rsidRDefault="005A043A" w:rsidP="005A043A">
      <w:pPr>
        <w:spacing w:line="360" w:lineRule="auto"/>
        <w:jc w:val="both"/>
        <w:rPr>
          <w:color w:val="000000"/>
          <w:sz w:val="32"/>
          <w:szCs w:val="32"/>
          <w:lang w:eastAsia="de-DE"/>
        </w:rPr>
      </w:pPr>
    </w:p>
    <w:p w14:paraId="5F013594" w14:textId="657EB835" w:rsidR="005A043A" w:rsidRDefault="005A043A" w:rsidP="005A043A">
      <w:pPr>
        <w:widowControl w:val="0"/>
        <w:autoSpaceDE w:val="0"/>
        <w:autoSpaceDN w:val="0"/>
        <w:adjustRightInd w:val="0"/>
        <w:ind w:left="640" w:hanging="640"/>
        <w:rPr>
          <w:rFonts w:eastAsia="MS Mincho"/>
          <w:color w:val="000000"/>
          <w:lang w:val="en-GB"/>
        </w:rPr>
      </w:pPr>
      <w:r>
        <w:rPr>
          <w:rFonts w:eastAsia="MS Mincho"/>
          <w:color w:val="000000"/>
        </w:rPr>
        <w:t>ESM</w:t>
      </w:r>
      <w:r w:rsidRPr="00D0006F">
        <w:rPr>
          <w:rFonts w:eastAsia="MS Mincho"/>
          <w:color w:val="000000"/>
        </w:rPr>
        <w:t xml:space="preserve"> Table S</w:t>
      </w:r>
      <w:r w:rsidR="007441FC">
        <w:rPr>
          <w:rFonts w:eastAsia="MS Mincho"/>
          <w:color w:val="000000"/>
        </w:rPr>
        <w:t>2</w:t>
      </w:r>
      <w:r w:rsidRPr="00214F41">
        <w:rPr>
          <w:rFonts w:eastAsia="MS Mincho"/>
          <w:color w:val="000000"/>
          <w:lang w:val="en-GB"/>
        </w:rPr>
        <w:t>. Included studies comparing different metformin formulations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820"/>
        <w:gridCol w:w="2043"/>
        <w:gridCol w:w="1024"/>
        <w:gridCol w:w="898"/>
        <w:gridCol w:w="1405"/>
        <w:gridCol w:w="1013"/>
        <w:gridCol w:w="641"/>
        <w:gridCol w:w="767"/>
        <w:gridCol w:w="1539"/>
        <w:gridCol w:w="767"/>
        <w:gridCol w:w="635"/>
        <w:gridCol w:w="826"/>
        <w:gridCol w:w="840"/>
      </w:tblGrid>
      <w:tr w:rsidR="005A043A" w:rsidRPr="0072287D" w14:paraId="225D51B2" w14:textId="77777777" w:rsidTr="00286762">
        <w:trPr>
          <w:trHeight w:val="432"/>
        </w:trPr>
        <w:tc>
          <w:tcPr>
            <w:tcW w:w="1666" w:type="pct"/>
            <w:gridSpan w:val="4"/>
            <w:shd w:val="clear" w:color="auto" w:fill="auto"/>
            <w:vAlign w:val="center"/>
            <w:hideMark/>
          </w:tcPr>
          <w:p w14:paraId="4C7168E6" w14:textId="77777777" w:rsidR="005A043A" w:rsidRPr="00214F41" w:rsidRDefault="005A043A" w:rsidP="00286762">
            <w:pPr>
              <w:jc w:val="center"/>
              <w:rPr>
                <w:b/>
                <w:bCs/>
                <w:color w:val="000000"/>
                <w:sz w:val="18"/>
                <w:szCs w:val="18"/>
              </w:rPr>
            </w:pPr>
            <w:r w:rsidRPr="00214F41">
              <w:rPr>
                <w:b/>
                <w:bCs/>
                <w:color w:val="000000"/>
                <w:sz w:val="18"/>
                <w:szCs w:val="18"/>
              </w:rPr>
              <w:t>Study characteristics</w:t>
            </w:r>
          </w:p>
          <w:p w14:paraId="35D21C3E" w14:textId="77777777" w:rsidR="005A043A" w:rsidRPr="00214F41" w:rsidRDefault="005A043A" w:rsidP="00286762">
            <w:pPr>
              <w:jc w:val="center"/>
              <w:rPr>
                <w:b/>
                <w:bCs/>
                <w:color w:val="000000"/>
                <w:sz w:val="18"/>
                <w:szCs w:val="18"/>
              </w:rPr>
            </w:pPr>
          </w:p>
        </w:tc>
        <w:tc>
          <w:tcPr>
            <w:tcW w:w="1688" w:type="pct"/>
            <w:gridSpan w:val="5"/>
            <w:shd w:val="clear" w:color="auto" w:fill="auto"/>
            <w:vAlign w:val="center"/>
            <w:hideMark/>
          </w:tcPr>
          <w:p w14:paraId="58924473" w14:textId="77777777" w:rsidR="005A043A" w:rsidRPr="00214F41" w:rsidRDefault="005A043A" w:rsidP="00286762">
            <w:pPr>
              <w:jc w:val="center"/>
              <w:rPr>
                <w:b/>
                <w:bCs/>
                <w:color w:val="000000"/>
                <w:sz w:val="18"/>
                <w:szCs w:val="18"/>
              </w:rPr>
            </w:pPr>
            <w:r w:rsidRPr="00214F41">
              <w:rPr>
                <w:b/>
                <w:bCs/>
                <w:color w:val="000000"/>
                <w:sz w:val="18"/>
                <w:szCs w:val="18"/>
              </w:rPr>
              <w:t>MET treatment</w:t>
            </w:r>
          </w:p>
        </w:tc>
        <w:tc>
          <w:tcPr>
            <w:tcW w:w="550" w:type="pct"/>
            <w:vMerge w:val="restart"/>
            <w:shd w:val="clear" w:color="auto" w:fill="auto"/>
            <w:vAlign w:val="center"/>
            <w:hideMark/>
          </w:tcPr>
          <w:p w14:paraId="7E58C604" w14:textId="77777777" w:rsidR="005A043A" w:rsidRPr="00214F41" w:rsidRDefault="005A043A" w:rsidP="00286762">
            <w:pPr>
              <w:jc w:val="center"/>
              <w:rPr>
                <w:b/>
                <w:bCs/>
                <w:color w:val="000000"/>
                <w:sz w:val="18"/>
                <w:szCs w:val="18"/>
              </w:rPr>
            </w:pPr>
            <w:r w:rsidRPr="00214F41">
              <w:rPr>
                <w:b/>
                <w:bCs/>
                <w:color w:val="000000"/>
                <w:sz w:val="18"/>
                <w:szCs w:val="18"/>
              </w:rPr>
              <w:t>comparator</w:t>
            </w:r>
          </w:p>
        </w:tc>
        <w:tc>
          <w:tcPr>
            <w:tcW w:w="501" w:type="pct"/>
            <w:gridSpan w:val="2"/>
            <w:shd w:val="clear" w:color="auto" w:fill="auto"/>
            <w:vAlign w:val="center"/>
            <w:hideMark/>
          </w:tcPr>
          <w:p w14:paraId="2EB18A48" w14:textId="77777777" w:rsidR="005A043A" w:rsidRPr="00214F41" w:rsidRDefault="005A043A" w:rsidP="00286762">
            <w:pPr>
              <w:jc w:val="center"/>
              <w:rPr>
                <w:b/>
                <w:bCs/>
                <w:color w:val="000000"/>
                <w:sz w:val="18"/>
                <w:szCs w:val="18"/>
              </w:rPr>
            </w:pPr>
            <w:r w:rsidRPr="00214F41">
              <w:rPr>
                <w:b/>
                <w:bCs/>
                <w:color w:val="000000"/>
                <w:sz w:val="18"/>
                <w:szCs w:val="18"/>
              </w:rPr>
              <w:t>Patients  characteristics</w:t>
            </w:r>
          </w:p>
        </w:tc>
        <w:tc>
          <w:tcPr>
            <w:tcW w:w="595" w:type="pct"/>
            <w:gridSpan w:val="2"/>
            <w:shd w:val="clear" w:color="auto" w:fill="auto"/>
            <w:noWrap/>
            <w:vAlign w:val="bottom"/>
            <w:hideMark/>
          </w:tcPr>
          <w:p w14:paraId="6C12A553" w14:textId="77777777" w:rsidR="005A043A" w:rsidRPr="00214F41" w:rsidRDefault="005A043A" w:rsidP="00286762">
            <w:pPr>
              <w:rPr>
                <w:sz w:val="18"/>
                <w:szCs w:val="18"/>
                <w:lang w:val="en-GB"/>
              </w:rPr>
            </w:pPr>
            <w:r w:rsidRPr="00214F41">
              <w:rPr>
                <w:sz w:val="18"/>
                <w:szCs w:val="18"/>
                <w:lang w:val="en-GB"/>
              </w:rPr>
              <w:t>BMI (kg/m2) at baseline</w:t>
            </w:r>
          </w:p>
        </w:tc>
      </w:tr>
      <w:tr w:rsidR="005A043A" w:rsidRPr="00214F41" w14:paraId="3D6FF760" w14:textId="77777777" w:rsidTr="00286762">
        <w:trPr>
          <w:trHeight w:val="930"/>
        </w:trPr>
        <w:tc>
          <w:tcPr>
            <w:tcW w:w="277" w:type="pct"/>
            <w:shd w:val="clear" w:color="auto" w:fill="auto"/>
            <w:vAlign w:val="center"/>
            <w:hideMark/>
          </w:tcPr>
          <w:p w14:paraId="7113ECE8" w14:textId="77777777" w:rsidR="005A043A" w:rsidRPr="00214F41" w:rsidRDefault="005A043A" w:rsidP="00286762">
            <w:pPr>
              <w:jc w:val="center"/>
              <w:rPr>
                <w:b/>
                <w:bCs/>
                <w:color w:val="000000"/>
                <w:sz w:val="18"/>
                <w:szCs w:val="18"/>
              </w:rPr>
            </w:pPr>
            <w:r w:rsidRPr="00214F41">
              <w:rPr>
                <w:b/>
                <w:bCs/>
                <w:color w:val="000000"/>
                <w:sz w:val="18"/>
                <w:szCs w:val="18"/>
              </w:rPr>
              <w:t>Reference</w:t>
            </w:r>
          </w:p>
        </w:tc>
        <w:tc>
          <w:tcPr>
            <w:tcW w:w="293" w:type="pct"/>
            <w:shd w:val="clear" w:color="auto" w:fill="auto"/>
            <w:vAlign w:val="center"/>
            <w:hideMark/>
          </w:tcPr>
          <w:p w14:paraId="247478EB" w14:textId="77777777" w:rsidR="005A043A" w:rsidRPr="00214F41" w:rsidRDefault="005A043A" w:rsidP="00286762">
            <w:pPr>
              <w:jc w:val="center"/>
              <w:rPr>
                <w:b/>
                <w:bCs/>
                <w:color w:val="000000"/>
                <w:sz w:val="18"/>
                <w:szCs w:val="18"/>
              </w:rPr>
            </w:pPr>
            <w:r w:rsidRPr="00214F41">
              <w:rPr>
                <w:b/>
                <w:bCs/>
                <w:color w:val="000000"/>
                <w:sz w:val="18"/>
                <w:szCs w:val="18"/>
              </w:rPr>
              <w:t>ITT/PP</w:t>
            </w:r>
          </w:p>
        </w:tc>
        <w:tc>
          <w:tcPr>
            <w:tcW w:w="730" w:type="pct"/>
            <w:shd w:val="clear" w:color="auto" w:fill="auto"/>
            <w:vAlign w:val="center"/>
            <w:hideMark/>
          </w:tcPr>
          <w:p w14:paraId="234F93EF" w14:textId="77777777" w:rsidR="005A043A" w:rsidRPr="00214F41" w:rsidRDefault="005A043A" w:rsidP="00286762">
            <w:pPr>
              <w:jc w:val="center"/>
              <w:rPr>
                <w:b/>
                <w:bCs/>
                <w:color w:val="000000"/>
                <w:sz w:val="18"/>
                <w:szCs w:val="18"/>
              </w:rPr>
            </w:pPr>
            <w:r w:rsidRPr="00214F41">
              <w:rPr>
                <w:b/>
                <w:bCs/>
                <w:color w:val="000000"/>
                <w:sz w:val="18"/>
                <w:szCs w:val="18"/>
              </w:rPr>
              <w:t>Focus of study</w:t>
            </w:r>
          </w:p>
        </w:tc>
        <w:tc>
          <w:tcPr>
            <w:tcW w:w="366" w:type="pct"/>
            <w:shd w:val="clear" w:color="auto" w:fill="auto"/>
            <w:vAlign w:val="center"/>
            <w:hideMark/>
          </w:tcPr>
          <w:p w14:paraId="3EEAF305" w14:textId="77777777" w:rsidR="005A043A" w:rsidRPr="00214F41" w:rsidRDefault="005A043A" w:rsidP="00286762">
            <w:pPr>
              <w:jc w:val="center"/>
              <w:rPr>
                <w:b/>
                <w:bCs/>
                <w:color w:val="000000"/>
                <w:sz w:val="18"/>
                <w:szCs w:val="18"/>
              </w:rPr>
            </w:pPr>
            <w:r w:rsidRPr="00214F41">
              <w:rPr>
                <w:b/>
                <w:bCs/>
                <w:color w:val="000000"/>
                <w:sz w:val="18"/>
                <w:szCs w:val="18"/>
              </w:rPr>
              <w:t>N total randomized/analyzed</w:t>
            </w:r>
          </w:p>
        </w:tc>
        <w:tc>
          <w:tcPr>
            <w:tcW w:w="321" w:type="pct"/>
            <w:shd w:val="clear" w:color="auto" w:fill="auto"/>
            <w:vAlign w:val="center"/>
            <w:hideMark/>
          </w:tcPr>
          <w:p w14:paraId="5679CD53"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MET (P/S)/p dose</w:t>
            </w:r>
          </w:p>
        </w:tc>
        <w:tc>
          <w:tcPr>
            <w:tcW w:w="502" w:type="pct"/>
            <w:shd w:val="clear" w:color="auto" w:fill="auto"/>
            <w:vAlign w:val="center"/>
            <w:hideMark/>
          </w:tcPr>
          <w:p w14:paraId="19C6C012" w14:textId="77777777" w:rsidR="005A043A" w:rsidRPr="00214F41" w:rsidRDefault="005A043A" w:rsidP="00286762">
            <w:pPr>
              <w:jc w:val="center"/>
              <w:rPr>
                <w:b/>
                <w:bCs/>
                <w:color w:val="000000"/>
                <w:sz w:val="18"/>
                <w:szCs w:val="18"/>
              </w:rPr>
            </w:pPr>
            <w:r w:rsidRPr="00214F41">
              <w:rPr>
                <w:b/>
                <w:bCs/>
                <w:color w:val="000000"/>
                <w:sz w:val="18"/>
                <w:szCs w:val="18"/>
              </w:rPr>
              <w:t>MET commercial labeling</w:t>
            </w:r>
          </w:p>
        </w:tc>
        <w:tc>
          <w:tcPr>
            <w:tcW w:w="362" w:type="pct"/>
            <w:shd w:val="clear" w:color="auto" w:fill="auto"/>
            <w:vAlign w:val="center"/>
            <w:hideMark/>
          </w:tcPr>
          <w:p w14:paraId="78C340FC" w14:textId="77777777" w:rsidR="005A043A" w:rsidRPr="00214F41" w:rsidRDefault="005A043A" w:rsidP="00286762">
            <w:pPr>
              <w:jc w:val="center"/>
              <w:rPr>
                <w:b/>
                <w:bCs/>
                <w:color w:val="000000"/>
                <w:sz w:val="18"/>
                <w:szCs w:val="18"/>
              </w:rPr>
            </w:pPr>
            <w:r w:rsidRPr="00214F41">
              <w:rPr>
                <w:b/>
                <w:bCs/>
                <w:color w:val="000000"/>
                <w:sz w:val="18"/>
                <w:szCs w:val="18"/>
              </w:rPr>
              <w:t>Dosage (unit/day)</w:t>
            </w:r>
          </w:p>
        </w:tc>
        <w:tc>
          <w:tcPr>
            <w:tcW w:w="229" w:type="pct"/>
            <w:shd w:val="clear" w:color="auto" w:fill="auto"/>
            <w:vAlign w:val="center"/>
            <w:hideMark/>
          </w:tcPr>
          <w:p w14:paraId="75A10A91" w14:textId="77777777" w:rsidR="005A043A" w:rsidRPr="00214F41" w:rsidRDefault="005A043A" w:rsidP="00286762">
            <w:pPr>
              <w:jc w:val="center"/>
              <w:rPr>
                <w:b/>
                <w:bCs/>
                <w:color w:val="000000"/>
                <w:sz w:val="18"/>
                <w:szCs w:val="18"/>
              </w:rPr>
            </w:pPr>
            <w:r w:rsidRPr="00214F41">
              <w:rPr>
                <w:b/>
                <w:bCs/>
                <w:color w:val="000000"/>
                <w:sz w:val="18"/>
                <w:szCs w:val="18"/>
              </w:rPr>
              <w:t>Duration (days)</w:t>
            </w:r>
          </w:p>
        </w:tc>
        <w:tc>
          <w:tcPr>
            <w:tcW w:w="274" w:type="pct"/>
            <w:shd w:val="clear" w:color="auto" w:fill="auto"/>
            <w:vAlign w:val="center"/>
            <w:hideMark/>
          </w:tcPr>
          <w:p w14:paraId="3E1F42CE" w14:textId="77777777" w:rsidR="005A043A" w:rsidRPr="00214F41" w:rsidRDefault="005A043A" w:rsidP="00286762">
            <w:pPr>
              <w:jc w:val="center"/>
              <w:rPr>
                <w:b/>
                <w:bCs/>
                <w:color w:val="000000"/>
                <w:sz w:val="18"/>
                <w:szCs w:val="18"/>
              </w:rPr>
            </w:pPr>
            <w:r w:rsidRPr="00214F41">
              <w:rPr>
                <w:b/>
                <w:bCs/>
                <w:color w:val="000000"/>
                <w:sz w:val="18"/>
                <w:szCs w:val="18"/>
              </w:rPr>
              <w:t>MET XR/IR</w:t>
            </w:r>
          </w:p>
        </w:tc>
        <w:tc>
          <w:tcPr>
            <w:tcW w:w="550" w:type="pct"/>
            <w:vMerge/>
            <w:vAlign w:val="center"/>
            <w:hideMark/>
          </w:tcPr>
          <w:p w14:paraId="5052A27D" w14:textId="77777777" w:rsidR="005A043A" w:rsidRPr="00214F41" w:rsidRDefault="005A043A" w:rsidP="00286762">
            <w:pPr>
              <w:rPr>
                <w:b/>
                <w:bCs/>
                <w:color w:val="000000"/>
                <w:sz w:val="18"/>
                <w:szCs w:val="18"/>
              </w:rPr>
            </w:pPr>
          </w:p>
        </w:tc>
        <w:tc>
          <w:tcPr>
            <w:tcW w:w="274" w:type="pct"/>
            <w:shd w:val="clear" w:color="auto" w:fill="auto"/>
            <w:vAlign w:val="center"/>
            <w:hideMark/>
          </w:tcPr>
          <w:p w14:paraId="0D308475" w14:textId="77777777" w:rsidR="005A043A" w:rsidRPr="00214F41" w:rsidRDefault="005A043A" w:rsidP="00286762">
            <w:pPr>
              <w:jc w:val="center"/>
              <w:rPr>
                <w:b/>
                <w:bCs/>
                <w:color w:val="000000"/>
                <w:sz w:val="18"/>
                <w:szCs w:val="18"/>
              </w:rPr>
            </w:pPr>
            <w:r w:rsidRPr="00214F41">
              <w:rPr>
                <w:b/>
                <w:bCs/>
                <w:color w:val="000000"/>
                <w:sz w:val="18"/>
                <w:szCs w:val="18"/>
              </w:rPr>
              <w:t>age (Ø ±SD)</w:t>
            </w:r>
          </w:p>
        </w:tc>
        <w:tc>
          <w:tcPr>
            <w:tcW w:w="227" w:type="pct"/>
            <w:shd w:val="clear" w:color="auto" w:fill="auto"/>
            <w:vAlign w:val="center"/>
            <w:hideMark/>
          </w:tcPr>
          <w:p w14:paraId="19563753" w14:textId="77777777" w:rsidR="005A043A" w:rsidRPr="00214F41" w:rsidRDefault="005A043A" w:rsidP="00286762">
            <w:pPr>
              <w:jc w:val="center"/>
              <w:rPr>
                <w:b/>
                <w:bCs/>
                <w:color w:val="000000"/>
                <w:sz w:val="18"/>
                <w:szCs w:val="18"/>
              </w:rPr>
            </w:pPr>
            <w:r w:rsidRPr="00214F41">
              <w:rPr>
                <w:b/>
                <w:bCs/>
                <w:color w:val="000000"/>
                <w:sz w:val="18"/>
                <w:szCs w:val="18"/>
              </w:rPr>
              <w:t>Male (N/%)</w:t>
            </w:r>
          </w:p>
        </w:tc>
        <w:tc>
          <w:tcPr>
            <w:tcW w:w="295" w:type="pct"/>
            <w:shd w:val="clear" w:color="auto" w:fill="auto"/>
            <w:vAlign w:val="center"/>
            <w:hideMark/>
          </w:tcPr>
          <w:p w14:paraId="1B95352F" w14:textId="77777777" w:rsidR="005A043A" w:rsidRPr="00214F41" w:rsidRDefault="005A043A" w:rsidP="00286762">
            <w:pPr>
              <w:jc w:val="center"/>
              <w:rPr>
                <w:b/>
                <w:bCs/>
                <w:color w:val="000000"/>
                <w:sz w:val="18"/>
                <w:szCs w:val="18"/>
              </w:rPr>
            </w:pPr>
            <w:proofErr w:type="spellStart"/>
            <w:r w:rsidRPr="00214F41">
              <w:rPr>
                <w:b/>
                <w:bCs/>
                <w:color w:val="000000"/>
                <w:sz w:val="18"/>
                <w:szCs w:val="18"/>
              </w:rPr>
              <w:t>MetforminØ±SD</w:t>
            </w:r>
            <w:proofErr w:type="spellEnd"/>
          </w:p>
        </w:tc>
        <w:tc>
          <w:tcPr>
            <w:tcW w:w="300" w:type="pct"/>
            <w:shd w:val="clear" w:color="auto" w:fill="auto"/>
            <w:vAlign w:val="center"/>
            <w:hideMark/>
          </w:tcPr>
          <w:p w14:paraId="4626113C" w14:textId="77777777" w:rsidR="005A043A" w:rsidRPr="00214F41" w:rsidRDefault="005A043A" w:rsidP="00286762">
            <w:pPr>
              <w:jc w:val="center"/>
              <w:rPr>
                <w:b/>
                <w:bCs/>
                <w:color w:val="000000"/>
                <w:sz w:val="18"/>
                <w:szCs w:val="18"/>
              </w:rPr>
            </w:pPr>
            <w:r w:rsidRPr="00214F41">
              <w:rPr>
                <w:b/>
                <w:bCs/>
                <w:color w:val="000000"/>
                <w:sz w:val="18"/>
                <w:szCs w:val="18"/>
              </w:rPr>
              <w:t>Control Ø±SD</w:t>
            </w:r>
          </w:p>
        </w:tc>
      </w:tr>
      <w:tr w:rsidR="005A043A" w:rsidRPr="00214F41" w14:paraId="2F82EB4C" w14:textId="77777777" w:rsidTr="00286762">
        <w:trPr>
          <w:trHeight w:val="765"/>
        </w:trPr>
        <w:tc>
          <w:tcPr>
            <w:tcW w:w="277" w:type="pct"/>
            <w:shd w:val="clear" w:color="auto" w:fill="auto"/>
            <w:vAlign w:val="center"/>
            <w:hideMark/>
          </w:tcPr>
          <w:p w14:paraId="0B71E9C8" w14:textId="77777777" w:rsidR="005A043A" w:rsidRPr="00214F41" w:rsidRDefault="005A043A" w:rsidP="00286762">
            <w:pPr>
              <w:jc w:val="center"/>
              <w:rPr>
                <w:sz w:val="18"/>
                <w:szCs w:val="18"/>
              </w:rPr>
            </w:pPr>
            <w:r w:rsidRPr="00214F41">
              <w:rPr>
                <w:sz w:val="18"/>
                <w:szCs w:val="18"/>
              </w:rPr>
              <w:t xml:space="preserve">Aggarwal et al., 2017 </w:t>
            </w:r>
            <w:r w:rsidRPr="00214F41">
              <w:rPr>
                <w:sz w:val="18"/>
                <w:szCs w:val="18"/>
              </w:rPr>
              <w:fldChar w:fldCharType="begin" w:fldLock="1"/>
            </w:r>
            <w:r>
              <w:rPr>
                <w:sz w:val="18"/>
                <w:szCs w:val="18"/>
              </w:rPr>
              <w:instrText>ADDIN CSL_CITATION {"citationItems":[{"id":"ITEM-1","itemData":{"DOI":"10.1111/dom.13104","ISSN":"1463-1326 (Electronic)","PMID":"28857388","abstract":"This international, randomized, double-blind trial (NCT01864174) compared the  efficacy and safety of metformin extended-release (XR) and immediate-release (IR) in patients with type 2 diabetes. After a 4-week placebo lead-in, pharmacotherapy-naïve adults with glycated haemoglobin (HbA1c) at 7.0% to 9.2% were randomized (1:1) to receive once-daily metformin XR 2000 mg or twice-daily metformin IR 1000 mg for 24 weeks. The primary endpoint was change in HbA1c after 24 weeks. Secondary endpoints were change in fasting plasma glucose (FPG), mean daily glucose (MDG) and patients (%) with HbA1c &lt;7.0% after 24 weeks. Overall, 539 patients were randomized (metformin XR, N = 268; metformin IR, N = 271). Adjusted mean changes in HbA1c, FPG, MDG and patients (%) with HbA1c &lt;7.0% after 24 weeks were similar for XR and IR: -0.93% vs -0.96%; -21.1 vs -20.6 mg/dL (-1.2 vs -1.1 mmol/L); -24.7 vs -27.1 mg/dL (-1.4 vs -1.5 mmol/L); and 70.9% vs 72.0%, respectively. Adverse events were similar between groups and consistent with previous studies. Overall, metformin XR demonstrated efficacy and safety similar to that of metformin IR over 24 weeks, with the advantage of once-daily dosing.","author":[{"dropping-particle":"","family":"Aggarwal","given":"Naresh","non-dropping-particle":"","parse-names":false,"suffix":""},{"dropping-particle":"","family":"Singla","given":"Anuj","non-dropping-particle":"","parse-names":false,"suffix":""},{"dropping-particle":"","family":"Mathieu","given":"Chantal","non-dropping-particle":"","parse-names":false,"suffix":""},{"dropping-particle":"","family":"Montanya","given":"Eduard","non-dropping-particle":"","parse-names":false,"suffix":""},{"dropping-particle":"","family":"Pfeiffer","given":"Andreas F H","non-dropping-particle":"","parse-names":false,"suffix":""},{"dropping-particle":"","family":"Johnsson","given":"Eva","non-dropping-particle":"","parse-names":false,"suffix":""},{"dropping-particle":"","family":"Zhao","given":"June","non-dropping-particle":"","parse-names":false,"suffix":""},{"dropping-particle":"","family":"Iqbal","given":"Nayyar","non-dropping-particle":"","parse-names":false,"suffix":""},{"dropping-particle":"","family":"Bailey","given":"Clifford","non-dropping-particle":"","parse-names":false,"suffix":""}],"container-title":"Diabetes, obesity &amp; metabolism","id":"ITEM-1","issue":"2","issued":{"date-parts":[["2018","2"]]},"language":"eng","page":"463-467","title":"Metformin extended-release versus immediate-release: An international,  randomized, double-blind, head-to-head trial in pharmacotherapy-naïve patients with type 2 diabetes.","type":"article-journal","volume":"20"},"uris":["http://www.mendeley.com/documents/?uuid=98681b2a-8010-4c47-affe-8fe340720491"]}],"mendeley":{"formattedCitation":"[43]","plainTextFormattedCitation":"[43]","previouslyFormattedCitation":"[43]"},"properties":{"noteIndex":0},"schema":"https://github.com/citation-style-language/schema/raw/master/csl-citation.json"}</w:instrText>
            </w:r>
            <w:r w:rsidRPr="00214F41">
              <w:rPr>
                <w:sz w:val="18"/>
                <w:szCs w:val="18"/>
              </w:rPr>
              <w:fldChar w:fldCharType="separate"/>
            </w:r>
            <w:r w:rsidRPr="00FF29A9">
              <w:rPr>
                <w:noProof/>
                <w:sz w:val="18"/>
                <w:szCs w:val="18"/>
              </w:rPr>
              <w:t>[43]</w:t>
            </w:r>
            <w:r w:rsidRPr="00214F41">
              <w:rPr>
                <w:sz w:val="18"/>
                <w:szCs w:val="18"/>
              </w:rPr>
              <w:fldChar w:fldCharType="end"/>
            </w:r>
          </w:p>
        </w:tc>
        <w:tc>
          <w:tcPr>
            <w:tcW w:w="293" w:type="pct"/>
            <w:shd w:val="clear" w:color="auto" w:fill="auto"/>
            <w:vAlign w:val="center"/>
            <w:hideMark/>
          </w:tcPr>
          <w:p w14:paraId="2C225135" w14:textId="77777777" w:rsidR="005A043A" w:rsidRPr="00214F41" w:rsidRDefault="005A043A" w:rsidP="00286762">
            <w:pPr>
              <w:jc w:val="center"/>
              <w:rPr>
                <w:sz w:val="18"/>
                <w:szCs w:val="18"/>
              </w:rPr>
            </w:pPr>
            <w:r w:rsidRPr="00214F41">
              <w:rPr>
                <w:sz w:val="18"/>
                <w:szCs w:val="18"/>
              </w:rPr>
              <w:t>ITT</w:t>
            </w:r>
          </w:p>
        </w:tc>
        <w:tc>
          <w:tcPr>
            <w:tcW w:w="730" w:type="pct"/>
            <w:shd w:val="clear" w:color="auto" w:fill="auto"/>
            <w:vAlign w:val="center"/>
            <w:hideMark/>
          </w:tcPr>
          <w:p w14:paraId="3B9236E5" w14:textId="77777777" w:rsidR="005A043A" w:rsidRPr="00214F41" w:rsidRDefault="005A043A" w:rsidP="00286762">
            <w:pPr>
              <w:jc w:val="center"/>
              <w:rPr>
                <w:sz w:val="18"/>
                <w:szCs w:val="18"/>
                <w:lang w:val="en-GB"/>
              </w:rPr>
            </w:pPr>
            <w:r w:rsidRPr="00214F41">
              <w:rPr>
                <w:sz w:val="18"/>
                <w:szCs w:val="18"/>
                <w:lang w:val="en-GB"/>
              </w:rPr>
              <w:t>To compare the efficacy and safety of XR and IR metformin in T2DM pts</w:t>
            </w:r>
          </w:p>
        </w:tc>
        <w:tc>
          <w:tcPr>
            <w:tcW w:w="366" w:type="pct"/>
            <w:shd w:val="clear" w:color="auto" w:fill="auto"/>
            <w:vAlign w:val="center"/>
            <w:hideMark/>
          </w:tcPr>
          <w:p w14:paraId="7350C475" w14:textId="77777777" w:rsidR="005A043A" w:rsidRPr="00214F41" w:rsidRDefault="005A043A" w:rsidP="00286762">
            <w:pPr>
              <w:jc w:val="center"/>
              <w:rPr>
                <w:sz w:val="18"/>
                <w:szCs w:val="18"/>
              </w:rPr>
            </w:pPr>
            <w:r w:rsidRPr="00214F41">
              <w:rPr>
                <w:sz w:val="18"/>
                <w:szCs w:val="18"/>
              </w:rPr>
              <w:t>568/568</w:t>
            </w:r>
          </w:p>
        </w:tc>
        <w:tc>
          <w:tcPr>
            <w:tcW w:w="321" w:type="pct"/>
            <w:shd w:val="clear" w:color="auto" w:fill="auto"/>
            <w:vAlign w:val="center"/>
            <w:hideMark/>
          </w:tcPr>
          <w:p w14:paraId="7C8DB177" w14:textId="77777777" w:rsidR="005A043A" w:rsidRPr="00214F41" w:rsidRDefault="005A043A" w:rsidP="00286762">
            <w:pPr>
              <w:jc w:val="center"/>
              <w:rPr>
                <w:sz w:val="18"/>
                <w:szCs w:val="18"/>
              </w:rPr>
            </w:pPr>
            <w:r w:rsidRPr="00214F41">
              <w:rPr>
                <w:sz w:val="18"/>
                <w:szCs w:val="18"/>
              </w:rPr>
              <w:t>s/</w:t>
            </w:r>
            <w:proofErr w:type="spellStart"/>
            <w:r w:rsidRPr="00214F41">
              <w:rPr>
                <w:sz w:val="18"/>
                <w:szCs w:val="18"/>
              </w:rPr>
              <w:t>na</w:t>
            </w:r>
            <w:proofErr w:type="spellEnd"/>
            <w:r w:rsidRPr="00214F41">
              <w:rPr>
                <w:sz w:val="18"/>
                <w:szCs w:val="18"/>
              </w:rPr>
              <w:t>/</w:t>
            </w:r>
            <w:proofErr w:type="spellStart"/>
            <w:r w:rsidRPr="00214F41">
              <w:rPr>
                <w:sz w:val="18"/>
                <w:szCs w:val="18"/>
              </w:rPr>
              <w:t>na</w:t>
            </w:r>
            <w:proofErr w:type="spellEnd"/>
          </w:p>
        </w:tc>
        <w:tc>
          <w:tcPr>
            <w:tcW w:w="502" w:type="pct"/>
            <w:shd w:val="clear" w:color="auto" w:fill="auto"/>
            <w:vAlign w:val="center"/>
            <w:hideMark/>
          </w:tcPr>
          <w:p w14:paraId="62DE10E6" w14:textId="77777777" w:rsidR="005A043A" w:rsidRPr="00214F41" w:rsidRDefault="005A043A" w:rsidP="00286762">
            <w:pPr>
              <w:jc w:val="center"/>
              <w:rPr>
                <w:sz w:val="18"/>
                <w:szCs w:val="18"/>
                <w:lang w:val="en-GB"/>
              </w:rPr>
            </w:pPr>
            <w:r w:rsidRPr="00214F41">
              <w:rPr>
                <w:sz w:val="18"/>
                <w:szCs w:val="18"/>
                <w:lang w:val="en-GB"/>
              </w:rPr>
              <w:t>Glucophage® XR, Bristol- Myers Squibb</w:t>
            </w:r>
          </w:p>
        </w:tc>
        <w:tc>
          <w:tcPr>
            <w:tcW w:w="362" w:type="pct"/>
            <w:shd w:val="clear" w:color="auto" w:fill="auto"/>
            <w:vAlign w:val="center"/>
            <w:hideMark/>
          </w:tcPr>
          <w:p w14:paraId="7C3B2C54" w14:textId="77777777" w:rsidR="005A043A" w:rsidRPr="00214F41" w:rsidRDefault="005A043A" w:rsidP="00286762">
            <w:pPr>
              <w:jc w:val="center"/>
              <w:rPr>
                <w:sz w:val="18"/>
                <w:szCs w:val="18"/>
              </w:rPr>
            </w:pPr>
            <w:r w:rsidRPr="00214F41">
              <w:rPr>
                <w:sz w:val="18"/>
                <w:szCs w:val="18"/>
              </w:rPr>
              <w:t>1920.5mg/day</w:t>
            </w:r>
          </w:p>
        </w:tc>
        <w:tc>
          <w:tcPr>
            <w:tcW w:w="229" w:type="pct"/>
            <w:shd w:val="clear" w:color="auto" w:fill="auto"/>
            <w:vAlign w:val="center"/>
            <w:hideMark/>
          </w:tcPr>
          <w:p w14:paraId="05209E7C" w14:textId="77777777" w:rsidR="005A043A" w:rsidRPr="00214F41" w:rsidRDefault="005A043A" w:rsidP="00286762">
            <w:pPr>
              <w:jc w:val="center"/>
              <w:rPr>
                <w:sz w:val="18"/>
                <w:szCs w:val="18"/>
              </w:rPr>
            </w:pPr>
            <w:r w:rsidRPr="00214F41">
              <w:rPr>
                <w:sz w:val="18"/>
                <w:szCs w:val="18"/>
              </w:rPr>
              <w:t>168</w:t>
            </w:r>
          </w:p>
        </w:tc>
        <w:tc>
          <w:tcPr>
            <w:tcW w:w="274" w:type="pct"/>
            <w:shd w:val="clear" w:color="auto" w:fill="auto"/>
            <w:vAlign w:val="center"/>
            <w:hideMark/>
          </w:tcPr>
          <w:p w14:paraId="4F6CBA36" w14:textId="77777777" w:rsidR="005A043A" w:rsidRPr="00214F41" w:rsidRDefault="005A043A" w:rsidP="00286762">
            <w:pPr>
              <w:jc w:val="center"/>
              <w:rPr>
                <w:sz w:val="18"/>
                <w:szCs w:val="18"/>
              </w:rPr>
            </w:pPr>
            <w:r w:rsidRPr="00214F41">
              <w:rPr>
                <w:sz w:val="18"/>
                <w:szCs w:val="18"/>
              </w:rPr>
              <w:t>XR</w:t>
            </w:r>
          </w:p>
        </w:tc>
        <w:tc>
          <w:tcPr>
            <w:tcW w:w="550" w:type="pct"/>
            <w:shd w:val="clear" w:color="auto" w:fill="auto"/>
            <w:vAlign w:val="center"/>
            <w:hideMark/>
          </w:tcPr>
          <w:p w14:paraId="1930882E" w14:textId="77777777" w:rsidR="005A043A" w:rsidRPr="00214F41" w:rsidRDefault="005A043A" w:rsidP="00286762">
            <w:pPr>
              <w:jc w:val="center"/>
              <w:rPr>
                <w:sz w:val="18"/>
                <w:szCs w:val="18"/>
                <w:lang w:val="en-GB"/>
              </w:rPr>
            </w:pPr>
            <w:r w:rsidRPr="00214F41">
              <w:rPr>
                <w:sz w:val="18"/>
                <w:szCs w:val="18"/>
                <w:lang w:val="en-GB"/>
              </w:rPr>
              <w:t>MET-IR/ MET XR/MET IR</w:t>
            </w:r>
          </w:p>
        </w:tc>
        <w:tc>
          <w:tcPr>
            <w:tcW w:w="274" w:type="pct"/>
            <w:shd w:val="clear" w:color="auto" w:fill="auto"/>
            <w:vAlign w:val="center"/>
            <w:hideMark/>
          </w:tcPr>
          <w:p w14:paraId="75E50906" w14:textId="77777777" w:rsidR="005A043A" w:rsidRPr="00214F41" w:rsidRDefault="005A043A" w:rsidP="00286762">
            <w:pPr>
              <w:jc w:val="center"/>
              <w:rPr>
                <w:sz w:val="18"/>
                <w:szCs w:val="18"/>
              </w:rPr>
            </w:pPr>
            <w:r w:rsidRPr="00214F41">
              <w:rPr>
                <w:sz w:val="18"/>
                <w:szCs w:val="18"/>
              </w:rPr>
              <w:t>56±10.5</w:t>
            </w:r>
          </w:p>
        </w:tc>
        <w:tc>
          <w:tcPr>
            <w:tcW w:w="227" w:type="pct"/>
            <w:shd w:val="clear" w:color="auto" w:fill="auto"/>
            <w:vAlign w:val="center"/>
            <w:hideMark/>
          </w:tcPr>
          <w:p w14:paraId="6E9833D9" w14:textId="77777777" w:rsidR="005A043A" w:rsidRPr="00214F41" w:rsidRDefault="005A043A" w:rsidP="00286762">
            <w:pPr>
              <w:jc w:val="center"/>
              <w:rPr>
                <w:sz w:val="18"/>
                <w:szCs w:val="18"/>
              </w:rPr>
            </w:pPr>
            <w:r w:rsidRPr="00214F41">
              <w:rPr>
                <w:sz w:val="18"/>
                <w:szCs w:val="18"/>
              </w:rPr>
              <w:t>295/54.7</w:t>
            </w:r>
          </w:p>
        </w:tc>
        <w:tc>
          <w:tcPr>
            <w:tcW w:w="295" w:type="pct"/>
            <w:shd w:val="clear" w:color="auto" w:fill="auto"/>
            <w:vAlign w:val="center"/>
            <w:hideMark/>
          </w:tcPr>
          <w:p w14:paraId="6009F1A8" w14:textId="77777777" w:rsidR="005A043A" w:rsidRPr="00214F41" w:rsidRDefault="005A043A" w:rsidP="00286762">
            <w:pPr>
              <w:jc w:val="center"/>
              <w:rPr>
                <w:sz w:val="18"/>
                <w:szCs w:val="18"/>
              </w:rPr>
            </w:pPr>
            <w:r w:rsidRPr="00214F41">
              <w:rPr>
                <w:sz w:val="18"/>
                <w:szCs w:val="18"/>
              </w:rPr>
              <w:t>32.9±5.5</w:t>
            </w:r>
          </w:p>
        </w:tc>
        <w:tc>
          <w:tcPr>
            <w:tcW w:w="300" w:type="pct"/>
            <w:shd w:val="clear" w:color="auto" w:fill="auto"/>
            <w:vAlign w:val="center"/>
            <w:hideMark/>
          </w:tcPr>
          <w:p w14:paraId="7888B489" w14:textId="77777777" w:rsidR="005A043A" w:rsidRPr="00214F41" w:rsidRDefault="005A043A" w:rsidP="00286762">
            <w:pPr>
              <w:jc w:val="center"/>
              <w:rPr>
                <w:sz w:val="18"/>
                <w:szCs w:val="18"/>
              </w:rPr>
            </w:pPr>
            <w:r w:rsidRPr="00214F41">
              <w:rPr>
                <w:sz w:val="18"/>
                <w:szCs w:val="18"/>
              </w:rPr>
              <w:t>32.8±5.4</w:t>
            </w:r>
          </w:p>
        </w:tc>
      </w:tr>
      <w:tr w:rsidR="005A043A" w:rsidRPr="0072287D" w14:paraId="75316842" w14:textId="77777777" w:rsidTr="00286762">
        <w:trPr>
          <w:trHeight w:val="930"/>
        </w:trPr>
        <w:tc>
          <w:tcPr>
            <w:tcW w:w="277" w:type="pct"/>
            <w:shd w:val="clear" w:color="000000" w:fill="FFFFFF"/>
            <w:vAlign w:val="center"/>
            <w:hideMark/>
          </w:tcPr>
          <w:p w14:paraId="4C89A271" w14:textId="77777777" w:rsidR="005A043A" w:rsidRPr="00214F41" w:rsidRDefault="005A043A" w:rsidP="00286762">
            <w:pPr>
              <w:jc w:val="center"/>
              <w:rPr>
                <w:sz w:val="18"/>
                <w:szCs w:val="18"/>
                <w:lang w:val="en-GB"/>
              </w:rPr>
            </w:pPr>
            <w:proofErr w:type="spellStart"/>
            <w:r w:rsidRPr="00214F41">
              <w:rPr>
                <w:sz w:val="18"/>
                <w:szCs w:val="18"/>
              </w:rPr>
              <w:t>DeFronzo</w:t>
            </w:r>
            <w:proofErr w:type="spellEnd"/>
            <w:r w:rsidRPr="00214F41">
              <w:rPr>
                <w:sz w:val="18"/>
                <w:szCs w:val="18"/>
              </w:rPr>
              <w:t xml:space="preserve"> et al.,  2016a </w:t>
            </w:r>
            <w:r w:rsidRPr="00214F41">
              <w:rPr>
                <w:sz w:val="18"/>
                <w:szCs w:val="18"/>
              </w:rPr>
              <w:fldChar w:fldCharType="begin" w:fldLock="1"/>
            </w:r>
            <w:r>
              <w:rPr>
                <w:sz w:val="18"/>
                <w:szCs w:val="18"/>
              </w:rPr>
              <w:instrText>ADDIN CSL_CITATION {"citationItems":[{"id":"ITEM-1","itemData":{"DOI":"10.1007/s00125-016-3992-6","ISSN":"1432-0428","abstract":"Aims/hypothesis: Delayed-release metformin (Metformin DR) was developed to maximise gut-based mechanisms of metformin action by targeting the drug to the ileum. Metformin DR was evaluated in two studies. Study 1 compared the bioavailability and effects on circulating glucose and gut hormones (glucagon-like peptide-1, peptide YY) of Metformin DR dosed twice-daily to twice-daily immediate-release metformin (Metformin IR). Study 2 compared the bioavailability and glycaemic effects of Metformin DR dosages of 1,000 mg once-daily in the morning, 1,000 mg once-daily in the evening, and 500 mg twice-daily. Methods: Study 1 was a blinded, randomised, crossover study (three × 5 day treatment periods) of twice-daily 500 mg or 1,000 mg Metformin DR vs twice-daily 1,000 mg Metformin IR in 24 participants with type 2 diabetes conducted at two study sites (Celerion Inc.; Tempe, AZ, and Lincoln, NE, USA). Plasma glucose and gut hormones were assessed over 10.25 h at the start and end of each treatment period; plasma metformin was measured over 11 h at the end of each treatment period. Study 2 was a non-blinded, randomised, crossover study (three × 7 day treatment periods) of 1,000 mg Metformin DR once-daily in the morning, 1,000 mg Metformin DR once-daily in the evening, or 500 mg Metformin DR twice-daily in 26 participants with type 2 diabetes performed at a single study site (Celerion, Tempe, AZ). Plasma glucose was assessed over 24 h at the start and end of each treatment period, and plasma metformin was measured over 30 h at the end of each treatment period. Both studies implemented centrally generated computer-based randomisation using a 1:1:1 allocation ratio. Results: A total of 24 randomised participants were included in study 1; of these, 19 completed the study and were included in the evaluable population. In the evaluable population, all treatments produced similar significant reductions in fasting glucose (median reduction range, −0.67 to −0.81 mmol/l across treatments) and postprandial glucose (Day 5 to baseline AUC0–t ratio = 0.9 for all three treatments) and increases in gut hormones (Day 5 to baseline AUC0–t ratio range: 1.6–1.9 for GLP-1 and 1.4–1.5 for PYY) despite an almost 60\\% reduction in systemic metformin exposure for 500 mg Metformin DR compared with Metformin IR. A total of 26 randomised participants were included in study 2: 24 had at least one dose of study medication and at least one post-</w:instrText>
            </w:r>
            <w:r w:rsidRPr="00FF29A9">
              <w:rPr>
                <w:sz w:val="18"/>
                <w:szCs w:val="18"/>
                <w:lang w:val="en-GB"/>
              </w:rPr>
              <w:instrText>dose pharmacokinetic/pharmacodynamic assessment and …","author":[{"dropping-particle":"","family":"DeFronzo","given":"R A","non-dropping-particle":"","parse-names":false,"suffix":""},{"dropping-particle":"","family":"Buse","given":"J B","non-dropping-particle":"","parse-names":false,"suffix":""},{"dropping-particle":"","family":"Kim","given":"T","non-dropping-particle":"","parse-names":false,"suffix":""},{"dropping-particle":"","family":"Burns","given":"C","non-dropping-particle":"","parse-names":false,"suffix":""},{"dropping-particle":"","family":"Skare","given":"S","non-dropping-particle":"","parse-names":false,"suffix":""},{"dropping-particle":"","family":"Baron","given":"A","non-dropping-particle":"","parse-names":false,"suffix":""},{"dropping-particle":"","family":"Fineman","given":"M","non-dropping-particle":"","parse-names":false,"suffix":""}],"container-title":"Diabetologia","id":"ITEM-1","issue":"8","issued":{"date-parts":[["2016"]]},"page":"1645-1654","title":"Once-daily delayed-release metformin lowers plasma glucose and enhances fasting and postprandial {GLP}-1 and {PYY}: results from two randomised trials","type":"article-journal","volume":"59"},"uris":["http://www.mendeley.com/documents/?uuid=80064f07-0b1e-473b-a53c-8eb3c1ebc974"]}],"mendeley":{"formattedCitation":"[44]","plainTextFormattedCitation":"[44]","previouslyFormattedCitation":"[44]"},"properties":{"noteIndex":0},"schema":"https://github.com/citation-style-language/schema/raw/master/csl-citation.json"}</w:instrText>
            </w:r>
            <w:r w:rsidRPr="00214F41">
              <w:rPr>
                <w:sz w:val="18"/>
                <w:szCs w:val="18"/>
              </w:rPr>
              <w:fldChar w:fldCharType="separate"/>
            </w:r>
            <w:r w:rsidRPr="00FF29A9">
              <w:rPr>
                <w:noProof/>
                <w:sz w:val="18"/>
                <w:szCs w:val="18"/>
                <w:lang w:val="en-GB"/>
              </w:rPr>
              <w:t>[44]</w:t>
            </w:r>
            <w:r w:rsidRPr="00214F41">
              <w:rPr>
                <w:sz w:val="18"/>
                <w:szCs w:val="18"/>
              </w:rPr>
              <w:fldChar w:fldCharType="end"/>
            </w:r>
          </w:p>
        </w:tc>
        <w:tc>
          <w:tcPr>
            <w:tcW w:w="293" w:type="pct"/>
            <w:vMerge w:val="restart"/>
            <w:shd w:val="clear" w:color="000000" w:fill="FFFFFF"/>
            <w:vAlign w:val="center"/>
            <w:hideMark/>
          </w:tcPr>
          <w:p w14:paraId="5729AF1A" w14:textId="77777777" w:rsidR="005A043A" w:rsidRPr="00214F41" w:rsidRDefault="005A043A" w:rsidP="00286762">
            <w:pPr>
              <w:jc w:val="center"/>
              <w:rPr>
                <w:sz w:val="18"/>
                <w:szCs w:val="18"/>
                <w:lang w:val="en-GB"/>
              </w:rPr>
            </w:pPr>
            <w:r w:rsidRPr="00214F41">
              <w:rPr>
                <w:sz w:val="18"/>
                <w:szCs w:val="18"/>
                <w:lang w:val="en-GB"/>
              </w:rPr>
              <w:t>ITT</w:t>
            </w:r>
          </w:p>
        </w:tc>
        <w:tc>
          <w:tcPr>
            <w:tcW w:w="730" w:type="pct"/>
            <w:vMerge w:val="restart"/>
            <w:shd w:val="clear" w:color="000000" w:fill="FFFFFF"/>
            <w:vAlign w:val="center"/>
            <w:hideMark/>
          </w:tcPr>
          <w:p w14:paraId="752F616B" w14:textId="77777777" w:rsidR="005A043A" w:rsidRPr="00214F41" w:rsidRDefault="005A043A" w:rsidP="00286762">
            <w:pPr>
              <w:jc w:val="center"/>
              <w:rPr>
                <w:sz w:val="18"/>
                <w:szCs w:val="18"/>
                <w:lang w:val="en-GB"/>
              </w:rPr>
            </w:pPr>
            <w:r w:rsidRPr="00214F41">
              <w:rPr>
                <w:sz w:val="18"/>
                <w:szCs w:val="18"/>
                <w:lang w:val="en-GB"/>
              </w:rPr>
              <w:t>To compare the bioavailability and effects on circulating glucose and gut hormones (glucagon-like peptide-1, peptide YY) of Metformin DR dosed twice-daily to twice-daily immediate-</w:t>
            </w:r>
            <w:r w:rsidRPr="00214F41">
              <w:rPr>
                <w:sz w:val="18"/>
                <w:szCs w:val="18"/>
                <w:lang w:val="en-GB"/>
              </w:rPr>
              <w:lastRenderedPageBreak/>
              <w:t>release metformin (Metformin IR)</w:t>
            </w:r>
          </w:p>
        </w:tc>
        <w:tc>
          <w:tcPr>
            <w:tcW w:w="366" w:type="pct"/>
            <w:shd w:val="clear" w:color="000000" w:fill="FFFFFF"/>
            <w:vAlign w:val="center"/>
            <w:hideMark/>
          </w:tcPr>
          <w:p w14:paraId="35B93212" w14:textId="77777777" w:rsidR="005A043A" w:rsidRPr="00214F41" w:rsidRDefault="005A043A" w:rsidP="00286762">
            <w:pPr>
              <w:jc w:val="center"/>
              <w:rPr>
                <w:sz w:val="18"/>
                <w:szCs w:val="18"/>
                <w:lang w:val="en-GB"/>
              </w:rPr>
            </w:pPr>
            <w:r w:rsidRPr="00214F41">
              <w:rPr>
                <w:sz w:val="18"/>
                <w:szCs w:val="18"/>
                <w:lang w:val="en-GB"/>
              </w:rPr>
              <w:lastRenderedPageBreak/>
              <w:t>24/22</w:t>
            </w:r>
          </w:p>
        </w:tc>
        <w:tc>
          <w:tcPr>
            <w:tcW w:w="321" w:type="pct"/>
            <w:vMerge w:val="restart"/>
            <w:shd w:val="clear" w:color="000000" w:fill="FFFFFF"/>
            <w:vAlign w:val="center"/>
            <w:hideMark/>
          </w:tcPr>
          <w:p w14:paraId="1CC29B1B" w14:textId="77777777" w:rsidR="005A043A" w:rsidRPr="00214F41" w:rsidRDefault="005A043A" w:rsidP="00286762">
            <w:pPr>
              <w:jc w:val="center"/>
              <w:rPr>
                <w:sz w:val="18"/>
                <w:szCs w:val="18"/>
                <w:lang w:val="en-GB"/>
              </w:rPr>
            </w:pPr>
            <w:r w:rsidRPr="00214F41">
              <w:rPr>
                <w:sz w:val="18"/>
                <w:szCs w:val="18"/>
                <w:lang w:val="en-GB"/>
              </w:rPr>
              <w:t>S</w:t>
            </w:r>
          </w:p>
          <w:p w14:paraId="70C527FB" w14:textId="77777777" w:rsidR="005A043A" w:rsidRPr="00214F41" w:rsidRDefault="005A043A" w:rsidP="00286762">
            <w:pPr>
              <w:jc w:val="center"/>
              <w:rPr>
                <w:sz w:val="18"/>
                <w:szCs w:val="18"/>
                <w:lang w:val="en-GB"/>
              </w:rPr>
            </w:pPr>
          </w:p>
        </w:tc>
        <w:tc>
          <w:tcPr>
            <w:tcW w:w="502" w:type="pct"/>
            <w:shd w:val="clear" w:color="000000" w:fill="FFFFFF"/>
            <w:vAlign w:val="center"/>
            <w:hideMark/>
          </w:tcPr>
          <w:p w14:paraId="569BCBD5"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31E789C4" w14:textId="77777777" w:rsidR="005A043A" w:rsidRPr="00214F41" w:rsidRDefault="005A043A" w:rsidP="00286762">
            <w:pPr>
              <w:jc w:val="center"/>
              <w:rPr>
                <w:sz w:val="18"/>
                <w:szCs w:val="18"/>
                <w:lang w:val="en-GB"/>
              </w:rPr>
            </w:pPr>
            <w:r w:rsidRPr="00214F41">
              <w:rPr>
                <w:sz w:val="18"/>
                <w:szCs w:val="18"/>
                <w:lang w:val="en-GB"/>
              </w:rPr>
              <w:t>2000mg/2/d</w:t>
            </w:r>
          </w:p>
        </w:tc>
        <w:tc>
          <w:tcPr>
            <w:tcW w:w="229" w:type="pct"/>
            <w:vMerge w:val="restart"/>
            <w:shd w:val="clear" w:color="000000" w:fill="FFFFFF"/>
            <w:vAlign w:val="center"/>
            <w:hideMark/>
          </w:tcPr>
          <w:p w14:paraId="1A9CE073" w14:textId="77777777" w:rsidR="005A043A" w:rsidRPr="00214F41" w:rsidRDefault="005A043A" w:rsidP="00286762">
            <w:pPr>
              <w:jc w:val="center"/>
              <w:rPr>
                <w:sz w:val="18"/>
                <w:szCs w:val="18"/>
                <w:lang w:val="en-GB"/>
              </w:rPr>
            </w:pPr>
            <w:r w:rsidRPr="00214F41">
              <w:rPr>
                <w:sz w:val="18"/>
                <w:szCs w:val="18"/>
                <w:lang w:val="en-GB"/>
              </w:rPr>
              <w:t>5</w:t>
            </w:r>
          </w:p>
          <w:p w14:paraId="0F5B50C1" w14:textId="77777777" w:rsidR="005A043A" w:rsidRPr="00214F41" w:rsidRDefault="005A043A" w:rsidP="00286762">
            <w:pPr>
              <w:jc w:val="center"/>
              <w:rPr>
                <w:sz w:val="18"/>
                <w:szCs w:val="18"/>
                <w:lang w:val="en-GB"/>
              </w:rPr>
            </w:pPr>
          </w:p>
        </w:tc>
        <w:tc>
          <w:tcPr>
            <w:tcW w:w="274" w:type="pct"/>
            <w:vMerge w:val="restart"/>
            <w:shd w:val="clear" w:color="000000" w:fill="FFFFFF"/>
            <w:vAlign w:val="center"/>
            <w:hideMark/>
          </w:tcPr>
          <w:p w14:paraId="3D35BFB3" w14:textId="77777777" w:rsidR="005A043A" w:rsidRPr="00214F41" w:rsidRDefault="005A043A" w:rsidP="00286762">
            <w:pPr>
              <w:jc w:val="center"/>
              <w:rPr>
                <w:sz w:val="18"/>
                <w:szCs w:val="18"/>
                <w:lang w:val="en-GB"/>
              </w:rPr>
            </w:pPr>
            <w:r w:rsidRPr="00214F41">
              <w:rPr>
                <w:sz w:val="18"/>
                <w:szCs w:val="18"/>
                <w:lang w:val="en-GB"/>
              </w:rPr>
              <w:t>XR</w:t>
            </w:r>
          </w:p>
          <w:p w14:paraId="520809B9" w14:textId="77777777" w:rsidR="005A043A" w:rsidRPr="00214F41" w:rsidRDefault="005A043A" w:rsidP="00286762">
            <w:pPr>
              <w:jc w:val="center"/>
              <w:rPr>
                <w:sz w:val="18"/>
                <w:szCs w:val="18"/>
                <w:lang w:val="en-GB"/>
              </w:rPr>
            </w:pPr>
          </w:p>
        </w:tc>
        <w:tc>
          <w:tcPr>
            <w:tcW w:w="550" w:type="pct"/>
            <w:shd w:val="clear" w:color="000000" w:fill="FFFFFF"/>
            <w:vAlign w:val="center"/>
            <w:hideMark/>
          </w:tcPr>
          <w:p w14:paraId="1969D3ED" w14:textId="77777777" w:rsidR="005A043A" w:rsidRPr="00214F41" w:rsidRDefault="005A043A" w:rsidP="00286762">
            <w:pPr>
              <w:jc w:val="center"/>
              <w:rPr>
                <w:sz w:val="18"/>
                <w:szCs w:val="18"/>
                <w:lang w:val="en-GB"/>
              </w:rPr>
            </w:pPr>
            <w:r w:rsidRPr="00214F41">
              <w:rPr>
                <w:sz w:val="18"/>
                <w:szCs w:val="18"/>
                <w:lang w:val="en-GB"/>
              </w:rPr>
              <w:t>MET-IR 1000 mg/ MET XR/MET IR</w:t>
            </w:r>
          </w:p>
        </w:tc>
        <w:tc>
          <w:tcPr>
            <w:tcW w:w="274" w:type="pct"/>
            <w:shd w:val="clear" w:color="000000" w:fill="FFFFFF"/>
            <w:vAlign w:val="center"/>
            <w:hideMark/>
          </w:tcPr>
          <w:p w14:paraId="0BF3FD26" w14:textId="77777777" w:rsidR="005A043A" w:rsidRPr="00214F41" w:rsidRDefault="005A043A" w:rsidP="00286762">
            <w:pPr>
              <w:jc w:val="center"/>
              <w:rPr>
                <w:sz w:val="18"/>
                <w:szCs w:val="18"/>
                <w:lang w:val="en-GB"/>
              </w:rPr>
            </w:pPr>
            <w:r w:rsidRPr="00214F41">
              <w:rPr>
                <w:sz w:val="18"/>
                <w:szCs w:val="18"/>
                <w:lang w:val="en-GB"/>
              </w:rPr>
              <w:t>51.3±10</w:t>
            </w:r>
          </w:p>
        </w:tc>
        <w:tc>
          <w:tcPr>
            <w:tcW w:w="227" w:type="pct"/>
            <w:shd w:val="clear" w:color="000000" w:fill="FFFFFF"/>
            <w:vAlign w:val="center"/>
            <w:hideMark/>
          </w:tcPr>
          <w:p w14:paraId="2A434A50" w14:textId="77777777" w:rsidR="005A043A" w:rsidRPr="00214F41" w:rsidRDefault="005A043A" w:rsidP="00286762">
            <w:pPr>
              <w:jc w:val="center"/>
              <w:rPr>
                <w:sz w:val="18"/>
                <w:szCs w:val="18"/>
                <w:lang w:val="en-GB"/>
              </w:rPr>
            </w:pPr>
            <w:r w:rsidRPr="00214F41">
              <w:rPr>
                <w:sz w:val="18"/>
                <w:szCs w:val="18"/>
                <w:lang w:val="en-GB"/>
              </w:rPr>
              <w:t>12|50</w:t>
            </w:r>
          </w:p>
        </w:tc>
        <w:tc>
          <w:tcPr>
            <w:tcW w:w="295" w:type="pct"/>
            <w:shd w:val="clear" w:color="000000" w:fill="FFFFFF"/>
            <w:vAlign w:val="center"/>
            <w:hideMark/>
          </w:tcPr>
          <w:p w14:paraId="728698AE" w14:textId="77777777" w:rsidR="005A043A" w:rsidRPr="00214F41" w:rsidRDefault="005A043A" w:rsidP="00286762">
            <w:pPr>
              <w:jc w:val="center"/>
              <w:rPr>
                <w:sz w:val="18"/>
                <w:szCs w:val="18"/>
                <w:lang w:val="en-GB"/>
              </w:rPr>
            </w:pPr>
            <w:r w:rsidRPr="00214F41">
              <w:rPr>
                <w:sz w:val="18"/>
                <w:szCs w:val="18"/>
                <w:lang w:val="en-GB"/>
              </w:rPr>
              <w:t>33.3±4.1</w:t>
            </w:r>
          </w:p>
        </w:tc>
        <w:tc>
          <w:tcPr>
            <w:tcW w:w="300" w:type="pct"/>
            <w:shd w:val="clear" w:color="000000" w:fill="FFFFFF"/>
            <w:vAlign w:val="center"/>
            <w:hideMark/>
          </w:tcPr>
          <w:p w14:paraId="309C3F34" w14:textId="77777777" w:rsidR="005A043A" w:rsidRPr="00214F41" w:rsidRDefault="005A043A" w:rsidP="00286762">
            <w:pPr>
              <w:jc w:val="center"/>
              <w:rPr>
                <w:sz w:val="18"/>
                <w:szCs w:val="18"/>
                <w:lang w:val="en-GB"/>
              </w:rPr>
            </w:pPr>
            <w:r w:rsidRPr="00214F41">
              <w:rPr>
                <w:sz w:val="18"/>
                <w:szCs w:val="18"/>
                <w:lang w:val="en-GB"/>
              </w:rPr>
              <w:t>33.3±4.1</w:t>
            </w:r>
          </w:p>
        </w:tc>
      </w:tr>
      <w:tr w:rsidR="005A043A" w:rsidRPr="0072287D" w14:paraId="76DC00A3" w14:textId="77777777" w:rsidTr="00286762">
        <w:trPr>
          <w:trHeight w:val="478"/>
        </w:trPr>
        <w:tc>
          <w:tcPr>
            <w:tcW w:w="277" w:type="pct"/>
            <w:shd w:val="clear" w:color="000000" w:fill="FFFFFF"/>
            <w:vAlign w:val="center"/>
            <w:hideMark/>
          </w:tcPr>
          <w:p w14:paraId="037998ED" w14:textId="77777777" w:rsidR="005A043A" w:rsidRPr="00214F41" w:rsidRDefault="005A043A" w:rsidP="00286762">
            <w:pPr>
              <w:jc w:val="center"/>
              <w:rPr>
                <w:sz w:val="18"/>
                <w:szCs w:val="18"/>
                <w:lang w:val="en-GB"/>
              </w:rPr>
            </w:pPr>
            <w:proofErr w:type="spellStart"/>
            <w:r w:rsidRPr="00214F41">
              <w:rPr>
                <w:sz w:val="18"/>
                <w:szCs w:val="18"/>
                <w:lang w:val="en-GB"/>
              </w:rPr>
              <w:t>DeFronzo</w:t>
            </w:r>
            <w:proofErr w:type="spellEnd"/>
            <w:r w:rsidRPr="00214F41">
              <w:rPr>
                <w:sz w:val="18"/>
                <w:szCs w:val="18"/>
                <w:lang w:val="en-GB"/>
              </w:rPr>
              <w:t xml:space="preserve"> et al.,  2016b</w:t>
            </w:r>
          </w:p>
        </w:tc>
        <w:tc>
          <w:tcPr>
            <w:tcW w:w="293" w:type="pct"/>
            <w:vMerge/>
            <w:shd w:val="clear" w:color="000000" w:fill="FFFFFF"/>
            <w:vAlign w:val="center"/>
          </w:tcPr>
          <w:p w14:paraId="6AEC73C4" w14:textId="77777777" w:rsidR="005A043A" w:rsidRPr="00214F41" w:rsidRDefault="005A043A" w:rsidP="00286762">
            <w:pPr>
              <w:jc w:val="center"/>
              <w:rPr>
                <w:sz w:val="18"/>
                <w:szCs w:val="18"/>
                <w:lang w:val="en-GB"/>
              </w:rPr>
            </w:pPr>
          </w:p>
        </w:tc>
        <w:tc>
          <w:tcPr>
            <w:tcW w:w="730" w:type="pct"/>
            <w:vMerge/>
            <w:shd w:val="clear" w:color="000000" w:fill="FFFFFF"/>
            <w:vAlign w:val="center"/>
          </w:tcPr>
          <w:p w14:paraId="0C2224D6" w14:textId="77777777" w:rsidR="005A043A" w:rsidRPr="00214F41" w:rsidRDefault="005A043A" w:rsidP="00286762">
            <w:pPr>
              <w:jc w:val="center"/>
              <w:rPr>
                <w:sz w:val="18"/>
                <w:szCs w:val="18"/>
                <w:lang w:val="en-GB"/>
              </w:rPr>
            </w:pPr>
          </w:p>
        </w:tc>
        <w:tc>
          <w:tcPr>
            <w:tcW w:w="366" w:type="pct"/>
            <w:shd w:val="clear" w:color="000000" w:fill="FFFFFF"/>
            <w:vAlign w:val="center"/>
            <w:hideMark/>
          </w:tcPr>
          <w:p w14:paraId="14EBD852" w14:textId="77777777" w:rsidR="005A043A" w:rsidRPr="00214F41" w:rsidRDefault="005A043A" w:rsidP="00286762">
            <w:pPr>
              <w:jc w:val="center"/>
              <w:rPr>
                <w:sz w:val="18"/>
                <w:szCs w:val="18"/>
                <w:lang w:val="en-GB"/>
              </w:rPr>
            </w:pPr>
            <w:r w:rsidRPr="00214F41">
              <w:rPr>
                <w:sz w:val="18"/>
                <w:szCs w:val="18"/>
                <w:lang w:val="en-GB"/>
              </w:rPr>
              <w:t>24/22</w:t>
            </w:r>
          </w:p>
        </w:tc>
        <w:tc>
          <w:tcPr>
            <w:tcW w:w="321" w:type="pct"/>
            <w:vMerge/>
            <w:shd w:val="clear" w:color="000000" w:fill="FFFFFF"/>
            <w:vAlign w:val="center"/>
            <w:hideMark/>
          </w:tcPr>
          <w:p w14:paraId="36D68C92" w14:textId="77777777" w:rsidR="005A043A" w:rsidRPr="00214F41" w:rsidRDefault="005A043A" w:rsidP="00286762">
            <w:pPr>
              <w:jc w:val="center"/>
              <w:rPr>
                <w:sz w:val="18"/>
                <w:szCs w:val="18"/>
                <w:lang w:val="en-GB"/>
              </w:rPr>
            </w:pPr>
          </w:p>
        </w:tc>
        <w:tc>
          <w:tcPr>
            <w:tcW w:w="502" w:type="pct"/>
            <w:shd w:val="clear" w:color="000000" w:fill="FFFFFF"/>
            <w:vAlign w:val="center"/>
            <w:hideMark/>
          </w:tcPr>
          <w:p w14:paraId="5FDB7B27"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02107744" w14:textId="77777777" w:rsidR="005A043A" w:rsidRPr="00214F41" w:rsidRDefault="005A043A" w:rsidP="00286762">
            <w:pPr>
              <w:jc w:val="center"/>
              <w:rPr>
                <w:sz w:val="18"/>
                <w:szCs w:val="18"/>
                <w:lang w:val="en-GB"/>
              </w:rPr>
            </w:pPr>
            <w:r w:rsidRPr="00214F41">
              <w:rPr>
                <w:sz w:val="18"/>
                <w:szCs w:val="18"/>
                <w:lang w:val="en-GB"/>
              </w:rPr>
              <w:t>1000mg/2/d</w:t>
            </w:r>
          </w:p>
        </w:tc>
        <w:tc>
          <w:tcPr>
            <w:tcW w:w="229" w:type="pct"/>
            <w:vMerge/>
            <w:shd w:val="clear" w:color="000000" w:fill="FFFFFF"/>
            <w:vAlign w:val="center"/>
            <w:hideMark/>
          </w:tcPr>
          <w:p w14:paraId="4CBC14FD" w14:textId="77777777" w:rsidR="005A043A" w:rsidRPr="00214F41" w:rsidRDefault="005A043A" w:rsidP="00286762">
            <w:pPr>
              <w:jc w:val="center"/>
              <w:rPr>
                <w:sz w:val="18"/>
                <w:szCs w:val="18"/>
                <w:lang w:val="en-GB"/>
              </w:rPr>
            </w:pPr>
          </w:p>
        </w:tc>
        <w:tc>
          <w:tcPr>
            <w:tcW w:w="274" w:type="pct"/>
            <w:vMerge/>
            <w:shd w:val="clear" w:color="000000" w:fill="FFFFFF"/>
            <w:vAlign w:val="center"/>
            <w:hideMark/>
          </w:tcPr>
          <w:p w14:paraId="667E0AF9" w14:textId="77777777" w:rsidR="005A043A" w:rsidRPr="00214F41" w:rsidRDefault="005A043A" w:rsidP="00286762">
            <w:pPr>
              <w:jc w:val="center"/>
              <w:rPr>
                <w:sz w:val="18"/>
                <w:szCs w:val="18"/>
                <w:lang w:val="en-GB"/>
              </w:rPr>
            </w:pPr>
          </w:p>
        </w:tc>
        <w:tc>
          <w:tcPr>
            <w:tcW w:w="550" w:type="pct"/>
            <w:shd w:val="clear" w:color="000000" w:fill="FFFFFF"/>
            <w:vAlign w:val="center"/>
            <w:hideMark/>
          </w:tcPr>
          <w:p w14:paraId="0C77D3DE" w14:textId="77777777" w:rsidR="005A043A" w:rsidRPr="00214F41" w:rsidRDefault="005A043A" w:rsidP="00286762">
            <w:pPr>
              <w:jc w:val="center"/>
              <w:rPr>
                <w:sz w:val="18"/>
                <w:szCs w:val="18"/>
                <w:lang w:val="en-GB"/>
              </w:rPr>
            </w:pPr>
            <w:r w:rsidRPr="00214F41">
              <w:rPr>
                <w:sz w:val="18"/>
                <w:szCs w:val="18"/>
                <w:lang w:val="en-GB"/>
              </w:rPr>
              <w:t>MET-IR 1000 mg/ MET XR/MET IR</w:t>
            </w:r>
          </w:p>
        </w:tc>
        <w:tc>
          <w:tcPr>
            <w:tcW w:w="274" w:type="pct"/>
            <w:shd w:val="clear" w:color="000000" w:fill="FFFFFF"/>
            <w:vAlign w:val="center"/>
            <w:hideMark/>
          </w:tcPr>
          <w:p w14:paraId="6C07A438" w14:textId="77777777" w:rsidR="005A043A" w:rsidRPr="00214F41" w:rsidRDefault="005A043A" w:rsidP="00286762">
            <w:pPr>
              <w:jc w:val="center"/>
              <w:rPr>
                <w:sz w:val="18"/>
                <w:szCs w:val="18"/>
                <w:lang w:val="en-GB"/>
              </w:rPr>
            </w:pPr>
            <w:r w:rsidRPr="00214F41">
              <w:rPr>
                <w:sz w:val="18"/>
                <w:szCs w:val="18"/>
                <w:lang w:val="en-GB"/>
              </w:rPr>
              <w:t>51.3±10</w:t>
            </w:r>
          </w:p>
        </w:tc>
        <w:tc>
          <w:tcPr>
            <w:tcW w:w="227" w:type="pct"/>
            <w:shd w:val="clear" w:color="000000" w:fill="FFFFFF"/>
            <w:vAlign w:val="center"/>
            <w:hideMark/>
          </w:tcPr>
          <w:p w14:paraId="7C33D780" w14:textId="77777777" w:rsidR="005A043A" w:rsidRPr="00214F41" w:rsidRDefault="005A043A" w:rsidP="00286762">
            <w:pPr>
              <w:jc w:val="center"/>
              <w:rPr>
                <w:sz w:val="18"/>
                <w:szCs w:val="18"/>
                <w:lang w:val="en-GB"/>
              </w:rPr>
            </w:pPr>
            <w:r w:rsidRPr="00214F41">
              <w:rPr>
                <w:sz w:val="18"/>
                <w:szCs w:val="18"/>
                <w:lang w:val="en-GB"/>
              </w:rPr>
              <w:t>12|50</w:t>
            </w:r>
          </w:p>
        </w:tc>
        <w:tc>
          <w:tcPr>
            <w:tcW w:w="295" w:type="pct"/>
            <w:shd w:val="clear" w:color="000000" w:fill="FFFFFF"/>
            <w:vAlign w:val="center"/>
            <w:hideMark/>
          </w:tcPr>
          <w:p w14:paraId="6BDF3DB6" w14:textId="77777777" w:rsidR="005A043A" w:rsidRPr="00214F41" w:rsidRDefault="005A043A" w:rsidP="00286762">
            <w:pPr>
              <w:jc w:val="center"/>
              <w:rPr>
                <w:sz w:val="18"/>
                <w:szCs w:val="18"/>
                <w:lang w:val="en-GB"/>
              </w:rPr>
            </w:pPr>
            <w:r w:rsidRPr="00214F41">
              <w:rPr>
                <w:sz w:val="18"/>
                <w:szCs w:val="18"/>
                <w:lang w:val="en-GB"/>
              </w:rPr>
              <w:t>33.3±4.1</w:t>
            </w:r>
          </w:p>
        </w:tc>
        <w:tc>
          <w:tcPr>
            <w:tcW w:w="300" w:type="pct"/>
            <w:shd w:val="clear" w:color="000000" w:fill="FFFFFF"/>
            <w:vAlign w:val="center"/>
            <w:hideMark/>
          </w:tcPr>
          <w:p w14:paraId="6E4F64D4" w14:textId="77777777" w:rsidR="005A043A" w:rsidRPr="00214F41" w:rsidRDefault="005A043A" w:rsidP="00286762">
            <w:pPr>
              <w:jc w:val="center"/>
              <w:rPr>
                <w:sz w:val="18"/>
                <w:szCs w:val="18"/>
                <w:lang w:val="en-GB"/>
              </w:rPr>
            </w:pPr>
            <w:r w:rsidRPr="00214F41">
              <w:rPr>
                <w:sz w:val="18"/>
                <w:szCs w:val="18"/>
                <w:lang w:val="en-GB"/>
              </w:rPr>
              <w:t>33.3±4.1</w:t>
            </w:r>
          </w:p>
        </w:tc>
      </w:tr>
      <w:tr w:rsidR="005A043A" w:rsidRPr="0072287D" w14:paraId="70343BC2" w14:textId="77777777" w:rsidTr="00286762">
        <w:trPr>
          <w:trHeight w:val="472"/>
        </w:trPr>
        <w:tc>
          <w:tcPr>
            <w:tcW w:w="277" w:type="pct"/>
            <w:shd w:val="clear" w:color="000000" w:fill="FFFFFF"/>
            <w:vAlign w:val="center"/>
            <w:hideMark/>
          </w:tcPr>
          <w:p w14:paraId="71117582" w14:textId="77777777" w:rsidR="005A043A" w:rsidRPr="00214F41" w:rsidRDefault="005A043A" w:rsidP="00286762">
            <w:pPr>
              <w:jc w:val="center"/>
              <w:rPr>
                <w:sz w:val="18"/>
                <w:szCs w:val="18"/>
                <w:lang w:val="en-GB"/>
              </w:rPr>
            </w:pPr>
            <w:proofErr w:type="spellStart"/>
            <w:r w:rsidRPr="00214F41">
              <w:rPr>
                <w:sz w:val="18"/>
                <w:szCs w:val="18"/>
                <w:lang w:val="en-GB"/>
              </w:rPr>
              <w:lastRenderedPageBreak/>
              <w:t>DeFronzo</w:t>
            </w:r>
            <w:proofErr w:type="spellEnd"/>
            <w:r w:rsidRPr="00214F41">
              <w:rPr>
                <w:sz w:val="18"/>
                <w:szCs w:val="18"/>
                <w:lang w:val="en-GB"/>
              </w:rPr>
              <w:t xml:space="preserve"> et al.,  2016c</w:t>
            </w:r>
          </w:p>
        </w:tc>
        <w:tc>
          <w:tcPr>
            <w:tcW w:w="293" w:type="pct"/>
            <w:vMerge/>
            <w:shd w:val="clear" w:color="000000" w:fill="FFFFFF"/>
            <w:vAlign w:val="center"/>
          </w:tcPr>
          <w:p w14:paraId="45D5E5A7" w14:textId="77777777" w:rsidR="005A043A" w:rsidRPr="00214F41" w:rsidRDefault="005A043A" w:rsidP="00286762">
            <w:pPr>
              <w:jc w:val="center"/>
              <w:rPr>
                <w:sz w:val="18"/>
                <w:szCs w:val="18"/>
                <w:lang w:val="en-GB"/>
              </w:rPr>
            </w:pPr>
          </w:p>
        </w:tc>
        <w:tc>
          <w:tcPr>
            <w:tcW w:w="730" w:type="pct"/>
            <w:vMerge/>
            <w:shd w:val="clear" w:color="000000" w:fill="FFFFFF"/>
            <w:vAlign w:val="center"/>
          </w:tcPr>
          <w:p w14:paraId="39D80106" w14:textId="77777777" w:rsidR="005A043A" w:rsidRPr="00214F41" w:rsidRDefault="005A043A" w:rsidP="00286762">
            <w:pPr>
              <w:jc w:val="center"/>
              <w:rPr>
                <w:sz w:val="18"/>
                <w:szCs w:val="18"/>
                <w:lang w:val="en-GB"/>
              </w:rPr>
            </w:pPr>
          </w:p>
        </w:tc>
        <w:tc>
          <w:tcPr>
            <w:tcW w:w="366" w:type="pct"/>
            <w:shd w:val="clear" w:color="000000" w:fill="FFFFFF"/>
            <w:vAlign w:val="center"/>
            <w:hideMark/>
          </w:tcPr>
          <w:p w14:paraId="2EAC165A" w14:textId="77777777" w:rsidR="005A043A" w:rsidRPr="00214F41" w:rsidRDefault="005A043A" w:rsidP="00286762">
            <w:pPr>
              <w:jc w:val="center"/>
              <w:rPr>
                <w:sz w:val="18"/>
                <w:szCs w:val="18"/>
                <w:lang w:val="en-GB"/>
              </w:rPr>
            </w:pPr>
            <w:r w:rsidRPr="00214F41">
              <w:rPr>
                <w:sz w:val="18"/>
                <w:szCs w:val="18"/>
                <w:lang w:val="en-GB"/>
              </w:rPr>
              <w:t>26/23</w:t>
            </w:r>
          </w:p>
        </w:tc>
        <w:tc>
          <w:tcPr>
            <w:tcW w:w="321" w:type="pct"/>
            <w:vMerge/>
            <w:shd w:val="clear" w:color="000000" w:fill="FFFFFF"/>
            <w:vAlign w:val="center"/>
            <w:hideMark/>
          </w:tcPr>
          <w:p w14:paraId="1AE24600" w14:textId="77777777" w:rsidR="005A043A" w:rsidRPr="00214F41" w:rsidRDefault="005A043A" w:rsidP="00286762">
            <w:pPr>
              <w:jc w:val="center"/>
              <w:rPr>
                <w:sz w:val="18"/>
                <w:szCs w:val="18"/>
                <w:lang w:val="en-GB"/>
              </w:rPr>
            </w:pPr>
          </w:p>
        </w:tc>
        <w:tc>
          <w:tcPr>
            <w:tcW w:w="502" w:type="pct"/>
            <w:shd w:val="clear" w:color="000000" w:fill="FFFFFF"/>
            <w:vAlign w:val="center"/>
            <w:hideMark/>
          </w:tcPr>
          <w:p w14:paraId="75A43687"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37CCD2A7" w14:textId="77777777" w:rsidR="005A043A" w:rsidRPr="00214F41" w:rsidRDefault="005A043A" w:rsidP="00286762">
            <w:pPr>
              <w:jc w:val="center"/>
              <w:rPr>
                <w:sz w:val="18"/>
                <w:szCs w:val="18"/>
                <w:lang w:val="en-GB"/>
              </w:rPr>
            </w:pPr>
            <w:r w:rsidRPr="00214F41">
              <w:rPr>
                <w:sz w:val="18"/>
                <w:szCs w:val="18"/>
                <w:lang w:val="en-GB"/>
              </w:rPr>
              <w:t>1000mg/1/d</w:t>
            </w:r>
          </w:p>
        </w:tc>
        <w:tc>
          <w:tcPr>
            <w:tcW w:w="229" w:type="pct"/>
            <w:vMerge w:val="restart"/>
            <w:shd w:val="clear" w:color="000000" w:fill="FFFFFF"/>
            <w:vAlign w:val="center"/>
            <w:hideMark/>
          </w:tcPr>
          <w:p w14:paraId="47BA2304" w14:textId="77777777" w:rsidR="005A043A" w:rsidRPr="00214F41" w:rsidRDefault="005A043A" w:rsidP="00286762">
            <w:pPr>
              <w:jc w:val="center"/>
              <w:rPr>
                <w:sz w:val="18"/>
                <w:szCs w:val="18"/>
                <w:lang w:val="en-GB"/>
              </w:rPr>
            </w:pPr>
            <w:r w:rsidRPr="00214F41">
              <w:rPr>
                <w:sz w:val="18"/>
                <w:szCs w:val="18"/>
                <w:lang w:val="en-GB"/>
              </w:rPr>
              <w:t>7</w:t>
            </w:r>
          </w:p>
        </w:tc>
        <w:tc>
          <w:tcPr>
            <w:tcW w:w="274" w:type="pct"/>
            <w:vMerge/>
            <w:shd w:val="clear" w:color="000000" w:fill="FFFFFF"/>
            <w:vAlign w:val="center"/>
            <w:hideMark/>
          </w:tcPr>
          <w:p w14:paraId="4ADE1BD5" w14:textId="77777777" w:rsidR="005A043A" w:rsidRPr="00214F41" w:rsidRDefault="005A043A" w:rsidP="00286762">
            <w:pPr>
              <w:jc w:val="center"/>
              <w:rPr>
                <w:sz w:val="18"/>
                <w:szCs w:val="18"/>
                <w:lang w:val="en-GB"/>
              </w:rPr>
            </w:pPr>
          </w:p>
        </w:tc>
        <w:tc>
          <w:tcPr>
            <w:tcW w:w="550" w:type="pct"/>
            <w:shd w:val="clear" w:color="000000" w:fill="FFFFFF"/>
            <w:vAlign w:val="center"/>
            <w:hideMark/>
          </w:tcPr>
          <w:p w14:paraId="45DE89E1" w14:textId="77777777" w:rsidR="005A043A" w:rsidRPr="00214F41" w:rsidRDefault="005A043A" w:rsidP="00286762">
            <w:pPr>
              <w:jc w:val="center"/>
              <w:rPr>
                <w:sz w:val="18"/>
                <w:szCs w:val="18"/>
                <w:lang w:val="en-GB"/>
              </w:rPr>
            </w:pPr>
            <w:r w:rsidRPr="00214F41">
              <w:rPr>
                <w:sz w:val="18"/>
                <w:szCs w:val="18"/>
                <w:lang w:val="en-GB"/>
              </w:rPr>
              <w:t>MET-DR 500 mg twice daily/ MET DR/MET XR</w:t>
            </w:r>
          </w:p>
        </w:tc>
        <w:tc>
          <w:tcPr>
            <w:tcW w:w="274" w:type="pct"/>
            <w:shd w:val="clear" w:color="000000" w:fill="FFFFFF"/>
            <w:vAlign w:val="center"/>
            <w:hideMark/>
          </w:tcPr>
          <w:p w14:paraId="055C4BDE" w14:textId="77777777" w:rsidR="005A043A" w:rsidRPr="00214F41" w:rsidRDefault="005A043A" w:rsidP="00286762">
            <w:pPr>
              <w:jc w:val="center"/>
              <w:rPr>
                <w:sz w:val="18"/>
                <w:szCs w:val="18"/>
                <w:lang w:val="en-GB"/>
              </w:rPr>
            </w:pPr>
            <w:r w:rsidRPr="00214F41">
              <w:rPr>
                <w:sz w:val="18"/>
                <w:szCs w:val="18"/>
                <w:lang w:val="en-GB"/>
              </w:rPr>
              <w:t>50.9±10.9</w:t>
            </w:r>
          </w:p>
        </w:tc>
        <w:tc>
          <w:tcPr>
            <w:tcW w:w="227" w:type="pct"/>
            <w:shd w:val="clear" w:color="000000" w:fill="FFFFFF"/>
            <w:vAlign w:val="center"/>
            <w:hideMark/>
          </w:tcPr>
          <w:p w14:paraId="40D72FEE" w14:textId="77777777" w:rsidR="005A043A" w:rsidRPr="00214F41" w:rsidRDefault="005A043A" w:rsidP="00286762">
            <w:pPr>
              <w:jc w:val="center"/>
              <w:rPr>
                <w:sz w:val="18"/>
                <w:szCs w:val="18"/>
                <w:lang w:val="en-GB"/>
              </w:rPr>
            </w:pPr>
            <w:r w:rsidRPr="00214F41">
              <w:rPr>
                <w:sz w:val="18"/>
                <w:szCs w:val="18"/>
                <w:lang w:val="en-GB"/>
              </w:rPr>
              <w:t>10|38</w:t>
            </w:r>
          </w:p>
        </w:tc>
        <w:tc>
          <w:tcPr>
            <w:tcW w:w="295" w:type="pct"/>
            <w:shd w:val="clear" w:color="000000" w:fill="FFFFFF"/>
            <w:vAlign w:val="center"/>
            <w:hideMark/>
          </w:tcPr>
          <w:p w14:paraId="1A56A4B7" w14:textId="77777777" w:rsidR="005A043A" w:rsidRPr="00214F41" w:rsidRDefault="005A043A" w:rsidP="00286762">
            <w:pPr>
              <w:jc w:val="center"/>
              <w:rPr>
                <w:sz w:val="18"/>
                <w:szCs w:val="18"/>
                <w:lang w:val="en-GB"/>
              </w:rPr>
            </w:pPr>
            <w:r w:rsidRPr="00214F41">
              <w:rPr>
                <w:sz w:val="18"/>
                <w:szCs w:val="18"/>
                <w:lang w:val="en-GB"/>
              </w:rPr>
              <w:t>31.5±3.2</w:t>
            </w:r>
          </w:p>
        </w:tc>
        <w:tc>
          <w:tcPr>
            <w:tcW w:w="300" w:type="pct"/>
            <w:shd w:val="clear" w:color="000000" w:fill="FFFFFF"/>
            <w:vAlign w:val="center"/>
            <w:hideMark/>
          </w:tcPr>
          <w:p w14:paraId="08F9BF80" w14:textId="77777777" w:rsidR="005A043A" w:rsidRPr="00214F41" w:rsidRDefault="005A043A" w:rsidP="00286762">
            <w:pPr>
              <w:jc w:val="center"/>
              <w:rPr>
                <w:sz w:val="18"/>
                <w:szCs w:val="18"/>
                <w:lang w:val="en-GB"/>
              </w:rPr>
            </w:pPr>
            <w:r w:rsidRPr="00214F41">
              <w:rPr>
                <w:sz w:val="18"/>
                <w:szCs w:val="18"/>
                <w:lang w:val="en-GB"/>
              </w:rPr>
              <w:t>31.5±3.2</w:t>
            </w:r>
          </w:p>
        </w:tc>
      </w:tr>
      <w:tr w:rsidR="005A043A" w:rsidRPr="0072287D" w14:paraId="04EAD6C0" w14:textId="77777777" w:rsidTr="00286762">
        <w:trPr>
          <w:trHeight w:val="480"/>
        </w:trPr>
        <w:tc>
          <w:tcPr>
            <w:tcW w:w="277" w:type="pct"/>
            <w:shd w:val="clear" w:color="000000" w:fill="FFFFFF"/>
            <w:vAlign w:val="center"/>
            <w:hideMark/>
          </w:tcPr>
          <w:p w14:paraId="1EE56C67" w14:textId="77777777" w:rsidR="005A043A" w:rsidRPr="00214F41" w:rsidRDefault="005A043A" w:rsidP="00286762">
            <w:pPr>
              <w:jc w:val="center"/>
              <w:rPr>
                <w:sz w:val="18"/>
                <w:szCs w:val="18"/>
                <w:lang w:val="en-GB"/>
              </w:rPr>
            </w:pPr>
            <w:proofErr w:type="spellStart"/>
            <w:r w:rsidRPr="00214F41">
              <w:rPr>
                <w:sz w:val="18"/>
                <w:szCs w:val="18"/>
                <w:lang w:val="en-GB"/>
              </w:rPr>
              <w:t>DeFronzo</w:t>
            </w:r>
            <w:proofErr w:type="spellEnd"/>
            <w:r w:rsidRPr="00214F41">
              <w:rPr>
                <w:sz w:val="18"/>
                <w:szCs w:val="18"/>
                <w:lang w:val="en-GB"/>
              </w:rPr>
              <w:t xml:space="preserve"> et al.,  2016d</w:t>
            </w:r>
          </w:p>
        </w:tc>
        <w:tc>
          <w:tcPr>
            <w:tcW w:w="293" w:type="pct"/>
            <w:vMerge/>
            <w:shd w:val="clear" w:color="000000" w:fill="FFFFFF"/>
            <w:vAlign w:val="center"/>
            <w:hideMark/>
          </w:tcPr>
          <w:p w14:paraId="627C66AF" w14:textId="77777777" w:rsidR="005A043A" w:rsidRPr="00214F41" w:rsidRDefault="005A043A" w:rsidP="00286762">
            <w:pPr>
              <w:jc w:val="center"/>
              <w:rPr>
                <w:sz w:val="18"/>
                <w:szCs w:val="18"/>
                <w:lang w:val="en-GB"/>
              </w:rPr>
            </w:pPr>
          </w:p>
        </w:tc>
        <w:tc>
          <w:tcPr>
            <w:tcW w:w="730" w:type="pct"/>
            <w:vMerge/>
            <w:shd w:val="clear" w:color="000000" w:fill="FFFFFF"/>
            <w:vAlign w:val="center"/>
            <w:hideMark/>
          </w:tcPr>
          <w:p w14:paraId="597C3B6A" w14:textId="77777777" w:rsidR="005A043A" w:rsidRPr="00214F41" w:rsidRDefault="005A043A" w:rsidP="00286762">
            <w:pPr>
              <w:jc w:val="center"/>
              <w:rPr>
                <w:sz w:val="18"/>
                <w:szCs w:val="18"/>
                <w:lang w:val="en-GB"/>
              </w:rPr>
            </w:pPr>
          </w:p>
        </w:tc>
        <w:tc>
          <w:tcPr>
            <w:tcW w:w="366" w:type="pct"/>
            <w:shd w:val="clear" w:color="000000" w:fill="FFFFFF"/>
            <w:vAlign w:val="center"/>
            <w:hideMark/>
          </w:tcPr>
          <w:p w14:paraId="0E00244F" w14:textId="77777777" w:rsidR="005A043A" w:rsidRPr="00214F41" w:rsidRDefault="005A043A" w:rsidP="00286762">
            <w:pPr>
              <w:jc w:val="center"/>
              <w:rPr>
                <w:sz w:val="18"/>
                <w:szCs w:val="18"/>
                <w:lang w:val="en-GB"/>
              </w:rPr>
            </w:pPr>
            <w:r w:rsidRPr="00214F41">
              <w:rPr>
                <w:sz w:val="18"/>
                <w:szCs w:val="18"/>
                <w:lang w:val="en-GB"/>
              </w:rPr>
              <w:t>26/24</w:t>
            </w:r>
          </w:p>
        </w:tc>
        <w:tc>
          <w:tcPr>
            <w:tcW w:w="321" w:type="pct"/>
            <w:vMerge/>
            <w:shd w:val="clear" w:color="000000" w:fill="FFFFFF"/>
            <w:vAlign w:val="center"/>
            <w:hideMark/>
          </w:tcPr>
          <w:p w14:paraId="367D9329" w14:textId="77777777" w:rsidR="005A043A" w:rsidRPr="00214F41" w:rsidRDefault="005A043A" w:rsidP="00286762">
            <w:pPr>
              <w:jc w:val="center"/>
              <w:rPr>
                <w:sz w:val="18"/>
                <w:szCs w:val="18"/>
                <w:lang w:val="en-GB"/>
              </w:rPr>
            </w:pPr>
          </w:p>
        </w:tc>
        <w:tc>
          <w:tcPr>
            <w:tcW w:w="502" w:type="pct"/>
            <w:shd w:val="clear" w:color="000000" w:fill="FFFFFF"/>
            <w:vAlign w:val="center"/>
            <w:hideMark/>
          </w:tcPr>
          <w:p w14:paraId="0A836909"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6E612947" w14:textId="77777777" w:rsidR="005A043A" w:rsidRPr="00214F41" w:rsidRDefault="005A043A" w:rsidP="00286762">
            <w:pPr>
              <w:jc w:val="center"/>
              <w:rPr>
                <w:sz w:val="18"/>
                <w:szCs w:val="18"/>
                <w:lang w:val="en-GB"/>
              </w:rPr>
            </w:pPr>
            <w:r w:rsidRPr="00214F41">
              <w:rPr>
                <w:sz w:val="18"/>
                <w:szCs w:val="18"/>
                <w:lang w:val="en-GB"/>
              </w:rPr>
              <w:t>1000mg/2/d</w:t>
            </w:r>
          </w:p>
        </w:tc>
        <w:tc>
          <w:tcPr>
            <w:tcW w:w="229" w:type="pct"/>
            <w:vMerge/>
            <w:shd w:val="clear" w:color="000000" w:fill="FFFFFF"/>
            <w:vAlign w:val="center"/>
            <w:hideMark/>
          </w:tcPr>
          <w:p w14:paraId="20796CAD" w14:textId="77777777" w:rsidR="005A043A" w:rsidRPr="00214F41" w:rsidRDefault="005A043A" w:rsidP="00286762">
            <w:pPr>
              <w:jc w:val="center"/>
              <w:rPr>
                <w:sz w:val="18"/>
                <w:szCs w:val="18"/>
                <w:lang w:val="en-GB"/>
              </w:rPr>
            </w:pPr>
          </w:p>
        </w:tc>
        <w:tc>
          <w:tcPr>
            <w:tcW w:w="274" w:type="pct"/>
            <w:vMerge/>
            <w:shd w:val="clear" w:color="000000" w:fill="FFFFFF"/>
            <w:vAlign w:val="center"/>
            <w:hideMark/>
          </w:tcPr>
          <w:p w14:paraId="6D4AE144" w14:textId="77777777" w:rsidR="005A043A" w:rsidRPr="00214F41" w:rsidRDefault="005A043A" w:rsidP="00286762">
            <w:pPr>
              <w:jc w:val="center"/>
              <w:rPr>
                <w:sz w:val="18"/>
                <w:szCs w:val="18"/>
                <w:lang w:val="en-GB"/>
              </w:rPr>
            </w:pPr>
          </w:p>
        </w:tc>
        <w:tc>
          <w:tcPr>
            <w:tcW w:w="550" w:type="pct"/>
            <w:shd w:val="clear" w:color="000000" w:fill="FFFFFF"/>
            <w:vAlign w:val="center"/>
            <w:hideMark/>
          </w:tcPr>
          <w:p w14:paraId="6CB0E549" w14:textId="77777777" w:rsidR="005A043A" w:rsidRPr="00214F41" w:rsidRDefault="005A043A" w:rsidP="00286762">
            <w:pPr>
              <w:jc w:val="center"/>
              <w:rPr>
                <w:sz w:val="18"/>
                <w:szCs w:val="18"/>
                <w:lang w:val="en-GB"/>
              </w:rPr>
            </w:pPr>
            <w:r w:rsidRPr="00214F41">
              <w:rPr>
                <w:sz w:val="18"/>
                <w:szCs w:val="18"/>
                <w:lang w:val="en-GB"/>
              </w:rPr>
              <w:t>MET-DR 500 mg twice daily/ MET DR/MET XR</w:t>
            </w:r>
          </w:p>
        </w:tc>
        <w:tc>
          <w:tcPr>
            <w:tcW w:w="274" w:type="pct"/>
            <w:shd w:val="clear" w:color="000000" w:fill="FFFFFF"/>
            <w:vAlign w:val="center"/>
            <w:hideMark/>
          </w:tcPr>
          <w:p w14:paraId="59591DD3" w14:textId="77777777" w:rsidR="005A043A" w:rsidRPr="00214F41" w:rsidRDefault="005A043A" w:rsidP="00286762">
            <w:pPr>
              <w:jc w:val="center"/>
              <w:rPr>
                <w:sz w:val="18"/>
                <w:szCs w:val="18"/>
                <w:lang w:val="en-GB"/>
              </w:rPr>
            </w:pPr>
            <w:r w:rsidRPr="00214F41">
              <w:rPr>
                <w:sz w:val="18"/>
                <w:szCs w:val="18"/>
                <w:lang w:val="en-GB"/>
              </w:rPr>
              <w:t>50.9±10.9</w:t>
            </w:r>
          </w:p>
        </w:tc>
        <w:tc>
          <w:tcPr>
            <w:tcW w:w="227" w:type="pct"/>
            <w:shd w:val="clear" w:color="000000" w:fill="FFFFFF"/>
            <w:vAlign w:val="center"/>
            <w:hideMark/>
          </w:tcPr>
          <w:p w14:paraId="4ADA0EAE" w14:textId="77777777" w:rsidR="005A043A" w:rsidRPr="00214F41" w:rsidRDefault="005A043A" w:rsidP="00286762">
            <w:pPr>
              <w:jc w:val="center"/>
              <w:rPr>
                <w:sz w:val="18"/>
                <w:szCs w:val="18"/>
                <w:lang w:val="en-GB"/>
              </w:rPr>
            </w:pPr>
            <w:r w:rsidRPr="00214F41">
              <w:rPr>
                <w:sz w:val="18"/>
                <w:szCs w:val="18"/>
                <w:lang w:val="en-GB"/>
              </w:rPr>
              <w:t>10|38</w:t>
            </w:r>
          </w:p>
        </w:tc>
        <w:tc>
          <w:tcPr>
            <w:tcW w:w="295" w:type="pct"/>
            <w:shd w:val="clear" w:color="000000" w:fill="FFFFFF"/>
            <w:vAlign w:val="center"/>
            <w:hideMark/>
          </w:tcPr>
          <w:p w14:paraId="2A71F9B0" w14:textId="77777777" w:rsidR="005A043A" w:rsidRPr="00214F41" w:rsidRDefault="005A043A" w:rsidP="00286762">
            <w:pPr>
              <w:jc w:val="center"/>
              <w:rPr>
                <w:sz w:val="18"/>
                <w:szCs w:val="18"/>
                <w:lang w:val="en-GB"/>
              </w:rPr>
            </w:pPr>
            <w:r w:rsidRPr="00214F41">
              <w:rPr>
                <w:sz w:val="18"/>
                <w:szCs w:val="18"/>
                <w:lang w:val="en-GB"/>
              </w:rPr>
              <w:t>31.5±3.2</w:t>
            </w:r>
          </w:p>
        </w:tc>
        <w:tc>
          <w:tcPr>
            <w:tcW w:w="300" w:type="pct"/>
            <w:shd w:val="clear" w:color="000000" w:fill="FFFFFF"/>
            <w:vAlign w:val="center"/>
            <w:hideMark/>
          </w:tcPr>
          <w:p w14:paraId="71848B8F" w14:textId="77777777" w:rsidR="005A043A" w:rsidRPr="00214F41" w:rsidRDefault="005A043A" w:rsidP="00286762">
            <w:pPr>
              <w:jc w:val="center"/>
              <w:rPr>
                <w:sz w:val="18"/>
                <w:szCs w:val="18"/>
                <w:lang w:val="en-GB"/>
              </w:rPr>
            </w:pPr>
            <w:r w:rsidRPr="00214F41">
              <w:rPr>
                <w:sz w:val="18"/>
                <w:szCs w:val="18"/>
                <w:lang w:val="en-GB"/>
              </w:rPr>
              <w:t>31.5±3.2</w:t>
            </w:r>
          </w:p>
        </w:tc>
      </w:tr>
      <w:tr w:rsidR="005A043A" w:rsidRPr="0072287D" w14:paraId="3A1C5CA5" w14:textId="77777777" w:rsidTr="00286762">
        <w:trPr>
          <w:trHeight w:val="316"/>
        </w:trPr>
        <w:tc>
          <w:tcPr>
            <w:tcW w:w="277" w:type="pct"/>
            <w:shd w:val="clear" w:color="000000" w:fill="FFFFFF"/>
            <w:vAlign w:val="center"/>
            <w:hideMark/>
          </w:tcPr>
          <w:p w14:paraId="403D4982" w14:textId="77777777" w:rsidR="005A043A" w:rsidRPr="00214F41" w:rsidRDefault="005A043A" w:rsidP="00286762">
            <w:pPr>
              <w:jc w:val="center"/>
              <w:rPr>
                <w:sz w:val="18"/>
                <w:szCs w:val="18"/>
                <w:lang w:val="en-GB"/>
              </w:rPr>
            </w:pPr>
            <w:proofErr w:type="spellStart"/>
            <w:r w:rsidRPr="00214F41">
              <w:rPr>
                <w:sz w:val="18"/>
                <w:szCs w:val="18"/>
                <w:lang w:val="en-GB"/>
              </w:rPr>
              <w:t>Derosa</w:t>
            </w:r>
            <w:proofErr w:type="spellEnd"/>
            <w:r w:rsidRPr="00214F41">
              <w:rPr>
                <w:sz w:val="18"/>
                <w:szCs w:val="18"/>
                <w:lang w:val="en-GB"/>
              </w:rPr>
              <w:t xml:space="preserve"> et al., 2017a </w:t>
            </w:r>
            <w:r w:rsidRPr="00214F41">
              <w:rPr>
                <w:sz w:val="18"/>
                <w:szCs w:val="18"/>
              </w:rPr>
              <w:fldChar w:fldCharType="begin" w:fldLock="1"/>
            </w:r>
            <w:r>
              <w:rPr>
                <w:sz w:val="18"/>
                <w:szCs w:val="18"/>
                <w:lang w:val="en-GB"/>
              </w:rPr>
              <w:instrText>ADDIN CSL_CITATION {"citationItems":[{"id":"ITEM-1","itemData":{"DOI":"10.2147/DDDT.S131670","ISSN":"1177-8881","PMID":"28553078","abstract":"Purpose: The purpose of this study is to evaluate, in a randomized clinical trial, the effects of metformin immediate release (IR) compared with metformin extended release (XR) on the gastrointestinal tolerability and glycemic control. Materials and methods: We enrolled 253 Caucasian patients with type 2 diabetes not well controlled by diet (glycated hemoglobin [HbA1c]&gt;7.0% and &lt;8.5%). Patients were randomized to metformin IR or metformin XR for a period of 6 months at the maximum tolerated dose. The average dose of metformin IR used was 2,000±1,000 mg/day, while that of metformin XR was 1,000±500 mg/day. We evaluated body weight, HbA1c, fasting and postprandial glucose, fasting plasma insulin (FPI) and homeostasis model assessment insulin resistance (HOMA-IR), lipid profile, and levels of some dipocytokines, including tumor necrosis factor-α (TNF-α), high-sensitivity C-reactive protein (hs-CRP), visfatin, and vaspin. Moreover, at the baseline and after 6 months, we administered patients some validated questionnaires to assess patients’ satisfaction toward treatments. Results: After 6 months, both formulations gave a similar reduction in body weight and body mass index (BMI); however, metformin XR gave a greater improvement in glycemic control, FPI, and HOMA-IR, compared with both baseline and metformin IR. A reduction in total cholesterol (TC) and low-density lipoprotein (LDL) cholesterol was observed with metformin XR compared with IR. Levels of TNF-α, hs-CRP, and vaspin were reduced by metformin XR but not by the IR formulation. Metformin XR also raised the levels of visfatin. Conclusion: Metformin XR formulation seems to be more effective than metformin IR in improving glyco-metabolic control, lipid profile, and levels of some adipocytokines in patients with type 2 diabetes mellitus.","author":[{"dropping-particle":"","family":"Derosa","given":"Giuseppe","non-dropping-particle":"","parse-names":false,"suffix":""},{"dropping-particle":"","family":"D’Angelo","given":"Angela","non-dropping-particle":"","parse-names":false,"suffix":""},{"dropping-particle":"","family":"Romano","given":"Davide","non-dropping-particle":"","parse-names":false,"suffix":""},{"dropping-particle":"","family":"Maffioli","given":"Pamela","non-dropping-particle":"","parse-names":false,"suffix":""}],"container-title":"Drug design, development and therapy","id":"ITEM-1","issued":{"date-parts":[["2017","5","16"]]},"page":"1481-1488","publisher":"Drug Des Devel Ther","title":"Effects of metformin extended release compared to immediate release formula on glycemic control and glycemic variability in patients with type 2 diabetes","type":"article-journal","volume":"11"},"uris":["http://www.mendeley.com/documents/?uuid=1f5ddfbf-2fbf-3eae-9abe-cde522ccd14d"]}],"mendeley":{"formattedCitation":"[45]","plainTextFormattedCitation":"[45]","previouslyFormattedCitation":"[45]"},"properties":{"noteIndex":0},"schema":"https://github.com/citation-style-language/schema/raw/master/csl-citation.json"}</w:instrText>
            </w:r>
            <w:r w:rsidRPr="00214F41">
              <w:rPr>
                <w:sz w:val="18"/>
                <w:szCs w:val="18"/>
              </w:rPr>
              <w:fldChar w:fldCharType="separate"/>
            </w:r>
            <w:r w:rsidRPr="00FF29A9">
              <w:rPr>
                <w:noProof/>
                <w:sz w:val="18"/>
                <w:szCs w:val="18"/>
                <w:lang w:val="en-GB"/>
              </w:rPr>
              <w:t>[45]</w:t>
            </w:r>
            <w:r w:rsidRPr="00214F41">
              <w:rPr>
                <w:sz w:val="18"/>
                <w:szCs w:val="18"/>
              </w:rPr>
              <w:fldChar w:fldCharType="end"/>
            </w:r>
          </w:p>
        </w:tc>
        <w:tc>
          <w:tcPr>
            <w:tcW w:w="293" w:type="pct"/>
            <w:vMerge w:val="restart"/>
            <w:shd w:val="clear" w:color="000000" w:fill="FFFFFF"/>
            <w:vAlign w:val="center"/>
            <w:hideMark/>
          </w:tcPr>
          <w:p w14:paraId="0A39DE31"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730" w:type="pct"/>
            <w:vMerge w:val="restart"/>
            <w:shd w:val="clear" w:color="000000" w:fill="FFFFFF"/>
            <w:vAlign w:val="center"/>
            <w:hideMark/>
          </w:tcPr>
          <w:p w14:paraId="690DA8BC" w14:textId="77777777" w:rsidR="005A043A" w:rsidRPr="00214F41" w:rsidRDefault="005A043A" w:rsidP="00286762">
            <w:pPr>
              <w:jc w:val="center"/>
              <w:rPr>
                <w:sz w:val="18"/>
                <w:szCs w:val="18"/>
                <w:lang w:val="en-GB"/>
              </w:rPr>
            </w:pPr>
            <w:r w:rsidRPr="00214F41">
              <w:rPr>
                <w:sz w:val="18"/>
                <w:szCs w:val="18"/>
                <w:lang w:val="en-GB"/>
              </w:rPr>
              <w:t xml:space="preserve">To evaluate the effects of IR and XR metformin  on the gastrointestinal tolerability and </w:t>
            </w:r>
            <w:proofErr w:type="spellStart"/>
            <w:r w:rsidRPr="00214F41">
              <w:rPr>
                <w:sz w:val="18"/>
                <w:szCs w:val="18"/>
                <w:lang w:val="en-GB"/>
              </w:rPr>
              <w:t>glycemic</w:t>
            </w:r>
            <w:proofErr w:type="spellEnd"/>
            <w:r w:rsidRPr="00214F41">
              <w:rPr>
                <w:sz w:val="18"/>
                <w:szCs w:val="18"/>
                <w:lang w:val="en-GB"/>
              </w:rPr>
              <w:t xml:space="preserve"> control</w:t>
            </w:r>
          </w:p>
        </w:tc>
        <w:tc>
          <w:tcPr>
            <w:tcW w:w="366" w:type="pct"/>
            <w:vMerge w:val="restart"/>
            <w:shd w:val="clear" w:color="000000" w:fill="FFFFFF"/>
            <w:vAlign w:val="center"/>
            <w:hideMark/>
          </w:tcPr>
          <w:p w14:paraId="4C0F1135" w14:textId="77777777" w:rsidR="005A043A" w:rsidRPr="00214F41" w:rsidRDefault="005A043A" w:rsidP="00286762">
            <w:pPr>
              <w:jc w:val="center"/>
              <w:rPr>
                <w:sz w:val="18"/>
                <w:szCs w:val="18"/>
                <w:lang w:val="en-GB"/>
              </w:rPr>
            </w:pPr>
            <w:r w:rsidRPr="00214F41">
              <w:rPr>
                <w:sz w:val="18"/>
                <w:szCs w:val="18"/>
                <w:lang w:val="en-GB"/>
              </w:rPr>
              <w:t>253/</w:t>
            </w:r>
            <w:proofErr w:type="spellStart"/>
            <w:r w:rsidRPr="00214F41">
              <w:rPr>
                <w:sz w:val="18"/>
                <w:szCs w:val="18"/>
                <w:lang w:val="en-GB"/>
              </w:rPr>
              <w:t>nd</w:t>
            </w:r>
            <w:proofErr w:type="spellEnd"/>
          </w:p>
        </w:tc>
        <w:tc>
          <w:tcPr>
            <w:tcW w:w="321" w:type="pct"/>
            <w:vMerge w:val="restart"/>
            <w:shd w:val="clear" w:color="000000" w:fill="FFFFFF"/>
            <w:vAlign w:val="center"/>
            <w:hideMark/>
          </w:tcPr>
          <w:p w14:paraId="79140115" w14:textId="77777777" w:rsidR="005A043A" w:rsidRPr="00214F41" w:rsidRDefault="005A043A" w:rsidP="00286762">
            <w:pPr>
              <w:jc w:val="center"/>
              <w:rPr>
                <w:sz w:val="18"/>
                <w:szCs w:val="18"/>
                <w:lang w:val="en-GB"/>
              </w:rPr>
            </w:pPr>
            <w:r w:rsidRPr="00214F41">
              <w:rPr>
                <w:sz w:val="18"/>
                <w:szCs w:val="18"/>
                <w:lang w:val="en-GB"/>
              </w:rPr>
              <w:t>S</w:t>
            </w:r>
          </w:p>
        </w:tc>
        <w:tc>
          <w:tcPr>
            <w:tcW w:w="502" w:type="pct"/>
            <w:vMerge w:val="restart"/>
            <w:shd w:val="clear" w:color="000000" w:fill="FFFFFF"/>
            <w:vAlign w:val="center"/>
            <w:hideMark/>
          </w:tcPr>
          <w:p w14:paraId="0F7A72E0"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vMerge w:val="restart"/>
            <w:shd w:val="clear" w:color="000000" w:fill="FFFFFF"/>
            <w:vAlign w:val="center"/>
            <w:hideMark/>
          </w:tcPr>
          <w:p w14:paraId="6795B2BF" w14:textId="77777777" w:rsidR="005A043A" w:rsidRPr="00214F41" w:rsidRDefault="005A043A" w:rsidP="00286762">
            <w:pPr>
              <w:jc w:val="center"/>
              <w:rPr>
                <w:sz w:val="18"/>
                <w:szCs w:val="18"/>
                <w:lang w:val="en-GB"/>
              </w:rPr>
            </w:pPr>
            <w:r w:rsidRPr="00214F41">
              <w:rPr>
                <w:sz w:val="18"/>
                <w:szCs w:val="18"/>
                <w:lang w:val="en-GB"/>
              </w:rPr>
              <w:t>1000mg/1/d</w:t>
            </w:r>
          </w:p>
          <w:p w14:paraId="74F72C24" w14:textId="77777777" w:rsidR="005A043A" w:rsidRPr="00214F41" w:rsidRDefault="005A043A" w:rsidP="00286762">
            <w:pPr>
              <w:jc w:val="center"/>
              <w:rPr>
                <w:sz w:val="18"/>
                <w:szCs w:val="18"/>
                <w:lang w:val="en-GB"/>
              </w:rPr>
            </w:pPr>
          </w:p>
        </w:tc>
        <w:tc>
          <w:tcPr>
            <w:tcW w:w="229" w:type="pct"/>
            <w:vMerge w:val="restart"/>
            <w:shd w:val="clear" w:color="000000" w:fill="FFFFFF"/>
            <w:vAlign w:val="center"/>
            <w:hideMark/>
          </w:tcPr>
          <w:p w14:paraId="49654A5A" w14:textId="77777777" w:rsidR="005A043A" w:rsidRPr="00214F41" w:rsidRDefault="005A043A" w:rsidP="00286762">
            <w:pPr>
              <w:jc w:val="center"/>
              <w:rPr>
                <w:sz w:val="18"/>
                <w:szCs w:val="18"/>
                <w:lang w:val="en-GB"/>
              </w:rPr>
            </w:pPr>
            <w:r w:rsidRPr="00214F41">
              <w:rPr>
                <w:sz w:val="18"/>
                <w:szCs w:val="18"/>
                <w:lang w:val="en-GB"/>
              </w:rPr>
              <w:t>180</w:t>
            </w:r>
          </w:p>
          <w:p w14:paraId="4DE2407A" w14:textId="77777777" w:rsidR="005A043A" w:rsidRPr="00214F41" w:rsidRDefault="005A043A" w:rsidP="00286762">
            <w:pPr>
              <w:jc w:val="center"/>
              <w:rPr>
                <w:sz w:val="18"/>
                <w:szCs w:val="18"/>
                <w:lang w:val="en-GB"/>
              </w:rPr>
            </w:pPr>
          </w:p>
        </w:tc>
        <w:tc>
          <w:tcPr>
            <w:tcW w:w="274" w:type="pct"/>
            <w:vMerge w:val="restart"/>
            <w:shd w:val="clear" w:color="000000" w:fill="FFFFFF"/>
            <w:vAlign w:val="center"/>
            <w:hideMark/>
          </w:tcPr>
          <w:p w14:paraId="7BD063BB" w14:textId="77777777" w:rsidR="005A043A" w:rsidRPr="00214F41" w:rsidRDefault="005A043A" w:rsidP="00286762">
            <w:pPr>
              <w:jc w:val="center"/>
              <w:rPr>
                <w:sz w:val="18"/>
                <w:szCs w:val="18"/>
                <w:lang w:val="en-GB"/>
              </w:rPr>
            </w:pPr>
            <w:r w:rsidRPr="00214F41">
              <w:rPr>
                <w:sz w:val="18"/>
                <w:szCs w:val="18"/>
                <w:lang w:val="en-GB"/>
              </w:rPr>
              <w:t>XR</w:t>
            </w:r>
          </w:p>
        </w:tc>
        <w:tc>
          <w:tcPr>
            <w:tcW w:w="550" w:type="pct"/>
            <w:shd w:val="clear" w:color="000000" w:fill="FFFFFF"/>
            <w:vAlign w:val="center"/>
            <w:hideMark/>
          </w:tcPr>
          <w:p w14:paraId="048EEDDB" w14:textId="77777777" w:rsidR="005A043A" w:rsidRPr="00214F41" w:rsidRDefault="005A043A" w:rsidP="00286762">
            <w:pPr>
              <w:jc w:val="center"/>
              <w:rPr>
                <w:sz w:val="18"/>
                <w:szCs w:val="18"/>
                <w:lang w:val="en-GB"/>
              </w:rPr>
            </w:pPr>
            <w:r w:rsidRPr="00214F41">
              <w:rPr>
                <w:sz w:val="18"/>
                <w:szCs w:val="18"/>
                <w:lang w:val="en-GB"/>
              </w:rPr>
              <w:t>Metformin IR/MET XR/MET IR</w:t>
            </w:r>
          </w:p>
        </w:tc>
        <w:tc>
          <w:tcPr>
            <w:tcW w:w="274" w:type="pct"/>
            <w:vMerge w:val="restart"/>
            <w:shd w:val="clear" w:color="000000" w:fill="FFFFFF"/>
            <w:vAlign w:val="center"/>
            <w:hideMark/>
          </w:tcPr>
          <w:p w14:paraId="7A4793D7" w14:textId="77777777" w:rsidR="005A043A" w:rsidRPr="00214F41" w:rsidRDefault="005A043A" w:rsidP="00286762">
            <w:pPr>
              <w:jc w:val="center"/>
              <w:rPr>
                <w:sz w:val="18"/>
                <w:szCs w:val="18"/>
                <w:lang w:val="en-GB"/>
              </w:rPr>
            </w:pPr>
            <w:r w:rsidRPr="00214F41">
              <w:rPr>
                <w:sz w:val="18"/>
                <w:szCs w:val="18"/>
                <w:lang w:val="en-GB"/>
              </w:rPr>
              <w:t>56.2±11</w:t>
            </w:r>
          </w:p>
        </w:tc>
        <w:tc>
          <w:tcPr>
            <w:tcW w:w="227" w:type="pct"/>
            <w:vMerge w:val="restart"/>
            <w:shd w:val="clear" w:color="000000" w:fill="FFFFFF"/>
            <w:vAlign w:val="center"/>
            <w:hideMark/>
          </w:tcPr>
          <w:p w14:paraId="26FFA288" w14:textId="77777777" w:rsidR="005A043A" w:rsidRPr="00214F41" w:rsidRDefault="005A043A" w:rsidP="00286762">
            <w:pPr>
              <w:jc w:val="center"/>
              <w:rPr>
                <w:sz w:val="18"/>
                <w:szCs w:val="18"/>
                <w:lang w:val="en-GB"/>
              </w:rPr>
            </w:pPr>
            <w:r w:rsidRPr="00214F41">
              <w:rPr>
                <w:sz w:val="18"/>
                <w:szCs w:val="18"/>
                <w:lang w:val="en-GB"/>
              </w:rPr>
              <w:t>122/48.2</w:t>
            </w:r>
          </w:p>
        </w:tc>
        <w:tc>
          <w:tcPr>
            <w:tcW w:w="295" w:type="pct"/>
            <w:vMerge w:val="restart"/>
            <w:shd w:val="clear" w:color="000000" w:fill="FFFFFF"/>
            <w:vAlign w:val="center"/>
            <w:hideMark/>
          </w:tcPr>
          <w:p w14:paraId="380B05F6" w14:textId="77777777" w:rsidR="005A043A" w:rsidRPr="00214F41" w:rsidRDefault="005A043A" w:rsidP="00286762">
            <w:pPr>
              <w:jc w:val="center"/>
              <w:rPr>
                <w:sz w:val="18"/>
                <w:szCs w:val="18"/>
                <w:lang w:val="en-GB"/>
              </w:rPr>
            </w:pPr>
            <w:r w:rsidRPr="00214F41">
              <w:rPr>
                <w:sz w:val="18"/>
                <w:szCs w:val="18"/>
                <w:lang w:val="en-GB"/>
              </w:rPr>
              <w:t>27.5±2.4</w:t>
            </w:r>
          </w:p>
        </w:tc>
        <w:tc>
          <w:tcPr>
            <w:tcW w:w="300" w:type="pct"/>
            <w:vMerge w:val="restart"/>
            <w:shd w:val="clear" w:color="000000" w:fill="FFFFFF"/>
            <w:vAlign w:val="center"/>
            <w:hideMark/>
          </w:tcPr>
          <w:p w14:paraId="19F07DF2" w14:textId="77777777" w:rsidR="005A043A" w:rsidRPr="00214F41" w:rsidRDefault="005A043A" w:rsidP="00286762">
            <w:pPr>
              <w:jc w:val="center"/>
              <w:rPr>
                <w:sz w:val="18"/>
                <w:szCs w:val="18"/>
                <w:lang w:val="en-GB"/>
              </w:rPr>
            </w:pPr>
            <w:r w:rsidRPr="00214F41">
              <w:rPr>
                <w:sz w:val="18"/>
                <w:szCs w:val="18"/>
                <w:lang w:val="en-GB"/>
              </w:rPr>
              <w:t>27.3±2.1</w:t>
            </w:r>
          </w:p>
        </w:tc>
      </w:tr>
      <w:tr w:rsidR="005A043A" w:rsidRPr="0072287D" w14:paraId="0D6D70CB" w14:textId="77777777" w:rsidTr="00286762">
        <w:trPr>
          <w:trHeight w:val="378"/>
        </w:trPr>
        <w:tc>
          <w:tcPr>
            <w:tcW w:w="277" w:type="pct"/>
            <w:shd w:val="clear" w:color="000000" w:fill="FFFFFF"/>
            <w:vAlign w:val="center"/>
            <w:hideMark/>
          </w:tcPr>
          <w:p w14:paraId="6D1AF477" w14:textId="77777777" w:rsidR="005A043A" w:rsidRPr="00214F41" w:rsidRDefault="005A043A" w:rsidP="00286762">
            <w:pPr>
              <w:jc w:val="center"/>
              <w:rPr>
                <w:sz w:val="18"/>
                <w:szCs w:val="18"/>
                <w:lang w:val="en-GB"/>
              </w:rPr>
            </w:pPr>
            <w:proofErr w:type="spellStart"/>
            <w:r w:rsidRPr="00214F41">
              <w:rPr>
                <w:sz w:val="18"/>
                <w:szCs w:val="18"/>
                <w:lang w:val="en-GB"/>
              </w:rPr>
              <w:t>Derosa</w:t>
            </w:r>
            <w:proofErr w:type="spellEnd"/>
            <w:r w:rsidRPr="00214F41">
              <w:rPr>
                <w:sz w:val="18"/>
                <w:szCs w:val="18"/>
                <w:lang w:val="en-GB"/>
              </w:rPr>
              <w:t xml:space="preserve"> et al., 2017b</w:t>
            </w:r>
          </w:p>
        </w:tc>
        <w:tc>
          <w:tcPr>
            <w:tcW w:w="293" w:type="pct"/>
            <w:vMerge/>
            <w:shd w:val="clear" w:color="000000" w:fill="FFFFFF"/>
            <w:vAlign w:val="center"/>
            <w:hideMark/>
          </w:tcPr>
          <w:p w14:paraId="3E2160DB" w14:textId="77777777" w:rsidR="005A043A" w:rsidRPr="00214F41" w:rsidRDefault="005A043A" w:rsidP="00286762">
            <w:pPr>
              <w:jc w:val="center"/>
              <w:rPr>
                <w:sz w:val="18"/>
                <w:szCs w:val="18"/>
                <w:lang w:val="en-GB"/>
              </w:rPr>
            </w:pPr>
          </w:p>
        </w:tc>
        <w:tc>
          <w:tcPr>
            <w:tcW w:w="730" w:type="pct"/>
            <w:vMerge/>
            <w:shd w:val="clear" w:color="000000" w:fill="FFFFFF"/>
            <w:vAlign w:val="center"/>
            <w:hideMark/>
          </w:tcPr>
          <w:p w14:paraId="218D937E" w14:textId="77777777" w:rsidR="005A043A" w:rsidRPr="00214F41" w:rsidRDefault="005A043A" w:rsidP="00286762">
            <w:pPr>
              <w:jc w:val="center"/>
              <w:rPr>
                <w:sz w:val="18"/>
                <w:szCs w:val="18"/>
                <w:lang w:val="en-GB"/>
              </w:rPr>
            </w:pPr>
          </w:p>
        </w:tc>
        <w:tc>
          <w:tcPr>
            <w:tcW w:w="366" w:type="pct"/>
            <w:vMerge/>
            <w:shd w:val="clear" w:color="000000" w:fill="FFFFFF"/>
            <w:vAlign w:val="center"/>
            <w:hideMark/>
          </w:tcPr>
          <w:p w14:paraId="4F600BC2" w14:textId="77777777" w:rsidR="005A043A" w:rsidRPr="00214F41" w:rsidRDefault="005A043A" w:rsidP="00286762">
            <w:pPr>
              <w:jc w:val="center"/>
              <w:rPr>
                <w:sz w:val="18"/>
                <w:szCs w:val="18"/>
                <w:lang w:val="en-GB"/>
              </w:rPr>
            </w:pPr>
          </w:p>
        </w:tc>
        <w:tc>
          <w:tcPr>
            <w:tcW w:w="321" w:type="pct"/>
            <w:vMerge/>
            <w:shd w:val="clear" w:color="000000" w:fill="FFFFFF"/>
            <w:vAlign w:val="center"/>
            <w:hideMark/>
          </w:tcPr>
          <w:p w14:paraId="32AFFA27" w14:textId="77777777" w:rsidR="005A043A" w:rsidRPr="00214F41" w:rsidRDefault="005A043A" w:rsidP="00286762">
            <w:pPr>
              <w:jc w:val="center"/>
              <w:rPr>
                <w:sz w:val="18"/>
                <w:szCs w:val="18"/>
                <w:lang w:val="en-GB"/>
              </w:rPr>
            </w:pPr>
          </w:p>
        </w:tc>
        <w:tc>
          <w:tcPr>
            <w:tcW w:w="502" w:type="pct"/>
            <w:vMerge/>
            <w:shd w:val="clear" w:color="000000" w:fill="FFFFFF"/>
            <w:vAlign w:val="center"/>
            <w:hideMark/>
          </w:tcPr>
          <w:p w14:paraId="241C7A7E" w14:textId="77777777" w:rsidR="005A043A" w:rsidRPr="00214F41" w:rsidRDefault="005A043A" w:rsidP="00286762">
            <w:pPr>
              <w:jc w:val="center"/>
              <w:rPr>
                <w:sz w:val="18"/>
                <w:szCs w:val="18"/>
                <w:lang w:val="en-GB"/>
              </w:rPr>
            </w:pPr>
          </w:p>
        </w:tc>
        <w:tc>
          <w:tcPr>
            <w:tcW w:w="362" w:type="pct"/>
            <w:vMerge/>
            <w:shd w:val="clear" w:color="000000" w:fill="FFFFFF"/>
            <w:vAlign w:val="center"/>
            <w:hideMark/>
          </w:tcPr>
          <w:p w14:paraId="739402D2" w14:textId="77777777" w:rsidR="005A043A" w:rsidRPr="00214F41" w:rsidRDefault="005A043A" w:rsidP="00286762">
            <w:pPr>
              <w:jc w:val="center"/>
              <w:rPr>
                <w:sz w:val="18"/>
                <w:szCs w:val="18"/>
                <w:lang w:val="en-GB"/>
              </w:rPr>
            </w:pPr>
          </w:p>
        </w:tc>
        <w:tc>
          <w:tcPr>
            <w:tcW w:w="229" w:type="pct"/>
            <w:vMerge/>
            <w:shd w:val="clear" w:color="000000" w:fill="FFFFFF"/>
            <w:vAlign w:val="center"/>
            <w:hideMark/>
          </w:tcPr>
          <w:p w14:paraId="103D2455" w14:textId="77777777" w:rsidR="005A043A" w:rsidRPr="00214F41" w:rsidRDefault="005A043A" w:rsidP="00286762">
            <w:pPr>
              <w:jc w:val="center"/>
              <w:rPr>
                <w:sz w:val="18"/>
                <w:szCs w:val="18"/>
                <w:lang w:val="en-GB"/>
              </w:rPr>
            </w:pPr>
          </w:p>
        </w:tc>
        <w:tc>
          <w:tcPr>
            <w:tcW w:w="274" w:type="pct"/>
            <w:vMerge/>
            <w:shd w:val="clear" w:color="000000" w:fill="FFFFFF"/>
            <w:vAlign w:val="center"/>
            <w:hideMark/>
          </w:tcPr>
          <w:p w14:paraId="14A7960A" w14:textId="77777777" w:rsidR="005A043A" w:rsidRPr="00214F41" w:rsidRDefault="005A043A" w:rsidP="00286762">
            <w:pPr>
              <w:jc w:val="center"/>
              <w:rPr>
                <w:sz w:val="18"/>
                <w:szCs w:val="18"/>
                <w:lang w:val="en-GB"/>
              </w:rPr>
            </w:pPr>
          </w:p>
        </w:tc>
        <w:tc>
          <w:tcPr>
            <w:tcW w:w="550" w:type="pct"/>
            <w:shd w:val="clear" w:color="000000" w:fill="FFFFFF"/>
            <w:vAlign w:val="center"/>
            <w:hideMark/>
          </w:tcPr>
          <w:p w14:paraId="7C33CA35" w14:textId="77777777" w:rsidR="005A043A" w:rsidRPr="00214F41" w:rsidRDefault="005A043A" w:rsidP="00286762">
            <w:pPr>
              <w:jc w:val="center"/>
              <w:rPr>
                <w:sz w:val="18"/>
                <w:szCs w:val="18"/>
                <w:lang w:val="en-GB"/>
              </w:rPr>
            </w:pPr>
            <w:r w:rsidRPr="00214F41">
              <w:rPr>
                <w:sz w:val="18"/>
                <w:szCs w:val="18"/>
                <w:lang w:val="en-GB"/>
              </w:rPr>
              <w:t>Metformin IR/MET XR/MET IR</w:t>
            </w:r>
          </w:p>
        </w:tc>
        <w:tc>
          <w:tcPr>
            <w:tcW w:w="274" w:type="pct"/>
            <w:vMerge/>
            <w:shd w:val="clear" w:color="000000" w:fill="FFFFFF"/>
            <w:vAlign w:val="center"/>
          </w:tcPr>
          <w:p w14:paraId="69E14584" w14:textId="77777777" w:rsidR="005A043A" w:rsidRPr="00214F41" w:rsidRDefault="005A043A" w:rsidP="00286762">
            <w:pPr>
              <w:jc w:val="center"/>
              <w:rPr>
                <w:sz w:val="18"/>
                <w:szCs w:val="18"/>
                <w:lang w:val="en-GB"/>
              </w:rPr>
            </w:pPr>
          </w:p>
        </w:tc>
        <w:tc>
          <w:tcPr>
            <w:tcW w:w="227" w:type="pct"/>
            <w:vMerge/>
            <w:shd w:val="clear" w:color="000000" w:fill="FFFFFF"/>
            <w:vAlign w:val="center"/>
          </w:tcPr>
          <w:p w14:paraId="0234D94F" w14:textId="77777777" w:rsidR="005A043A" w:rsidRPr="00214F41" w:rsidRDefault="005A043A" w:rsidP="00286762">
            <w:pPr>
              <w:jc w:val="center"/>
              <w:rPr>
                <w:sz w:val="18"/>
                <w:szCs w:val="18"/>
                <w:lang w:val="en-GB"/>
              </w:rPr>
            </w:pPr>
          </w:p>
        </w:tc>
        <w:tc>
          <w:tcPr>
            <w:tcW w:w="295" w:type="pct"/>
            <w:vMerge/>
            <w:shd w:val="clear" w:color="000000" w:fill="FFFFFF"/>
            <w:vAlign w:val="center"/>
          </w:tcPr>
          <w:p w14:paraId="408164F2" w14:textId="77777777" w:rsidR="005A043A" w:rsidRPr="00214F41" w:rsidRDefault="005A043A" w:rsidP="00286762">
            <w:pPr>
              <w:jc w:val="center"/>
              <w:rPr>
                <w:sz w:val="18"/>
                <w:szCs w:val="18"/>
                <w:lang w:val="en-GB"/>
              </w:rPr>
            </w:pPr>
          </w:p>
        </w:tc>
        <w:tc>
          <w:tcPr>
            <w:tcW w:w="300" w:type="pct"/>
            <w:vMerge/>
            <w:shd w:val="clear" w:color="000000" w:fill="FFFFFF"/>
            <w:vAlign w:val="center"/>
          </w:tcPr>
          <w:p w14:paraId="3F0A6910" w14:textId="77777777" w:rsidR="005A043A" w:rsidRPr="00214F41" w:rsidRDefault="005A043A" w:rsidP="00286762">
            <w:pPr>
              <w:jc w:val="center"/>
              <w:rPr>
                <w:sz w:val="18"/>
                <w:szCs w:val="18"/>
                <w:lang w:val="en-GB"/>
              </w:rPr>
            </w:pPr>
          </w:p>
        </w:tc>
      </w:tr>
      <w:tr w:rsidR="005A043A" w:rsidRPr="0072287D" w14:paraId="125C8FA3" w14:textId="77777777" w:rsidTr="00286762">
        <w:trPr>
          <w:trHeight w:val="930"/>
        </w:trPr>
        <w:tc>
          <w:tcPr>
            <w:tcW w:w="277" w:type="pct"/>
            <w:shd w:val="clear" w:color="000000" w:fill="FFFFFF"/>
            <w:vAlign w:val="center"/>
            <w:hideMark/>
          </w:tcPr>
          <w:p w14:paraId="3A8CD764" w14:textId="77777777" w:rsidR="005A043A" w:rsidRPr="00214F41" w:rsidRDefault="005A043A" w:rsidP="00286762">
            <w:pPr>
              <w:jc w:val="center"/>
              <w:rPr>
                <w:sz w:val="18"/>
                <w:szCs w:val="18"/>
                <w:lang w:val="en-GB"/>
              </w:rPr>
            </w:pPr>
            <w:r w:rsidRPr="00214F41">
              <w:rPr>
                <w:sz w:val="18"/>
                <w:szCs w:val="18"/>
                <w:lang w:val="en-GB"/>
              </w:rPr>
              <w:t xml:space="preserve">Fujioka et al., 2003a </w:t>
            </w:r>
            <w:r w:rsidRPr="00214F41">
              <w:rPr>
                <w:sz w:val="18"/>
                <w:szCs w:val="18"/>
              </w:rPr>
              <w:fldChar w:fldCharType="begin" w:fldLock="1"/>
            </w:r>
            <w:r>
              <w:rPr>
                <w:sz w:val="18"/>
                <w:szCs w:val="18"/>
                <w:lang w:val="en-GB"/>
              </w:rPr>
              <w:instrText>ADDIN CSL_CITATION {"citationItems":[{"id":"ITEM-1","itemData":{"DOI":"10.1016/S0149-2918(03)80093-0","ISSN":"0149-2918","abstract":"Background: The extended-release formulation of metformin (MXR) prolongs drug absorption in the upper gastrointestinal tract and permits once-daily dosing in patients with type 2 diabetes mellitus. This newer formulation may enhance patient compliance with oral therapy and improve long-term control of diabetes compared with the conventional immediate-release formulation of metformin (MIR). Objective: The goal of this study was to determine the effects on glycemic control of a switch to MXR therapy in patients with type 2 diabetes currently treated with MIR. Methods: This was a multicenter, randomized, double-blind, parallel-group study in patients with established type 2 diabetes. Eligible patients were to have a glycated hemoglobin (HbA1c) value ≤8.5\\% and mean fasting plasma glucose (FPG) concentrations ≤200 mg/dL while receiving MIR 500 mg BID for at least 8 weeks. After a 2-week, single-blind lead-in period, patients were randomly assigned to receive MXR 1000 or 1500 mg QD for 24 weeks or to continue MIR 500 mg BID for 24 weeks. The primary efficacy variable was change in HbA1c from baseline to week 12. Other variables included change in FPG levels; change in HbA1c; distribution of HbA1c values; mean daily blood glucose concentrations (self-monitored); levels of fructosamine, serum insulin, and lipids; and body weight. Results: Two hundred seventeen patients were randomized to treatment. The mean change from baseline in HbA1c values at weeks 12 and 24 were small and similar in the 3 treatment groups. At week 12, the mean change from baseline in HbA1c was 0.15\\% for MIR, 0.23\\% for MXR 1000 mg, and 0.04\\% for MXR 1500 mg. The corresponding mean changes at week 24 were 0.06\\%, 0.25\\%, and 0.14\\%. Conclusions: In this study, patients with type 2 diabetes who had been receiving twice-daily MIR achieved comparable glycemic control when therapy was switched to once-daily MXR at the same or a greater total daily dose. Copyright © 2003 Excerpta Medica, Inc.","author":[{"dropping-particle":"","family":"Fujioka","given":"K","non-dropping-particle":"","parse-names":false,"suffix":""},{"dropping-particle":"","family":"Pans","given":"M","non-dropping-particle":"","parse-names":false,"suffix":""},{"dropping-particle":"","family":"Joyal","given":"S","non-dropping-particle":"","parse-names":false,"suffix":""}],"container-title":"Clinical Therapeutics","id":"ITEM-1","issue":"2","issued":{"date-parts":[["2003"]]},"page":"515-529","title":"Glycemic control in patients with type 2 diabetes mellitus switched from twice-daily immediate-release metformin to a once-daily extended-release formulation","type":"article-journal","volume":"25"},"uris":["http://www.mendeley.com/documents/?uuid=255e478f-4fcc-4413-95d5-008000c670f6"]}],"mendeley":{"formattedCitation":"[46]","plainTextFormattedCitation":"[46]","previouslyFormattedCitation":"[46]"},"properties":{"noteIndex":0},"schema":"https://github.com/citation-style-language/schema/raw/master/csl-citation.json"}</w:instrText>
            </w:r>
            <w:r w:rsidRPr="00214F41">
              <w:rPr>
                <w:sz w:val="18"/>
                <w:szCs w:val="18"/>
              </w:rPr>
              <w:fldChar w:fldCharType="separate"/>
            </w:r>
            <w:r w:rsidRPr="00FF29A9">
              <w:rPr>
                <w:noProof/>
                <w:sz w:val="18"/>
                <w:szCs w:val="18"/>
                <w:lang w:val="en-GB"/>
              </w:rPr>
              <w:t>[46]</w:t>
            </w:r>
            <w:r w:rsidRPr="00214F41">
              <w:rPr>
                <w:sz w:val="18"/>
                <w:szCs w:val="18"/>
              </w:rPr>
              <w:fldChar w:fldCharType="end"/>
            </w:r>
          </w:p>
        </w:tc>
        <w:tc>
          <w:tcPr>
            <w:tcW w:w="293" w:type="pct"/>
            <w:vMerge w:val="restart"/>
            <w:shd w:val="clear" w:color="000000" w:fill="FFFFFF"/>
            <w:vAlign w:val="center"/>
            <w:hideMark/>
          </w:tcPr>
          <w:p w14:paraId="482FE148" w14:textId="77777777" w:rsidR="005A043A" w:rsidRPr="00214F41" w:rsidRDefault="005A043A" w:rsidP="00286762">
            <w:pPr>
              <w:jc w:val="center"/>
              <w:rPr>
                <w:sz w:val="18"/>
                <w:szCs w:val="18"/>
                <w:lang w:val="en-GB"/>
              </w:rPr>
            </w:pPr>
            <w:r w:rsidRPr="00214F41">
              <w:rPr>
                <w:sz w:val="18"/>
                <w:szCs w:val="18"/>
                <w:lang w:val="en-GB"/>
              </w:rPr>
              <w:t>ITT</w:t>
            </w:r>
          </w:p>
        </w:tc>
        <w:tc>
          <w:tcPr>
            <w:tcW w:w="730" w:type="pct"/>
            <w:vMerge w:val="restart"/>
            <w:shd w:val="clear" w:color="000000" w:fill="FFFFFF"/>
            <w:vAlign w:val="center"/>
            <w:hideMark/>
          </w:tcPr>
          <w:p w14:paraId="6FE26BB5" w14:textId="77777777" w:rsidR="005A043A" w:rsidRPr="00214F41" w:rsidRDefault="005A043A" w:rsidP="00286762">
            <w:pPr>
              <w:jc w:val="center"/>
              <w:rPr>
                <w:sz w:val="18"/>
                <w:szCs w:val="18"/>
                <w:lang w:val="en-GB"/>
              </w:rPr>
            </w:pPr>
            <w:r w:rsidRPr="00214F41">
              <w:rPr>
                <w:sz w:val="18"/>
                <w:szCs w:val="18"/>
                <w:lang w:val="en-GB"/>
              </w:rPr>
              <w:t xml:space="preserve"> To determine the effects on </w:t>
            </w:r>
            <w:proofErr w:type="spellStart"/>
            <w:r w:rsidRPr="00214F41">
              <w:rPr>
                <w:sz w:val="18"/>
                <w:szCs w:val="18"/>
                <w:lang w:val="en-GB"/>
              </w:rPr>
              <w:t>glycemic</w:t>
            </w:r>
            <w:proofErr w:type="spellEnd"/>
            <w:r w:rsidRPr="00214F41">
              <w:rPr>
                <w:sz w:val="18"/>
                <w:szCs w:val="18"/>
                <w:lang w:val="en-GB"/>
              </w:rPr>
              <w:t xml:space="preserve"> control of a switch to MXR therapy in patients with T2DM currently treated with MIR</w:t>
            </w:r>
          </w:p>
        </w:tc>
        <w:tc>
          <w:tcPr>
            <w:tcW w:w="366" w:type="pct"/>
            <w:vMerge w:val="restart"/>
            <w:shd w:val="clear" w:color="000000" w:fill="FFFFFF"/>
            <w:vAlign w:val="center"/>
            <w:hideMark/>
          </w:tcPr>
          <w:p w14:paraId="5C4AF5D0" w14:textId="77777777" w:rsidR="005A043A" w:rsidRPr="00214F41" w:rsidRDefault="005A043A" w:rsidP="00286762">
            <w:pPr>
              <w:jc w:val="center"/>
              <w:rPr>
                <w:sz w:val="18"/>
                <w:szCs w:val="18"/>
                <w:lang w:val="en-GB"/>
              </w:rPr>
            </w:pPr>
            <w:r w:rsidRPr="00214F41">
              <w:rPr>
                <w:sz w:val="18"/>
                <w:szCs w:val="18"/>
                <w:lang w:val="en-GB"/>
              </w:rPr>
              <w:t>217/217</w:t>
            </w:r>
          </w:p>
          <w:p w14:paraId="42C51E87" w14:textId="77777777" w:rsidR="005A043A" w:rsidRPr="00214F41" w:rsidRDefault="005A043A" w:rsidP="00286762">
            <w:pPr>
              <w:jc w:val="center"/>
              <w:rPr>
                <w:sz w:val="18"/>
                <w:szCs w:val="18"/>
                <w:lang w:val="en-GB"/>
              </w:rPr>
            </w:pPr>
          </w:p>
        </w:tc>
        <w:tc>
          <w:tcPr>
            <w:tcW w:w="321" w:type="pct"/>
            <w:vMerge w:val="restart"/>
            <w:shd w:val="clear" w:color="000000" w:fill="FFFFFF"/>
            <w:vAlign w:val="center"/>
            <w:hideMark/>
          </w:tcPr>
          <w:p w14:paraId="1F310573" w14:textId="77777777" w:rsidR="005A043A" w:rsidRPr="00214F41" w:rsidRDefault="005A043A" w:rsidP="00286762">
            <w:pPr>
              <w:jc w:val="center"/>
              <w:rPr>
                <w:sz w:val="18"/>
                <w:szCs w:val="18"/>
                <w:lang w:val="en-GB"/>
              </w:rPr>
            </w:pPr>
            <w:r w:rsidRPr="00214F41">
              <w:rPr>
                <w:sz w:val="18"/>
                <w:szCs w:val="18"/>
                <w:lang w:val="en-GB"/>
              </w:rPr>
              <w:t>P/≥10 weeks/1g/d</w:t>
            </w:r>
          </w:p>
        </w:tc>
        <w:tc>
          <w:tcPr>
            <w:tcW w:w="502" w:type="pct"/>
            <w:vMerge w:val="restart"/>
            <w:shd w:val="clear" w:color="000000" w:fill="FFFFFF"/>
            <w:vAlign w:val="center"/>
            <w:hideMark/>
          </w:tcPr>
          <w:p w14:paraId="36AACF8A" w14:textId="77777777" w:rsidR="005A043A" w:rsidRPr="00214F41" w:rsidRDefault="005A043A" w:rsidP="00286762">
            <w:pPr>
              <w:jc w:val="center"/>
              <w:rPr>
                <w:sz w:val="18"/>
                <w:szCs w:val="18"/>
                <w:lang w:val="en-GB"/>
              </w:rPr>
            </w:pPr>
            <w:r w:rsidRPr="00214F41">
              <w:rPr>
                <w:sz w:val="18"/>
                <w:szCs w:val="18"/>
                <w:lang w:val="en-GB"/>
              </w:rPr>
              <w:t>Glucophage ® XR</w:t>
            </w:r>
          </w:p>
          <w:p w14:paraId="51E8B4E7" w14:textId="77777777" w:rsidR="005A043A" w:rsidRPr="00214F41" w:rsidRDefault="005A043A" w:rsidP="00286762">
            <w:pPr>
              <w:jc w:val="center"/>
              <w:rPr>
                <w:sz w:val="18"/>
                <w:szCs w:val="18"/>
                <w:lang w:val="en-GB"/>
              </w:rPr>
            </w:pPr>
          </w:p>
        </w:tc>
        <w:tc>
          <w:tcPr>
            <w:tcW w:w="362" w:type="pct"/>
            <w:shd w:val="clear" w:color="000000" w:fill="FFFFFF"/>
            <w:vAlign w:val="center"/>
            <w:hideMark/>
          </w:tcPr>
          <w:p w14:paraId="6770DE9A" w14:textId="77777777" w:rsidR="005A043A" w:rsidRPr="00214F41" w:rsidRDefault="005A043A" w:rsidP="00286762">
            <w:pPr>
              <w:jc w:val="center"/>
              <w:rPr>
                <w:sz w:val="18"/>
                <w:szCs w:val="18"/>
                <w:lang w:val="en-GB"/>
              </w:rPr>
            </w:pPr>
            <w:r w:rsidRPr="00214F41">
              <w:rPr>
                <w:sz w:val="18"/>
                <w:szCs w:val="18"/>
                <w:lang w:val="en-GB"/>
              </w:rPr>
              <w:t>1000mg/1/d</w:t>
            </w:r>
          </w:p>
        </w:tc>
        <w:tc>
          <w:tcPr>
            <w:tcW w:w="229" w:type="pct"/>
            <w:vMerge w:val="restart"/>
            <w:shd w:val="clear" w:color="000000" w:fill="FFFFFF"/>
            <w:vAlign w:val="center"/>
            <w:hideMark/>
          </w:tcPr>
          <w:p w14:paraId="7018AE3B" w14:textId="77777777" w:rsidR="005A043A" w:rsidRPr="00214F41" w:rsidRDefault="005A043A" w:rsidP="00286762">
            <w:pPr>
              <w:jc w:val="center"/>
              <w:rPr>
                <w:sz w:val="18"/>
                <w:szCs w:val="18"/>
                <w:lang w:val="en-GB"/>
              </w:rPr>
            </w:pPr>
            <w:r w:rsidRPr="00214F41">
              <w:rPr>
                <w:sz w:val="18"/>
                <w:szCs w:val="18"/>
                <w:lang w:val="en-GB"/>
              </w:rPr>
              <w:t>168</w:t>
            </w:r>
          </w:p>
          <w:p w14:paraId="7DE10A09" w14:textId="77777777" w:rsidR="005A043A" w:rsidRPr="00214F41" w:rsidRDefault="005A043A" w:rsidP="00286762">
            <w:pPr>
              <w:jc w:val="center"/>
              <w:rPr>
                <w:sz w:val="18"/>
                <w:szCs w:val="18"/>
                <w:lang w:val="en-GB"/>
              </w:rPr>
            </w:pPr>
          </w:p>
        </w:tc>
        <w:tc>
          <w:tcPr>
            <w:tcW w:w="274" w:type="pct"/>
            <w:vMerge w:val="restart"/>
            <w:shd w:val="clear" w:color="000000" w:fill="FFFFFF"/>
            <w:vAlign w:val="center"/>
            <w:hideMark/>
          </w:tcPr>
          <w:p w14:paraId="3D4AFE2B" w14:textId="77777777" w:rsidR="005A043A" w:rsidRPr="00214F41" w:rsidRDefault="005A043A" w:rsidP="00286762">
            <w:pPr>
              <w:jc w:val="center"/>
              <w:rPr>
                <w:sz w:val="18"/>
                <w:szCs w:val="18"/>
                <w:lang w:val="en-GB"/>
              </w:rPr>
            </w:pPr>
            <w:r w:rsidRPr="00214F41">
              <w:rPr>
                <w:sz w:val="18"/>
                <w:szCs w:val="18"/>
                <w:lang w:val="en-GB"/>
              </w:rPr>
              <w:t>XR</w:t>
            </w:r>
          </w:p>
          <w:p w14:paraId="01059E0D" w14:textId="77777777" w:rsidR="005A043A" w:rsidRPr="00214F41" w:rsidRDefault="005A043A" w:rsidP="00286762">
            <w:pPr>
              <w:jc w:val="center"/>
              <w:rPr>
                <w:sz w:val="18"/>
                <w:szCs w:val="18"/>
                <w:lang w:val="en-GB"/>
              </w:rPr>
            </w:pPr>
          </w:p>
        </w:tc>
        <w:tc>
          <w:tcPr>
            <w:tcW w:w="550" w:type="pct"/>
            <w:vMerge w:val="restart"/>
            <w:shd w:val="clear" w:color="000000" w:fill="FFFFFF"/>
            <w:vAlign w:val="center"/>
            <w:hideMark/>
          </w:tcPr>
          <w:p w14:paraId="4F8D17D0" w14:textId="77777777" w:rsidR="005A043A" w:rsidRPr="00214F41" w:rsidRDefault="005A043A" w:rsidP="00286762">
            <w:pPr>
              <w:jc w:val="center"/>
              <w:rPr>
                <w:sz w:val="18"/>
                <w:szCs w:val="18"/>
                <w:lang w:val="en-GB"/>
              </w:rPr>
            </w:pPr>
            <w:r w:rsidRPr="00214F41">
              <w:rPr>
                <w:sz w:val="18"/>
                <w:szCs w:val="18"/>
                <w:lang w:val="en-GB"/>
              </w:rPr>
              <w:t>Metformin-IR/ MET XR/MET IR</w:t>
            </w:r>
          </w:p>
        </w:tc>
        <w:tc>
          <w:tcPr>
            <w:tcW w:w="274" w:type="pct"/>
            <w:shd w:val="clear" w:color="000000" w:fill="FFFFFF"/>
            <w:vAlign w:val="center"/>
            <w:hideMark/>
          </w:tcPr>
          <w:p w14:paraId="72D75E27" w14:textId="77777777" w:rsidR="005A043A" w:rsidRPr="00214F41" w:rsidRDefault="005A043A" w:rsidP="00286762">
            <w:pPr>
              <w:jc w:val="center"/>
              <w:rPr>
                <w:sz w:val="18"/>
                <w:szCs w:val="18"/>
                <w:lang w:val="en-GB"/>
              </w:rPr>
            </w:pPr>
            <w:r w:rsidRPr="00214F41">
              <w:rPr>
                <w:sz w:val="18"/>
                <w:szCs w:val="18"/>
                <w:lang w:val="en-GB"/>
              </w:rPr>
              <w:t>54±nd</w:t>
            </w:r>
          </w:p>
        </w:tc>
        <w:tc>
          <w:tcPr>
            <w:tcW w:w="227" w:type="pct"/>
            <w:shd w:val="clear" w:color="000000" w:fill="FFFFFF"/>
            <w:vAlign w:val="center"/>
            <w:hideMark/>
          </w:tcPr>
          <w:p w14:paraId="4B43F06F" w14:textId="77777777" w:rsidR="005A043A" w:rsidRPr="00214F41" w:rsidRDefault="005A043A" w:rsidP="00286762">
            <w:pPr>
              <w:jc w:val="center"/>
              <w:rPr>
                <w:sz w:val="18"/>
                <w:szCs w:val="18"/>
                <w:lang w:val="en-GB"/>
              </w:rPr>
            </w:pPr>
            <w:r w:rsidRPr="00214F41">
              <w:rPr>
                <w:sz w:val="18"/>
                <w:szCs w:val="18"/>
                <w:lang w:val="en-GB"/>
              </w:rPr>
              <w:t>65/44.5</w:t>
            </w:r>
          </w:p>
        </w:tc>
        <w:tc>
          <w:tcPr>
            <w:tcW w:w="295" w:type="pct"/>
            <w:shd w:val="clear" w:color="000000" w:fill="FFFFFF"/>
            <w:vAlign w:val="center"/>
            <w:hideMark/>
          </w:tcPr>
          <w:p w14:paraId="086BAC51" w14:textId="77777777" w:rsidR="005A043A" w:rsidRPr="00214F41" w:rsidRDefault="005A043A" w:rsidP="00286762">
            <w:pPr>
              <w:jc w:val="center"/>
              <w:rPr>
                <w:sz w:val="18"/>
                <w:szCs w:val="18"/>
                <w:lang w:val="en-GB"/>
              </w:rPr>
            </w:pPr>
            <w:r w:rsidRPr="00214F41">
              <w:rPr>
                <w:sz w:val="18"/>
                <w:szCs w:val="18"/>
                <w:lang w:val="en-GB"/>
              </w:rPr>
              <w:t>32±nd</w:t>
            </w:r>
          </w:p>
        </w:tc>
        <w:tc>
          <w:tcPr>
            <w:tcW w:w="300" w:type="pct"/>
            <w:shd w:val="clear" w:color="000000" w:fill="FFFFFF"/>
            <w:vAlign w:val="center"/>
            <w:hideMark/>
          </w:tcPr>
          <w:p w14:paraId="25BE58AC" w14:textId="77777777" w:rsidR="005A043A" w:rsidRPr="00214F41" w:rsidRDefault="005A043A" w:rsidP="00286762">
            <w:pPr>
              <w:jc w:val="center"/>
              <w:rPr>
                <w:sz w:val="18"/>
                <w:szCs w:val="18"/>
                <w:lang w:val="en-GB"/>
              </w:rPr>
            </w:pPr>
            <w:r w:rsidRPr="00214F41">
              <w:rPr>
                <w:sz w:val="18"/>
                <w:szCs w:val="18"/>
                <w:lang w:val="en-GB"/>
              </w:rPr>
              <w:t>33±nd</w:t>
            </w:r>
          </w:p>
        </w:tc>
      </w:tr>
      <w:tr w:rsidR="005A043A" w:rsidRPr="0072287D" w14:paraId="628C4500" w14:textId="77777777" w:rsidTr="00286762">
        <w:trPr>
          <w:trHeight w:val="930"/>
        </w:trPr>
        <w:tc>
          <w:tcPr>
            <w:tcW w:w="277" w:type="pct"/>
            <w:shd w:val="clear" w:color="000000" w:fill="FFFFFF"/>
            <w:vAlign w:val="center"/>
            <w:hideMark/>
          </w:tcPr>
          <w:p w14:paraId="03FF08D4" w14:textId="77777777" w:rsidR="005A043A" w:rsidRPr="00214F41" w:rsidRDefault="005A043A" w:rsidP="00286762">
            <w:pPr>
              <w:jc w:val="center"/>
              <w:rPr>
                <w:sz w:val="18"/>
                <w:szCs w:val="18"/>
                <w:lang w:val="en-GB"/>
              </w:rPr>
            </w:pPr>
            <w:r w:rsidRPr="00214F41">
              <w:rPr>
                <w:sz w:val="18"/>
                <w:szCs w:val="18"/>
                <w:lang w:val="en-GB"/>
              </w:rPr>
              <w:t>Fujioka et al., 2003b</w:t>
            </w:r>
          </w:p>
        </w:tc>
        <w:tc>
          <w:tcPr>
            <w:tcW w:w="293" w:type="pct"/>
            <w:vMerge/>
            <w:shd w:val="clear" w:color="000000" w:fill="FFFFFF"/>
            <w:vAlign w:val="center"/>
            <w:hideMark/>
          </w:tcPr>
          <w:p w14:paraId="6A0271B9" w14:textId="77777777" w:rsidR="005A043A" w:rsidRPr="00214F41" w:rsidRDefault="005A043A" w:rsidP="00286762">
            <w:pPr>
              <w:jc w:val="center"/>
              <w:rPr>
                <w:sz w:val="18"/>
                <w:szCs w:val="18"/>
                <w:lang w:val="en-GB"/>
              </w:rPr>
            </w:pPr>
          </w:p>
        </w:tc>
        <w:tc>
          <w:tcPr>
            <w:tcW w:w="730" w:type="pct"/>
            <w:vMerge/>
            <w:shd w:val="clear" w:color="000000" w:fill="FFFFFF"/>
            <w:vAlign w:val="center"/>
            <w:hideMark/>
          </w:tcPr>
          <w:p w14:paraId="7AD1B5B2" w14:textId="77777777" w:rsidR="005A043A" w:rsidRPr="00214F41" w:rsidRDefault="005A043A" w:rsidP="00286762">
            <w:pPr>
              <w:jc w:val="center"/>
              <w:rPr>
                <w:sz w:val="18"/>
                <w:szCs w:val="18"/>
                <w:lang w:val="en-GB"/>
              </w:rPr>
            </w:pPr>
          </w:p>
        </w:tc>
        <w:tc>
          <w:tcPr>
            <w:tcW w:w="366" w:type="pct"/>
            <w:vMerge/>
            <w:shd w:val="clear" w:color="000000" w:fill="FFFFFF"/>
            <w:vAlign w:val="center"/>
            <w:hideMark/>
          </w:tcPr>
          <w:p w14:paraId="5A3478A8" w14:textId="77777777" w:rsidR="005A043A" w:rsidRPr="00214F41" w:rsidRDefault="005A043A" w:rsidP="00286762">
            <w:pPr>
              <w:jc w:val="center"/>
              <w:rPr>
                <w:sz w:val="18"/>
                <w:szCs w:val="18"/>
                <w:lang w:val="en-GB"/>
              </w:rPr>
            </w:pPr>
          </w:p>
        </w:tc>
        <w:tc>
          <w:tcPr>
            <w:tcW w:w="321" w:type="pct"/>
            <w:vMerge/>
            <w:shd w:val="clear" w:color="000000" w:fill="FFFFFF"/>
            <w:vAlign w:val="center"/>
            <w:hideMark/>
          </w:tcPr>
          <w:p w14:paraId="2A059CC6" w14:textId="77777777" w:rsidR="005A043A" w:rsidRPr="00214F41" w:rsidRDefault="005A043A" w:rsidP="00286762">
            <w:pPr>
              <w:jc w:val="center"/>
              <w:rPr>
                <w:sz w:val="18"/>
                <w:szCs w:val="18"/>
                <w:lang w:val="en-GB"/>
              </w:rPr>
            </w:pPr>
          </w:p>
        </w:tc>
        <w:tc>
          <w:tcPr>
            <w:tcW w:w="502" w:type="pct"/>
            <w:vMerge/>
            <w:shd w:val="clear" w:color="000000" w:fill="FFFFFF"/>
            <w:vAlign w:val="center"/>
            <w:hideMark/>
          </w:tcPr>
          <w:p w14:paraId="345C264E" w14:textId="77777777" w:rsidR="005A043A" w:rsidRPr="00214F41" w:rsidRDefault="005A043A" w:rsidP="00286762">
            <w:pPr>
              <w:jc w:val="center"/>
              <w:rPr>
                <w:sz w:val="18"/>
                <w:szCs w:val="18"/>
                <w:lang w:val="en-GB"/>
              </w:rPr>
            </w:pPr>
          </w:p>
        </w:tc>
        <w:tc>
          <w:tcPr>
            <w:tcW w:w="362" w:type="pct"/>
            <w:shd w:val="clear" w:color="000000" w:fill="FFFFFF"/>
            <w:vAlign w:val="center"/>
            <w:hideMark/>
          </w:tcPr>
          <w:p w14:paraId="4E365806" w14:textId="77777777" w:rsidR="005A043A" w:rsidRPr="00214F41" w:rsidRDefault="005A043A" w:rsidP="00286762">
            <w:pPr>
              <w:jc w:val="center"/>
              <w:rPr>
                <w:sz w:val="18"/>
                <w:szCs w:val="18"/>
                <w:lang w:val="en-GB"/>
              </w:rPr>
            </w:pPr>
            <w:r w:rsidRPr="00214F41">
              <w:rPr>
                <w:sz w:val="18"/>
                <w:szCs w:val="18"/>
                <w:lang w:val="en-GB"/>
              </w:rPr>
              <w:t>1500mg/1/d</w:t>
            </w:r>
          </w:p>
        </w:tc>
        <w:tc>
          <w:tcPr>
            <w:tcW w:w="229" w:type="pct"/>
            <w:vMerge/>
            <w:shd w:val="clear" w:color="000000" w:fill="FFFFFF"/>
            <w:vAlign w:val="center"/>
            <w:hideMark/>
          </w:tcPr>
          <w:p w14:paraId="15DBC848" w14:textId="77777777" w:rsidR="005A043A" w:rsidRPr="00214F41" w:rsidRDefault="005A043A" w:rsidP="00286762">
            <w:pPr>
              <w:jc w:val="center"/>
              <w:rPr>
                <w:sz w:val="18"/>
                <w:szCs w:val="18"/>
                <w:lang w:val="en-GB"/>
              </w:rPr>
            </w:pPr>
          </w:p>
        </w:tc>
        <w:tc>
          <w:tcPr>
            <w:tcW w:w="274" w:type="pct"/>
            <w:vMerge/>
            <w:shd w:val="clear" w:color="000000" w:fill="FFFFFF"/>
            <w:vAlign w:val="center"/>
            <w:hideMark/>
          </w:tcPr>
          <w:p w14:paraId="2B9F2D6D" w14:textId="77777777" w:rsidR="005A043A" w:rsidRPr="00214F41" w:rsidRDefault="005A043A" w:rsidP="00286762">
            <w:pPr>
              <w:jc w:val="center"/>
              <w:rPr>
                <w:sz w:val="18"/>
                <w:szCs w:val="18"/>
                <w:lang w:val="en-GB"/>
              </w:rPr>
            </w:pPr>
          </w:p>
        </w:tc>
        <w:tc>
          <w:tcPr>
            <w:tcW w:w="550" w:type="pct"/>
            <w:vMerge/>
            <w:shd w:val="clear" w:color="000000" w:fill="FFFFFF"/>
            <w:vAlign w:val="center"/>
            <w:hideMark/>
          </w:tcPr>
          <w:p w14:paraId="149E7C14" w14:textId="77777777" w:rsidR="005A043A" w:rsidRPr="00214F41" w:rsidRDefault="005A043A" w:rsidP="00286762">
            <w:pPr>
              <w:jc w:val="center"/>
              <w:rPr>
                <w:sz w:val="18"/>
                <w:szCs w:val="18"/>
                <w:lang w:val="en-GB"/>
              </w:rPr>
            </w:pPr>
          </w:p>
        </w:tc>
        <w:tc>
          <w:tcPr>
            <w:tcW w:w="274" w:type="pct"/>
            <w:shd w:val="clear" w:color="000000" w:fill="FFFFFF"/>
            <w:vAlign w:val="center"/>
            <w:hideMark/>
          </w:tcPr>
          <w:p w14:paraId="1F0AB7B3" w14:textId="77777777" w:rsidR="005A043A" w:rsidRPr="00214F41" w:rsidRDefault="005A043A" w:rsidP="00286762">
            <w:pPr>
              <w:jc w:val="center"/>
              <w:rPr>
                <w:sz w:val="18"/>
                <w:szCs w:val="18"/>
                <w:lang w:val="en-GB"/>
              </w:rPr>
            </w:pPr>
            <w:r w:rsidRPr="00214F41">
              <w:rPr>
                <w:sz w:val="18"/>
                <w:szCs w:val="18"/>
                <w:lang w:val="en-GB"/>
              </w:rPr>
              <w:t>54.5±nd</w:t>
            </w:r>
          </w:p>
        </w:tc>
        <w:tc>
          <w:tcPr>
            <w:tcW w:w="227" w:type="pct"/>
            <w:shd w:val="clear" w:color="000000" w:fill="FFFFFF"/>
            <w:vAlign w:val="center"/>
            <w:hideMark/>
          </w:tcPr>
          <w:p w14:paraId="79361CD9" w14:textId="77777777" w:rsidR="005A043A" w:rsidRPr="00214F41" w:rsidRDefault="005A043A" w:rsidP="00286762">
            <w:pPr>
              <w:jc w:val="center"/>
              <w:rPr>
                <w:sz w:val="18"/>
                <w:szCs w:val="18"/>
                <w:lang w:val="en-GB"/>
              </w:rPr>
            </w:pPr>
            <w:r w:rsidRPr="00214F41">
              <w:rPr>
                <w:sz w:val="18"/>
                <w:szCs w:val="18"/>
                <w:lang w:val="en-GB"/>
              </w:rPr>
              <w:t>59/41.5</w:t>
            </w:r>
          </w:p>
        </w:tc>
        <w:tc>
          <w:tcPr>
            <w:tcW w:w="295" w:type="pct"/>
            <w:shd w:val="clear" w:color="000000" w:fill="FFFFFF"/>
            <w:vAlign w:val="center"/>
            <w:hideMark/>
          </w:tcPr>
          <w:p w14:paraId="2BFDB455" w14:textId="77777777" w:rsidR="005A043A" w:rsidRPr="00214F41" w:rsidRDefault="005A043A" w:rsidP="00286762">
            <w:pPr>
              <w:jc w:val="center"/>
              <w:rPr>
                <w:sz w:val="18"/>
                <w:szCs w:val="18"/>
                <w:lang w:val="en-GB"/>
              </w:rPr>
            </w:pPr>
            <w:r w:rsidRPr="00214F41">
              <w:rPr>
                <w:sz w:val="18"/>
                <w:szCs w:val="18"/>
                <w:lang w:val="en-GB"/>
              </w:rPr>
              <w:t>31±nd</w:t>
            </w:r>
          </w:p>
        </w:tc>
        <w:tc>
          <w:tcPr>
            <w:tcW w:w="300" w:type="pct"/>
            <w:shd w:val="clear" w:color="000000" w:fill="FFFFFF"/>
            <w:vAlign w:val="center"/>
            <w:hideMark/>
          </w:tcPr>
          <w:p w14:paraId="3EFBF254" w14:textId="77777777" w:rsidR="005A043A" w:rsidRPr="00214F41" w:rsidRDefault="005A043A" w:rsidP="00286762">
            <w:pPr>
              <w:jc w:val="center"/>
              <w:rPr>
                <w:sz w:val="18"/>
                <w:szCs w:val="18"/>
                <w:lang w:val="en-GB"/>
              </w:rPr>
            </w:pPr>
            <w:r w:rsidRPr="00214F41">
              <w:rPr>
                <w:sz w:val="18"/>
                <w:szCs w:val="18"/>
                <w:lang w:val="en-GB"/>
              </w:rPr>
              <w:t>33±nd</w:t>
            </w:r>
          </w:p>
        </w:tc>
      </w:tr>
      <w:tr w:rsidR="005A043A" w:rsidRPr="0072287D" w14:paraId="57A739ED" w14:textId="77777777" w:rsidTr="00286762">
        <w:trPr>
          <w:trHeight w:val="930"/>
        </w:trPr>
        <w:tc>
          <w:tcPr>
            <w:tcW w:w="277" w:type="pct"/>
            <w:shd w:val="clear" w:color="000000" w:fill="FFFFFF"/>
            <w:vAlign w:val="center"/>
            <w:hideMark/>
          </w:tcPr>
          <w:p w14:paraId="3A3FEB97" w14:textId="77777777" w:rsidR="005A043A" w:rsidRPr="00214F41" w:rsidRDefault="005A043A" w:rsidP="00286762">
            <w:pPr>
              <w:jc w:val="center"/>
              <w:rPr>
                <w:sz w:val="18"/>
                <w:szCs w:val="18"/>
                <w:lang w:val="en-GB"/>
              </w:rPr>
            </w:pPr>
            <w:r w:rsidRPr="00214F41">
              <w:rPr>
                <w:sz w:val="18"/>
                <w:szCs w:val="18"/>
                <w:lang w:val="en-GB"/>
              </w:rPr>
              <w:t xml:space="preserve">Gao et al., 2008 </w:t>
            </w:r>
            <w:r w:rsidRPr="00214F41">
              <w:rPr>
                <w:sz w:val="18"/>
                <w:szCs w:val="18"/>
              </w:rPr>
              <w:fldChar w:fldCharType="begin" w:fldLock="1"/>
            </w:r>
            <w:r>
              <w:rPr>
                <w:sz w:val="18"/>
                <w:szCs w:val="18"/>
                <w:lang w:val="en-GB"/>
              </w:rPr>
              <w:instrText>ADDIN CSL_CITATION {"citationItems":[{"id":"ITEM-1","itemData":{"DOI":"10.1111/j.1742-1241.2008.01733.x","ISSN":"1368-5031","abstract":"Aim: To investigate the effects of extended-release metformin (MXR) compared with immediate-release metformin (MIR) on post-prandial glycaemic excursion, chronic glycaemia, lipid profiles, insulin resistance and islet function in type 2 diabetes. Methods: A randomised, open-labelled, positive-controlled multicentre study was conducted on 150 Chinese patients with type 2 diabetes. After 2 weeks of run-in period with MIR, 150 subjects were randomised into MXR group and MIR group. The patients in MXR group were assigned to take MXR 1500 mg once daily after dinner, while the patients in MIR group were assigned to continue MIR 500 mg thrice daily after meals for 12 weeks. Standard meal tests were carried out at baseline and at the end of this study. Plasma glucose, serum insulin, HbA1c and lipid profiles were measured. Homeostasis model assessment (HOMA) was used to evaluate insulin resistance index (HOMA-IR) and islet β-cell function index (HOMA-B). Results: Either MIR or MXR modestly, but significantly decreased HbA1c levels and body mass index (BMI) after 12 weeks of treatment. However, there were no significant differences between two groups. The post-prandial glycaemia at 120 min after a standard meal in MXR group was higher than in MIR group (11.02 ± 3.08 mmol/l vs. 9.74 ± 2.61 mmol/l, p {\\textless} 0.05). Moreover, no differences in the areas under curve of insulin release response, HOMA-B, HOMA-IR and lipid profiles were found within or between groups after 12 weeks of treatment. Conclusion: The effects of once daily MXR on chronic glycaemia, BMI, lipid profiles, insulin resistance and islet function are comparable with that of thrice daily MIR in oriental population. © 2008 The Authors.","author":[{"dropping-particle":"","family":"Gao","given":"H","non-dropping-particle":"","parse-names":false,"suffix":""},{"dropping-particle":"","family":"Xiao","given":"W","non-dropping-particle":"","parse-names":false,"suffix":""},{"dropping-particle":"","family":"Wang","given":"C","non-dropping-particle":"","parse-names":false,"suffix":""},{"dropping-particle":"","family":"Zhang","given":"J","non-dropping-particle":"","parse-names":false,"suffix":""},{"dropping-particle":"","family":"Yang","given":"Y","non-dropping-particle":"","parse-names":false,"suffix":""},{"dropping-particle":"","family":"Yang","given":"J","non-dropping-particle":"","parse-names":false,"suffix":""},{"dropping-particle":"","family":"Yang","given":"W","non-dropping-particle":"","parse-names":false,"suffix":""},{"dropping-particle":"","family":"Hong","given":"T","non-dropping-particle":"","parse-names":false,"suffix":""}],"container-title":"International Journal of Clinical Practice","id":"ITEM-1","issue":"5","issued":{"date-parts":[["2008"]]},"page":"695-700","title":"The metabolic effects of once daily extended-release metformin in patients with type 2 diabetes: {A} multicentre study","type":"article-journal","volume":"62"},"uris":["http://www.mendeley.com/documents/?uuid=0f14e881-6c56-4fec-91dd-b9c6fd0db941"]}],"mendeley":{"formattedCitation":"[47]","plainTextFormattedCitation":"[47]","previouslyFormattedCitation":"[47]"},"properties":{"noteIndex":0},"schema":"https://github.com/citation-style-language/schema/raw/master/csl-citation.json"}</w:instrText>
            </w:r>
            <w:r w:rsidRPr="00214F41">
              <w:rPr>
                <w:sz w:val="18"/>
                <w:szCs w:val="18"/>
              </w:rPr>
              <w:fldChar w:fldCharType="separate"/>
            </w:r>
            <w:r w:rsidRPr="00FF29A9">
              <w:rPr>
                <w:noProof/>
                <w:sz w:val="18"/>
                <w:szCs w:val="18"/>
                <w:lang w:val="en-GB"/>
              </w:rPr>
              <w:t>[47]</w:t>
            </w:r>
            <w:r w:rsidRPr="00214F41">
              <w:rPr>
                <w:sz w:val="18"/>
                <w:szCs w:val="18"/>
              </w:rPr>
              <w:fldChar w:fldCharType="end"/>
            </w:r>
          </w:p>
        </w:tc>
        <w:tc>
          <w:tcPr>
            <w:tcW w:w="293" w:type="pct"/>
            <w:shd w:val="clear" w:color="000000" w:fill="FFFFFF"/>
            <w:vAlign w:val="center"/>
            <w:hideMark/>
          </w:tcPr>
          <w:p w14:paraId="413DCA7C" w14:textId="77777777" w:rsidR="005A043A" w:rsidRPr="00214F41" w:rsidRDefault="005A043A" w:rsidP="00286762">
            <w:pPr>
              <w:jc w:val="center"/>
              <w:rPr>
                <w:sz w:val="18"/>
                <w:szCs w:val="18"/>
                <w:lang w:val="en-GB"/>
              </w:rPr>
            </w:pPr>
            <w:r w:rsidRPr="00214F41">
              <w:rPr>
                <w:sz w:val="18"/>
                <w:szCs w:val="18"/>
                <w:lang w:val="en-GB"/>
              </w:rPr>
              <w:t>PP</w:t>
            </w:r>
          </w:p>
        </w:tc>
        <w:tc>
          <w:tcPr>
            <w:tcW w:w="730" w:type="pct"/>
            <w:shd w:val="clear" w:color="000000" w:fill="FFFFFF"/>
            <w:vAlign w:val="center"/>
            <w:hideMark/>
          </w:tcPr>
          <w:p w14:paraId="7A8DCD96" w14:textId="77777777" w:rsidR="005A043A" w:rsidRPr="00214F41" w:rsidRDefault="005A043A" w:rsidP="00286762">
            <w:pPr>
              <w:jc w:val="center"/>
              <w:rPr>
                <w:sz w:val="18"/>
                <w:szCs w:val="18"/>
                <w:lang w:val="en-GB"/>
              </w:rPr>
            </w:pPr>
            <w:r w:rsidRPr="00214F41">
              <w:rPr>
                <w:sz w:val="18"/>
                <w:szCs w:val="18"/>
                <w:lang w:val="en-GB"/>
              </w:rPr>
              <w:t>To investigate the effects of XR and IR metformin  on post‐prandial glycaemic excursion, chronic glycaemia, lipid profiles, insulin resistance and islet function in T2DM.</w:t>
            </w:r>
          </w:p>
        </w:tc>
        <w:tc>
          <w:tcPr>
            <w:tcW w:w="366" w:type="pct"/>
            <w:shd w:val="clear" w:color="000000" w:fill="FFFFFF"/>
            <w:vAlign w:val="center"/>
            <w:hideMark/>
          </w:tcPr>
          <w:p w14:paraId="2D14EBD4" w14:textId="77777777" w:rsidR="005A043A" w:rsidRPr="00214F41" w:rsidRDefault="005A043A" w:rsidP="00286762">
            <w:pPr>
              <w:jc w:val="center"/>
              <w:rPr>
                <w:sz w:val="18"/>
                <w:szCs w:val="18"/>
                <w:lang w:val="en-GB"/>
              </w:rPr>
            </w:pPr>
            <w:r w:rsidRPr="00214F41">
              <w:rPr>
                <w:sz w:val="18"/>
                <w:szCs w:val="18"/>
                <w:lang w:val="en-GB"/>
              </w:rPr>
              <w:t>150/140</w:t>
            </w:r>
          </w:p>
        </w:tc>
        <w:tc>
          <w:tcPr>
            <w:tcW w:w="321" w:type="pct"/>
            <w:shd w:val="clear" w:color="000000" w:fill="FFFFFF"/>
            <w:vAlign w:val="center"/>
            <w:hideMark/>
          </w:tcPr>
          <w:p w14:paraId="16A7F311" w14:textId="77777777" w:rsidR="005A043A" w:rsidRPr="00214F41" w:rsidRDefault="005A043A" w:rsidP="00286762">
            <w:pPr>
              <w:jc w:val="center"/>
              <w:rPr>
                <w:sz w:val="18"/>
                <w:szCs w:val="18"/>
                <w:lang w:val="en-GB"/>
              </w:rPr>
            </w:pPr>
            <w:r w:rsidRPr="00214F41">
              <w:rPr>
                <w:sz w:val="18"/>
                <w:szCs w:val="18"/>
                <w:lang w:val="en-GB"/>
              </w:rPr>
              <w:t>P/2 weeks/1.5g/d</w:t>
            </w:r>
          </w:p>
        </w:tc>
        <w:tc>
          <w:tcPr>
            <w:tcW w:w="502" w:type="pct"/>
            <w:shd w:val="clear" w:color="000000" w:fill="FFFFFF"/>
            <w:vAlign w:val="center"/>
            <w:hideMark/>
          </w:tcPr>
          <w:p w14:paraId="44249EDA" w14:textId="77777777" w:rsidR="005A043A" w:rsidRPr="00214F41" w:rsidRDefault="005A043A" w:rsidP="00286762">
            <w:pPr>
              <w:jc w:val="center"/>
              <w:rPr>
                <w:sz w:val="18"/>
                <w:szCs w:val="18"/>
                <w:lang w:val="en-GB"/>
              </w:rPr>
            </w:pPr>
            <w:r w:rsidRPr="00214F41">
              <w:rPr>
                <w:sz w:val="18"/>
                <w:szCs w:val="18"/>
                <w:lang w:val="en-GB"/>
              </w:rPr>
              <w:t>Glucophage®</w:t>
            </w:r>
          </w:p>
        </w:tc>
        <w:tc>
          <w:tcPr>
            <w:tcW w:w="362" w:type="pct"/>
            <w:shd w:val="clear" w:color="000000" w:fill="FFFFFF"/>
            <w:vAlign w:val="center"/>
            <w:hideMark/>
          </w:tcPr>
          <w:p w14:paraId="4BEEFC91" w14:textId="77777777" w:rsidR="005A043A" w:rsidRPr="00214F41" w:rsidRDefault="005A043A" w:rsidP="00286762">
            <w:pPr>
              <w:jc w:val="center"/>
              <w:rPr>
                <w:sz w:val="18"/>
                <w:szCs w:val="18"/>
                <w:lang w:val="en-GB"/>
              </w:rPr>
            </w:pPr>
            <w:r w:rsidRPr="00214F41">
              <w:rPr>
                <w:sz w:val="18"/>
                <w:szCs w:val="18"/>
                <w:lang w:val="en-GB"/>
              </w:rPr>
              <w:t>1500mg/1/d</w:t>
            </w:r>
          </w:p>
        </w:tc>
        <w:tc>
          <w:tcPr>
            <w:tcW w:w="229" w:type="pct"/>
            <w:shd w:val="clear" w:color="000000" w:fill="FFFFFF"/>
            <w:vAlign w:val="center"/>
            <w:hideMark/>
          </w:tcPr>
          <w:p w14:paraId="2A5C2BAE" w14:textId="77777777" w:rsidR="005A043A" w:rsidRPr="00214F41" w:rsidRDefault="005A043A" w:rsidP="00286762">
            <w:pPr>
              <w:jc w:val="center"/>
              <w:rPr>
                <w:sz w:val="18"/>
                <w:szCs w:val="18"/>
                <w:lang w:val="en-GB"/>
              </w:rPr>
            </w:pPr>
            <w:r w:rsidRPr="00214F41">
              <w:rPr>
                <w:sz w:val="18"/>
                <w:szCs w:val="18"/>
                <w:lang w:val="en-GB"/>
              </w:rPr>
              <w:t>84</w:t>
            </w:r>
          </w:p>
        </w:tc>
        <w:tc>
          <w:tcPr>
            <w:tcW w:w="274" w:type="pct"/>
            <w:shd w:val="clear" w:color="000000" w:fill="FFFFFF"/>
            <w:vAlign w:val="center"/>
            <w:hideMark/>
          </w:tcPr>
          <w:p w14:paraId="2D04865B" w14:textId="77777777" w:rsidR="005A043A" w:rsidRPr="00214F41" w:rsidRDefault="005A043A" w:rsidP="00286762">
            <w:pPr>
              <w:jc w:val="center"/>
              <w:rPr>
                <w:sz w:val="18"/>
                <w:szCs w:val="18"/>
                <w:lang w:val="en-GB"/>
              </w:rPr>
            </w:pPr>
            <w:r w:rsidRPr="00214F41">
              <w:rPr>
                <w:sz w:val="18"/>
                <w:szCs w:val="18"/>
                <w:lang w:val="en-GB"/>
              </w:rPr>
              <w:t>XR</w:t>
            </w:r>
          </w:p>
        </w:tc>
        <w:tc>
          <w:tcPr>
            <w:tcW w:w="550" w:type="pct"/>
            <w:shd w:val="clear" w:color="000000" w:fill="FFFFFF"/>
            <w:vAlign w:val="center"/>
            <w:hideMark/>
          </w:tcPr>
          <w:p w14:paraId="21A32A3A" w14:textId="77777777" w:rsidR="005A043A" w:rsidRPr="00214F41" w:rsidRDefault="005A043A" w:rsidP="00286762">
            <w:pPr>
              <w:jc w:val="center"/>
              <w:rPr>
                <w:sz w:val="18"/>
                <w:szCs w:val="18"/>
                <w:lang w:val="en-GB"/>
              </w:rPr>
            </w:pPr>
            <w:r w:rsidRPr="00214F41">
              <w:rPr>
                <w:sz w:val="18"/>
                <w:szCs w:val="18"/>
                <w:lang w:val="en-GB"/>
              </w:rPr>
              <w:t>Metformin-IR/ MET XR/MET IR</w:t>
            </w:r>
          </w:p>
        </w:tc>
        <w:tc>
          <w:tcPr>
            <w:tcW w:w="274" w:type="pct"/>
            <w:shd w:val="clear" w:color="000000" w:fill="FFFFFF"/>
            <w:vAlign w:val="center"/>
            <w:hideMark/>
          </w:tcPr>
          <w:p w14:paraId="0B97AC65" w14:textId="77777777" w:rsidR="005A043A" w:rsidRPr="00214F41" w:rsidRDefault="005A043A" w:rsidP="00286762">
            <w:pPr>
              <w:jc w:val="center"/>
              <w:rPr>
                <w:sz w:val="18"/>
                <w:szCs w:val="18"/>
                <w:lang w:val="en-GB"/>
              </w:rPr>
            </w:pPr>
            <w:r w:rsidRPr="00214F41">
              <w:rPr>
                <w:sz w:val="18"/>
                <w:szCs w:val="18"/>
                <w:lang w:val="en-GB"/>
              </w:rPr>
              <w:t>54.6±8.5</w:t>
            </w:r>
          </w:p>
        </w:tc>
        <w:tc>
          <w:tcPr>
            <w:tcW w:w="227" w:type="pct"/>
            <w:shd w:val="clear" w:color="000000" w:fill="FFFFFF"/>
            <w:vAlign w:val="center"/>
            <w:hideMark/>
          </w:tcPr>
          <w:p w14:paraId="54BD5071" w14:textId="77777777" w:rsidR="005A043A" w:rsidRPr="00214F41" w:rsidRDefault="005A043A" w:rsidP="00286762">
            <w:pPr>
              <w:jc w:val="center"/>
              <w:rPr>
                <w:sz w:val="18"/>
                <w:szCs w:val="18"/>
                <w:lang w:val="en-GB"/>
              </w:rPr>
            </w:pPr>
            <w:r w:rsidRPr="00214F41">
              <w:rPr>
                <w:sz w:val="18"/>
                <w:szCs w:val="18"/>
                <w:lang w:val="en-GB"/>
              </w:rPr>
              <w:t>75/50</w:t>
            </w:r>
          </w:p>
        </w:tc>
        <w:tc>
          <w:tcPr>
            <w:tcW w:w="295" w:type="pct"/>
            <w:shd w:val="clear" w:color="000000" w:fill="FFFFFF"/>
            <w:vAlign w:val="center"/>
            <w:hideMark/>
          </w:tcPr>
          <w:p w14:paraId="7DC3F044" w14:textId="77777777" w:rsidR="005A043A" w:rsidRPr="00214F41" w:rsidRDefault="005A043A" w:rsidP="00286762">
            <w:pPr>
              <w:jc w:val="center"/>
              <w:rPr>
                <w:sz w:val="18"/>
                <w:szCs w:val="18"/>
                <w:lang w:val="en-GB"/>
              </w:rPr>
            </w:pPr>
            <w:r w:rsidRPr="00214F41">
              <w:rPr>
                <w:sz w:val="18"/>
                <w:szCs w:val="18"/>
                <w:lang w:val="en-GB"/>
              </w:rPr>
              <w:t>26.4±3.1</w:t>
            </w:r>
          </w:p>
        </w:tc>
        <w:tc>
          <w:tcPr>
            <w:tcW w:w="300" w:type="pct"/>
            <w:shd w:val="clear" w:color="000000" w:fill="FFFFFF"/>
            <w:vAlign w:val="center"/>
            <w:hideMark/>
          </w:tcPr>
          <w:p w14:paraId="60E54C26" w14:textId="77777777" w:rsidR="005A043A" w:rsidRPr="00214F41" w:rsidRDefault="005A043A" w:rsidP="00286762">
            <w:pPr>
              <w:jc w:val="center"/>
              <w:rPr>
                <w:sz w:val="18"/>
                <w:szCs w:val="18"/>
                <w:lang w:val="en-GB"/>
              </w:rPr>
            </w:pPr>
            <w:r w:rsidRPr="00214F41">
              <w:rPr>
                <w:sz w:val="18"/>
                <w:szCs w:val="18"/>
                <w:lang w:val="en-GB"/>
              </w:rPr>
              <w:t>26.2±2.9</w:t>
            </w:r>
          </w:p>
        </w:tc>
      </w:tr>
      <w:tr w:rsidR="005A043A" w:rsidRPr="0072287D" w14:paraId="32D4F779" w14:textId="77777777" w:rsidTr="00286762">
        <w:trPr>
          <w:trHeight w:val="930"/>
        </w:trPr>
        <w:tc>
          <w:tcPr>
            <w:tcW w:w="277" w:type="pct"/>
            <w:shd w:val="clear" w:color="000000" w:fill="FFFFFF"/>
            <w:vAlign w:val="center"/>
            <w:hideMark/>
          </w:tcPr>
          <w:p w14:paraId="4566170F" w14:textId="77777777" w:rsidR="005A043A" w:rsidRPr="00214F41" w:rsidRDefault="005A043A" w:rsidP="00286762">
            <w:pPr>
              <w:jc w:val="center"/>
              <w:rPr>
                <w:sz w:val="18"/>
                <w:szCs w:val="18"/>
                <w:lang w:val="en-GB"/>
              </w:rPr>
            </w:pPr>
            <w:r w:rsidRPr="00214F41">
              <w:rPr>
                <w:sz w:val="18"/>
                <w:szCs w:val="18"/>
                <w:lang w:val="en-GB"/>
              </w:rPr>
              <w:lastRenderedPageBreak/>
              <w:t xml:space="preserve">Ji et al., 2017 </w:t>
            </w:r>
            <w:r w:rsidRPr="00214F41">
              <w:rPr>
                <w:sz w:val="18"/>
                <w:szCs w:val="18"/>
              </w:rPr>
              <w:fldChar w:fldCharType="begin" w:fldLock="1"/>
            </w:r>
            <w:r>
              <w:rPr>
                <w:sz w:val="18"/>
                <w:szCs w:val="18"/>
                <w:lang w:val="en-GB"/>
              </w:rPr>
              <w:instrText>ADDIN CSL_CITATION {"citationItems":[{"id":"ITEM-1","itemData":{"DOI":"10.1111/DOM.13190","ISSN":"1463-1326","PMID":"29227571","abstract":"Aims: Metformin treatment for type 2 diabetes mellitus (T2DM) can be limited by gastrointestinal (GI) adverse events (AEs), resulting in treatment discontinuation. We investigated whether once-daily metformin extended release (XR) is superior in terms of GI tolerability, with non-inferior efficacy, compared with thrice-daily metformin immediate release (IR) in treatment-naïve Chinese patients with T2DM. Materials and Methods: This prospective, open-label, randomized, multicentre, phase IV interventional study enrolled Chinese T2DM patients to receive either metformin XR or metformin IR with a 2-week screening period, a 16-week treatment period and a 2-week follow-up period without treatment. Co-primary endpoints were a non-inferiority assessment of metformin XR vs metformin IR in glycated haemoglobin (HbA1c) least squares mean (LSM) change from baseline to week 16 and the superiority of GI tolerability for metformin XR vs metformin IR. Results: Overall, 532 patients were randomized to metformin IR (n = 267) or metformin XR (n = 265). The HbA1c LSM change was −1.61% and −1.58% in each group, respectively (LSM difference, 0.03; 95% confidence interval [CI], −0.10, 0.17). Incidences of drug-related AEs were 26.5% (n = 66) in the metformin IR-only group and 32.2% (n = 85) in the metformin XR-only group, and GI AEs were 23.8% and 22.3% in each group, respectively (difference, −1.52; 95% CI, −8.60, 5.56). The treatment difference met the predefined non-inferiority upper CI margin of 0.4% in HbA1c. Conclusions: Metformin XR was non-inferior to metformin IR for the LSM change in HbA1c from baseline to week 16 and not superior to metformin IR for overall GI AE incidence during treatment of Chinese T2DM patients.","author":[{"dropping-particle":"","family":"Ji","given":"Linong","non-dropping-particle":"","parse-names":false,"suffix":""},{"dropping-particle":"","family":"Liu","given":"Jing","non-dropping-particle":"","parse-names":false,"suffix":""},{"dropping-particle":"","family":"Yang","given":"Jing","non-dropping-particle":"","parse-names":false,"suffix":""},{"dropping-particle":"","family":"Li","given":"Yufeng","non-dropping-particle":"","parse-names":false,"suffix":""},{"dropping-particle":"","family":"Liang","given":"Li","non-dropping-particle":"","parse-names":false,"suffix":""},{"dropping-particle":"","family":"Zhu","given":"Dalong","non-dropping-particle":"","parse-names":false,"suffix":""},{"dropping-particle":"","family":"Li","given":"Quanmin","non-dropping-particle":"","parse-names":false,"suffix":""},{"dropping-particle":"","family":"Ma","given":"Tianrong","non-dropping-particle":"","parse-names":false,"suffix":""},{"dropping-particle":"","family":"Xu","given":"Haiyan","non-dropping-particle":"","parse-names":false,"suffix":""},{"dropping-particle":"","family":"Yang","given":"Yanlan","non-dropping-particle":"","parse-names":false,"suffix":""},{"dropping-particle":"","family":"Zeng","given":"Jiaoe","non-dropping-particle":"","parse-names":false,"suffix":""},{"dropping-particle":"","family":"Feng","given":"Bo","non-dropping-particle":"","parse-names":false,"suffix":""},{"dropping-particle":"","family":"Qu","given":"Shen","non-dropping-particle":"","parse-names":false,"suffix":""},{"dropping-particle":"","family":"Li","given":"Yiming","non-dropping-particle":"","parse-names":false,"suffix":""},{"dropping-particle":"","family":"Ma","given":"Lizhen","non-dropping-particle":"","parse-names":false,"suffix":""},{"dropping-particle":"","family":"Lin","given":"Shanshan","non-dropping-particle":"","parse-names":false,"suffix":""},{"dropping-particle":"","family":"Wang","given":"Jianping","non-dropping-particle":"","parse-names":false,"suffix":""},{"dropping-particle":"","family":"Li","given":"Wei","non-dropping-particle":"","parse-names":false,"suffix":""},{"dropping-particle":"","family":"Song","given":"Weihong","non-dropping-particle":"","parse-names":false,"suffix":""},{"dropping-particle":"","family":"Li","given":"Xiaoxing","non-dropping-particle":"","parse-names":false,"suffix":""},{"dropping-particle":"","family":"Luo","given":"Yong","non-dropping-particle":"","parse-names":false,"suffix":""},{"dropping-particle":"","family":"Xi","given":"Shugang","non-dropping-particle":"","parse-names":false,"suffix":""},{"dropping-particle":"","family":"Lin","given":"Mei","non-dropping-particle":"","parse-names":false,"suffix":""},{"dropping-particle":"","family":"Liu","given":"Yu","non-dropping-particle":"","parse-names":false,"suffix":""},{"dropping-particle":"","family":"Liang","given":"Zerong","non-dropping-particle":"","parse-names":false,"suffix":""}],"container-title":"Diabetes, obesity &amp; metabolism","id":"ITEM-1","issue":"4","issued":{"date-parts":[["2018","4","1"]]},"page":"1006-1013","publisher":"Diabetes Obes Metab","title":"Comparative effectiveness of metformin monotherapy in extended release and immediate release formulations for the treatment of type 2 diabetes in treatment-naïve Chinese patients: Analysis of results from the CONSENT trial","type":"article-journal","volume":"20"},"uris":["http://www.mendeley.com/documents/?uuid=40a79fcf-1189-3095-8ff2-d4998de7dd77"]}],"mendeley":{"formattedCitation":"[48]","plainTextFormattedCitation":"[48]","previouslyFormattedCitation":"[48]"},"properties":{"noteIndex":0},"schema":"https://github.com/citation-style-language/schema/raw/master/csl-citation.json"}</w:instrText>
            </w:r>
            <w:r w:rsidRPr="00214F41">
              <w:rPr>
                <w:sz w:val="18"/>
                <w:szCs w:val="18"/>
              </w:rPr>
              <w:fldChar w:fldCharType="separate"/>
            </w:r>
            <w:r w:rsidRPr="00FF29A9">
              <w:rPr>
                <w:noProof/>
                <w:sz w:val="18"/>
                <w:szCs w:val="18"/>
                <w:lang w:val="en-GB"/>
              </w:rPr>
              <w:t>[48]</w:t>
            </w:r>
            <w:r w:rsidRPr="00214F41">
              <w:rPr>
                <w:sz w:val="18"/>
                <w:szCs w:val="18"/>
              </w:rPr>
              <w:fldChar w:fldCharType="end"/>
            </w:r>
          </w:p>
        </w:tc>
        <w:tc>
          <w:tcPr>
            <w:tcW w:w="293" w:type="pct"/>
            <w:shd w:val="clear" w:color="000000" w:fill="FFFFFF"/>
            <w:vAlign w:val="center"/>
            <w:hideMark/>
          </w:tcPr>
          <w:p w14:paraId="788F6BBE" w14:textId="77777777" w:rsidR="005A043A" w:rsidRPr="00214F41" w:rsidRDefault="005A043A" w:rsidP="00286762">
            <w:pPr>
              <w:jc w:val="center"/>
              <w:rPr>
                <w:sz w:val="18"/>
                <w:szCs w:val="18"/>
                <w:lang w:val="en-GB"/>
              </w:rPr>
            </w:pPr>
            <w:r w:rsidRPr="00214F41">
              <w:rPr>
                <w:sz w:val="18"/>
                <w:szCs w:val="18"/>
                <w:lang w:val="en-GB"/>
              </w:rPr>
              <w:t>ITT</w:t>
            </w:r>
          </w:p>
        </w:tc>
        <w:tc>
          <w:tcPr>
            <w:tcW w:w="730" w:type="pct"/>
            <w:shd w:val="clear" w:color="000000" w:fill="FFFFFF"/>
            <w:vAlign w:val="center"/>
            <w:hideMark/>
          </w:tcPr>
          <w:p w14:paraId="31255B4D" w14:textId="77777777" w:rsidR="005A043A" w:rsidRPr="00214F41" w:rsidRDefault="005A043A" w:rsidP="00286762">
            <w:pPr>
              <w:jc w:val="center"/>
              <w:rPr>
                <w:sz w:val="18"/>
                <w:szCs w:val="18"/>
                <w:lang w:val="en-GB"/>
              </w:rPr>
            </w:pPr>
            <w:r w:rsidRPr="00214F41">
              <w:rPr>
                <w:sz w:val="18"/>
                <w:szCs w:val="18"/>
                <w:lang w:val="en-GB"/>
              </w:rPr>
              <w:t xml:space="preserve"> To investigate whether once‐daily metformin extended release (XR) is superior in terms of GI tolerability, with non‐inferior efficacy, compared with thrice‐daily metformin immediate release (IR) in treatment‐naïve Chinese patients with T2DM.</w:t>
            </w:r>
          </w:p>
        </w:tc>
        <w:tc>
          <w:tcPr>
            <w:tcW w:w="366" w:type="pct"/>
            <w:shd w:val="clear" w:color="000000" w:fill="FFFFFF"/>
            <w:vAlign w:val="center"/>
            <w:hideMark/>
          </w:tcPr>
          <w:p w14:paraId="012C5572" w14:textId="77777777" w:rsidR="005A043A" w:rsidRPr="00214F41" w:rsidRDefault="005A043A" w:rsidP="00286762">
            <w:pPr>
              <w:jc w:val="center"/>
              <w:rPr>
                <w:sz w:val="18"/>
                <w:szCs w:val="18"/>
                <w:lang w:val="en-GB"/>
              </w:rPr>
            </w:pPr>
            <w:r w:rsidRPr="00214F41">
              <w:rPr>
                <w:sz w:val="18"/>
                <w:szCs w:val="18"/>
                <w:lang w:val="en-GB"/>
              </w:rPr>
              <w:t>532/525</w:t>
            </w:r>
          </w:p>
        </w:tc>
        <w:tc>
          <w:tcPr>
            <w:tcW w:w="321" w:type="pct"/>
            <w:shd w:val="clear" w:color="000000" w:fill="FFFFFF"/>
            <w:vAlign w:val="center"/>
            <w:hideMark/>
          </w:tcPr>
          <w:p w14:paraId="1CD699EF" w14:textId="77777777" w:rsidR="005A043A" w:rsidRPr="00214F41" w:rsidRDefault="005A043A" w:rsidP="00286762">
            <w:pPr>
              <w:jc w:val="center"/>
              <w:rPr>
                <w:sz w:val="18"/>
                <w:szCs w:val="18"/>
                <w:lang w:val="en-GB"/>
              </w:rPr>
            </w:pPr>
            <w:r w:rsidRPr="00214F41">
              <w:rPr>
                <w:sz w:val="18"/>
                <w:szCs w:val="18"/>
                <w:lang w:val="en-GB"/>
              </w:rPr>
              <w:t>S</w:t>
            </w:r>
          </w:p>
        </w:tc>
        <w:tc>
          <w:tcPr>
            <w:tcW w:w="502" w:type="pct"/>
            <w:shd w:val="clear" w:color="000000" w:fill="FFFFFF"/>
            <w:vAlign w:val="center"/>
            <w:hideMark/>
          </w:tcPr>
          <w:p w14:paraId="6FDC1D0C"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6A5335AD" w14:textId="77777777" w:rsidR="005A043A" w:rsidRPr="00214F41" w:rsidRDefault="005A043A" w:rsidP="00286762">
            <w:pPr>
              <w:jc w:val="center"/>
              <w:rPr>
                <w:sz w:val="18"/>
                <w:szCs w:val="18"/>
                <w:lang w:val="en-GB"/>
              </w:rPr>
            </w:pPr>
            <w:r w:rsidRPr="00214F41">
              <w:rPr>
                <w:sz w:val="18"/>
                <w:szCs w:val="18"/>
                <w:lang w:val="en-GB"/>
              </w:rPr>
              <w:t>1988mg/1/d</w:t>
            </w:r>
          </w:p>
        </w:tc>
        <w:tc>
          <w:tcPr>
            <w:tcW w:w="229" w:type="pct"/>
            <w:shd w:val="clear" w:color="000000" w:fill="FFFFFF"/>
            <w:vAlign w:val="center"/>
            <w:hideMark/>
          </w:tcPr>
          <w:p w14:paraId="153F2E0E" w14:textId="77777777" w:rsidR="005A043A" w:rsidRPr="00214F41" w:rsidRDefault="005A043A" w:rsidP="00286762">
            <w:pPr>
              <w:jc w:val="center"/>
              <w:rPr>
                <w:sz w:val="18"/>
                <w:szCs w:val="18"/>
                <w:lang w:val="en-GB"/>
              </w:rPr>
            </w:pPr>
            <w:r w:rsidRPr="00214F41">
              <w:rPr>
                <w:sz w:val="18"/>
                <w:szCs w:val="18"/>
                <w:lang w:val="en-GB"/>
              </w:rPr>
              <w:t>112</w:t>
            </w:r>
          </w:p>
        </w:tc>
        <w:tc>
          <w:tcPr>
            <w:tcW w:w="274" w:type="pct"/>
            <w:shd w:val="clear" w:color="000000" w:fill="FFFFFF"/>
            <w:vAlign w:val="center"/>
            <w:hideMark/>
          </w:tcPr>
          <w:p w14:paraId="33D67A65" w14:textId="77777777" w:rsidR="005A043A" w:rsidRPr="00214F41" w:rsidRDefault="005A043A" w:rsidP="00286762">
            <w:pPr>
              <w:jc w:val="center"/>
              <w:rPr>
                <w:sz w:val="18"/>
                <w:szCs w:val="18"/>
                <w:lang w:val="en-GB"/>
              </w:rPr>
            </w:pPr>
            <w:r w:rsidRPr="00214F41">
              <w:rPr>
                <w:sz w:val="18"/>
                <w:szCs w:val="18"/>
                <w:lang w:val="en-GB"/>
              </w:rPr>
              <w:t>XR</w:t>
            </w:r>
          </w:p>
        </w:tc>
        <w:tc>
          <w:tcPr>
            <w:tcW w:w="550" w:type="pct"/>
            <w:shd w:val="clear" w:color="000000" w:fill="FFFFFF"/>
            <w:vAlign w:val="center"/>
            <w:hideMark/>
          </w:tcPr>
          <w:p w14:paraId="46224E15" w14:textId="77777777" w:rsidR="005A043A" w:rsidRPr="00214F41" w:rsidRDefault="005A043A" w:rsidP="00286762">
            <w:pPr>
              <w:jc w:val="center"/>
              <w:rPr>
                <w:sz w:val="18"/>
                <w:szCs w:val="18"/>
                <w:lang w:val="en-GB"/>
              </w:rPr>
            </w:pPr>
            <w:r w:rsidRPr="00214F41">
              <w:rPr>
                <w:sz w:val="18"/>
                <w:szCs w:val="18"/>
                <w:lang w:val="en-GB"/>
              </w:rPr>
              <w:t>Metformin IR/MET XR/MET IR</w:t>
            </w:r>
          </w:p>
        </w:tc>
        <w:tc>
          <w:tcPr>
            <w:tcW w:w="274" w:type="pct"/>
            <w:shd w:val="clear" w:color="000000" w:fill="FFFFFF"/>
            <w:vAlign w:val="center"/>
            <w:hideMark/>
          </w:tcPr>
          <w:p w14:paraId="2D1A49DB" w14:textId="77777777" w:rsidR="005A043A" w:rsidRPr="00214F41" w:rsidRDefault="005A043A" w:rsidP="00286762">
            <w:pPr>
              <w:jc w:val="center"/>
              <w:rPr>
                <w:sz w:val="18"/>
                <w:szCs w:val="18"/>
                <w:lang w:val="en-GB"/>
              </w:rPr>
            </w:pPr>
            <w:r w:rsidRPr="00214F41">
              <w:rPr>
                <w:sz w:val="18"/>
                <w:szCs w:val="18"/>
                <w:lang w:val="en-GB"/>
              </w:rPr>
              <w:t>53.±10</w:t>
            </w:r>
          </w:p>
        </w:tc>
        <w:tc>
          <w:tcPr>
            <w:tcW w:w="227" w:type="pct"/>
            <w:shd w:val="clear" w:color="000000" w:fill="FFFFFF"/>
            <w:vAlign w:val="center"/>
            <w:hideMark/>
          </w:tcPr>
          <w:p w14:paraId="6490224F" w14:textId="77777777" w:rsidR="005A043A" w:rsidRPr="00214F41" w:rsidRDefault="005A043A" w:rsidP="00286762">
            <w:pPr>
              <w:jc w:val="center"/>
              <w:rPr>
                <w:sz w:val="18"/>
                <w:szCs w:val="18"/>
                <w:lang w:val="en-GB"/>
              </w:rPr>
            </w:pPr>
            <w:r w:rsidRPr="00214F41">
              <w:rPr>
                <w:sz w:val="18"/>
                <w:szCs w:val="18"/>
                <w:lang w:val="en-GB"/>
              </w:rPr>
              <w:t>312/58.6</w:t>
            </w:r>
          </w:p>
        </w:tc>
        <w:tc>
          <w:tcPr>
            <w:tcW w:w="295" w:type="pct"/>
            <w:shd w:val="clear" w:color="000000" w:fill="FFFFFF"/>
            <w:vAlign w:val="center"/>
            <w:hideMark/>
          </w:tcPr>
          <w:p w14:paraId="0881230B" w14:textId="77777777" w:rsidR="005A043A" w:rsidRPr="00214F41" w:rsidRDefault="005A043A" w:rsidP="00286762">
            <w:pPr>
              <w:jc w:val="center"/>
              <w:rPr>
                <w:sz w:val="18"/>
                <w:szCs w:val="18"/>
                <w:lang w:val="en-GB"/>
              </w:rPr>
            </w:pPr>
            <w:r w:rsidRPr="00214F41">
              <w:rPr>
                <w:sz w:val="18"/>
                <w:szCs w:val="18"/>
                <w:lang w:val="en-GB"/>
              </w:rPr>
              <w:t>26.2±3.2</w:t>
            </w:r>
          </w:p>
        </w:tc>
        <w:tc>
          <w:tcPr>
            <w:tcW w:w="300" w:type="pct"/>
            <w:shd w:val="clear" w:color="000000" w:fill="FFFFFF"/>
            <w:vAlign w:val="center"/>
            <w:hideMark/>
          </w:tcPr>
          <w:p w14:paraId="5D2A1783" w14:textId="77777777" w:rsidR="005A043A" w:rsidRPr="00214F41" w:rsidRDefault="005A043A" w:rsidP="00286762">
            <w:pPr>
              <w:jc w:val="center"/>
              <w:rPr>
                <w:sz w:val="18"/>
                <w:szCs w:val="18"/>
                <w:lang w:val="en-GB"/>
              </w:rPr>
            </w:pPr>
            <w:r w:rsidRPr="00214F41">
              <w:rPr>
                <w:sz w:val="18"/>
                <w:szCs w:val="18"/>
                <w:lang w:val="en-GB"/>
              </w:rPr>
              <w:t>26.2±3.1</w:t>
            </w:r>
          </w:p>
        </w:tc>
      </w:tr>
      <w:tr w:rsidR="005A043A" w:rsidRPr="0072287D" w14:paraId="27A8BAD8" w14:textId="77777777" w:rsidTr="00286762">
        <w:trPr>
          <w:trHeight w:val="930"/>
        </w:trPr>
        <w:tc>
          <w:tcPr>
            <w:tcW w:w="277" w:type="pct"/>
            <w:shd w:val="clear" w:color="000000" w:fill="FFFFFF"/>
            <w:vAlign w:val="center"/>
            <w:hideMark/>
          </w:tcPr>
          <w:p w14:paraId="2F26B29A" w14:textId="77777777" w:rsidR="005A043A" w:rsidRPr="00214F41" w:rsidRDefault="005A043A" w:rsidP="00286762">
            <w:pPr>
              <w:jc w:val="center"/>
              <w:rPr>
                <w:sz w:val="18"/>
                <w:szCs w:val="18"/>
                <w:lang w:val="en-GB"/>
              </w:rPr>
            </w:pPr>
            <w:r w:rsidRPr="00214F41">
              <w:rPr>
                <w:sz w:val="18"/>
                <w:szCs w:val="18"/>
                <w:lang w:val="en-GB"/>
              </w:rPr>
              <w:t xml:space="preserve">Schwartz et al., 2006a </w:t>
            </w:r>
            <w:r w:rsidRPr="00214F41">
              <w:rPr>
                <w:sz w:val="18"/>
                <w:szCs w:val="18"/>
                <w:lang w:val="en-GB"/>
              </w:rPr>
              <w:fldChar w:fldCharType="begin" w:fldLock="1"/>
            </w:r>
            <w:r>
              <w:rPr>
                <w:sz w:val="18"/>
                <w:szCs w:val="18"/>
                <w:lang w:val="en-GB"/>
              </w:rPr>
              <w:instrText>ADDIN CSL_CITATION {"citationItems":[{"id":"ITEM-1","itemData":{"DOI":"10.2337/diacare.29.04.06.dc05-1967","ISSN":"0149-5992","abstract":"OBJECTIVE- The purpose of this study was to determine the efficacy and safety of a novel extended-release metformin in patients with type 2 diabetes. RESEARCH DESIGN AND METHODS- Adults with type 2 diabetes (newly diagnosed, treated with diet and exercise only, or previously treated with oral diabetic medications) were randomly assigned to receive one of three extended-release metformin treatment regimens (1,500 mg/day q.d., 1,500 mg/day twice daily, or 2,000 mg/day q.d.) or immediate-release metformin (1,500 mg/day twice daily) in a double-blind 24-week trial. RESULTS- Significant decreases (P{\\textless}0.001) in mean HbA1c (A1C) levels were observed by week 12 in all treatment groups. The mean changes from baseline to end point in the two groups given 1,500 mg extended-release metformin (-0.73 and -0.74\\%) were not significantly different from the change in the immediate-release metformin group (-0.70\\%), whereas the 2,000-mg extended-release metformin group showed a greater decrease in A1C levels (-1.06\\%; mean difference [2,000 mg extended-release metformin - immediate-release metformin]: -0.36 [98.4\\% CI -0.65 to -0.06]). Rapid decreases in fasting plasma glucose levels were observed by week 1, which continued until week 8, and were maintained for the duration of the study. The overall incidence of adverse events was similar for all treatment groups, but fewer patients in the extended-release metformin groups discontinued treatment due to nausea during the initial dosing period than in the immediate-release metformin group. CONCLUSIONS- Once- or twice-daily extended-release metformin was as safe and effective as twice-daily immediate-release metformin and provided continued glycemic control for up to 24 weeks of treatment. © 2006 by the American Diabetes Association.","author":[{"dropping-particle":"","family":"Schwartz","given":"S","non-dropping-particle":"","parse-names":false,"suffix":""},{"dropping-particle":"","family":"Fonseca","given":"V","non-dropping-particle":"","parse-names":false,"suffix":""},{"dropping-particle":"","family":"Berner","given":"B","non-dropping-particle":"","parse-names":false,"suffix":""},{"dropping-particle":"","family":"Cramer","given":"M","non-dropping-particle":"","parse-names":false,"suffix":""},{"dropping-particle":"","family":"Chiang","given":"Y.-K.","non-dropping-particle":"","parse-names":false,"suffix":""},{"dropping-particle":"","family":"Lewin","given":"A","non-dropping-particle":"","parse-names":false,"suffix":""}],"container-title":"Diabetes Care","id":"ITEM-1","issue":"4","issued":{"date-parts":[["2006"]]},"page":"759-764","title":"Efficacy, tolerability, and safety of a novel once-daily extended-release metformin in patients with type 2 diabetes","type":"article-journal","volume":"29"},"uris":["http://www.mendeley.com/documents/?uuid=37b946b6-11ec-4240-b7bd-9033daf1f579"]}],"mendeley":{"formattedCitation":"[49]","plainTextFormattedCitation":"[49]","previouslyFormattedCitation":"[49]"},"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[49]</w:t>
            </w:r>
            <w:r w:rsidRPr="00214F41">
              <w:rPr>
                <w:sz w:val="18"/>
                <w:szCs w:val="18"/>
                <w:lang w:val="en-GB"/>
              </w:rPr>
              <w:fldChar w:fldCharType="end"/>
            </w:r>
          </w:p>
        </w:tc>
        <w:tc>
          <w:tcPr>
            <w:tcW w:w="293" w:type="pct"/>
            <w:vMerge w:val="restart"/>
            <w:shd w:val="clear" w:color="000000" w:fill="FFFFFF"/>
            <w:vAlign w:val="center"/>
            <w:hideMark/>
          </w:tcPr>
          <w:p w14:paraId="7A9E8905" w14:textId="77777777" w:rsidR="005A043A" w:rsidRPr="00214F41" w:rsidRDefault="005A043A" w:rsidP="00286762">
            <w:pPr>
              <w:jc w:val="center"/>
              <w:rPr>
                <w:sz w:val="18"/>
                <w:szCs w:val="18"/>
                <w:lang w:val="en-GB"/>
              </w:rPr>
            </w:pPr>
            <w:r w:rsidRPr="00214F41">
              <w:rPr>
                <w:sz w:val="18"/>
                <w:szCs w:val="18"/>
                <w:lang w:val="en-GB"/>
              </w:rPr>
              <w:t>ITT</w:t>
            </w:r>
          </w:p>
          <w:p w14:paraId="2EFB852C" w14:textId="77777777" w:rsidR="005A043A" w:rsidRPr="00214F41" w:rsidRDefault="005A043A" w:rsidP="00286762">
            <w:pPr>
              <w:jc w:val="center"/>
              <w:rPr>
                <w:sz w:val="18"/>
                <w:szCs w:val="18"/>
                <w:lang w:val="en-GB"/>
              </w:rPr>
            </w:pPr>
          </w:p>
        </w:tc>
        <w:tc>
          <w:tcPr>
            <w:tcW w:w="730" w:type="pct"/>
            <w:vMerge w:val="restart"/>
            <w:shd w:val="clear" w:color="000000" w:fill="FFFFFF"/>
            <w:vAlign w:val="center"/>
            <w:hideMark/>
          </w:tcPr>
          <w:p w14:paraId="0230A24F" w14:textId="77777777" w:rsidR="005A043A" w:rsidRPr="00214F41" w:rsidRDefault="005A043A" w:rsidP="00286762">
            <w:pPr>
              <w:jc w:val="center"/>
              <w:rPr>
                <w:sz w:val="18"/>
                <w:szCs w:val="18"/>
                <w:lang w:val="en-GB"/>
              </w:rPr>
            </w:pPr>
            <w:r w:rsidRPr="00214F41">
              <w:rPr>
                <w:sz w:val="18"/>
                <w:szCs w:val="18"/>
                <w:lang w:val="en-GB"/>
              </w:rPr>
              <w:t>To determine the efficacy and safety of a novel</w:t>
            </w:r>
            <w:r w:rsidRPr="00214F41">
              <w:rPr>
                <w:sz w:val="18"/>
                <w:szCs w:val="18"/>
                <w:lang w:val="en-GB"/>
              </w:rPr>
              <w:br/>
              <w:t>extended-release metformin in patients with T2DM.</w:t>
            </w:r>
          </w:p>
        </w:tc>
        <w:tc>
          <w:tcPr>
            <w:tcW w:w="366" w:type="pct"/>
            <w:vMerge w:val="restart"/>
            <w:shd w:val="clear" w:color="000000" w:fill="FFFFFF"/>
            <w:vAlign w:val="center"/>
            <w:hideMark/>
          </w:tcPr>
          <w:p w14:paraId="1ECF6274" w14:textId="77777777" w:rsidR="005A043A" w:rsidRPr="00214F41" w:rsidRDefault="005A043A" w:rsidP="00286762">
            <w:pPr>
              <w:jc w:val="center"/>
              <w:rPr>
                <w:sz w:val="18"/>
                <w:szCs w:val="18"/>
                <w:lang w:val="en-GB"/>
              </w:rPr>
            </w:pPr>
            <w:r w:rsidRPr="00214F41">
              <w:rPr>
                <w:sz w:val="18"/>
                <w:szCs w:val="18"/>
                <w:lang w:val="en-GB"/>
              </w:rPr>
              <w:t>750/706</w:t>
            </w:r>
          </w:p>
        </w:tc>
        <w:tc>
          <w:tcPr>
            <w:tcW w:w="321" w:type="pct"/>
            <w:vMerge w:val="restart"/>
            <w:shd w:val="clear" w:color="000000" w:fill="FFFFFF"/>
            <w:vAlign w:val="center"/>
            <w:hideMark/>
          </w:tcPr>
          <w:p w14:paraId="1500C700" w14:textId="77777777" w:rsidR="005A043A" w:rsidRPr="00214F41" w:rsidRDefault="005A043A" w:rsidP="00286762">
            <w:pPr>
              <w:jc w:val="center"/>
              <w:rPr>
                <w:sz w:val="18"/>
                <w:szCs w:val="18"/>
                <w:lang w:val="en-GB"/>
              </w:rPr>
            </w:pPr>
            <w:r w:rsidRPr="00214F41">
              <w:rPr>
                <w:sz w:val="18"/>
                <w:szCs w:val="18"/>
                <w:lang w:val="en-GB"/>
              </w:rPr>
              <w:t>S</w:t>
            </w:r>
          </w:p>
        </w:tc>
        <w:tc>
          <w:tcPr>
            <w:tcW w:w="502" w:type="pct"/>
            <w:vMerge w:val="restart"/>
            <w:shd w:val="clear" w:color="000000" w:fill="FFFFFF"/>
            <w:vAlign w:val="center"/>
            <w:hideMark/>
          </w:tcPr>
          <w:p w14:paraId="59DF00B9" w14:textId="77777777" w:rsidR="005A043A" w:rsidRPr="00214F41" w:rsidRDefault="005A043A" w:rsidP="00286762">
            <w:pPr>
              <w:jc w:val="center"/>
              <w:rPr>
                <w:sz w:val="18"/>
                <w:szCs w:val="18"/>
                <w:lang w:val="en-GB"/>
              </w:rPr>
            </w:pPr>
            <w:proofErr w:type="spellStart"/>
            <w:r w:rsidRPr="00214F41">
              <w:rPr>
                <w:sz w:val="18"/>
                <w:szCs w:val="18"/>
                <w:lang w:val="en-GB"/>
              </w:rPr>
              <w:t>Glumetza</w:t>
            </w:r>
            <w:proofErr w:type="spellEnd"/>
          </w:p>
        </w:tc>
        <w:tc>
          <w:tcPr>
            <w:tcW w:w="362" w:type="pct"/>
            <w:shd w:val="clear" w:color="000000" w:fill="FFFFFF"/>
            <w:vAlign w:val="center"/>
            <w:hideMark/>
          </w:tcPr>
          <w:p w14:paraId="5B2B9C1C" w14:textId="77777777" w:rsidR="005A043A" w:rsidRPr="00214F41" w:rsidRDefault="005A043A" w:rsidP="00286762">
            <w:pPr>
              <w:jc w:val="center"/>
              <w:rPr>
                <w:sz w:val="18"/>
                <w:szCs w:val="18"/>
                <w:lang w:val="en-GB"/>
              </w:rPr>
            </w:pPr>
            <w:r w:rsidRPr="00214F41">
              <w:rPr>
                <w:sz w:val="18"/>
                <w:szCs w:val="18"/>
                <w:lang w:val="en-GB"/>
              </w:rPr>
              <w:t>1500mg/1/d</w:t>
            </w:r>
          </w:p>
        </w:tc>
        <w:tc>
          <w:tcPr>
            <w:tcW w:w="229" w:type="pct"/>
            <w:vMerge w:val="restart"/>
            <w:shd w:val="clear" w:color="000000" w:fill="FFFFFF"/>
            <w:vAlign w:val="center"/>
            <w:hideMark/>
          </w:tcPr>
          <w:p w14:paraId="3310D562" w14:textId="77777777" w:rsidR="005A043A" w:rsidRPr="00214F41" w:rsidRDefault="005A043A" w:rsidP="00286762">
            <w:pPr>
              <w:jc w:val="center"/>
              <w:rPr>
                <w:sz w:val="18"/>
                <w:szCs w:val="18"/>
                <w:lang w:val="en-GB"/>
              </w:rPr>
            </w:pPr>
            <w:r w:rsidRPr="00214F41">
              <w:rPr>
                <w:sz w:val="18"/>
                <w:szCs w:val="18"/>
                <w:lang w:val="en-GB"/>
              </w:rPr>
              <w:t>168</w:t>
            </w:r>
          </w:p>
        </w:tc>
        <w:tc>
          <w:tcPr>
            <w:tcW w:w="274" w:type="pct"/>
            <w:vMerge w:val="restart"/>
            <w:shd w:val="clear" w:color="000000" w:fill="FFFFFF"/>
            <w:vAlign w:val="center"/>
            <w:hideMark/>
          </w:tcPr>
          <w:p w14:paraId="27D6EA11" w14:textId="77777777" w:rsidR="005A043A" w:rsidRPr="00214F41" w:rsidRDefault="005A043A" w:rsidP="00286762">
            <w:pPr>
              <w:jc w:val="center"/>
              <w:rPr>
                <w:sz w:val="18"/>
                <w:szCs w:val="18"/>
                <w:lang w:val="en-GB"/>
              </w:rPr>
            </w:pPr>
            <w:r w:rsidRPr="00214F41">
              <w:rPr>
                <w:sz w:val="18"/>
                <w:szCs w:val="18"/>
                <w:lang w:val="en-GB"/>
              </w:rPr>
              <w:t>XR</w:t>
            </w:r>
          </w:p>
        </w:tc>
        <w:tc>
          <w:tcPr>
            <w:tcW w:w="550" w:type="pct"/>
            <w:vMerge w:val="restart"/>
            <w:shd w:val="clear" w:color="000000" w:fill="FFFFFF"/>
            <w:vAlign w:val="center"/>
            <w:hideMark/>
          </w:tcPr>
          <w:p w14:paraId="7ADE635E" w14:textId="77777777" w:rsidR="005A043A" w:rsidRPr="00214F41" w:rsidRDefault="005A043A" w:rsidP="00286762">
            <w:pPr>
              <w:jc w:val="center"/>
              <w:rPr>
                <w:sz w:val="18"/>
                <w:szCs w:val="18"/>
                <w:lang w:val="en-GB"/>
              </w:rPr>
            </w:pPr>
            <w:r w:rsidRPr="00214F41">
              <w:rPr>
                <w:sz w:val="18"/>
                <w:szCs w:val="18"/>
                <w:lang w:val="en-GB"/>
              </w:rPr>
              <w:t>Metformin IR (AM/PM)/ MET XR/MET IR</w:t>
            </w:r>
          </w:p>
          <w:p w14:paraId="4096FB25" w14:textId="77777777" w:rsidR="005A043A" w:rsidRPr="00214F41" w:rsidRDefault="005A043A" w:rsidP="00286762">
            <w:pPr>
              <w:jc w:val="center"/>
              <w:rPr>
                <w:sz w:val="18"/>
                <w:szCs w:val="18"/>
                <w:lang w:val="en-GB"/>
              </w:rPr>
            </w:pPr>
          </w:p>
        </w:tc>
        <w:tc>
          <w:tcPr>
            <w:tcW w:w="274" w:type="pct"/>
            <w:shd w:val="clear" w:color="000000" w:fill="FFFFFF"/>
            <w:vAlign w:val="center"/>
            <w:hideMark/>
          </w:tcPr>
          <w:p w14:paraId="7B2D86CA" w14:textId="77777777" w:rsidR="005A043A" w:rsidRPr="00214F41" w:rsidRDefault="005A043A" w:rsidP="00286762">
            <w:pPr>
              <w:jc w:val="center"/>
              <w:rPr>
                <w:sz w:val="18"/>
                <w:szCs w:val="18"/>
                <w:lang w:val="en-GB"/>
              </w:rPr>
            </w:pPr>
            <w:r w:rsidRPr="00214F41">
              <w:rPr>
                <w:sz w:val="18"/>
                <w:szCs w:val="18"/>
                <w:lang w:val="en-GB"/>
              </w:rPr>
              <w:t>54±12</w:t>
            </w:r>
          </w:p>
        </w:tc>
        <w:tc>
          <w:tcPr>
            <w:tcW w:w="227" w:type="pct"/>
            <w:shd w:val="clear" w:color="000000" w:fill="FFFFFF"/>
            <w:vAlign w:val="center"/>
            <w:hideMark/>
          </w:tcPr>
          <w:p w14:paraId="1C98F71C" w14:textId="77777777" w:rsidR="005A043A" w:rsidRPr="00214F41" w:rsidRDefault="005A043A" w:rsidP="00286762">
            <w:pPr>
              <w:jc w:val="center"/>
              <w:rPr>
                <w:sz w:val="18"/>
                <w:szCs w:val="18"/>
                <w:lang w:val="en-GB"/>
              </w:rPr>
            </w:pPr>
            <w:r w:rsidRPr="00214F41">
              <w:rPr>
                <w:sz w:val="18"/>
                <w:szCs w:val="18"/>
                <w:lang w:val="en-GB"/>
              </w:rPr>
              <w:t>178/50.6</w:t>
            </w:r>
          </w:p>
        </w:tc>
        <w:tc>
          <w:tcPr>
            <w:tcW w:w="295" w:type="pct"/>
            <w:shd w:val="clear" w:color="000000" w:fill="FFFFFF"/>
            <w:vAlign w:val="center"/>
            <w:hideMark/>
          </w:tcPr>
          <w:p w14:paraId="334CAD3D" w14:textId="77777777" w:rsidR="005A043A" w:rsidRPr="00214F41" w:rsidRDefault="005A043A" w:rsidP="00286762">
            <w:pPr>
              <w:jc w:val="center"/>
              <w:rPr>
                <w:sz w:val="18"/>
                <w:szCs w:val="18"/>
                <w:lang w:val="en-GB"/>
              </w:rPr>
            </w:pPr>
            <w:r w:rsidRPr="00214F41">
              <w:rPr>
                <w:sz w:val="18"/>
                <w:szCs w:val="18"/>
                <w:lang w:val="en-GB"/>
              </w:rPr>
              <w:t>33.4±6.6</w:t>
            </w:r>
          </w:p>
        </w:tc>
        <w:tc>
          <w:tcPr>
            <w:tcW w:w="300" w:type="pct"/>
            <w:vMerge w:val="restart"/>
            <w:shd w:val="clear" w:color="000000" w:fill="FFFFFF"/>
            <w:vAlign w:val="center"/>
            <w:hideMark/>
          </w:tcPr>
          <w:p w14:paraId="1F9EBC41" w14:textId="77777777" w:rsidR="005A043A" w:rsidRPr="00214F41" w:rsidRDefault="005A043A" w:rsidP="00286762">
            <w:pPr>
              <w:jc w:val="center"/>
              <w:rPr>
                <w:sz w:val="18"/>
                <w:szCs w:val="18"/>
                <w:lang w:val="en-GB"/>
              </w:rPr>
            </w:pPr>
            <w:r w:rsidRPr="00214F41">
              <w:rPr>
                <w:sz w:val="18"/>
                <w:szCs w:val="18"/>
                <w:lang w:val="en-GB"/>
              </w:rPr>
              <w:t>33.8/6.8</w:t>
            </w:r>
          </w:p>
        </w:tc>
      </w:tr>
      <w:tr w:rsidR="005A043A" w:rsidRPr="0072287D" w14:paraId="7803B7D3" w14:textId="77777777" w:rsidTr="00286762">
        <w:trPr>
          <w:trHeight w:val="930"/>
        </w:trPr>
        <w:tc>
          <w:tcPr>
            <w:tcW w:w="277" w:type="pct"/>
            <w:shd w:val="clear" w:color="000000" w:fill="FFFFFF"/>
            <w:vAlign w:val="center"/>
            <w:hideMark/>
          </w:tcPr>
          <w:p w14:paraId="0F14B0E9" w14:textId="77777777" w:rsidR="005A043A" w:rsidRPr="00214F41" w:rsidRDefault="005A043A" w:rsidP="00286762">
            <w:pPr>
              <w:jc w:val="center"/>
              <w:rPr>
                <w:sz w:val="18"/>
                <w:szCs w:val="18"/>
                <w:lang w:val="en-GB"/>
              </w:rPr>
            </w:pPr>
            <w:r w:rsidRPr="00214F41">
              <w:rPr>
                <w:sz w:val="18"/>
                <w:szCs w:val="18"/>
                <w:lang w:val="en-GB"/>
              </w:rPr>
              <w:t>Schwartz et al., 2006b</w:t>
            </w:r>
          </w:p>
        </w:tc>
        <w:tc>
          <w:tcPr>
            <w:tcW w:w="293" w:type="pct"/>
            <w:vMerge/>
            <w:shd w:val="clear" w:color="000000" w:fill="FFFFFF"/>
            <w:vAlign w:val="center"/>
            <w:hideMark/>
          </w:tcPr>
          <w:p w14:paraId="27D39637" w14:textId="77777777" w:rsidR="005A043A" w:rsidRPr="00214F41" w:rsidRDefault="005A043A" w:rsidP="00286762">
            <w:pPr>
              <w:jc w:val="center"/>
              <w:rPr>
                <w:sz w:val="18"/>
                <w:szCs w:val="18"/>
                <w:lang w:val="en-GB"/>
              </w:rPr>
            </w:pPr>
          </w:p>
        </w:tc>
        <w:tc>
          <w:tcPr>
            <w:tcW w:w="730" w:type="pct"/>
            <w:vMerge/>
            <w:shd w:val="clear" w:color="000000" w:fill="FFFFFF"/>
            <w:vAlign w:val="center"/>
          </w:tcPr>
          <w:p w14:paraId="7B367EF7" w14:textId="77777777" w:rsidR="005A043A" w:rsidRPr="00214F41" w:rsidRDefault="005A043A" w:rsidP="00286762">
            <w:pPr>
              <w:jc w:val="center"/>
              <w:rPr>
                <w:sz w:val="18"/>
                <w:szCs w:val="18"/>
                <w:lang w:val="en-GB"/>
              </w:rPr>
            </w:pPr>
          </w:p>
        </w:tc>
        <w:tc>
          <w:tcPr>
            <w:tcW w:w="366" w:type="pct"/>
            <w:vMerge/>
            <w:shd w:val="clear" w:color="000000" w:fill="FFFFFF"/>
            <w:vAlign w:val="center"/>
            <w:hideMark/>
          </w:tcPr>
          <w:p w14:paraId="74B1B267" w14:textId="77777777" w:rsidR="005A043A" w:rsidRPr="00214F41" w:rsidRDefault="005A043A" w:rsidP="00286762">
            <w:pPr>
              <w:jc w:val="center"/>
              <w:rPr>
                <w:sz w:val="18"/>
                <w:szCs w:val="18"/>
                <w:lang w:val="en-GB"/>
              </w:rPr>
            </w:pPr>
          </w:p>
        </w:tc>
        <w:tc>
          <w:tcPr>
            <w:tcW w:w="321" w:type="pct"/>
            <w:vMerge/>
            <w:shd w:val="clear" w:color="000000" w:fill="FFFFFF"/>
            <w:vAlign w:val="center"/>
            <w:hideMark/>
          </w:tcPr>
          <w:p w14:paraId="6016102D" w14:textId="77777777" w:rsidR="005A043A" w:rsidRPr="00214F41" w:rsidRDefault="005A043A" w:rsidP="00286762">
            <w:pPr>
              <w:jc w:val="center"/>
              <w:rPr>
                <w:sz w:val="18"/>
                <w:szCs w:val="18"/>
                <w:lang w:val="en-GB"/>
              </w:rPr>
            </w:pPr>
          </w:p>
        </w:tc>
        <w:tc>
          <w:tcPr>
            <w:tcW w:w="502" w:type="pct"/>
            <w:vMerge/>
            <w:shd w:val="clear" w:color="000000" w:fill="FFFFFF"/>
            <w:vAlign w:val="center"/>
            <w:hideMark/>
          </w:tcPr>
          <w:p w14:paraId="49778ACE" w14:textId="77777777" w:rsidR="005A043A" w:rsidRPr="00214F41" w:rsidRDefault="005A043A" w:rsidP="00286762">
            <w:pPr>
              <w:jc w:val="center"/>
              <w:rPr>
                <w:sz w:val="18"/>
                <w:szCs w:val="18"/>
                <w:lang w:val="en-GB"/>
              </w:rPr>
            </w:pPr>
          </w:p>
        </w:tc>
        <w:tc>
          <w:tcPr>
            <w:tcW w:w="362" w:type="pct"/>
            <w:shd w:val="clear" w:color="000000" w:fill="FFFFFF"/>
            <w:vAlign w:val="center"/>
            <w:hideMark/>
          </w:tcPr>
          <w:p w14:paraId="0A14CF5D" w14:textId="77777777" w:rsidR="005A043A" w:rsidRPr="00214F41" w:rsidRDefault="005A043A" w:rsidP="00286762">
            <w:pPr>
              <w:jc w:val="center"/>
              <w:rPr>
                <w:sz w:val="18"/>
                <w:szCs w:val="18"/>
                <w:lang w:val="en-GB"/>
              </w:rPr>
            </w:pPr>
            <w:r w:rsidRPr="00214F41">
              <w:rPr>
                <w:sz w:val="18"/>
                <w:szCs w:val="18"/>
                <w:lang w:val="en-GB"/>
              </w:rPr>
              <w:t>1500mg/2/d</w:t>
            </w:r>
          </w:p>
        </w:tc>
        <w:tc>
          <w:tcPr>
            <w:tcW w:w="229" w:type="pct"/>
            <w:vMerge/>
            <w:shd w:val="clear" w:color="000000" w:fill="FFFFFF"/>
            <w:vAlign w:val="center"/>
            <w:hideMark/>
          </w:tcPr>
          <w:p w14:paraId="5B63E40C" w14:textId="77777777" w:rsidR="005A043A" w:rsidRPr="00214F41" w:rsidRDefault="005A043A" w:rsidP="00286762">
            <w:pPr>
              <w:jc w:val="center"/>
              <w:rPr>
                <w:sz w:val="18"/>
                <w:szCs w:val="18"/>
                <w:lang w:val="en-GB"/>
              </w:rPr>
            </w:pPr>
          </w:p>
        </w:tc>
        <w:tc>
          <w:tcPr>
            <w:tcW w:w="274" w:type="pct"/>
            <w:vMerge/>
            <w:shd w:val="clear" w:color="000000" w:fill="FFFFFF"/>
            <w:vAlign w:val="center"/>
            <w:hideMark/>
          </w:tcPr>
          <w:p w14:paraId="22308238" w14:textId="77777777" w:rsidR="005A043A" w:rsidRPr="00214F41" w:rsidRDefault="005A043A" w:rsidP="00286762">
            <w:pPr>
              <w:jc w:val="center"/>
              <w:rPr>
                <w:sz w:val="18"/>
                <w:szCs w:val="18"/>
                <w:lang w:val="en-GB"/>
              </w:rPr>
            </w:pPr>
          </w:p>
        </w:tc>
        <w:tc>
          <w:tcPr>
            <w:tcW w:w="550" w:type="pct"/>
            <w:vMerge/>
            <w:shd w:val="clear" w:color="000000" w:fill="FFFFFF"/>
            <w:vAlign w:val="center"/>
            <w:hideMark/>
          </w:tcPr>
          <w:p w14:paraId="3A005A5D" w14:textId="77777777" w:rsidR="005A043A" w:rsidRPr="00214F41" w:rsidRDefault="005A043A" w:rsidP="00286762">
            <w:pPr>
              <w:jc w:val="center"/>
              <w:rPr>
                <w:sz w:val="18"/>
                <w:szCs w:val="18"/>
                <w:lang w:val="en-GB"/>
              </w:rPr>
            </w:pPr>
          </w:p>
        </w:tc>
        <w:tc>
          <w:tcPr>
            <w:tcW w:w="274" w:type="pct"/>
            <w:shd w:val="clear" w:color="000000" w:fill="FFFFFF"/>
            <w:vAlign w:val="center"/>
            <w:hideMark/>
          </w:tcPr>
          <w:p w14:paraId="3A976838" w14:textId="77777777" w:rsidR="005A043A" w:rsidRPr="00214F41" w:rsidRDefault="005A043A" w:rsidP="00286762">
            <w:pPr>
              <w:jc w:val="center"/>
              <w:rPr>
                <w:sz w:val="18"/>
                <w:szCs w:val="18"/>
                <w:lang w:val="en-GB"/>
              </w:rPr>
            </w:pPr>
            <w:r w:rsidRPr="00214F41">
              <w:rPr>
                <w:sz w:val="18"/>
                <w:szCs w:val="18"/>
                <w:lang w:val="en-GB"/>
              </w:rPr>
              <w:t>54±12.1</w:t>
            </w:r>
          </w:p>
        </w:tc>
        <w:tc>
          <w:tcPr>
            <w:tcW w:w="227" w:type="pct"/>
            <w:shd w:val="clear" w:color="000000" w:fill="FFFFFF"/>
            <w:vAlign w:val="center"/>
            <w:hideMark/>
          </w:tcPr>
          <w:p w14:paraId="5D85FC4A" w14:textId="77777777" w:rsidR="005A043A" w:rsidRPr="00214F41" w:rsidRDefault="005A043A" w:rsidP="00286762">
            <w:pPr>
              <w:jc w:val="center"/>
              <w:rPr>
                <w:sz w:val="18"/>
                <w:szCs w:val="18"/>
                <w:lang w:val="en-GB"/>
              </w:rPr>
            </w:pPr>
            <w:r w:rsidRPr="00214F41">
              <w:rPr>
                <w:sz w:val="18"/>
                <w:szCs w:val="18"/>
                <w:lang w:val="en-GB"/>
              </w:rPr>
              <w:t>206/57.9</w:t>
            </w:r>
          </w:p>
        </w:tc>
        <w:tc>
          <w:tcPr>
            <w:tcW w:w="295" w:type="pct"/>
            <w:shd w:val="clear" w:color="000000" w:fill="FFFFFF"/>
            <w:vAlign w:val="center"/>
            <w:hideMark/>
          </w:tcPr>
          <w:p w14:paraId="782C9BD0" w14:textId="77777777" w:rsidR="005A043A" w:rsidRPr="00214F41" w:rsidRDefault="005A043A" w:rsidP="00286762">
            <w:pPr>
              <w:jc w:val="center"/>
              <w:rPr>
                <w:sz w:val="18"/>
                <w:szCs w:val="18"/>
                <w:lang w:val="en-GB"/>
              </w:rPr>
            </w:pPr>
            <w:r w:rsidRPr="00214F41">
              <w:rPr>
                <w:sz w:val="18"/>
                <w:szCs w:val="18"/>
                <w:lang w:val="en-GB"/>
              </w:rPr>
              <w:t>33±6.3</w:t>
            </w:r>
          </w:p>
        </w:tc>
        <w:tc>
          <w:tcPr>
            <w:tcW w:w="300" w:type="pct"/>
            <w:vMerge/>
            <w:shd w:val="clear" w:color="000000" w:fill="FFFFFF"/>
            <w:vAlign w:val="center"/>
            <w:hideMark/>
          </w:tcPr>
          <w:p w14:paraId="62628135" w14:textId="77777777" w:rsidR="005A043A" w:rsidRPr="00214F41" w:rsidRDefault="005A043A" w:rsidP="00286762">
            <w:pPr>
              <w:jc w:val="center"/>
              <w:rPr>
                <w:sz w:val="18"/>
                <w:szCs w:val="18"/>
                <w:lang w:val="en-GB"/>
              </w:rPr>
            </w:pPr>
          </w:p>
        </w:tc>
      </w:tr>
      <w:tr w:rsidR="005A043A" w:rsidRPr="0072287D" w14:paraId="5BEDFAB7" w14:textId="77777777" w:rsidTr="00286762">
        <w:trPr>
          <w:trHeight w:val="930"/>
        </w:trPr>
        <w:tc>
          <w:tcPr>
            <w:tcW w:w="277" w:type="pct"/>
            <w:shd w:val="clear" w:color="000000" w:fill="FFFFFF"/>
            <w:vAlign w:val="center"/>
            <w:hideMark/>
          </w:tcPr>
          <w:p w14:paraId="41B0173B" w14:textId="77777777" w:rsidR="005A043A" w:rsidRPr="00214F41" w:rsidRDefault="005A043A" w:rsidP="00286762">
            <w:pPr>
              <w:jc w:val="center"/>
              <w:rPr>
                <w:sz w:val="18"/>
                <w:szCs w:val="18"/>
                <w:lang w:val="en-GB"/>
              </w:rPr>
            </w:pPr>
            <w:r w:rsidRPr="00214F41">
              <w:rPr>
                <w:sz w:val="18"/>
                <w:szCs w:val="18"/>
                <w:lang w:val="en-GB"/>
              </w:rPr>
              <w:t>Schwartz et al., 2006c</w:t>
            </w:r>
          </w:p>
        </w:tc>
        <w:tc>
          <w:tcPr>
            <w:tcW w:w="293" w:type="pct"/>
            <w:vMerge/>
            <w:shd w:val="clear" w:color="000000" w:fill="FFFFFF"/>
            <w:vAlign w:val="center"/>
            <w:hideMark/>
          </w:tcPr>
          <w:p w14:paraId="1B781CC2" w14:textId="77777777" w:rsidR="005A043A" w:rsidRPr="00214F41" w:rsidRDefault="005A043A" w:rsidP="00286762">
            <w:pPr>
              <w:jc w:val="center"/>
              <w:rPr>
                <w:sz w:val="18"/>
                <w:szCs w:val="18"/>
                <w:lang w:val="en-GB"/>
              </w:rPr>
            </w:pPr>
          </w:p>
        </w:tc>
        <w:tc>
          <w:tcPr>
            <w:tcW w:w="730" w:type="pct"/>
            <w:vMerge/>
            <w:shd w:val="clear" w:color="000000" w:fill="FFFFFF"/>
            <w:vAlign w:val="center"/>
          </w:tcPr>
          <w:p w14:paraId="69F40EA6" w14:textId="77777777" w:rsidR="005A043A" w:rsidRPr="00214F41" w:rsidRDefault="005A043A" w:rsidP="00286762">
            <w:pPr>
              <w:jc w:val="center"/>
              <w:rPr>
                <w:sz w:val="18"/>
                <w:szCs w:val="18"/>
                <w:lang w:val="en-GB"/>
              </w:rPr>
            </w:pPr>
          </w:p>
        </w:tc>
        <w:tc>
          <w:tcPr>
            <w:tcW w:w="366" w:type="pct"/>
            <w:vMerge/>
            <w:shd w:val="clear" w:color="000000" w:fill="FFFFFF"/>
            <w:vAlign w:val="center"/>
            <w:hideMark/>
          </w:tcPr>
          <w:p w14:paraId="52E2DDC8" w14:textId="77777777" w:rsidR="005A043A" w:rsidRPr="00214F41" w:rsidRDefault="005A043A" w:rsidP="00286762">
            <w:pPr>
              <w:jc w:val="center"/>
              <w:rPr>
                <w:sz w:val="18"/>
                <w:szCs w:val="18"/>
                <w:lang w:val="en-GB"/>
              </w:rPr>
            </w:pPr>
          </w:p>
        </w:tc>
        <w:tc>
          <w:tcPr>
            <w:tcW w:w="321" w:type="pct"/>
            <w:vMerge/>
            <w:shd w:val="clear" w:color="000000" w:fill="FFFFFF"/>
            <w:vAlign w:val="center"/>
            <w:hideMark/>
          </w:tcPr>
          <w:p w14:paraId="64631593" w14:textId="77777777" w:rsidR="005A043A" w:rsidRPr="00214F41" w:rsidRDefault="005A043A" w:rsidP="00286762">
            <w:pPr>
              <w:jc w:val="center"/>
              <w:rPr>
                <w:sz w:val="18"/>
                <w:szCs w:val="18"/>
                <w:lang w:val="en-GB"/>
              </w:rPr>
            </w:pPr>
          </w:p>
        </w:tc>
        <w:tc>
          <w:tcPr>
            <w:tcW w:w="502" w:type="pct"/>
            <w:vMerge/>
            <w:shd w:val="clear" w:color="000000" w:fill="FFFFFF"/>
            <w:vAlign w:val="center"/>
            <w:hideMark/>
          </w:tcPr>
          <w:p w14:paraId="483F9306" w14:textId="77777777" w:rsidR="005A043A" w:rsidRPr="00214F41" w:rsidRDefault="005A043A" w:rsidP="00286762">
            <w:pPr>
              <w:jc w:val="center"/>
              <w:rPr>
                <w:sz w:val="18"/>
                <w:szCs w:val="18"/>
                <w:lang w:val="en-GB"/>
              </w:rPr>
            </w:pPr>
          </w:p>
        </w:tc>
        <w:tc>
          <w:tcPr>
            <w:tcW w:w="362" w:type="pct"/>
            <w:shd w:val="clear" w:color="000000" w:fill="FFFFFF"/>
            <w:vAlign w:val="center"/>
            <w:hideMark/>
          </w:tcPr>
          <w:p w14:paraId="49F8393A" w14:textId="77777777" w:rsidR="005A043A" w:rsidRPr="00214F41" w:rsidRDefault="005A043A" w:rsidP="00286762">
            <w:pPr>
              <w:jc w:val="center"/>
              <w:rPr>
                <w:sz w:val="18"/>
                <w:szCs w:val="18"/>
                <w:lang w:val="en-GB"/>
              </w:rPr>
            </w:pPr>
            <w:r w:rsidRPr="00214F41">
              <w:rPr>
                <w:sz w:val="18"/>
                <w:szCs w:val="18"/>
                <w:lang w:val="en-GB"/>
              </w:rPr>
              <w:t>2000mg/1/d</w:t>
            </w:r>
          </w:p>
        </w:tc>
        <w:tc>
          <w:tcPr>
            <w:tcW w:w="229" w:type="pct"/>
            <w:vMerge/>
            <w:shd w:val="clear" w:color="000000" w:fill="FFFFFF"/>
            <w:vAlign w:val="center"/>
            <w:hideMark/>
          </w:tcPr>
          <w:p w14:paraId="52B83D10" w14:textId="77777777" w:rsidR="005A043A" w:rsidRPr="00214F41" w:rsidRDefault="005A043A" w:rsidP="00286762">
            <w:pPr>
              <w:jc w:val="center"/>
              <w:rPr>
                <w:sz w:val="18"/>
                <w:szCs w:val="18"/>
                <w:lang w:val="en-GB"/>
              </w:rPr>
            </w:pPr>
          </w:p>
        </w:tc>
        <w:tc>
          <w:tcPr>
            <w:tcW w:w="274" w:type="pct"/>
            <w:vMerge/>
            <w:shd w:val="clear" w:color="000000" w:fill="FFFFFF"/>
            <w:vAlign w:val="center"/>
            <w:hideMark/>
          </w:tcPr>
          <w:p w14:paraId="010B643C" w14:textId="77777777" w:rsidR="005A043A" w:rsidRPr="00214F41" w:rsidRDefault="005A043A" w:rsidP="00286762">
            <w:pPr>
              <w:jc w:val="center"/>
              <w:rPr>
                <w:sz w:val="18"/>
                <w:szCs w:val="18"/>
                <w:lang w:val="en-GB"/>
              </w:rPr>
            </w:pPr>
          </w:p>
        </w:tc>
        <w:tc>
          <w:tcPr>
            <w:tcW w:w="550" w:type="pct"/>
            <w:vMerge/>
            <w:shd w:val="clear" w:color="000000" w:fill="FFFFFF"/>
            <w:vAlign w:val="center"/>
            <w:hideMark/>
          </w:tcPr>
          <w:p w14:paraId="2D1107F9" w14:textId="77777777" w:rsidR="005A043A" w:rsidRPr="00214F41" w:rsidRDefault="005A043A" w:rsidP="00286762">
            <w:pPr>
              <w:jc w:val="center"/>
              <w:rPr>
                <w:sz w:val="18"/>
                <w:szCs w:val="18"/>
                <w:lang w:val="en-GB"/>
              </w:rPr>
            </w:pPr>
          </w:p>
        </w:tc>
        <w:tc>
          <w:tcPr>
            <w:tcW w:w="274" w:type="pct"/>
            <w:shd w:val="clear" w:color="000000" w:fill="FFFFFF"/>
            <w:vAlign w:val="center"/>
            <w:hideMark/>
          </w:tcPr>
          <w:p w14:paraId="016B9B73" w14:textId="77777777" w:rsidR="005A043A" w:rsidRPr="00214F41" w:rsidRDefault="005A043A" w:rsidP="00286762">
            <w:pPr>
              <w:jc w:val="center"/>
              <w:rPr>
                <w:sz w:val="18"/>
                <w:szCs w:val="18"/>
                <w:lang w:val="en-GB"/>
              </w:rPr>
            </w:pPr>
            <w:r w:rsidRPr="00214F41">
              <w:rPr>
                <w:sz w:val="18"/>
                <w:szCs w:val="18"/>
                <w:lang w:val="en-GB"/>
              </w:rPr>
              <w:t>54.5±12.1</w:t>
            </w:r>
          </w:p>
        </w:tc>
        <w:tc>
          <w:tcPr>
            <w:tcW w:w="227" w:type="pct"/>
            <w:shd w:val="clear" w:color="000000" w:fill="FFFFFF"/>
            <w:vAlign w:val="center"/>
            <w:hideMark/>
          </w:tcPr>
          <w:p w14:paraId="18374E67" w14:textId="77777777" w:rsidR="005A043A" w:rsidRPr="00214F41" w:rsidRDefault="005A043A" w:rsidP="00286762">
            <w:pPr>
              <w:jc w:val="center"/>
              <w:rPr>
                <w:sz w:val="18"/>
                <w:szCs w:val="18"/>
                <w:lang w:val="en-GB"/>
              </w:rPr>
            </w:pPr>
            <w:r w:rsidRPr="00214F41">
              <w:rPr>
                <w:sz w:val="18"/>
                <w:szCs w:val="18"/>
                <w:lang w:val="en-GB"/>
              </w:rPr>
              <w:t>186/53.8</w:t>
            </w:r>
          </w:p>
        </w:tc>
        <w:tc>
          <w:tcPr>
            <w:tcW w:w="295" w:type="pct"/>
            <w:shd w:val="clear" w:color="000000" w:fill="FFFFFF"/>
            <w:vAlign w:val="center"/>
            <w:hideMark/>
          </w:tcPr>
          <w:p w14:paraId="1CC7896B" w14:textId="77777777" w:rsidR="005A043A" w:rsidRPr="00214F41" w:rsidRDefault="005A043A" w:rsidP="00286762">
            <w:pPr>
              <w:jc w:val="center"/>
              <w:rPr>
                <w:sz w:val="18"/>
                <w:szCs w:val="18"/>
                <w:lang w:val="en-GB"/>
              </w:rPr>
            </w:pPr>
            <w:r w:rsidRPr="00214F41">
              <w:rPr>
                <w:sz w:val="18"/>
                <w:szCs w:val="18"/>
                <w:lang w:val="en-GB"/>
              </w:rPr>
              <w:t>33.7±6.6</w:t>
            </w:r>
          </w:p>
        </w:tc>
        <w:tc>
          <w:tcPr>
            <w:tcW w:w="300" w:type="pct"/>
            <w:vMerge/>
            <w:shd w:val="clear" w:color="000000" w:fill="FFFFFF"/>
            <w:vAlign w:val="center"/>
            <w:hideMark/>
          </w:tcPr>
          <w:p w14:paraId="2DEF99DA" w14:textId="77777777" w:rsidR="005A043A" w:rsidRPr="00214F41" w:rsidRDefault="005A043A" w:rsidP="00286762">
            <w:pPr>
              <w:jc w:val="center"/>
              <w:rPr>
                <w:sz w:val="18"/>
                <w:szCs w:val="18"/>
                <w:lang w:val="en-GB"/>
              </w:rPr>
            </w:pPr>
          </w:p>
        </w:tc>
      </w:tr>
    </w:tbl>
    <w:p w14:paraId="53B81300" w14:textId="77777777" w:rsidR="005A043A" w:rsidRPr="006A3A77" w:rsidRDefault="005A043A" w:rsidP="005A043A">
      <w:pPr>
        <w:widowControl w:val="0"/>
        <w:autoSpaceDE w:val="0"/>
        <w:autoSpaceDN w:val="0"/>
        <w:adjustRightInd w:val="0"/>
        <w:ind w:left="640" w:hanging="640"/>
        <w:rPr>
          <w:sz w:val="36"/>
          <w:szCs w:val="36"/>
        </w:rPr>
      </w:pPr>
      <w:r w:rsidRPr="006A3A77">
        <w:t xml:space="preserve">Abbreviations: MET - metformin ; ITT - intention to treat; PP - per protocol; S - started metformin therapy in the study; P - preexisting metformin therapy; </w:t>
      </w:r>
      <w:proofErr w:type="spellStart"/>
      <w:r w:rsidRPr="006A3A77">
        <w:t>nd</w:t>
      </w:r>
      <w:proofErr w:type="spellEnd"/>
      <w:r w:rsidRPr="006A3A77">
        <w:t xml:space="preserve"> – no data.</w:t>
      </w:r>
    </w:p>
    <w:p w14:paraId="57BDBCA4" w14:textId="77777777" w:rsidR="005A043A" w:rsidRDefault="005A043A" w:rsidP="005A043A">
      <w:pPr>
        <w:widowControl w:val="0"/>
        <w:autoSpaceDE w:val="0"/>
        <w:autoSpaceDN w:val="0"/>
        <w:adjustRightInd w:val="0"/>
        <w:ind w:left="640" w:hanging="640"/>
        <w:rPr>
          <w:lang w:val="en-GB"/>
        </w:rPr>
      </w:pPr>
    </w:p>
    <w:p w14:paraId="24FAD106" w14:textId="0E9DBB51" w:rsidR="005A043A" w:rsidRDefault="005A043A" w:rsidP="005A043A">
      <w:pPr>
        <w:widowControl w:val="0"/>
        <w:autoSpaceDE w:val="0"/>
        <w:autoSpaceDN w:val="0"/>
        <w:adjustRightInd w:val="0"/>
        <w:ind w:left="640" w:hanging="640"/>
        <w:rPr>
          <w:rFonts w:eastAsia="MS Mincho"/>
          <w:color w:val="000000"/>
          <w:lang w:val="en-GB"/>
        </w:rPr>
      </w:pPr>
      <w:r>
        <w:rPr>
          <w:rFonts w:eastAsia="MS Mincho"/>
          <w:color w:val="000000"/>
        </w:rPr>
        <w:t>ESM</w:t>
      </w:r>
      <w:r w:rsidRPr="00D0006F">
        <w:rPr>
          <w:rFonts w:eastAsia="MS Mincho"/>
          <w:color w:val="000000"/>
        </w:rPr>
        <w:t xml:space="preserve"> Table S</w:t>
      </w:r>
      <w:r w:rsidR="007441FC">
        <w:rPr>
          <w:rFonts w:eastAsia="MS Mincho"/>
          <w:color w:val="000000"/>
        </w:rPr>
        <w:t>3</w:t>
      </w:r>
      <w:r w:rsidRPr="00214F41">
        <w:rPr>
          <w:lang w:val="en-GB"/>
        </w:rPr>
        <w:t xml:space="preserve">. </w:t>
      </w:r>
      <w:r w:rsidRPr="00214F41">
        <w:rPr>
          <w:rFonts w:eastAsia="MS Mincho"/>
          <w:color w:val="000000"/>
          <w:lang w:val="en-GB"/>
        </w:rPr>
        <w:t>Included studies comparing metformin and combination of metformin with another antidiabetic drug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820"/>
        <w:gridCol w:w="2169"/>
        <w:gridCol w:w="896"/>
        <w:gridCol w:w="898"/>
        <w:gridCol w:w="1405"/>
        <w:gridCol w:w="1013"/>
        <w:gridCol w:w="641"/>
        <w:gridCol w:w="767"/>
        <w:gridCol w:w="1539"/>
        <w:gridCol w:w="767"/>
        <w:gridCol w:w="635"/>
        <w:gridCol w:w="826"/>
        <w:gridCol w:w="842"/>
      </w:tblGrid>
      <w:tr w:rsidR="005A043A" w:rsidRPr="0072287D" w14:paraId="76832EF5" w14:textId="77777777" w:rsidTr="00286762">
        <w:trPr>
          <w:trHeight w:val="432"/>
        </w:trPr>
        <w:tc>
          <w:tcPr>
            <w:tcW w:w="1665" w:type="pct"/>
            <w:gridSpan w:val="4"/>
            <w:shd w:val="clear" w:color="auto" w:fill="auto"/>
            <w:vAlign w:val="center"/>
            <w:hideMark/>
          </w:tcPr>
          <w:p w14:paraId="453186CE"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Study characteristics</w:t>
            </w:r>
          </w:p>
          <w:p w14:paraId="180D6C72" w14:textId="77777777" w:rsidR="005A043A" w:rsidRPr="00214F41" w:rsidRDefault="005A043A" w:rsidP="00286762">
            <w:pPr>
              <w:jc w:val="center"/>
              <w:rPr>
                <w:b/>
                <w:bCs/>
                <w:color w:val="000000"/>
                <w:sz w:val="18"/>
                <w:szCs w:val="18"/>
                <w:lang w:val="en-GB"/>
              </w:rPr>
            </w:pPr>
          </w:p>
        </w:tc>
        <w:tc>
          <w:tcPr>
            <w:tcW w:w="1688" w:type="pct"/>
            <w:gridSpan w:val="5"/>
            <w:shd w:val="clear" w:color="auto" w:fill="auto"/>
            <w:vAlign w:val="center"/>
            <w:hideMark/>
          </w:tcPr>
          <w:p w14:paraId="5606228F"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MET treatment</w:t>
            </w:r>
          </w:p>
        </w:tc>
        <w:tc>
          <w:tcPr>
            <w:tcW w:w="550" w:type="pct"/>
            <w:vMerge w:val="restart"/>
            <w:shd w:val="clear" w:color="auto" w:fill="auto"/>
            <w:vAlign w:val="center"/>
            <w:hideMark/>
          </w:tcPr>
          <w:p w14:paraId="4468BD49"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comparator</w:t>
            </w:r>
          </w:p>
        </w:tc>
        <w:tc>
          <w:tcPr>
            <w:tcW w:w="501" w:type="pct"/>
            <w:gridSpan w:val="2"/>
            <w:shd w:val="clear" w:color="auto" w:fill="auto"/>
            <w:vAlign w:val="center"/>
            <w:hideMark/>
          </w:tcPr>
          <w:p w14:paraId="01328499"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Patients  characteristics</w:t>
            </w:r>
          </w:p>
        </w:tc>
        <w:tc>
          <w:tcPr>
            <w:tcW w:w="596" w:type="pct"/>
            <w:gridSpan w:val="2"/>
            <w:shd w:val="clear" w:color="auto" w:fill="auto"/>
            <w:noWrap/>
            <w:vAlign w:val="bottom"/>
            <w:hideMark/>
          </w:tcPr>
          <w:p w14:paraId="0A15845A" w14:textId="77777777" w:rsidR="005A043A" w:rsidRPr="00214F41" w:rsidRDefault="005A043A" w:rsidP="00286762">
            <w:pPr>
              <w:rPr>
                <w:sz w:val="18"/>
                <w:szCs w:val="18"/>
                <w:lang w:val="en-GB"/>
              </w:rPr>
            </w:pPr>
            <w:r w:rsidRPr="00214F41">
              <w:rPr>
                <w:sz w:val="18"/>
                <w:szCs w:val="18"/>
                <w:lang w:val="en-GB"/>
              </w:rPr>
              <w:t>BMI (kg/m2) at baseline</w:t>
            </w:r>
          </w:p>
        </w:tc>
      </w:tr>
      <w:tr w:rsidR="005A043A" w:rsidRPr="0072287D" w14:paraId="1F5F242F" w14:textId="77777777" w:rsidTr="00286762">
        <w:trPr>
          <w:trHeight w:val="930"/>
        </w:trPr>
        <w:tc>
          <w:tcPr>
            <w:tcW w:w="277" w:type="pct"/>
            <w:shd w:val="clear" w:color="auto" w:fill="auto"/>
            <w:vAlign w:val="center"/>
            <w:hideMark/>
          </w:tcPr>
          <w:p w14:paraId="21AD7689"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lastRenderedPageBreak/>
              <w:t>Reference</w:t>
            </w:r>
          </w:p>
        </w:tc>
        <w:tc>
          <w:tcPr>
            <w:tcW w:w="293" w:type="pct"/>
            <w:shd w:val="clear" w:color="auto" w:fill="auto"/>
            <w:vAlign w:val="center"/>
            <w:hideMark/>
          </w:tcPr>
          <w:p w14:paraId="16A93BDD"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ITT/PP</w:t>
            </w:r>
          </w:p>
        </w:tc>
        <w:tc>
          <w:tcPr>
            <w:tcW w:w="775" w:type="pct"/>
            <w:shd w:val="clear" w:color="auto" w:fill="auto"/>
            <w:vAlign w:val="center"/>
            <w:hideMark/>
          </w:tcPr>
          <w:p w14:paraId="756A5BCF"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Focus of study</w:t>
            </w:r>
          </w:p>
        </w:tc>
        <w:tc>
          <w:tcPr>
            <w:tcW w:w="320" w:type="pct"/>
            <w:shd w:val="clear" w:color="auto" w:fill="auto"/>
            <w:vAlign w:val="center"/>
            <w:hideMark/>
          </w:tcPr>
          <w:p w14:paraId="0C50FBD4"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N total randomized/</w:t>
            </w:r>
            <w:proofErr w:type="spellStart"/>
            <w:r w:rsidRPr="00214F41">
              <w:rPr>
                <w:b/>
                <w:bCs/>
                <w:color w:val="000000"/>
                <w:sz w:val="18"/>
                <w:szCs w:val="18"/>
                <w:lang w:val="en-GB"/>
              </w:rPr>
              <w:t>analyzed</w:t>
            </w:r>
            <w:proofErr w:type="spellEnd"/>
          </w:p>
        </w:tc>
        <w:tc>
          <w:tcPr>
            <w:tcW w:w="321" w:type="pct"/>
            <w:shd w:val="clear" w:color="auto" w:fill="auto"/>
            <w:vAlign w:val="center"/>
            <w:hideMark/>
          </w:tcPr>
          <w:p w14:paraId="19D9AF96"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MET (P/S)/p dose</w:t>
            </w:r>
          </w:p>
        </w:tc>
        <w:tc>
          <w:tcPr>
            <w:tcW w:w="502" w:type="pct"/>
            <w:shd w:val="clear" w:color="auto" w:fill="auto"/>
            <w:vAlign w:val="center"/>
            <w:hideMark/>
          </w:tcPr>
          <w:p w14:paraId="4F31D07A"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 xml:space="preserve">MET commercial </w:t>
            </w:r>
            <w:proofErr w:type="spellStart"/>
            <w:r w:rsidRPr="00214F41">
              <w:rPr>
                <w:b/>
                <w:bCs/>
                <w:color w:val="000000"/>
                <w:sz w:val="18"/>
                <w:szCs w:val="18"/>
                <w:lang w:val="en-GB"/>
              </w:rPr>
              <w:t>labeling</w:t>
            </w:r>
            <w:proofErr w:type="spellEnd"/>
          </w:p>
        </w:tc>
        <w:tc>
          <w:tcPr>
            <w:tcW w:w="362" w:type="pct"/>
            <w:shd w:val="clear" w:color="auto" w:fill="auto"/>
            <w:vAlign w:val="center"/>
            <w:hideMark/>
          </w:tcPr>
          <w:p w14:paraId="4517C0FF"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Dosage (unit/day)</w:t>
            </w:r>
          </w:p>
        </w:tc>
        <w:tc>
          <w:tcPr>
            <w:tcW w:w="229" w:type="pct"/>
            <w:shd w:val="clear" w:color="auto" w:fill="auto"/>
            <w:vAlign w:val="center"/>
            <w:hideMark/>
          </w:tcPr>
          <w:p w14:paraId="3B53C6F6"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Duration (days)</w:t>
            </w:r>
          </w:p>
        </w:tc>
        <w:tc>
          <w:tcPr>
            <w:tcW w:w="274" w:type="pct"/>
            <w:shd w:val="clear" w:color="auto" w:fill="auto"/>
            <w:vAlign w:val="center"/>
            <w:hideMark/>
          </w:tcPr>
          <w:p w14:paraId="18049A6B"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MET XR/IR</w:t>
            </w:r>
          </w:p>
        </w:tc>
        <w:tc>
          <w:tcPr>
            <w:tcW w:w="550" w:type="pct"/>
            <w:vMerge/>
            <w:vAlign w:val="center"/>
            <w:hideMark/>
          </w:tcPr>
          <w:p w14:paraId="03A4C68D" w14:textId="77777777" w:rsidR="005A043A" w:rsidRPr="00214F41" w:rsidRDefault="005A043A" w:rsidP="00286762">
            <w:pPr>
              <w:rPr>
                <w:b/>
                <w:bCs/>
                <w:color w:val="000000"/>
                <w:sz w:val="18"/>
                <w:szCs w:val="18"/>
                <w:lang w:val="en-GB"/>
              </w:rPr>
            </w:pPr>
          </w:p>
        </w:tc>
        <w:tc>
          <w:tcPr>
            <w:tcW w:w="274" w:type="pct"/>
            <w:shd w:val="clear" w:color="auto" w:fill="auto"/>
            <w:vAlign w:val="center"/>
            <w:hideMark/>
          </w:tcPr>
          <w:p w14:paraId="6361D43B"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age (Ø ±SD)</w:t>
            </w:r>
          </w:p>
        </w:tc>
        <w:tc>
          <w:tcPr>
            <w:tcW w:w="227" w:type="pct"/>
            <w:shd w:val="clear" w:color="auto" w:fill="auto"/>
            <w:vAlign w:val="center"/>
            <w:hideMark/>
          </w:tcPr>
          <w:p w14:paraId="3B17C070"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Male (N/%)</w:t>
            </w:r>
          </w:p>
        </w:tc>
        <w:tc>
          <w:tcPr>
            <w:tcW w:w="295" w:type="pct"/>
            <w:shd w:val="clear" w:color="auto" w:fill="auto"/>
            <w:vAlign w:val="center"/>
            <w:hideMark/>
          </w:tcPr>
          <w:p w14:paraId="193E5CD6" w14:textId="77777777" w:rsidR="005A043A" w:rsidRPr="00214F41" w:rsidRDefault="005A043A" w:rsidP="00286762">
            <w:pPr>
              <w:jc w:val="center"/>
              <w:rPr>
                <w:b/>
                <w:bCs/>
                <w:color w:val="000000"/>
                <w:sz w:val="18"/>
                <w:szCs w:val="18"/>
                <w:lang w:val="en-GB"/>
              </w:rPr>
            </w:pPr>
            <w:proofErr w:type="spellStart"/>
            <w:r w:rsidRPr="00214F41">
              <w:rPr>
                <w:b/>
                <w:bCs/>
                <w:color w:val="000000"/>
                <w:sz w:val="18"/>
                <w:szCs w:val="18"/>
                <w:lang w:val="en-GB"/>
              </w:rPr>
              <w:t>MetforminØ±SD</w:t>
            </w:r>
            <w:proofErr w:type="spellEnd"/>
          </w:p>
        </w:tc>
        <w:tc>
          <w:tcPr>
            <w:tcW w:w="301" w:type="pct"/>
            <w:shd w:val="clear" w:color="auto" w:fill="auto"/>
            <w:vAlign w:val="center"/>
            <w:hideMark/>
          </w:tcPr>
          <w:p w14:paraId="087C308C"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Control Ø±SD</w:t>
            </w:r>
          </w:p>
        </w:tc>
      </w:tr>
      <w:tr w:rsidR="005A043A" w:rsidRPr="0072287D" w14:paraId="04A3D135" w14:textId="77777777" w:rsidTr="00286762">
        <w:trPr>
          <w:trHeight w:val="930"/>
        </w:trPr>
        <w:tc>
          <w:tcPr>
            <w:tcW w:w="277" w:type="pct"/>
            <w:shd w:val="clear" w:color="000000" w:fill="FFFFFF"/>
            <w:vAlign w:val="center"/>
            <w:hideMark/>
          </w:tcPr>
          <w:p w14:paraId="1FFBD0D4" w14:textId="77777777" w:rsidR="005A043A" w:rsidRPr="00214F41" w:rsidRDefault="005A043A" w:rsidP="00286762">
            <w:pPr>
              <w:jc w:val="center"/>
              <w:rPr>
                <w:sz w:val="18"/>
                <w:szCs w:val="18"/>
                <w:lang w:val="en-GB"/>
              </w:rPr>
            </w:pPr>
            <w:r w:rsidRPr="00214F41">
              <w:rPr>
                <w:sz w:val="18"/>
                <w:szCs w:val="18"/>
                <w:lang w:val="en-GB"/>
              </w:rPr>
              <w:t xml:space="preserve">Bailey et al., 2005 </w:t>
            </w:r>
            <w:r w:rsidRPr="00214F41">
              <w:rPr>
                <w:sz w:val="18"/>
                <w:szCs w:val="18"/>
                <w:lang w:val="en-GB"/>
              </w:rPr>
              <w:fldChar w:fldCharType="begin" w:fldLock="1"/>
            </w:r>
            <w:r>
              <w:rPr>
                <w:sz w:val="18"/>
                <w:szCs w:val="18"/>
                <w:lang w:val="en-GB"/>
              </w:rPr>
              <w:instrText>ADDIN CSL_CITATION {"citationItems":[{"id":"ITEM-1","itemData":{"DOI":"10.1016/j.clinthera.2005.10.012","ISSN":"0149-2918","PMID":"16330291","abstract":"BACKGROUND: Management of type 2 diabetes mellitus (DM) that involves uptitration of monotherapy to the maximum dose has been associated with delays in achieving glycemic control and an increased number of adverse events (AEs). Studies have reported the benefits of adding a thiazolidinedione to metformin (MET), but none has compared the effect of adding a thiazolidinedione to MET versus increasing the daily dose of MET to 3 g.\nOBJECTIVE: The goal of this study was to investigate the benefits of fixed-dose combination rosiglitazone and MET (RSG/MET) compared with high-dose MET monotherapy in patients with type 2 DM.\nMETHODS: This was a 24-week, multicenter, randomized, double-blind, parallel-group study. Patients previously treated with MET entered a 4-week, single-blind, run-in period with MET 2 g/d and were then randomized to RSG/MET 4 mg/2 g per day or MET 2.5 g/d. At week 8, medication was escalated to RSG/MET 8 mg/2 g per day or MET 3 g/d. The primary efficacy end point was change in glycosylated hemoglobin (HbA1c) at week 24. Tolerability was assessed, including the frequency and severity of AEs.\nRESULTS: A total of 568 patients comprised the safety population (MET, 280; RSG/MET, 288) and 551 formed the intent-to-treat group (MET, 272; RSG/MET, 279). Baseline characteristics of the safety population were comparable in the 2 groups; body mass index (mean [SD]) was 32.2 (4.8) kg/m(2) and 32.1 (4.9) kg/m(2) in the RSG/MET and MET groups, respectively. RSG/MET reduced HbA(1c) (mean [SD]) from 7.4\\% (1.0\\%) to 7.1\\% (1.1\\%) at week 24, compared with a reduction from 7.5\\% (1.0\\%) to 7.4\\% (1.1\\%) with MET (treatment difference, -0.22\\%; P = 0.001). Fasting plasma glucose (mean [SD]) was reduced from 166.2 (29) to 144.1 (33) mg/dL with RSG/MET and from 169.3 (33) to 164.0 (37) mg/dL with MET (treatment difference, -18.3 mg/dL; P {\\textless} 0.001). In addition, 54\\% of patients treated with RSG/MET achieved HbA(1c) levels {\\textless}7.0\\%, compared with 36\\% with MET (odds ratio, 2.42; P {\\textless} 0.001). RSG/MET increased homeostasis model assessment (HOMA) estimates of insulin sensitivity by 34.4\\% versus 6.5\\% with MET (treatment difference, 24.8\\%; P {\\textless} 0.001). HOMA beta-cell function increased by 15.9\\% with RSG/MET versus 2.5\\% with MET (treatment difference, 14.0\\%; P {\\textless} 0.001). RSG/MET decreased C-reactive protein by a mean of 39.4\\% versus 16.0\\% with MET (treatment difference, -33.8\\%; P {\\textless} 0.001). RSG/MET was gener…","author":[{"dropping-particle":"","family":"Bailey","given":"Clifford J","non-dropping-particle":"","parse-names":false,"suffix":""},{"dropping-particle":"","family":"Bagdonas","given":"Alfredas","non-dropping-particle":"","parse-names":false,"suffix":""},{"dropping-particle":"","family":"Rubes","given":"Josip","non-dropping-particle":"","parse-names":false,"suffix":""},{"dropping-particle":"","family":"McMorn","given":"Stephen O","non-dropping-particle":"","parse-names":false,"suffix":""},{"dropping-particle":"","family":"Donaldson","given":"Jill","non-dropping-particle":"","parse-names":false,"suffix":""},{"dropping-particle":"","family":"Biswas","given":"Nandita","non-dropping-particle":"","parse-names":false,"suffix":""},{"dropping-particle":"","family":"Stewart","given":"Murray W","non-dropping-particle":"","parse-names":false,"suffix":""}],"container-title":"Clinical Therapeutics","id":"ITEM-1","issue":"10","issued":{"date-parts":[["2005","10"]]},"note":"Diabetes UK Annual Professional Conference, Glasgow, SCOTLAND, APR 20-22, 2005","page":"1548-1561","title":"Rosiglitazone/metformin fixed-dose combination compared with uptitrated metformin alone in type 2 diabetes mellitus: a 24-week, multicenter, randomized, double-blind, parallel-group study","title-short":"Rosiglitazone/metformin fixed-dose combination com","type":"article-journal","volume":"27"},"uris":["http://www.mendeley.com/documents/?uuid=f39fb36d-c615-49d0-8274-9742b173a318"]}],"mendeley":{"formattedCitation":"[50]","plainTextFormattedCitation":"[50]","previouslyFormattedCitation":"[50]"},"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[50]</w:t>
            </w:r>
            <w:r w:rsidRPr="00214F41">
              <w:rPr>
                <w:sz w:val="18"/>
                <w:szCs w:val="18"/>
                <w:lang w:val="en-GB"/>
              </w:rPr>
              <w:fldChar w:fldCharType="end"/>
            </w:r>
          </w:p>
        </w:tc>
        <w:tc>
          <w:tcPr>
            <w:tcW w:w="293" w:type="pct"/>
            <w:shd w:val="clear" w:color="000000" w:fill="FFFFFF"/>
            <w:vAlign w:val="center"/>
            <w:hideMark/>
          </w:tcPr>
          <w:p w14:paraId="1A871FDF"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4CDE7318" w14:textId="77777777" w:rsidR="005A043A" w:rsidRPr="00214F41" w:rsidRDefault="005A043A" w:rsidP="00286762">
            <w:pPr>
              <w:jc w:val="center"/>
              <w:rPr>
                <w:sz w:val="18"/>
                <w:szCs w:val="18"/>
                <w:lang w:val="en-GB"/>
              </w:rPr>
            </w:pPr>
            <w:r w:rsidRPr="00214F41">
              <w:rPr>
                <w:sz w:val="18"/>
                <w:szCs w:val="18"/>
                <w:lang w:val="en-GB"/>
              </w:rPr>
              <w:t>To investigate the benefits of fixed-dose combination rosiglitazone</w:t>
            </w:r>
            <w:r w:rsidRPr="00214F41">
              <w:rPr>
                <w:sz w:val="18"/>
                <w:szCs w:val="18"/>
                <w:lang w:val="en-GB"/>
              </w:rPr>
              <w:br/>
              <w:t>and MET (RSG/MET) compared with high-dose MET monotherapy in patients with type 2 DM</w:t>
            </w:r>
          </w:p>
        </w:tc>
        <w:tc>
          <w:tcPr>
            <w:tcW w:w="320" w:type="pct"/>
            <w:shd w:val="clear" w:color="000000" w:fill="FFFFFF"/>
            <w:vAlign w:val="center"/>
            <w:hideMark/>
          </w:tcPr>
          <w:p w14:paraId="0CF24BB2" w14:textId="77777777" w:rsidR="005A043A" w:rsidRPr="00214F41" w:rsidRDefault="005A043A" w:rsidP="00286762">
            <w:pPr>
              <w:jc w:val="center"/>
              <w:rPr>
                <w:sz w:val="18"/>
                <w:szCs w:val="18"/>
                <w:lang w:val="en-GB"/>
              </w:rPr>
            </w:pPr>
            <w:r w:rsidRPr="00214F41">
              <w:rPr>
                <w:sz w:val="18"/>
                <w:szCs w:val="18"/>
                <w:lang w:val="en-GB"/>
              </w:rPr>
              <w:t>569/568</w:t>
            </w:r>
          </w:p>
        </w:tc>
        <w:tc>
          <w:tcPr>
            <w:tcW w:w="321" w:type="pct"/>
            <w:shd w:val="clear" w:color="000000" w:fill="FFFFFF"/>
            <w:vAlign w:val="center"/>
            <w:hideMark/>
          </w:tcPr>
          <w:p w14:paraId="464E9553" w14:textId="77777777" w:rsidR="005A043A" w:rsidRPr="00214F41" w:rsidRDefault="005A043A" w:rsidP="00286762">
            <w:pPr>
              <w:jc w:val="center"/>
              <w:rPr>
                <w:sz w:val="18"/>
                <w:szCs w:val="18"/>
                <w:lang w:val="en-GB"/>
              </w:rPr>
            </w:pPr>
            <w:r w:rsidRPr="00214F41">
              <w:rPr>
                <w:sz w:val="18"/>
                <w:szCs w:val="18"/>
                <w:lang w:val="en-GB"/>
              </w:rPr>
              <w:t>P/&gt;8 weeks/2g/d</w:t>
            </w:r>
          </w:p>
        </w:tc>
        <w:tc>
          <w:tcPr>
            <w:tcW w:w="502" w:type="pct"/>
            <w:shd w:val="clear" w:color="000000" w:fill="FFFFFF"/>
            <w:vAlign w:val="center"/>
            <w:hideMark/>
          </w:tcPr>
          <w:p w14:paraId="4FC36AB1"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16E0E477" w14:textId="77777777" w:rsidR="005A043A" w:rsidRPr="00214F41" w:rsidRDefault="005A043A" w:rsidP="00286762">
            <w:pPr>
              <w:jc w:val="center"/>
              <w:rPr>
                <w:sz w:val="18"/>
                <w:szCs w:val="18"/>
                <w:lang w:val="en-GB"/>
              </w:rPr>
            </w:pPr>
            <w:r w:rsidRPr="00214F41">
              <w:rPr>
                <w:sz w:val="18"/>
                <w:szCs w:val="18"/>
                <w:lang w:val="en-GB"/>
              </w:rPr>
              <w:t>3000mg/</w:t>
            </w:r>
            <w:proofErr w:type="spellStart"/>
            <w:r w:rsidRPr="00214F41">
              <w:rPr>
                <w:sz w:val="18"/>
                <w:szCs w:val="18"/>
                <w:lang w:val="en-GB"/>
              </w:rPr>
              <w:t>nd</w:t>
            </w:r>
            <w:proofErr w:type="spellEnd"/>
          </w:p>
        </w:tc>
        <w:tc>
          <w:tcPr>
            <w:tcW w:w="229" w:type="pct"/>
            <w:shd w:val="clear" w:color="000000" w:fill="FFFFFF"/>
            <w:vAlign w:val="center"/>
            <w:hideMark/>
          </w:tcPr>
          <w:p w14:paraId="4CA96CBE" w14:textId="77777777" w:rsidR="005A043A" w:rsidRPr="00214F41" w:rsidRDefault="005A043A" w:rsidP="00286762">
            <w:pPr>
              <w:jc w:val="center"/>
              <w:rPr>
                <w:sz w:val="18"/>
                <w:szCs w:val="18"/>
                <w:lang w:val="en-GB"/>
              </w:rPr>
            </w:pPr>
            <w:r w:rsidRPr="00214F41">
              <w:rPr>
                <w:sz w:val="18"/>
                <w:szCs w:val="18"/>
                <w:lang w:val="en-GB"/>
              </w:rPr>
              <w:t>168</w:t>
            </w:r>
          </w:p>
        </w:tc>
        <w:tc>
          <w:tcPr>
            <w:tcW w:w="274" w:type="pct"/>
            <w:shd w:val="clear" w:color="000000" w:fill="FFFFFF"/>
            <w:vAlign w:val="center"/>
            <w:hideMark/>
          </w:tcPr>
          <w:p w14:paraId="1ABD81C1"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73277C96" w14:textId="77777777" w:rsidR="005A043A" w:rsidRPr="00214F41" w:rsidRDefault="005A043A" w:rsidP="00286762">
            <w:pPr>
              <w:jc w:val="center"/>
              <w:rPr>
                <w:sz w:val="18"/>
                <w:szCs w:val="18"/>
              </w:rPr>
            </w:pPr>
            <w:r w:rsidRPr="00214F41">
              <w:rPr>
                <w:sz w:val="18"/>
                <w:szCs w:val="18"/>
                <w:lang w:val="en-GB"/>
              </w:rPr>
              <w:t>fixed-dose combination rosiglitazone</w:t>
            </w:r>
            <w:r w:rsidRPr="00214F41">
              <w:rPr>
                <w:sz w:val="18"/>
                <w:szCs w:val="18"/>
                <w:lang w:val="en-GB"/>
              </w:rPr>
              <w:br/>
              <w:t>and MET/MET/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4CE37E87" w14:textId="77777777" w:rsidR="005A043A" w:rsidRPr="00214F41" w:rsidRDefault="005A043A" w:rsidP="00286762">
            <w:pPr>
              <w:jc w:val="center"/>
              <w:rPr>
                <w:sz w:val="18"/>
                <w:szCs w:val="18"/>
                <w:lang w:val="en-GB"/>
              </w:rPr>
            </w:pPr>
            <w:r w:rsidRPr="00214F41">
              <w:rPr>
                <w:sz w:val="18"/>
                <w:szCs w:val="18"/>
                <w:lang w:val="en-GB"/>
              </w:rPr>
              <w:t>57.9±8.3</w:t>
            </w:r>
          </w:p>
        </w:tc>
        <w:tc>
          <w:tcPr>
            <w:tcW w:w="227" w:type="pct"/>
            <w:shd w:val="clear" w:color="000000" w:fill="FFFFFF"/>
            <w:vAlign w:val="center"/>
            <w:hideMark/>
          </w:tcPr>
          <w:p w14:paraId="4E79DA95" w14:textId="77777777" w:rsidR="005A043A" w:rsidRPr="00214F41" w:rsidRDefault="005A043A" w:rsidP="00286762">
            <w:pPr>
              <w:jc w:val="center"/>
              <w:rPr>
                <w:sz w:val="18"/>
                <w:szCs w:val="18"/>
                <w:lang w:val="en-GB"/>
              </w:rPr>
            </w:pPr>
            <w:r w:rsidRPr="00214F41">
              <w:rPr>
                <w:sz w:val="18"/>
                <w:szCs w:val="18"/>
                <w:lang w:val="en-GB"/>
              </w:rPr>
              <w:t>327/57.6</w:t>
            </w:r>
          </w:p>
        </w:tc>
        <w:tc>
          <w:tcPr>
            <w:tcW w:w="295" w:type="pct"/>
            <w:shd w:val="clear" w:color="000000" w:fill="FFFFFF"/>
            <w:vAlign w:val="center"/>
            <w:hideMark/>
          </w:tcPr>
          <w:p w14:paraId="33C3624B" w14:textId="77777777" w:rsidR="005A043A" w:rsidRPr="00214F41" w:rsidRDefault="005A043A" w:rsidP="00286762">
            <w:pPr>
              <w:jc w:val="center"/>
              <w:rPr>
                <w:sz w:val="18"/>
                <w:szCs w:val="18"/>
                <w:lang w:val="en-GB"/>
              </w:rPr>
            </w:pPr>
            <w:r w:rsidRPr="00214F41">
              <w:rPr>
                <w:sz w:val="18"/>
                <w:szCs w:val="18"/>
                <w:lang w:val="en-GB"/>
              </w:rPr>
              <w:t>32,1±4.9</w:t>
            </w:r>
          </w:p>
        </w:tc>
        <w:tc>
          <w:tcPr>
            <w:tcW w:w="301" w:type="pct"/>
            <w:shd w:val="clear" w:color="000000" w:fill="FFFFFF"/>
            <w:vAlign w:val="center"/>
            <w:hideMark/>
          </w:tcPr>
          <w:p w14:paraId="699E9AC1" w14:textId="77777777" w:rsidR="005A043A" w:rsidRPr="00214F41" w:rsidRDefault="005A043A" w:rsidP="00286762">
            <w:pPr>
              <w:jc w:val="center"/>
              <w:rPr>
                <w:sz w:val="18"/>
                <w:szCs w:val="18"/>
                <w:lang w:val="en-GB"/>
              </w:rPr>
            </w:pPr>
            <w:r w:rsidRPr="00214F41">
              <w:rPr>
                <w:sz w:val="18"/>
                <w:szCs w:val="18"/>
                <w:lang w:val="en-GB"/>
              </w:rPr>
              <w:t>32.2±4,8</w:t>
            </w:r>
          </w:p>
        </w:tc>
      </w:tr>
      <w:tr w:rsidR="005A043A" w:rsidRPr="00214F41" w14:paraId="679E3E5A" w14:textId="77777777" w:rsidTr="00286762">
        <w:trPr>
          <w:trHeight w:val="930"/>
        </w:trPr>
        <w:tc>
          <w:tcPr>
            <w:tcW w:w="277" w:type="pct"/>
            <w:shd w:val="clear" w:color="000000" w:fill="FFFFFF"/>
            <w:vAlign w:val="center"/>
            <w:hideMark/>
          </w:tcPr>
          <w:p w14:paraId="1B9D91BB" w14:textId="77777777" w:rsidR="005A043A" w:rsidRPr="00214F41" w:rsidRDefault="005A043A" w:rsidP="00286762">
            <w:pPr>
              <w:jc w:val="center"/>
              <w:rPr>
                <w:sz w:val="18"/>
                <w:szCs w:val="18"/>
                <w:lang w:val="en-GB"/>
              </w:rPr>
            </w:pPr>
            <w:r w:rsidRPr="00214F41">
              <w:rPr>
                <w:sz w:val="18"/>
                <w:szCs w:val="18"/>
                <w:lang w:val="en-GB"/>
              </w:rPr>
              <w:t xml:space="preserve">Fonseca et al., 2011 </w:t>
            </w:r>
            <w:r w:rsidRPr="00214F41">
              <w:rPr>
                <w:sz w:val="18"/>
                <w:szCs w:val="18"/>
                <w:lang w:val="en-GB"/>
              </w:rPr>
              <w:fldChar w:fldCharType="begin" w:fldLock="1"/>
            </w:r>
            <w:r>
              <w:rPr>
                <w:sz w:val="18"/>
                <w:szCs w:val="18"/>
                <w:lang w:val="en-GB"/>
              </w:rPr>
              <w:instrText>ADDIN CSL_CITATION {"citationItems":[{"id":"ITEM-1","itemData":{"DOI":"10.1111/j.1463-1326.2011.01553.x","ISSN":"14628902","author":[{"dropping-particle":"","family":"Fonseca","given":"V","non-dropping-particle":"","parse-names":false,"suffix":""},{"dropping-particle":"","family":"Zhu","given":"T","non-dropping-particle":"","parse-names":false,"suffix":""},{"dropping-particle":"","family":"Karyekar","given":"C","non-dropping-particle":"","parse-names":false,"suffix":""},{"dropping-particle":"","family":"Hirshberg","given":"B","non-dropping-particle":"","parse-names":false,"suffix":""}],"container-title":"Diabetes, Obesity and Metabolism","id":"ITEM-1","issue":"4","issued":{"date-parts":[["2012","4"]]},"page":"365-371","title":"Adding saxagliptin to extended-release metformin vs. uptitrating metformin dosage","type":"article-journal","volume":"14"},"uris":["http://www.mendeley.com/documents/?uuid=8dd610c8-28cb-418c-9797-8cc2913428cc"]}],"mendeley":{"formattedCitation":"[51]","plainTextFormattedCitation":"[51]","previouslyFormattedCitation":"[51]"},"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[51]</w:t>
            </w:r>
            <w:r w:rsidRPr="00214F41">
              <w:rPr>
                <w:sz w:val="18"/>
                <w:szCs w:val="18"/>
                <w:lang w:val="en-GB"/>
              </w:rPr>
              <w:fldChar w:fldCharType="end"/>
            </w:r>
          </w:p>
        </w:tc>
        <w:tc>
          <w:tcPr>
            <w:tcW w:w="293" w:type="pct"/>
            <w:shd w:val="clear" w:color="000000" w:fill="FFFFFF"/>
            <w:vAlign w:val="center"/>
            <w:hideMark/>
          </w:tcPr>
          <w:p w14:paraId="06EC849C"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3AA807B3" w14:textId="77777777" w:rsidR="005A043A" w:rsidRPr="00214F41" w:rsidRDefault="005A043A" w:rsidP="00286762">
            <w:pPr>
              <w:jc w:val="center"/>
              <w:rPr>
                <w:sz w:val="18"/>
                <w:szCs w:val="18"/>
                <w:lang w:val="en-GB"/>
              </w:rPr>
            </w:pPr>
            <w:r w:rsidRPr="00214F41">
              <w:rPr>
                <w:sz w:val="18"/>
                <w:szCs w:val="18"/>
                <w:lang w:val="en-GB"/>
              </w:rPr>
              <w:t xml:space="preserve"> To investigate whether patients taking metformin for T2DM (T2DM) have improved glycaemic control without compromising tolerability by adding an agent with a complementary mechanism of action vs. up titrating metformin.</w:t>
            </w:r>
          </w:p>
        </w:tc>
        <w:tc>
          <w:tcPr>
            <w:tcW w:w="320" w:type="pct"/>
            <w:shd w:val="clear" w:color="000000" w:fill="FFFFFF"/>
            <w:vAlign w:val="center"/>
            <w:hideMark/>
          </w:tcPr>
          <w:p w14:paraId="5B3C2C40" w14:textId="77777777" w:rsidR="005A043A" w:rsidRPr="00214F41" w:rsidRDefault="005A043A" w:rsidP="00286762">
            <w:pPr>
              <w:jc w:val="center"/>
              <w:rPr>
                <w:sz w:val="18"/>
                <w:szCs w:val="18"/>
              </w:rPr>
            </w:pPr>
            <w:r w:rsidRPr="00214F41">
              <w:rPr>
                <w:sz w:val="18"/>
                <w:szCs w:val="18"/>
              </w:rPr>
              <w:t>282/282</w:t>
            </w:r>
          </w:p>
        </w:tc>
        <w:tc>
          <w:tcPr>
            <w:tcW w:w="321" w:type="pct"/>
            <w:shd w:val="clear" w:color="000000" w:fill="FFFFFF"/>
            <w:vAlign w:val="center"/>
            <w:hideMark/>
          </w:tcPr>
          <w:p w14:paraId="2E7A855E" w14:textId="77777777" w:rsidR="005A043A" w:rsidRPr="00214F41" w:rsidRDefault="005A043A" w:rsidP="00286762">
            <w:pPr>
              <w:jc w:val="center"/>
              <w:rPr>
                <w:sz w:val="18"/>
                <w:szCs w:val="18"/>
              </w:rPr>
            </w:pPr>
            <w:r w:rsidRPr="00214F41">
              <w:rPr>
                <w:sz w:val="18"/>
                <w:szCs w:val="18"/>
              </w:rPr>
              <w:t>P/≥8 weeks/1,5g/d</w:t>
            </w:r>
          </w:p>
        </w:tc>
        <w:tc>
          <w:tcPr>
            <w:tcW w:w="502" w:type="pct"/>
            <w:shd w:val="clear" w:color="000000" w:fill="FFFFFF"/>
            <w:vAlign w:val="center"/>
            <w:hideMark/>
          </w:tcPr>
          <w:p w14:paraId="2D5B3321" w14:textId="77777777" w:rsidR="005A043A" w:rsidRPr="00214F41" w:rsidRDefault="005A043A" w:rsidP="00286762">
            <w:pPr>
              <w:jc w:val="center"/>
              <w:rPr>
                <w:sz w:val="18"/>
                <w:szCs w:val="18"/>
              </w:rPr>
            </w:pPr>
            <w:r w:rsidRPr="00214F41">
              <w:rPr>
                <w:sz w:val="18"/>
                <w:szCs w:val="18"/>
              </w:rPr>
              <w:t>Glucophage XR</w:t>
            </w:r>
          </w:p>
        </w:tc>
        <w:tc>
          <w:tcPr>
            <w:tcW w:w="362" w:type="pct"/>
            <w:shd w:val="clear" w:color="000000" w:fill="FFFFFF"/>
            <w:vAlign w:val="center"/>
            <w:hideMark/>
          </w:tcPr>
          <w:p w14:paraId="1EC53382" w14:textId="77777777" w:rsidR="005A043A" w:rsidRPr="00214F41" w:rsidRDefault="005A043A" w:rsidP="00286762">
            <w:pPr>
              <w:jc w:val="center"/>
              <w:rPr>
                <w:sz w:val="18"/>
                <w:szCs w:val="18"/>
              </w:rPr>
            </w:pPr>
            <w:r w:rsidRPr="00214F41">
              <w:rPr>
                <w:sz w:val="18"/>
                <w:szCs w:val="18"/>
              </w:rPr>
              <w:t>2000mg/1/d</w:t>
            </w:r>
          </w:p>
        </w:tc>
        <w:tc>
          <w:tcPr>
            <w:tcW w:w="229" w:type="pct"/>
            <w:shd w:val="clear" w:color="000000" w:fill="FFFFFF"/>
            <w:vAlign w:val="center"/>
            <w:hideMark/>
          </w:tcPr>
          <w:p w14:paraId="0E55D6C0" w14:textId="77777777" w:rsidR="005A043A" w:rsidRPr="00214F41" w:rsidRDefault="005A043A" w:rsidP="00286762">
            <w:pPr>
              <w:jc w:val="center"/>
              <w:rPr>
                <w:sz w:val="18"/>
                <w:szCs w:val="18"/>
              </w:rPr>
            </w:pPr>
            <w:r w:rsidRPr="00214F41">
              <w:rPr>
                <w:sz w:val="18"/>
                <w:szCs w:val="18"/>
              </w:rPr>
              <w:t>126</w:t>
            </w:r>
          </w:p>
        </w:tc>
        <w:tc>
          <w:tcPr>
            <w:tcW w:w="274" w:type="pct"/>
            <w:shd w:val="clear" w:color="000000" w:fill="FFFFFF"/>
            <w:vAlign w:val="center"/>
            <w:hideMark/>
          </w:tcPr>
          <w:p w14:paraId="0E1C3308" w14:textId="77777777" w:rsidR="005A043A" w:rsidRPr="00214F41" w:rsidRDefault="005A043A" w:rsidP="00286762">
            <w:pPr>
              <w:jc w:val="center"/>
              <w:rPr>
                <w:sz w:val="18"/>
                <w:szCs w:val="18"/>
              </w:rPr>
            </w:pPr>
            <w:r w:rsidRPr="00214F41">
              <w:rPr>
                <w:sz w:val="18"/>
                <w:szCs w:val="18"/>
              </w:rPr>
              <w:t>XR</w:t>
            </w:r>
          </w:p>
        </w:tc>
        <w:tc>
          <w:tcPr>
            <w:tcW w:w="550" w:type="pct"/>
            <w:shd w:val="clear" w:color="000000" w:fill="FFFFFF"/>
            <w:vAlign w:val="center"/>
            <w:hideMark/>
          </w:tcPr>
          <w:p w14:paraId="6ADE84FB" w14:textId="77777777" w:rsidR="005A043A" w:rsidRPr="00214F41" w:rsidRDefault="005A043A" w:rsidP="00286762">
            <w:pPr>
              <w:jc w:val="center"/>
              <w:rPr>
                <w:sz w:val="18"/>
                <w:szCs w:val="18"/>
                <w:lang w:val="en-GB"/>
              </w:rPr>
            </w:pPr>
            <w:proofErr w:type="spellStart"/>
            <w:r w:rsidRPr="00214F41">
              <w:rPr>
                <w:sz w:val="18"/>
                <w:szCs w:val="18"/>
                <w:lang w:val="en-GB"/>
              </w:rPr>
              <w:t>saxagliptin</w:t>
            </w:r>
            <w:proofErr w:type="spellEnd"/>
            <w:r w:rsidRPr="00214F41">
              <w:rPr>
                <w:sz w:val="18"/>
                <w:szCs w:val="18"/>
                <w:lang w:val="en-GB"/>
              </w:rPr>
              <w:t xml:space="preserve"> + metformin XR/MET/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75A09188" w14:textId="77777777" w:rsidR="005A043A" w:rsidRPr="00214F41" w:rsidRDefault="005A043A" w:rsidP="00286762">
            <w:pPr>
              <w:jc w:val="center"/>
              <w:rPr>
                <w:sz w:val="18"/>
                <w:szCs w:val="18"/>
              </w:rPr>
            </w:pPr>
            <w:r w:rsidRPr="00214F41">
              <w:rPr>
                <w:sz w:val="18"/>
                <w:szCs w:val="18"/>
              </w:rPr>
              <w:t>55.4±9.7</w:t>
            </w:r>
          </w:p>
        </w:tc>
        <w:tc>
          <w:tcPr>
            <w:tcW w:w="227" w:type="pct"/>
            <w:shd w:val="clear" w:color="000000" w:fill="FFFFFF"/>
            <w:vAlign w:val="center"/>
            <w:hideMark/>
          </w:tcPr>
          <w:p w14:paraId="2BFC1474" w14:textId="77777777" w:rsidR="005A043A" w:rsidRPr="00214F41" w:rsidRDefault="005A043A" w:rsidP="00286762">
            <w:pPr>
              <w:jc w:val="center"/>
              <w:rPr>
                <w:sz w:val="18"/>
                <w:szCs w:val="18"/>
              </w:rPr>
            </w:pPr>
            <w:r w:rsidRPr="00214F41">
              <w:rPr>
                <w:sz w:val="18"/>
                <w:szCs w:val="18"/>
              </w:rPr>
              <w:t>130/46.1</w:t>
            </w:r>
          </w:p>
        </w:tc>
        <w:tc>
          <w:tcPr>
            <w:tcW w:w="295" w:type="pct"/>
            <w:shd w:val="clear" w:color="000000" w:fill="FFFFFF"/>
            <w:vAlign w:val="center"/>
            <w:hideMark/>
          </w:tcPr>
          <w:p w14:paraId="00A97E56" w14:textId="77777777" w:rsidR="005A043A" w:rsidRPr="00214F41" w:rsidRDefault="005A043A" w:rsidP="00286762">
            <w:pPr>
              <w:jc w:val="center"/>
              <w:rPr>
                <w:sz w:val="18"/>
                <w:szCs w:val="18"/>
              </w:rPr>
            </w:pPr>
            <w:r w:rsidRPr="00214F41">
              <w:rPr>
                <w:sz w:val="18"/>
                <w:szCs w:val="18"/>
              </w:rPr>
              <w:t>31±10.6</w:t>
            </w:r>
          </w:p>
        </w:tc>
        <w:tc>
          <w:tcPr>
            <w:tcW w:w="301" w:type="pct"/>
            <w:shd w:val="clear" w:color="000000" w:fill="FFFFFF"/>
            <w:vAlign w:val="center"/>
            <w:hideMark/>
          </w:tcPr>
          <w:p w14:paraId="016054B4" w14:textId="77777777" w:rsidR="005A043A" w:rsidRPr="00214F41" w:rsidRDefault="005A043A" w:rsidP="00286762">
            <w:pPr>
              <w:jc w:val="center"/>
              <w:rPr>
                <w:sz w:val="18"/>
                <w:szCs w:val="18"/>
              </w:rPr>
            </w:pPr>
            <w:r w:rsidRPr="00214F41">
              <w:rPr>
                <w:sz w:val="18"/>
                <w:szCs w:val="18"/>
              </w:rPr>
              <w:t>30.8±5</w:t>
            </w:r>
          </w:p>
        </w:tc>
      </w:tr>
      <w:tr w:rsidR="005A043A" w:rsidRPr="00214F41" w14:paraId="61968C76" w14:textId="77777777" w:rsidTr="00286762">
        <w:trPr>
          <w:trHeight w:val="930"/>
        </w:trPr>
        <w:tc>
          <w:tcPr>
            <w:tcW w:w="277" w:type="pct"/>
            <w:shd w:val="clear" w:color="000000" w:fill="FFFFFF"/>
            <w:vAlign w:val="center"/>
            <w:hideMark/>
          </w:tcPr>
          <w:p w14:paraId="3CCAFA8B" w14:textId="77777777" w:rsidR="005A043A" w:rsidRPr="00214F41" w:rsidRDefault="005A043A" w:rsidP="00286762">
            <w:pPr>
              <w:jc w:val="center"/>
              <w:rPr>
                <w:sz w:val="18"/>
                <w:szCs w:val="18"/>
              </w:rPr>
            </w:pPr>
            <w:r w:rsidRPr="00214F41">
              <w:rPr>
                <w:sz w:val="18"/>
                <w:szCs w:val="18"/>
              </w:rPr>
              <w:t xml:space="preserve">Gao et al., 2020 </w:t>
            </w:r>
            <w:r w:rsidRPr="00214F41">
              <w:rPr>
                <w:sz w:val="18"/>
                <w:szCs w:val="18"/>
              </w:rPr>
              <w:fldChar w:fldCharType="begin" w:fldLock="1"/>
            </w:r>
            <w:r>
              <w:rPr>
                <w:sz w:val="18"/>
                <w:szCs w:val="18"/>
              </w:rPr>
              <w:instrText>ADDIN CSL_CITATION {"citationItems":[{"id":"ITEM-1","itemData":{"DOI":"10.19193/0393-6384_2020_1_66","ISSN":"2283-9720","abstract":"Purpose: To discuss and investigate the therapeutic effects of combination of linagliptin and metformin on treatment of elderly type 2 diabetes mellitus patients and its influences on serum uric acid, insulin resistance and insulin â cell function. Methods: Two hundred elderly patients with type 2 diabetes mellitus treated in our hospital from March 2014 to March 2016 were selected as the subjects and randomly divided into two groups, including a control group and an observation group (100 cases each). The patients in the control group were treated with metformin, while the patients in the observation group were treated with the combination of linagliptin and metformin. Before and after treatment, some indexes of the patients in the two groups were observed, including glycated haemoglobin (HbAlc), serum uric acid, fasting plasma glucose (FPG), 2 h postprandial plasma glucose (2hPG), body mass index (BMI), fasting C-peptide, 2 h postprandial C-peptide, fasting insulin (FIns) and 2 h postprandial insulin (2hIns), and insulin resistance indexes (HOMA-IR) were calculated, and the functions of insulin â cells were evaluated (HOMA-â). In addition, the efficiency of clinical treatment, the incidence of hypoglycaemia and the rate of adverse reactions were statistically investigated. Results: After treatment, the HbAlC, FPG, 2hPG, serum uric acid and BMI of the patients in the two groups were decreased, and there were significant differences (P{\\textless}0.05). After treatment, the HbAlC, FPG, 2hPG, serum uric acid and BMI of the patients in the observation group were all lower than those in the control group, and there were significant differences (P{\\textless}0.05). The fasting C-peptide, 2 h postprandial C-peptide, FIns, 2hIns and HOMA-â of the patients in the two groups after treatment were increased, HOMA-IRs were decreased, and there were significant differences (P{\\textless}0.05). After treatment, the fasting C-peptide, 2 h postprandial C-peptide, FIns, 2hIns and HOMA-â of the patients in the observation group were higher than those in the control group, the HOMA-IRs were lower than the control group, and there were significant differences (P{\\textless}0.05). The marked effective rate, the effective rate and the total effective rate of the observation group were higher than those of the control group, the ineffective rate was lower than that of the control group, and there were significant differences between the data in the two groups (P{\\textless}0.05).…","author":[{"dropping-particle":"","family":"Gao","given":"Y","non-dropping-particle":"","parse-names":false,"suffix":""},{"dropping-particle":"","family":"Gao","given":"L","non-dropping-particle":"","parse-names":false,"suffix":""},{"dropping-particle":"","family":"Peng","given":"Y","non-dropping-particle":"","parse-names":false,"suffix":""},{"dropping-particle":"","family":"Long","given":"J","non-dropping-particle":"","parse-names":false,"suffix":""},{"dropping-particle":"","family":"Yang","given":"M","non-dropping-particle":"","parse-names":false,"suffix":""}],"container-title":"Acta Medica Mediterranea","id":"ITEM-1","issue":"1","issued":{"date-parts":[["2020"]]},"page":"421-425","title":"Therapeutic effects of the combination of linagliptin and metformin on the treatment of elderly type 2 diabetes mellitus and influences on serum uric acid, insulin resistance and insulin Â cell functions","type":"article-journal","volume":"36"},"uris":["http://www.mendeley.com/documents/?uuid=40980fed-ac16-4658-ab6d-d44611843d73"]}],"mendeley":{"formattedCitation":"[52]","plainTextFormattedCitation":"[52]","previouslyFormattedCitation":"[52]"},"properties":{"noteIndex":0},"schema":"https://github.com/citation-style-language/schema/raw/master/csl-citation.json"}</w:instrText>
            </w:r>
            <w:r w:rsidRPr="00214F41">
              <w:rPr>
                <w:sz w:val="18"/>
                <w:szCs w:val="18"/>
              </w:rPr>
              <w:fldChar w:fldCharType="separate"/>
            </w:r>
            <w:r w:rsidRPr="00FF29A9">
              <w:rPr>
                <w:noProof/>
                <w:sz w:val="18"/>
                <w:szCs w:val="18"/>
              </w:rPr>
              <w:t>[52]</w:t>
            </w:r>
            <w:r w:rsidRPr="00214F41">
              <w:rPr>
                <w:sz w:val="18"/>
                <w:szCs w:val="18"/>
              </w:rPr>
              <w:fldChar w:fldCharType="end"/>
            </w:r>
          </w:p>
        </w:tc>
        <w:tc>
          <w:tcPr>
            <w:tcW w:w="293" w:type="pct"/>
            <w:shd w:val="clear" w:color="000000" w:fill="FFFFFF"/>
            <w:vAlign w:val="center"/>
            <w:hideMark/>
          </w:tcPr>
          <w:p w14:paraId="51FA6AAE" w14:textId="77777777" w:rsidR="005A043A" w:rsidRPr="00214F41" w:rsidRDefault="005A043A" w:rsidP="00286762">
            <w:pPr>
              <w:jc w:val="center"/>
              <w:rPr>
                <w:sz w:val="18"/>
                <w:szCs w:val="18"/>
              </w:rPr>
            </w:pPr>
            <w:r w:rsidRPr="00214F41">
              <w:rPr>
                <w:sz w:val="18"/>
                <w:szCs w:val="18"/>
              </w:rPr>
              <w:t>ITT</w:t>
            </w:r>
          </w:p>
        </w:tc>
        <w:tc>
          <w:tcPr>
            <w:tcW w:w="775" w:type="pct"/>
            <w:shd w:val="clear" w:color="000000" w:fill="FFFFFF"/>
            <w:vAlign w:val="center"/>
            <w:hideMark/>
          </w:tcPr>
          <w:p w14:paraId="0EDB7A4B" w14:textId="77777777" w:rsidR="005A043A" w:rsidRPr="00214F41" w:rsidRDefault="005A043A" w:rsidP="00286762">
            <w:pPr>
              <w:jc w:val="center"/>
              <w:rPr>
                <w:sz w:val="18"/>
                <w:szCs w:val="18"/>
                <w:lang w:val="en-GB"/>
              </w:rPr>
            </w:pPr>
            <w:r w:rsidRPr="00214F41">
              <w:rPr>
                <w:sz w:val="18"/>
                <w:szCs w:val="18"/>
                <w:lang w:val="en-GB"/>
              </w:rPr>
              <w:t>To investigate the therapeutic effects of combination of linagliptin and metformin on treatment of elderly T2DM patients and its influences on serum uric acid, insulin resistance and insulin â cell function</w:t>
            </w:r>
          </w:p>
        </w:tc>
        <w:tc>
          <w:tcPr>
            <w:tcW w:w="320" w:type="pct"/>
            <w:shd w:val="clear" w:color="000000" w:fill="FFFFFF"/>
            <w:vAlign w:val="center"/>
            <w:hideMark/>
          </w:tcPr>
          <w:p w14:paraId="14EF4400" w14:textId="77777777" w:rsidR="005A043A" w:rsidRPr="00214F41" w:rsidRDefault="005A043A" w:rsidP="00286762">
            <w:pPr>
              <w:jc w:val="center"/>
              <w:rPr>
                <w:sz w:val="18"/>
                <w:szCs w:val="18"/>
              </w:rPr>
            </w:pPr>
            <w:r w:rsidRPr="00214F41">
              <w:rPr>
                <w:sz w:val="18"/>
                <w:szCs w:val="18"/>
              </w:rPr>
              <w:t>200/200</w:t>
            </w:r>
          </w:p>
        </w:tc>
        <w:tc>
          <w:tcPr>
            <w:tcW w:w="321" w:type="pct"/>
            <w:shd w:val="clear" w:color="000000" w:fill="FFFFFF"/>
            <w:vAlign w:val="center"/>
            <w:hideMark/>
          </w:tcPr>
          <w:p w14:paraId="3A1062AE" w14:textId="77777777" w:rsidR="005A043A" w:rsidRPr="00214F41" w:rsidRDefault="005A043A" w:rsidP="00286762">
            <w:pPr>
              <w:jc w:val="center"/>
              <w:rPr>
                <w:sz w:val="18"/>
                <w:szCs w:val="18"/>
              </w:rPr>
            </w:pPr>
            <w:r w:rsidRPr="00214F41">
              <w:rPr>
                <w:sz w:val="18"/>
                <w:szCs w:val="18"/>
              </w:rPr>
              <w:t>S</w:t>
            </w:r>
          </w:p>
        </w:tc>
        <w:tc>
          <w:tcPr>
            <w:tcW w:w="502" w:type="pct"/>
            <w:shd w:val="clear" w:color="000000" w:fill="FFFFFF"/>
            <w:vAlign w:val="center"/>
            <w:hideMark/>
          </w:tcPr>
          <w:p w14:paraId="21A68D45"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362" w:type="pct"/>
            <w:shd w:val="clear" w:color="000000" w:fill="FFFFFF"/>
            <w:vAlign w:val="center"/>
            <w:hideMark/>
          </w:tcPr>
          <w:p w14:paraId="0D8664AA" w14:textId="77777777" w:rsidR="005A043A" w:rsidRPr="00214F41" w:rsidRDefault="005A043A" w:rsidP="00286762">
            <w:pPr>
              <w:jc w:val="center"/>
              <w:rPr>
                <w:sz w:val="18"/>
                <w:szCs w:val="18"/>
              </w:rPr>
            </w:pPr>
            <w:r w:rsidRPr="00214F41">
              <w:rPr>
                <w:sz w:val="18"/>
                <w:szCs w:val="18"/>
              </w:rPr>
              <w:t>1500mg/3/d</w:t>
            </w:r>
          </w:p>
        </w:tc>
        <w:tc>
          <w:tcPr>
            <w:tcW w:w="229" w:type="pct"/>
            <w:shd w:val="clear" w:color="000000" w:fill="FFFFFF"/>
            <w:vAlign w:val="center"/>
            <w:hideMark/>
          </w:tcPr>
          <w:p w14:paraId="77D08401" w14:textId="77777777" w:rsidR="005A043A" w:rsidRPr="00214F41" w:rsidRDefault="005A043A" w:rsidP="00286762">
            <w:pPr>
              <w:jc w:val="center"/>
              <w:rPr>
                <w:sz w:val="18"/>
                <w:szCs w:val="18"/>
              </w:rPr>
            </w:pPr>
            <w:r w:rsidRPr="00214F41">
              <w:rPr>
                <w:sz w:val="18"/>
                <w:szCs w:val="18"/>
              </w:rPr>
              <w:t>90</w:t>
            </w:r>
          </w:p>
        </w:tc>
        <w:tc>
          <w:tcPr>
            <w:tcW w:w="274" w:type="pct"/>
            <w:shd w:val="clear" w:color="000000" w:fill="FFFFFF"/>
            <w:vAlign w:val="center"/>
            <w:hideMark/>
          </w:tcPr>
          <w:p w14:paraId="156507B0" w14:textId="77777777" w:rsidR="005A043A" w:rsidRPr="00214F41" w:rsidRDefault="005A043A" w:rsidP="00286762">
            <w:pPr>
              <w:jc w:val="center"/>
              <w:rPr>
                <w:sz w:val="18"/>
                <w:szCs w:val="18"/>
              </w:rPr>
            </w:pPr>
            <w:r w:rsidRPr="00214F41">
              <w:rPr>
                <w:sz w:val="18"/>
                <w:szCs w:val="18"/>
              </w:rPr>
              <w:t>IR</w:t>
            </w:r>
          </w:p>
        </w:tc>
        <w:tc>
          <w:tcPr>
            <w:tcW w:w="550" w:type="pct"/>
            <w:shd w:val="clear" w:color="000000" w:fill="FFFFFF"/>
            <w:vAlign w:val="center"/>
            <w:hideMark/>
          </w:tcPr>
          <w:p w14:paraId="5FE49F03" w14:textId="77777777" w:rsidR="005A043A" w:rsidRPr="00214F41" w:rsidRDefault="005A043A" w:rsidP="00286762">
            <w:pPr>
              <w:jc w:val="center"/>
              <w:rPr>
                <w:sz w:val="18"/>
                <w:szCs w:val="18"/>
                <w:lang w:val="en-GB"/>
              </w:rPr>
            </w:pPr>
            <w:r w:rsidRPr="00214F41">
              <w:rPr>
                <w:sz w:val="18"/>
                <w:szCs w:val="18"/>
                <w:lang w:val="en-GB"/>
              </w:rPr>
              <w:t>Metformin + linagliptin/ 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60B51925" w14:textId="77777777" w:rsidR="005A043A" w:rsidRPr="00214F41" w:rsidRDefault="005A043A" w:rsidP="00286762">
            <w:pPr>
              <w:jc w:val="center"/>
              <w:rPr>
                <w:sz w:val="18"/>
                <w:szCs w:val="18"/>
              </w:rPr>
            </w:pPr>
            <w:r w:rsidRPr="00214F41">
              <w:rPr>
                <w:sz w:val="18"/>
                <w:szCs w:val="18"/>
              </w:rPr>
              <w:t>70.3±4.1</w:t>
            </w:r>
          </w:p>
        </w:tc>
        <w:tc>
          <w:tcPr>
            <w:tcW w:w="227" w:type="pct"/>
            <w:shd w:val="clear" w:color="000000" w:fill="FFFFFF"/>
            <w:vAlign w:val="center"/>
            <w:hideMark/>
          </w:tcPr>
          <w:p w14:paraId="1E927F3A" w14:textId="77777777" w:rsidR="005A043A" w:rsidRPr="00214F41" w:rsidRDefault="005A043A" w:rsidP="00286762">
            <w:pPr>
              <w:jc w:val="center"/>
              <w:rPr>
                <w:sz w:val="18"/>
                <w:szCs w:val="18"/>
              </w:rPr>
            </w:pPr>
            <w:r w:rsidRPr="00214F41">
              <w:rPr>
                <w:sz w:val="18"/>
                <w:szCs w:val="18"/>
              </w:rPr>
              <w:t>97/48.5</w:t>
            </w:r>
          </w:p>
        </w:tc>
        <w:tc>
          <w:tcPr>
            <w:tcW w:w="295" w:type="pct"/>
            <w:shd w:val="clear" w:color="000000" w:fill="FFFFFF"/>
            <w:vAlign w:val="center"/>
            <w:hideMark/>
          </w:tcPr>
          <w:p w14:paraId="7527A54A" w14:textId="77777777" w:rsidR="005A043A" w:rsidRPr="00214F41" w:rsidRDefault="005A043A" w:rsidP="00286762">
            <w:pPr>
              <w:jc w:val="center"/>
              <w:rPr>
                <w:sz w:val="18"/>
                <w:szCs w:val="18"/>
              </w:rPr>
            </w:pPr>
            <w:r w:rsidRPr="00214F41">
              <w:rPr>
                <w:sz w:val="18"/>
                <w:szCs w:val="18"/>
              </w:rPr>
              <w:t>26.89±2.99</w:t>
            </w:r>
          </w:p>
        </w:tc>
        <w:tc>
          <w:tcPr>
            <w:tcW w:w="301" w:type="pct"/>
            <w:shd w:val="clear" w:color="000000" w:fill="FFFFFF"/>
            <w:vAlign w:val="center"/>
            <w:hideMark/>
          </w:tcPr>
          <w:p w14:paraId="0CFD0431" w14:textId="77777777" w:rsidR="005A043A" w:rsidRPr="00214F41" w:rsidRDefault="005A043A" w:rsidP="00286762">
            <w:pPr>
              <w:jc w:val="center"/>
              <w:rPr>
                <w:sz w:val="18"/>
                <w:szCs w:val="18"/>
              </w:rPr>
            </w:pPr>
            <w:r w:rsidRPr="00214F41">
              <w:rPr>
                <w:sz w:val="18"/>
                <w:szCs w:val="18"/>
              </w:rPr>
              <w:t>27.03±3.01</w:t>
            </w:r>
          </w:p>
        </w:tc>
      </w:tr>
      <w:tr w:rsidR="005A043A" w:rsidRPr="0072287D" w14:paraId="473F86A7" w14:textId="77777777" w:rsidTr="00286762">
        <w:trPr>
          <w:trHeight w:val="930"/>
        </w:trPr>
        <w:tc>
          <w:tcPr>
            <w:tcW w:w="277" w:type="pct"/>
            <w:shd w:val="clear" w:color="000000" w:fill="FFFFFF"/>
            <w:vAlign w:val="center"/>
            <w:hideMark/>
          </w:tcPr>
          <w:p w14:paraId="679781B4" w14:textId="77777777" w:rsidR="005A043A" w:rsidRPr="00214F41" w:rsidRDefault="005A043A" w:rsidP="00286762">
            <w:pPr>
              <w:jc w:val="center"/>
              <w:rPr>
                <w:sz w:val="18"/>
                <w:szCs w:val="18"/>
                <w:lang w:val="en-GB"/>
              </w:rPr>
            </w:pPr>
            <w:r w:rsidRPr="00214F41">
              <w:rPr>
                <w:sz w:val="18"/>
                <w:szCs w:val="18"/>
              </w:rPr>
              <w:t xml:space="preserve">Ghosh et al., 2014 </w:t>
            </w:r>
            <w:r w:rsidRPr="00214F41">
              <w:rPr>
                <w:sz w:val="18"/>
                <w:szCs w:val="18"/>
              </w:rPr>
              <w:fldChar w:fldCharType="begin" w:fldLock="1"/>
            </w:r>
            <w:r>
              <w:rPr>
                <w:sz w:val="18"/>
                <w:szCs w:val="18"/>
              </w:rPr>
              <w:instrText>ADDIN CSL_CITATION {"citationItems":[{"id":"ITEM-1","itemData":{"DOI":"10.4103/0253-7613.125160","ISSN":"02537613","PMID":"24550580","abstract":"Objective: To compare the effectiveness and safety of add on therapy of bromocriptine with metformin in type 2 diabetes mellitus (DM) patients. Material and Methods: Adult type 2 DM patients fulfilling the inclusion criteria were randomized in three groups. Group A received metformin (1000 mg/ day), while group B patients were treated with metformin (1000 mg/day) plus bromocriptine (0.8 mg/day) and group C received metformin (1000 mg/day) plus bromocriptine (1.6 mg/day) for 12 weeks. Fasting plasma glucose (FPG), postprandial plasma glucose (PPPG), and body weight were measured at week 4, 8, and 12 visits and glycosylated hemoglobin (HbA 1C ) at week 12 visit. Results: Metformin alone and in combination with bromocriptine in escalating dose (0.8 mg/day and 1.6 mg/day) significantly (P &lt; 0.05) decreased FPG and PPPG levels at weeks 4, 8, and 12 compared with pretreatment values. HbA 1C level in all three treatment groups significantly (P &lt; 0.05) decreased at week 12 as compared with pretreatment baseline value. HbA 1C level in groups B and C significantly (P &lt; 0.05) decreased as compared with group A at week 12. Addition of bromocriptine to metformin also significantly (P &lt; 0.05) decreased FPG and PPPG levels in a dose-dependent manner as compared with metformin alone. Intergroup analysis did not show any statistically significant change in weight of study subjects at different intervals. Conclusion: The combination of bromocriptine with metformin significantly decreased FPG, PPPG, and HbA 1C compared with metformin alone</w:instrText>
            </w:r>
            <w:r w:rsidRPr="00FF29A9">
              <w:rPr>
                <w:sz w:val="18"/>
                <w:szCs w:val="18"/>
                <w:lang w:val="en-GB"/>
              </w:rPr>
              <w:instrText xml:space="preserve"> in type 2 DM patients in a dose-dependent manner.","author":[{"dropping-particle":"","family":"Ghosh","given":"Arijit","non-dropping-particle":"","parse-names":false,"suffix":""},{"dropping-particle":"","family":"Sengupta","given":"Nilanjan","non-dropping-particle":"","parse-names":false,"suffix":""},{"dropping-particle":"","family":"Sahana","given":"Pranab","non-dropping-particle":"","parse-names":false,"suffix":""},{"dropping-particle":"","family":"Giri","given":"Debasis","non-dropping-particle":"","parse-names":false,"suffix":""},{"dropping-particle":"","family":"Sengupta","given":"Parama","non-dropping-particle":"","parse-names":false,"suffix":""},{"dropping-particle":"","family":"Das","given":"Nina","non-dropping-particle":"","parse-names":false,"suffix":""}],"container-title":"Indian Journal of Pharmacology","id":"ITEM-1","issue":"1","issued":{"date-parts":[["2014","1"]]},"page":"24","publisher":"Wolters Kluwer -- Medknow Publications","title":"Efficacy and safety of add on therapy of bromocriptine with metformin in Indian patients with type 2 diabetes mellitus: A randomized open labeled phase IV clinical trial","type":"article-journal","volume":"46"},"uris":["http://www.mendeley.com/documents/?uuid=b4cf1a74-2cb2-3484-9dac-8cd05269360a"]}],"mendeley":{"formattedCitation":"[53]","plainTextFormattedCitation":"[53]","previouslyFormattedCitation":"[53]"},"properties":{"noteIndex":0},"schema":"https://github.com/citation-style-language/schema/raw/master/csl-citation.json"}</w:instrText>
            </w:r>
            <w:r w:rsidRPr="00214F41">
              <w:rPr>
                <w:sz w:val="18"/>
                <w:szCs w:val="18"/>
              </w:rPr>
              <w:fldChar w:fldCharType="separate"/>
            </w:r>
            <w:r w:rsidRPr="00FF29A9">
              <w:rPr>
                <w:noProof/>
                <w:sz w:val="18"/>
                <w:szCs w:val="18"/>
                <w:lang w:val="en-GB"/>
              </w:rPr>
              <w:t>[53]</w:t>
            </w:r>
            <w:r w:rsidRPr="00214F41">
              <w:rPr>
                <w:sz w:val="18"/>
                <w:szCs w:val="18"/>
              </w:rPr>
              <w:fldChar w:fldCharType="end"/>
            </w:r>
          </w:p>
        </w:tc>
        <w:tc>
          <w:tcPr>
            <w:tcW w:w="293" w:type="pct"/>
            <w:shd w:val="clear" w:color="000000" w:fill="FFFFFF"/>
            <w:vAlign w:val="center"/>
            <w:hideMark/>
          </w:tcPr>
          <w:p w14:paraId="3A57B361"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518953AC" w14:textId="77777777" w:rsidR="005A043A" w:rsidRPr="00214F41" w:rsidRDefault="005A043A" w:rsidP="00286762">
            <w:pPr>
              <w:jc w:val="center"/>
              <w:rPr>
                <w:sz w:val="18"/>
                <w:szCs w:val="18"/>
                <w:lang w:val="en-GB"/>
              </w:rPr>
            </w:pPr>
            <w:r w:rsidRPr="00214F41">
              <w:rPr>
                <w:sz w:val="18"/>
                <w:szCs w:val="18"/>
                <w:lang w:val="en-GB"/>
              </w:rPr>
              <w:t xml:space="preserve">To compare the effectiveness and safety of add on therapy of bromocriptine with </w:t>
            </w:r>
            <w:r w:rsidRPr="00214F41">
              <w:rPr>
                <w:sz w:val="18"/>
                <w:szCs w:val="18"/>
                <w:lang w:val="en-GB"/>
              </w:rPr>
              <w:lastRenderedPageBreak/>
              <w:t>metformin in T2DM (DM) patients.</w:t>
            </w:r>
          </w:p>
        </w:tc>
        <w:tc>
          <w:tcPr>
            <w:tcW w:w="320" w:type="pct"/>
            <w:shd w:val="clear" w:color="000000" w:fill="FFFFFF"/>
            <w:vAlign w:val="center"/>
            <w:hideMark/>
          </w:tcPr>
          <w:p w14:paraId="1C5BD99C" w14:textId="77777777" w:rsidR="005A043A" w:rsidRPr="00214F41" w:rsidRDefault="005A043A" w:rsidP="00286762">
            <w:pPr>
              <w:jc w:val="center"/>
              <w:rPr>
                <w:sz w:val="18"/>
                <w:szCs w:val="18"/>
                <w:lang w:val="en-GB"/>
              </w:rPr>
            </w:pPr>
            <w:r w:rsidRPr="00214F41">
              <w:rPr>
                <w:sz w:val="18"/>
                <w:szCs w:val="18"/>
                <w:lang w:val="en-GB"/>
              </w:rPr>
              <w:lastRenderedPageBreak/>
              <w:t>74/74</w:t>
            </w:r>
          </w:p>
        </w:tc>
        <w:tc>
          <w:tcPr>
            <w:tcW w:w="321" w:type="pct"/>
            <w:shd w:val="clear" w:color="000000" w:fill="FFFFFF"/>
            <w:vAlign w:val="center"/>
            <w:hideMark/>
          </w:tcPr>
          <w:p w14:paraId="0AB7ED46" w14:textId="77777777" w:rsidR="005A043A" w:rsidRPr="00214F41" w:rsidRDefault="005A043A" w:rsidP="00286762">
            <w:pPr>
              <w:jc w:val="center"/>
              <w:rPr>
                <w:sz w:val="18"/>
                <w:szCs w:val="18"/>
                <w:lang w:val="en-GB"/>
              </w:rPr>
            </w:pPr>
            <w:r w:rsidRPr="00214F41">
              <w:rPr>
                <w:sz w:val="18"/>
                <w:szCs w:val="18"/>
                <w:lang w:val="en-GB"/>
              </w:rPr>
              <w:t>S</w:t>
            </w:r>
          </w:p>
        </w:tc>
        <w:tc>
          <w:tcPr>
            <w:tcW w:w="502" w:type="pct"/>
            <w:shd w:val="clear" w:color="000000" w:fill="FFFFFF"/>
            <w:vAlign w:val="center"/>
            <w:hideMark/>
          </w:tcPr>
          <w:p w14:paraId="4D16415D"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69D669B2" w14:textId="77777777" w:rsidR="005A043A" w:rsidRPr="00214F41" w:rsidRDefault="005A043A" w:rsidP="00286762">
            <w:pPr>
              <w:jc w:val="center"/>
              <w:rPr>
                <w:sz w:val="18"/>
                <w:szCs w:val="18"/>
                <w:lang w:val="en-GB"/>
              </w:rPr>
            </w:pPr>
            <w:r w:rsidRPr="00214F41">
              <w:rPr>
                <w:sz w:val="18"/>
                <w:szCs w:val="18"/>
                <w:lang w:val="en-GB"/>
              </w:rPr>
              <w:t>1000mg/2/d</w:t>
            </w:r>
          </w:p>
        </w:tc>
        <w:tc>
          <w:tcPr>
            <w:tcW w:w="229" w:type="pct"/>
            <w:shd w:val="clear" w:color="000000" w:fill="FFFFFF"/>
            <w:vAlign w:val="center"/>
            <w:hideMark/>
          </w:tcPr>
          <w:p w14:paraId="61A1B47E" w14:textId="77777777" w:rsidR="005A043A" w:rsidRPr="00214F41" w:rsidRDefault="005A043A" w:rsidP="00286762">
            <w:pPr>
              <w:jc w:val="center"/>
              <w:rPr>
                <w:sz w:val="18"/>
                <w:szCs w:val="18"/>
                <w:lang w:val="en-GB"/>
              </w:rPr>
            </w:pPr>
            <w:r w:rsidRPr="00214F41">
              <w:rPr>
                <w:sz w:val="18"/>
                <w:szCs w:val="18"/>
                <w:lang w:val="en-GB"/>
              </w:rPr>
              <w:t>84</w:t>
            </w:r>
          </w:p>
        </w:tc>
        <w:tc>
          <w:tcPr>
            <w:tcW w:w="274" w:type="pct"/>
            <w:shd w:val="clear" w:color="000000" w:fill="FFFFFF"/>
            <w:vAlign w:val="center"/>
            <w:hideMark/>
          </w:tcPr>
          <w:p w14:paraId="13963605" w14:textId="77777777" w:rsidR="005A043A" w:rsidRPr="00214F41" w:rsidRDefault="005A043A" w:rsidP="00286762">
            <w:pPr>
              <w:jc w:val="center"/>
              <w:rPr>
                <w:sz w:val="18"/>
                <w:szCs w:val="18"/>
                <w:lang w:val="en-GB"/>
              </w:rPr>
            </w:pPr>
            <w:r w:rsidRPr="00214F41">
              <w:rPr>
                <w:sz w:val="18"/>
                <w:szCs w:val="18"/>
                <w:lang w:val="en-GB"/>
              </w:rPr>
              <w:t>XR</w:t>
            </w:r>
          </w:p>
        </w:tc>
        <w:tc>
          <w:tcPr>
            <w:tcW w:w="550" w:type="pct"/>
            <w:shd w:val="clear" w:color="000000" w:fill="FFFFFF"/>
            <w:vAlign w:val="center"/>
            <w:hideMark/>
          </w:tcPr>
          <w:p w14:paraId="04A3150B" w14:textId="77777777" w:rsidR="005A043A" w:rsidRPr="00214F41" w:rsidRDefault="005A043A" w:rsidP="00286762">
            <w:pPr>
              <w:jc w:val="center"/>
              <w:rPr>
                <w:sz w:val="18"/>
                <w:szCs w:val="18"/>
                <w:lang w:val="en-GB"/>
              </w:rPr>
            </w:pPr>
            <w:r w:rsidRPr="00214F41">
              <w:rPr>
                <w:sz w:val="18"/>
                <w:szCs w:val="18"/>
                <w:lang w:val="en-GB"/>
              </w:rPr>
              <w:t xml:space="preserve">metformin 500 mg b.i.d. + bromocriptine 0,8 </w:t>
            </w:r>
            <w:proofErr w:type="spellStart"/>
            <w:r w:rsidRPr="00214F41">
              <w:rPr>
                <w:sz w:val="18"/>
                <w:szCs w:val="18"/>
                <w:lang w:val="en-GB"/>
              </w:rPr>
              <w:t>q.d</w:t>
            </w:r>
            <w:proofErr w:type="spellEnd"/>
            <w:r w:rsidRPr="00214F41">
              <w:rPr>
                <w:sz w:val="18"/>
                <w:szCs w:val="18"/>
                <w:lang w:val="en-GB"/>
              </w:rPr>
              <w:t>./MET/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7F6AF573" w14:textId="77777777" w:rsidR="005A043A" w:rsidRPr="00214F41" w:rsidRDefault="005A043A" w:rsidP="00286762">
            <w:pPr>
              <w:jc w:val="center"/>
              <w:rPr>
                <w:sz w:val="18"/>
                <w:szCs w:val="18"/>
                <w:lang w:val="en-GB"/>
              </w:rPr>
            </w:pPr>
            <w:r w:rsidRPr="00214F41">
              <w:rPr>
                <w:sz w:val="18"/>
                <w:szCs w:val="18"/>
                <w:lang w:val="en-GB"/>
              </w:rPr>
              <w:t>50.4±nd</w:t>
            </w:r>
          </w:p>
        </w:tc>
        <w:tc>
          <w:tcPr>
            <w:tcW w:w="227" w:type="pct"/>
            <w:shd w:val="clear" w:color="000000" w:fill="FFFFFF"/>
            <w:vAlign w:val="center"/>
            <w:hideMark/>
          </w:tcPr>
          <w:p w14:paraId="45572E4B"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r w:rsidRPr="00214F41">
              <w:rPr>
                <w:sz w:val="18"/>
                <w:szCs w:val="18"/>
                <w:lang w:val="en-GB"/>
              </w:rPr>
              <w:t>/</w:t>
            </w:r>
            <w:proofErr w:type="spellStart"/>
            <w:r w:rsidRPr="00214F41">
              <w:rPr>
                <w:sz w:val="18"/>
                <w:szCs w:val="18"/>
                <w:lang w:val="en-GB"/>
              </w:rPr>
              <w:t>nd</w:t>
            </w:r>
            <w:proofErr w:type="spellEnd"/>
          </w:p>
        </w:tc>
        <w:tc>
          <w:tcPr>
            <w:tcW w:w="295" w:type="pct"/>
            <w:shd w:val="clear" w:color="000000" w:fill="FFFFFF"/>
            <w:vAlign w:val="center"/>
            <w:hideMark/>
          </w:tcPr>
          <w:p w14:paraId="3C97D447" w14:textId="77777777" w:rsidR="005A043A" w:rsidRPr="00214F41" w:rsidRDefault="005A043A" w:rsidP="00286762">
            <w:pPr>
              <w:jc w:val="center"/>
              <w:rPr>
                <w:sz w:val="18"/>
                <w:szCs w:val="18"/>
                <w:lang w:val="en-GB"/>
              </w:rPr>
            </w:pPr>
            <w:proofErr w:type="spellStart"/>
            <w:r w:rsidRPr="00214F41">
              <w:rPr>
                <w:sz w:val="18"/>
                <w:szCs w:val="18"/>
                <w:lang w:val="en-GB"/>
              </w:rPr>
              <w:t>nd±nd</w:t>
            </w:r>
            <w:proofErr w:type="spellEnd"/>
          </w:p>
        </w:tc>
        <w:tc>
          <w:tcPr>
            <w:tcW w:w="301" w:type="pct"/>
            <w:shd w:val="clear" w:color="000000" w:fill="FFFFFF"/>
            <w:vAlign w:val="center"/>
            <w:hideMark/>
          </w:tcPr>
          <w:p w14:paraId="27B78A40" w14:textId="77777777" w:rsidR="005A043A" w:rsidRPr="00214F41" w:rsidRDefault="005A043A" w:rsidP="00286762">
            <w:pPr>
              <w:jc w:val="center"/>
              <w:rPr>
                <w:sz w:val="18"/>
                <w:szCs w:val="18"/>
                <w:lang w:val="en-GB"/>
              </w:rPr>
            </w:pPr>
            <w:proofErr w:type="spellStart"/>
            <w:r w:rsidRPr="00214F41">
              <w:rPr>
                <w:sz w:val="18"/>
                <w:szCs w:val="18"/>
                <w:lang w:val="en-GB"/>
              </w:rPr>
              <w:t>nd±nd</w:t>
            </w:r>
            <w:proofErr w:type="spellEnd"/>
          </w:p>
        </w:tc>
      </w:tr>
      <w:tr w:rsidR="005A043A" w:rsidRPr="0072287D" w14:paraId="7D912B84" w14:textId="77777777" w:rsidTr="00286762">
        <w:trPr>
          <w:trHeight w:val="930"/>
        </w:trPr>
        <w:tc>
          <w:tcPr>
            <w:tcW w:w="277" w:type="pct"/>
            <w:shd w:val="clear" w:color="000000" w:fill="FFFFFF"/>
            <w:vAlign w:val="center"/>
            <w:hideMark/>
          </w:tcPr>
          <w:p w14:paraId="6B1D807E" w14:textId="77777777" w:rsidR="005A043A" w:rsidRPr="00214F41" w:rsidRDefault="005A043A" w:rsidP="00286762">
            <w:pPr>
              <w:jc w:val="center"/>
              <w:rPr>
                <w:sz w:val="18"/>
                <w:szCs w:val="18"/>
                <w:lang w:val="en-GB"/>
              </w:rPr>
            </w:pPr>
            <w:r w:rsidRPr="00214F41">
              <w:rPr>
                <w:sz w:val="18"/>
                <w:szCs w:val="18"/>
                <w:lang w:val="en-GB"/>
              </w:rPr>
              <w:t xml:space="preserve">Gottschalk et al., 2007 </w:t>
            </w:r>
            <w:r w:rsidRPr="00214F41">
              <w:rPr>
                <w:sz w:val="18"/>
                <w:szCs w:val="18"/>
              </w:rPr>
              <w:fldChar w:fldCharType="begin" w:fldLock="1"/>
            </w:r>
            <w:r>
              <w:rPr>
                <w:sz w:val="18"/>
                <w:szCs w:val="18"/>
                <w:lang w:val="en-GB"/>
              </w:rPr>
              <w:instrText>ADDIN CSL_CITATION {"citationItems":[{"id":"ITEM-1","itemData":{"DOI":"10.2337/dc06-1554","ISSN":"0149-5992","abstract":"OBJECTIVE - To compare the efficacy and safety of glimepiride versus metformin in pediatric subjects with type 2 diabetes inadequately controlled with diet and exercise alone or oral monotherapy. RESEARCH DESIGN AND METHODS - This 26-week, single-blind, active-controlled, multinational study randomized 285 subjects to receive glimepiride (1-8 mg once daily) or metformin (500-1000 mg twice daily) for 24 weeks. The primary end point was mean change in A1C from baseline to week 24. Safety was assessed by incidence of hypoglycemia and other adverse events. RESULTS - Significant reductions from baseline A1C were seen in both the glimepiride (-0.54\\%, P = 0.001) and metformin (-0.71\\%, P = 0.0002) groups. A total of 42.4\\% (56 of 132) and 48.1\\% (63 of 131) of subjects in the glimepiride and metformin groups, respectively, in the intent-to-treat population achieved A1C {\\textless}7.0\\% at week 24. No significant differences were observed between groups in reductions in A1C and self-monitored blood glucose levels, changes in serum lipid concentrations, or hypoglycemia incidence. Significant differences were observed in mean changes from baseline in BMI between groups (0.26 kg/m2 for glimepiride and -0.33 kg/m2 for metformin; P = 0.003). The adjusted mean body weight increase was 1.97 kg for glimepiride and 0.55 kg for metformin (P = 0.005). A hypoglycemic episode with blood glucose {\\textless}50 mg/dl ({\\textless}2.8 mmol/l) was experienced by 4.9 and 4.2\\% of glimepiride- and metformin-treated subjects, respectively. A single severe hypoglycemic event occurred in each group. CONCLUSIONS - Glimepiride reduced A1C similarly to metformin with greater weight gain, and there was comparable safety over 24 weeks in the treatment of pediatric subjects with type 2 diabetes. © 2007 by the American Diabetes Association.","author":[{"dropping-particle":"","family":"Gottschalk","given":"M","non-dropping-particle":"","parse-names":false,"suffix":""},{"dropping-particle":"","family":"Danne","given":"T","non-dropping-particle":"","parse-names":false,"suffix":""},{"dropping-particle":"","family":"Vlajnic","given":"A","non-dropping-particle":"","parse-names":false,"suffix":""},{"dropping-particle":"","family":"Cara","given":"J F","non-dropping-particle":"","parse-names":false,"suffix":""}],"container-title":"Diabetes Care","id":"ITEM-1","issue":"4","issued":{"date-parts":[["2007"]]},"page":"790-794","title":"Glimepiride versus metformin as monotherapy in pediatric patients with type 2 diabetes: {A} randomized, single-blind comparative study","type":"article-journal","volume":"30"},"uris":["http://www.mendeley.com/documents/?uuid=b97522e7-9e66-4dab-8d49-25243e18044a"]}],"mendeley":{"formattedCitation":"[54]","plainTextFormattedCitation":"[54]","previouslyFormattedCitation":"[54]"},"properties":{"noteIndex":0},"schema":"https://github.com/citation-style-language/schema/raw/master/csl-citation.json"}</w:instrText>
            </w:r>
            <w:r w:rsidRPr="00214F41">
              <w:rPr>
                <w:sz w:val="18"/>
                <w:szCs w:val="18"/>
              </w:rPr>
              <w:fldChar w:fldCharType="separate"/>
            </w:r>
            <w:r w:rsidRPr="00FF29A9">
              <w:rPr>
                <w:noProof/>
                <w:sz w:val="18"/>
                <w:szCs w:val="18"/>
                <w:lang w:val="en-GB"/>
              </w:rPr>
              <w:t>[54]</w:t>
            </w:r>
            <w:r w:rsidRPr="00214F41">
              <w:rPr>
                <w:sz w:val="18"/>
                <w:szCs w:val="18"/>
              </w:rPr>
              <w:fldChar w:fldCharType="end"/>
            </w:r>
          </w:p>
        </w:tc>
        <w:tc>
          <w:tcPr>
            <w:tcW w:w="293" w:type="pct"/>
            <w:shd w:val="clear" w:color="000000" w:fill="FFFFFF"/>
            <w:vAlign w:val="center"/>
            <w:hideMark/>
          </w:tcPr>
          <w:p w14:paraId="65D75B15"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11CE1178" w14:textId="77777777" w:rsidR="005A043A" w:rsidRPr="00214F41" w:rsidRDefault="005A043A" w:rsidP="00286762">
            <w:pPr>
              <w:jc w:val="center"/>
              <w:rPr>
                <w:sz w:val="18"/>
                <w:szCs w:val="18"/>
                <w:lang w:val="en-GB"/>
              </w:rPr>
            </w:pPr>
            <w:r w:rsidRPr="00214F41">
              <w:rPr>
                <w:sz w:val="18"/>
                <w:szCs w:val="18"/>
                <w:lang w:val="en-GB"/>
              </w:rPr>
              <w:t>To compare the efficacy and safety of glimepiride versus metformin in paediatric subjects with T2DM inadequately controlled with diet and exercise alone or oral monotherapy.</w:t>
            </w:r>
          </w:p>
        </w:tc>
        <w:tc>
          <w:tcPr>
            <w:tcW w:w="320" w:type="pct"/>
            <w:shd w:val="clear" w:color="000000" w:fill="FFFFFF"/>
            <w:vAlign w:val="center"/>
            <w:hideMark/>
          </w:tcPr>
          <w:p w14:paraId="2980DE18" w14:textId="77777777" w:rsidR="005A043A" w:rsidRPr="00214F41" w:rsidRDefault="005A043A" w:rsidP="00286762">
            <w:pPr>
              <w:jc w:val="center"/>
              <w:rPr>
                <w:sz w:val="18"/>
                <w:szCs w:val="18"/>
                <w:lang w:val="en-GB"/>
              </w:rPr>
            </w:pPr>
            <w:r w:rsidRPr="00214F41">
              <w:rPr>
                <w:sz w:val="18"/>
                <w:szCs w:val="18"/>
                <w:lang w:val="en-GB"/>
              </w:rPr>
              <w:t>285/284</w:t>
            </w:r>
          </w:p>
        </w:tc>
        <w:tc>
          <w:tcPr>
            <w:tcW w:w="321" w:type="pct"/>
            <w:shd w:val="clear" w:color="000000" w:fill="FFFFFF"/>
            <w:vAlign w:val="center"/>
            <w:hideMark/>
          </w:tcPr>
          <w:p w14:paraId="4FD50CB8" w14:textId="77777777" w:rsidR="005A043A" w:rsidRPr="00214F41" w:rsidRDefault="005A043A" w:rsidP="00286762">
            <w:pPr>
              <w:jc w:val="center"/>
              <w:rPr>
                <w:sz w:val="18"/>
                <w:szCs w:val="18"/>
                <w:lang w:val="en-GB"/>
              </w:rPr>
            </w:pPr>
            <w:r w:rsidRPr="00214F41">
              <w:rPr>
                <w:sz w:val="18"/>
                <w:szCs w:val="18"/>
                <w:lang w:val="en-GB"/>
              </w:rPr>
              <w:t>S</w:t>
            </w:r>
          </w:p>
        </w:tc>
        <w:tc>
          <w:tcPr>
            <w:tcW w:w="502" w:type="pct"/>
            <w:shd w:val="clear" w:color="000000" w:fill="FFFFFF"/>
            <w:vAlign w:val="center"/>
            <w:hideMark/>
          </w:tcPr>
          <w:p w14:paraId="3B55CC0E"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65820D6D" w14:textId="77777777" w:rsidR="005A043A" w:rsidRPr="00214F41" w:rsidRDefault="005A043A" w:rsidP="00286762">
            <w:pPr>
              <w:jc w:val="center"/>
              <w:rPr>
                <w:sz w:val="18"/>
                <w:szCs w:val="18"/>
                <w:lang w:val="en-GB"/>
              </w:rPr>
            </w:pPr>
            <w:r w:rsidRPr="00214F41">
              <w:rPr>
                <w:sz w:val="18"/>
                <w:szCs w:val="18"/>
                <w:lang w:val="en-GB"/>
              </w:rPr>
              <w:t>1408mg/2d</w:t>
            </w:r>
          </w:p>
        </w:tc>
        <w:tc>
          <w:tcPr>
            <w:tcW w:w="229" w:type="pct"/>
            <w:shd w:val="clear" w:color="000000" w:fill="FFFFFF"/>
            <w:vAlign w:val="center"/>
            <w:hideMark/>
          </w:tcPr>
          <w:p w14:paraId="4949EE5B" w14:textId="77777777" w:rsidR="005A043A" w:rsidRPr="00214F41" w:rsidRDefault="005A043A" w:rsidP="00286762">
            <w:pPr>
              <w:jc w:val="center"/>
              <w:rPr>
                <w:sz w:val="18"/>
                <w:szCs w:val="18"/>
                <w:lang w:val="en-GB"/>
              </w:rPr>
            </w:pPr>
            <w:r w:rsidRPr="00214F41">
              <w:rPr>
                <w:sz w:val="18"/>
                <w:szCs w:val="18"/>
                <w:lang w:val="en-GB"/>
              </w:rPr>
              <w:t>168</w:t>
            </w:r>
          </w:p>
        </w:tc>
        <w:tc>
          <w:tcPr>
            <w:tcW w:w="274" w:type="pct"/>
            <w:shd w:val="clear" w:color="000000" w:fill="FFFFFF"/>
            <w:vAlign w:val="center"/>
            <w:hideMark/>
          </w:tcPr>
          <w:p w14:paraId="3449F825"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14C16A2D" w14:textId="77777777" w:rsidR="005A043A" w:rsidRPr="00214F41" w:rsidRDefault="005A043A" w:rsidP="00286762">
            <w:pPr>
              <w:jc w:val="center"/>
              <w:rPr>
                <w:sz w:val="18"/>
                <w:szCs w:val="18"/>
                <w:lang w:val="en-GB"/>
              </w:rPr>
            </w:pPr>
            <w:r w:rsidRPr="00214F41">
              <w:rPr>
                <w:sz w:val="18"/>
                <w:szCs w:val="18"/>
                <w:lang w:val="en-GB"/>
              </w:rPr>
              <w:t xml:space="preserve">glimepiride/sulfonylurea derivatives </w:t>
            </w:r>
          </w:p>
        </w:tc>
        <w:tc>
          <w:tcPr>
            <w:tcW w:w="274" w:type="pct"/>
            <w:shd w:val="clear" w:color="000000" w:fill="FFFFFF"/>
            <w:vAlign w:val="center"/>
            <w:hideMark/>
          </w:tcPr>
          <w:p w14:paraId="5B1305CE" w14:textId="77777777" w:rsidR="005A043A" w:rsidRPr="00214F41" w:rsidRDefault="005A043A" w:rsidP="00286762">
            <w:pPr>
              <w:jc w:val="center"/>
              <w:rPr>
                <w:sz w:val="18"/>
                <w:szCs w:val="18"/>
                <w:lang w:val="en-GB"/>
              </w:rPr>
            </w:pPr>
            <w:r w:rsidRPr="00214F41">
              <w:rPr>
                <w:sz w:val="18"/>
                <w:szCs w:val="18"/>
                <w:lang w:val="en-GB"/>
              </w:rPr>
              <w:t>13.8±2.3</w:t>
            </w:r>
          </w:p>
        </w:tc>
        <w:tc>
          <w:tcPr>
            <w:tcW w:w="227" w:type="pct"/>
            <w:shd w:val="clear" w:color="000000" w:fill="FFFFFF"/>
            <w:vAlign w:val="center"/>
            <w:hideMark/>
          </w:tcPr>
          <w:p w14:paraId="03D2984A" w14:textId="77777777" w:rsidR="005A043A" w:rsidRPr="00214F41" w:rsidRDefault="005A043A" w:rsidP="00286762">
            <w:pPr>
              <w:jc w:val="center"/>
              <w:rPr>
                <w:sz w:val="18"/>
                <w:szCs w:val="18"/>
                <w:lang w:val="en-GB"/>
              </w:rPr>
            </w:pPr>
            <w:r w:rsidRPr="00214F41">
              <w:rPr>
                <w:sz w:val="18"/>
                <w:szCs w:val="18"/>
                <w:lang w:val="en-GB"/>
              </w:rPr>
              <w:t>88/33.5</w:t>
            </w:r>
          </w:p>
        </w:tc>
        <w:tc>
          <w:tcPr>
            <w:tcW w:w="295" w:type="pct"/>
            <w:shd w:val="clear" w:color="000000" w:fill="FFFFFF"/>
            <w:vAlign w:val="center"/>
            <w:hideMark/>
          </w:tcPr>
          <w:p w14:paraId="41290A4D" w14:textId="77777777" w:rsidR="005A043A" w:rsidRPr="00214F41" w:rsidRDefault="005A043A" w:rsidP="00286762">
            <w:pPr>
              <w:jc w:val="center"/>
              <w:rPr>
                <w:sz w:val="18"/>
                <w:szCs w:val="18"/>
                <w:lang w:val="en-GB"/>
              </w:rPr>
            </w:pPr>
            <w:r w:rsidRPr="00214F41">
              <w:rPr>
                <w:sz w:val="18"/>
                <w:szCs w:val="18"/>
                <w:lang w:val="en-GB"/>
              </w:rPr>
              <w:t>31.6±8.17</w:t>
            </w:r>
          </w:p>
        </w:tc>
        <w:tc>
          <w:tcPr>
            <w:tcW w:w="301" w:type="pct"/>
            <w:shd w:val="clear" w:color="000000" w:fill="FFFFFF"/>
            <w:vAlign w:val="center"/>
            <w:hideMark/>
          </w:tcPr>
          <w:p w14:paraId="5E7D0762" w14:textId="77777777" w:rsidR="005A043A" w:rsidRPr="00214F41" w:rsidRDefault="005A043A" w:rsidP="00286762">
            <w:pPr>
              <w:jc w:val="center"/>
              <w:rPr>
                <w:sz w:val="18"/>
                <w:szCs w:val="18"/>
                <w:lang w:val="en-GB"/>
              </w:rPr>
            </w:pPr>
            <w:r w:rsidRPr="00214F41">
              <w:rPr>
                <w:sz w:val="18"/>
                <w:szCs w:val="18"/>
                <w:lang w:val="en-GB"/>
              </w:rPr>
              <w:t>31.57/8.48</w:t>
            </w:r>
          </w:p>
        </w:tc>
      </w:tr>
      <w:tr w:rsidR="005A043A" w:rsidRPr="0072287D" w14:paraId="23837DE8" w14:textId="77777777" w:rsidTr="00286762">
        <w:trPr>
          <w:trHeight w:val="930"/>
        </w:trPr>
        <w:tc>
          <w:tcPr>
            <w:tcW w:w="277" w:type="pct"/>
            <w:shd w:val="clear" w:color="000000" w:fill="FFFFFF"/>
            <w:vAlign w:val="center"/>
            <w:hideMark/>
          </w:tcPr>
          <w:p w14:paraId="453F5CE4" w14:textId="77777777" w:rsidR="005A043A" w:rsidRPr="00214F41" w:rsidRDefault="005A043A" w:rsidP="00286762">
            <w:pPr>
              <w:jc w:val="center"/>
              <w:rPr>
                <w:sz w:val="18"/>
                <w:szCs w:val="18"/>
                <w:lang w:val="en-GB"/>
              </w:rPr>
            </w:pPr>
            <w:r w:rsidRPr="00214F41">
              <w:rPr>
                <w:sz w:val="18"/>
                <w:szCs w:val="18"/>
                <w:lang w:val="en-GB"/>
              </w:rPr>
              <w:t xml:space="preserve">Hemans et al., 2012 </w:t>
            </w:r>
            <w:r w:rsidRPr="00214F41">
              <w:rPr>
                <w:sz w:val="18"/>
                <w:szCs w:val="18"/>
              </w:rPr>
              <w:fldChar w:fldCharType="begin" w:fldLock="1"/>
            </w:r>
            <w:r>
              <w:rPr>
                <w:sz w:val="18"/>
                <w:szCs w:val="18"/>
                <w:lang w:val="en-GB"/>
              </w:rPr>
              <w:instrText>ADDIN CSL_CITATION {"citationItems":[{"id":"ITEM-1","itemData":{"DOI":"10.1185/03007995.2012.735646","ISSN":"1473-4877","PMID":"23020253","abstract":"Objective: The PROMPT study compared efficacy and tolerability of two treatment intensification strategies: adding saxagliptin or uptitrating metformin monotherapy, in patients with type 2 diabetes (T2D) and inadequate glycaemic control on a sub-maximal metformin dose. Research design and methods: In this double-blind, 24-week study, metformin-tolerant patients with T2D on metformin monotherapy were randomised to receive fixed-dose metformin 1500mg/day, plus either add-on saxagliptin 5mg/day (SAXA-MET) or a two-step metformin uptitration (MET-UP) to a maximum dose (2500mg/day). Clinical trial registration: NCT01006590. Main outcome measures: Primary: absolute change from baseline in glycated haemoglobin A1c (HbA1c) (Week 24). Secondary: proportion of patients achieving a therapeutic glycaemic response (Week 24); change from baseline in fasting plasma glucose (Week 24); safety and tolerability. Exploratory analyses comprised three patient-related questionnaires, including the validated 5-dimension Digestive Health Status Index (DHSI). Results: A total of 286 patients were randomised: (SAXA-MET: 147; MET-UP: 139). Baseline mean (SD) HbA1c: 7.71 (0.85; SAXA-MET); 7.80 (0.82; MET-UP). Adjusted mean reductions from baseline in HbA1c (Week 24):-0.47 (SAXA-MET);-0.38 (MET-UP); mean (95 CI) difference in treatment effect,-0.10 (-0.26, 0.07); p0.260. The proportion of patients (95 CI) achieving a therapeutic glycaemic response (HbA1c&lt;7): 43.8 (34.8, 49.6) (SAXA-MET) vs. 35.0 (29.0, 43.8) (MET-UP). Of the five DHSI domains, mean (95 CI) differences were observed for diarrhoea-predominant score (0.8 [-2.5, 4.0] vs. 7.9 [4.6, 11.2]) and dysmotility score (-0.5 [-2.0, 1.0] vs. 1.9 [0.3, 3.4]), (SAXA-MET and MET-UP, respectively). The most common adverse event was diarrhoea: 6.1 (SAXA-MET) vs. 12.2 (MET-UP). Conclusions: In metformin-tolerant patients with T2D (inadequately controlled on sub-maximal metformin monotherapy), saxagliptin was well tolerated. Although HbA1c reduction was not significantly different between treatment groups, the lower occurrence of gastrointestinal symptoms in the SAXA-MET group suggests that saxagliptin add-on treatment may be a suitable alternative treatment strategy to metformin uptitration. © 2012 Informa UK Ltd.","author":[{"dropping-particle":"","family":"Hermans","given":"Michel P.","non-dropping-particle":"","parse-names":false,"suffix":""},{"dropping-particle":"","family":"Delibasi","given":"Tuncay","non-dropping-particle":"","parse-names":false,"suffix":""},{"dropping-particle":"","family":"Farmer","given":"Ian","non-dropping-particle":"","parse-names":false,"suffix":""},{"dropping-particle":"","family":"Lohm","given":"Leif","non-dropping-particle":"","parse-names":false,"suffix":""},{"dropping-particle":"","family":"Maheux","given":"Pierre","non-dropping-particle":"","parse-names":false,"suffix":""},{"dropping-particle":"","family":"Piatti","given":"Piermarco","non-dropping-particle":"","parse-names":false,"suffix":""},{"dropping-particle":"","family":"Malvolti","given":"Elmas","non-dropping-particle":"","parse-names":false,"suffix":""},{"dropping-particle":"","family":"Jörgens","given":"Silke","non-dropping-particle":"","parse-names":false,"suffix":""},{"dropping-particle":"","family":"Charbonnel","given":"Bernard","non-dropping-particle":"","parse-names":false,"suffix":""}],"container-title":"Current medical research and opinion","id":"ITEM-1","issue":"10","issued":{"date-parts":[["2012","10"]]},"page":"1635-1645","publisher":"Curr Med Res Opin","title":"Effects of saxagliptin added to sub-maximal doses of metformin compared with uptitration of metformin in type 2 diabetes: the PROMPT study","type":"article-journal","volume":"28"},"uris":["http://www.mendeley.com/documents/?uuid=4a01525f-db44-3219-8fdf-dc76c756f09e"]}],"mendeley":{"formattedCitation":"[55]","plainTextFormattedCitation":"[55]","previouslyFormattedCitation":"[55]"},"properties":{"noteIndex":0},"schema":"https://github.com/citation-style-language/schema/raw/master/csl-citation.json"}</w:instrText>
            </w:r>
            <w:r w:rsidRPr="00214F41">
              <w:rPr>
                <w:sz w:val="18"/>
                <w:szCs w:val="18"/>
              </w:rPr>
              <w:fldChar w:fldCharType="separate"/>
            </w:r>
            <w:r w:rsidRPr="00FF29A9">
              <w:rPr>
                <w:noProof/>
                <w:sz w:val="18"/>
                <w:szCs w:val="18"/>
                <w:lang w:val="en-GB"/>
              </w:rPr>
              <w:t>[55]</w:t>
            </w:r>
            <w:r w:rsidRPr="00214F41">
              <w:rPr>
                <w:sz w:val="18"/>
                <w:szCs w:val="18"/>
              </w:rPr>
              <w:fldChar w:fldCharType="end"/>
            </w:r>
          </w:p>
        </w:tc>
        <w:tc>
          <w:tcPr>
            <w:tcW w:w="293" w:type="pct"/>
            <w:shd w:val="clear" w:color="000000" w:fill="FFFFFF"/>
            <w:vAlign w:val="center"/>
            <w:hideMark/>
          </w:tcPr>
          <w:p w14:paraId="2ADB6D12"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3EF42800" w14:textId="77777777" w:rsidR="005A043A" w:rsidRPr="00214F41" w:rsidRDefault="005A043A" w:rsidP="00286762">
            <w:pPr>
              <w:jc w:val="center"/>
              <w:rPr>
                <w:sz w:val="18"/>
                <w:szCs w:val="18"/>
                <w:lang w:val="en-GB"/>
              </w:rPr>
            </w:pPr>
            <w:r w:rsidRPr="00214F41">
              <w:rPr>
                <w:sz w:val="18"/>
                <w:szCs w:val="18"/>
                <w:lang w:val="en-GB"/>
              </w:rPr>
              <w:t xml:space="preserve">To compere efficacy and tolerability of two treatment intensification strategies: adding </w:t>
            </w:r>
            <w:proofErr w:type="spellStart"/>
            <w:r w:rsidRPr="00214F41">
              <w:rPr>
                <w:sz w:val="18"/>
                <w:szCs w:val="18"/>
                <w:lang w:val="en-GB"/>
              </w:rPr>
              <w:t>saxagliptin</w:t>
            </w:r>
            <w:proofErr w:type="spellEnd"/>
            <w:r w:rsidRPr="00214F41">
              <w:rPr>
                <w:sz w:val="18"/>
                <w:szCs w:val="18"/>
                <w:lang w:val="en-GB"/>
              </w:rPr>
              <w:t xml:space="preserve"> or </w:t>
            </w:r>
            <w:proofErr w:type="spellStart"/>
            <w:r w:rsidRPr="00214F41">
              <w:rPr>
                <w:sz w:val="18"/>
                <w:szCs w:val="18"/>
                <w:lang w:val="en-GB"/>
              </w:rPr>
              <w:t>uptitrating</w:t>
            </w:r>
            <w:proofErr w:type="spellEnd"/>
            <w:r w:rsidRPr="00214F41">
              <w:rPr>
                <w:sz w:val="18"/>
                <w:szCs w:val="18"/>
                <w:lang w:val="en-GB"/>
              </w:rPr>
              <w:t xml:space="preserve"> metformin monotherapy, in patients with T2DM (T2D) and inadequate glycaemic control on a sub-maximal metformin dose.</w:t>
            </w:r>
          </w:p>
        </w:tc>
        <w:tc>
          <w:tcPr>
            <w:tcW w:w="320" w:type="pct"/>
            <w:shd w:val="clear" w:color="000000" w:fill="FFFFFF"/>
            <w:vAlign w:val="center"/>
            <w:hideMark/>
          </w:tcPr>
          <w:p w14:paraId="37AF6762" w14:textId="77777777" w:rsidR="005A043A" w:rsidRPr="00214F41" w:rsidRDefault="005A043A" w:rsidP="00286762">
            <w:pPr>
              <w:jc w:val="center"/>
              <w:rPr>
                <w:sz w:val="18"/>
                <w:szCs w:val="18"/>
                <w:lang w:val="en-GB"/>
              </w:rPr>
            </w:pPr>
            <w:r w:rsidRPr="00214F41">
              <w:rPr>
                <w:sz w:val="18"/>
                <w:szCs w:val="18"/>
                <w:lang w:val="en-GB"/>
              </w:rPr>
              <w:t>286/286</w:t>
            </w:r>
          </w:p>
        </w:tc>
        <w:tc>
          <w:tcPr>
            <w:tcW w:w="321" w:type="pct"/>
            <w:shd w:val="clear" w:color="000000" w:fill="FFFFFF"/>
            <w:vAlign w:val="center"/>
            <w:hideMark/>
          </w:tcPr>
          <w:p w14:paraId="5F1DFD35" w14:textId="77777777" w:rsidR="005A043A" w:rsidRPr="00214F41" w:rsidRDefault="005A043A" w:rsidP="00286762">
            <w:pPr>
              <w:jc w:val="center"/>
              <w:rPr>
                <w:sz w:val="18"/>
                <w:szCs w:val="18"/>
                <w:lang w:val="en-GB"/>
              </w:rPr>
            </w:pPr>
            <w:r w:rsidRPr="00214F41">
              <w:rPr>
                <w:sz w:val="18"/>
                <w:szCs w:val="18"/>
                <w:lang w:val="en-GB"/>
              </w:rPr>
              <w:t>P/≥12 weeks/1,5g/d</w:t>
            </w:r>
          </w:p>
        </w:tc>
        <w:tc>
          <w:tcPr>
            <w:tcW w:w="502" w:type="pct"/>
            <w:shd w:val="clear" w:color="000000" w:fill="FFFFFF"/>
            <w:vAlign w:val="center"/>
            <w:hideMark/>
          </w:tcPr>
          <w:p w14:paraId="1C87B598"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1D4E4BCE" w14:textId="77777777" w:rsidR="005A043A" w:rsidRPr="00214F41" w:rsidRDefault="005A043A" w:rsidP="00286762">
            <w:pPr>
              <w:jc w:val="center"/>
              <w:rPr>
                <w:sz w:val="18"/>
                <w:szCs w:val="18"/>
                <w:lang w:val="en-GB"/>
              </w:rPr>
            </w:pPr>
            <w:r w:rsidRPr="00214F41">
              <w:rPr>
                <w:sz w:val="18"/>
                <w:szCs w:val="18"/>
                <w:lang w:val="en-GB"/>
              </w:rPr>
              <w:t>2404mg/</w:t>
            </w:r>
            <w:proofErr w:type="spellStart"/>
            <w:r w:rsidRPr="00214F41">
              <w:rPr>
                <w:sz w:val="18"/>
                <w:szCs w:val="18"/>
                <w:lang w:val="en-GB"/>
              </w:rPr>
              <w:t>nd</w:t>
            </w:r>
            <w:proofErr w:type="spellEnd"/>
          </w:p>
        </w:tc>
        <w:tc>
          <w:tcPr>
            <w:tcW w:w="229" w:type="pct"/>
            <w:shd w:val="clear" w:color="000000" w:fill="FFFFFF"/>
            <w:vAlign w:val="center"/>
            <w:hideMark/>
          </w:tcPr>
          <w:p w14:paraId="5FBEF187" w14:textId="77777777" w:rsidR="005A043A" w:rsidRPr="00214F41" w:rsidRDefault="005A043A" w:rsidP="00286762">
            <w:pPr>
              <w:jc w:val="center"/>
              <w:rPr>
                <w:sz w:val="18"/>
                <w:szCs w:val="18"/>
                <w:lang w:val="en-GB"/>
              </w:rPr>
            </w:pPr>
            <w:r w:rsidRPr="00214F41">
              <w:rPr>
                <w:sz w:val="18"/>
                <w:szCs w:val="18"/>
                <w:lang w:val="en-GB"/>
              </w:rPr>
              <w:t>168</w:t>
            </w:r>
          </w:p>
        </w:tc>
        <w:tc>
          <w:tcPr>
            <w:tcW w:w="274" w:type="pct"/>
            <w:shd w:val="clear" w:color="000000" w:fill="FFFFFF"/>
            <w:vAlign w:val="center"/>
            <w:hideMark/>
          </w:tcPr>
          <w:p w14:paraId="3B44C420"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5824D1AC" w14:textId="77777777" w:rsidR="005A043A" w:rsidRPr="00214F41" w:rsidRDefault="005A043A" w:rsidP="00286762">
            <w:pPr>
              <w:jc w:val="center"/>
              <w:rPr>
                <w:sz w:val="18"/>
                <w:szCs w:val="18"/>
                <w:lang w:val="en-GB"/>
              </w:rPr>
            </w:pPr>
            <w:proofErr w:type="spellStart"/>
            <w:r w:rsidRPr="00214F41">
              <w:rPr>
                <w:sz w:val="18"/>
                <w:szCs w:val="18"/>
                <w:lang w:val="en-GB"/>
              </w:rPr>
              <w:t>saxagliptin</w:t>
            </w:r>
            <w:proofErr w:type="spellEnd"/>
            <w:r w:rsidRPr="00214F41">
              <w:rPr>
                <w:sz w:val="18"/>
                <w:szCs w:val="18"/>
                <w:lang w:val="en-GB"/>
              </w:rPr>
              <w:t xml:space="preserve"> + metformin/MET/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178C895B" w14:textId="77777777" w:rsidR="005A043A" w:rsidRPr="00214F41" w:rsidRDefault="005A043A" w:rsidP="00286762">
            <w:pPr>
              <w:jc w:val="center"/>
              <w:rPr>
                <w:sz w:val="18"/>
                <w:szCs w:val="18"/>
                <w:lang w:val="en-GB"/>
              </w:rPr>
            </w:pPr>
            <w:r w:rsidRPr="00214F41">
              <w:rPr>
                <w:sz w:val="18"/>
                <w:szCs w:val="18"/>
                <w:lang w:val="en-GB"/>
              </w:rPr>
              <w:t>58.7±10.6</w:t>
            </w:r>
          </w:p>
        </w:tc>
        <w:tc>
          <w:tcPr>
            <w:tcW w:w="227" w:type="pct"/>
            <w:shd w:val="clear" w:color="000000" w:fill="FFFFFF"/>
            <w:vAlign w:val="center"/>
            <w:hideMark/>
          </w:tcPr>
          <w:p w14:paraId="057E21AF" w14:textId="77777777" w:rsidR="005A043A" w:rsidRPr="00214F41" w:rsidRDefault="005A043A" w:rsidP="00286762">
            <w:pPr>
              <w:jc w:val="center"/>
              <w:rPr>
                <w:sz w:val="18"/>
                <w:szCs w:val="18"/>
                <w:lang w:val="en-GB"/>
              </w:rPr>
            </w:pPr>
            <w:r w:rsidRPr="00214F41">
              <w:rPr>
                <w:sz w:val="18"/>
                <w:szCs w:val="18"/>
                <w:lang w:val="en-GB"/>
              </w:rPr>
              <w:t>164/57.3</w:t>
            </w:r>
          </w:p>
        </w:tc>
        <w:tc>
          <w:tcPr>
            <w:tcW w:w="295" w:type="pct"/>
            <w:shd w:val="clear" w:color="000000" w:fill="FFFFFF"/>
            <w:vAlign w:val="center"/>
            <w:hideMark/>
          </w:tcPr>
          <w:p w14:paraId="52DEDDD6" w14:textId="77777777" w:rsidR="005A043A" w:rsidRPr="00214F41" w:rsidRDefault="005A043A" w:rsidP="00286762">
            <w:pPr>
              <w:jc w:val="center"/>
              <w:rPr>
                <w:sz w:val="18"/>
                <w:szCs w:val="18"/>
                <w:lang w:val="en-GB"/>
              </w:rPr>
            </w:pPr>
            <w:r w:rsidRPr="00214F41">
              <w:rPr>
                <w:sz w:val="18"/>
                <w:szCs w:val="18"/>
                <w:lang w:val="en-GB"/>
              </w:rPr>
              <w:t>31.2±5.7</w:t>
            </w:r>
          </w:p>
        </w:tc>
        <w:tc>
          <w:tcPr>
            <w:tcW w:w="301" w:type="pct"/>
            <w:shd w:val="clear" w:color="000000" w:fill="FFFFFF"/>
            <w:vAlign w:val="center"/>
            <w:hideMark/>
          </w:tcPr>
          <w:p w14:paraId="4AF13B79" w14:textId="77777777" w:rsidR="005A043A" w:rsidRPr="00214F41" w:rsidRDefault="005A043A" w:rsidP="00286762">
            <w:pPr>
              <w:jc w:val="center"/>
              <w:rPr>
                <w:sz w:val="18"/>
                <w:szCs w:val="18"/>
                <w:lang w:val="en-GB"/>
              </w:rPr>
            </w:pPr>
            <w:r w:rsidRPr="00214F41">
              <w:rPr>
                <w:sz w:val="18"/>
                <w:szCs w:val="18"/>
                <w:lang w:val="en-GB"/>
              </w:rPr>
              <w:t>32.1±6.7</w:t>
            </w:r>
          </w:p>
        </w:tc>
      </w:tr>
      <w:tr w:rsidR="005A043A" w:rsidRPr="0072287D" w14:paraId="1C200BF2" w14:textId="77777777" w:rsidTr="00286762">
        <w:trPr>
          <w:trHeight w:val="930"/>
        </w:trPr>
        <w:tc>
          <w:tcPr>
            <w:tcW w:w="277" w:type="pct"/>
            <w:shd w:val="clear" w:color="000000" w:fill="FFFFFF"/>
            <w:vAlign w:val="center"/>
            <w:hideMark/>
          </w:tcPr>
          <w:p w14:paraId="0681E4CF" w14:textId="77777777" w:rsidR="005A043A" w:rsidRPr="00214F41" w:rsidRDefault="005A043A" w:rsidP="00286762">
            <w:pPr>
              <w:jc w:val="center"/>
              <w:rPr>
                <w:sz w:val="18"/>
                <w:szCs w:val="18"/>
                <w:lang w:val="en-GB"/>
              </w:rPr>
            </w:pPr>
            <w:r w:rsidRPr="00214F41">
              <w:rPr>
                <w:sz w:val="18"/>
                <w:szCs w:val="18"/>
                <w:lang w:val="en-GB"/>
              </w:rPr>
              <w:t xml:space="preserve">Ji et al., 2015 </w:t>
            </w:r>
            <w:r w:rsidRPr="00214F41">
              <w:rPr>
                <w:sz w:val="18"/>
                <w:szCs w:val="18"/>
                <w:lang w:val="en-GB"/>
              </w:rPr>
              <w:fldChar w:fldCharType="begin" w:fldLock="1"/>
            </w:r>
            <w:r>
              <w:rPr>
                <w:sz w:val="18"/>
                <w:szCs w:val="18"/>
                <w:lang w:val="en-GB"/>
              </w:rPr>
              <w:instrText>ADDIN CSL_CITATION {"citationItems":[{"id":"ITEM-1","itemData":{"DOI":"10.1007/s12325-015-0195-3","ISSN":"1865-8652","PMID":"25805187","abstract":"INTRODUCTION: The aim of this study was to investigate the efficacy and safety of linagliptin + low-dose (LD) metformin once daily versus high-dose (HD) metformin twice daily in treatment-naïve patients with type 2 diabetes.\nMETHODS: Patients (n = 689) were randomized (1:1) to double-blind treatment with linagliptin 5 mg + LD metformin (1000 mg) or HD metformin (2000 mg) for 14 weeks. Metformin was initiated at 500 mg/day and up-titrated within 2 weeks; the dose then remained unchanged. The primary endpoint was change in glycated hemoglobin (HbA1c) from baseline to Week 14 in patients who tolerated a daily metformin dose of ≥1000 mg after 2 weeks.\nRESULTS: At Week 14, HbA1c changed from a mean baseline of 8.0\\% (64 mmol/mol) by -0.99\\% (-11 mmol/mol) for linagliptin + LD metformin, and -0.98\\% (-11 mmol/mol) for HD metformin [treatment difference -0.01\\% (95\\% confidence interval -0.13, 0.12) (0 mmol/mol), P = 0.8924]. The proportion of patients who achieved HbA1c {\\textless}7.0\\% (53 mmol/mol) without occurrence of moderate or severe gastrointestinal (GI) events (including abdominal pain, nausea, vomiting, diarrhea, and decreased appetite) was the same in both groups (51.3\\% for both). Although the occurrence of moderate or severe GI events was similar, the linagliptin + LD metformin group had fewer mild GI events (18.5\\% versus 24.3\\%). The incidence of hypoglycemia was low in both groups.\nCONCLUSION: Linagliptin + LD metformin combination showed similar efficacy and safety to HD metformin. This combination may be an alternative treatment option in patients who may have difficulty tolerating metformin doses {\\textgreater}1000 mg/day.\nFUNDING: Boehringer Ingelheim.","author":[{"dropping-particle":"","family":"Ji","given":"Linong","non-dropping-particle":"","parse-names":false,"suffix":""},{"dropping-particle":"","family":"Zinman","given":"Bernard","non-dropping-particle":"","parse-names":false,"suffix":""},{"dropping-particle":"","family":"Patel","given":"Sanjay","non-dropping-particle":"","parse-names":false,"suffix":""},{"dropping-particle":"","family":"Ji","given":"Jinfeng","non-dropping-particle":"","parse-names":false,"suffix":""},{"dropping-particle":"","family":"Bailes","given":"Zelie","non-dropping-particle":"","parse-names":false,"suffix":""},{"dropping-particle":"","family":"Thiemann","given":"Sandra","non-dropping-particle":"","parse-names":false,"suffix":""},{"dropping-particle":"","family":"Seck","given":"Thomas","non-dropping-particle":"","parse-names":false,"suffix":""}],"container-title":"Advances in Therapy","id":"ITEM-1","issue":"3","issued":{"date-parts":[["2015","3"]]},"note":"Accession Number: 109715541. Language: English. Entry Date: 20150923. Revision Date: 20161223. Publication Type: journal article; research; randomized controlled trial. Journal Subset: Biomedical; Editorial Board Reviewed; Expert Peer Reviewed; Peer Reviewed; USA. NLM UID: 8611864.","page":"201-215","title":"Efficacy and safety of linagliptin co-administered with low-dose metformin once daily versus high-dose metformin twice daily in treatment-naïve patients with type 2 diabetes: a double-blind randomized trial","title-short":"Efficacy and safety of linagliptin co-administered","type":"article-journal","volume":"32"},"uris":["http://www.mendeley.com/documents/?uuid=196d7105-5e51-4ad8-b389-de0660ac7348"]}],"mendeley":{"formattedCitation":"[56]","plainTextFormattedCitation":"[56]","previouslyFormattedCitation":"[56]"},"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[56]</w:t>
            </w:r>
            <w:r w:rsidRPr="00214F41">
              <w:rPr>
                <w:sz w:val="18"/>
                <w:szCs w:val="18"/>
                <w:lang w:val="en-GB"/>
              </w:rPr>
              <w:fldChar w:fldCharType="end"/>
            </w:r>
          </w:p>
        </w:tc>
        <w:tc>
          <w:tcPr>
            <w:tcW w:w="293" w:type="pct"/>
            <w:shd w:val="clear" w:color="000000" w:fill="FFFFFF"/>
            <w:vAlign w:val="center"/>
            <w:hideMark/>
          </w:tcPr>
          <w:p w14:paraId="40337D2A"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1255954B" w14:textId="77777777" w:rsidR="005A043A" w:rsidRPr="00214F41" w:rsidRDefault="005A043A" w:rsidP="00286762">
            <w:pPr>
              <w:jc w:val="center"/>
              <w:rPr>
                <w:sz w:val="18"/>
                <w:szCs w:val="18"/>
                <w:lang w:val="en-GB"/>
              </w:rPr>
            </w:pPr>
            <w:r w:rsidRPr="00214F41">
              <w:rPr>
                <w:sz w:val="18"/>
                <w:szCs w:val="18"/>
                <w:lang w:val="en-GB"/>
              </w:rPr>
              <w:t>To investigate the efficacy and safety of linagliptin ? low-dose (LD) metformin once daily versus high-dose (HD) metformin twice daily in treatment-native patients with T2DM.</w:t>
            </w:r>
          </w:p>
        </w:tc>
        <w:tc>
          <w:tcPr>
            <w:tcW w:w="320" w:type="pct"/>
            <w:shd w:val="clear" w:color="000000" w:fill="FFFFFF"/>
            <w:vAlign w:val="center"/>
            <w:hideMark/>
          </w:tcPr>
          <w:p w14:paraId="784D1A56" w14:textId="77777777" w:rsidR="005A043A" w:rsidRPr="00214F41" w:rsidRDefault="005A043A" w:rsidP="00286762">
            <w:pPr>
              <w:jc w:val="center"/>
              <w:rPr>
                <w:sz w:val="18"/>
                <w:szCs w:val="18"/>
                <w:lang w:val="en-GB"/>
              </w:rPr>
            </w:pPr>
            <w:r w:rsidRPr="00214F41">
              <w:rPr>
                <w:sz w:val="18"/>
                <w:szCs w:val="18"/>
                <w:lang w:val="en-GB"/>
              </w:rPr>
              <w:t>689/639</w:t>
            </w:r>
          </w:p>
        </w:tc>
        <w:tc>
          <w:tcPr>
            <w:tcW w:w="321" w:type="pct"/>
            <w:shd w:val="clear" w:color="000000" w:fill="FFFFFF"/>
            <w:vAlign w:val="center"/>
            <w:hideMark/>
          </w:tcPr>
          <w:p w14:paraId="40F84902" w14:textId="77777777" w:rsidR="005A043A" w:rsidRPr="00214F41" w:rsidRDefault="005A043A" w:rsidP="00286762">
            <w:pPr>
              <w:jc w:val="center"/>
              <w:rPr>
                <w:sz w:val="18"/>
                <w:szCs w:val="18"/>
                <w:lang w:val="en-GB"/>
              </w:rPr>
            </w:pPr>
            <w:r w:rsidRPr="00214F41">
              <w:rPr>
                <w:sz w:val="18"/>
                <w:szCs w:val="18"/>
                <w:lang w:val="en-GB"/>
              </w:rPr>
              <w:t>S</w:t>
            </w:r>
          </w:p>
        </w:tc>
        <w:tc>
          <w:tcPr>
            <w:tcW w:w="502" w:type="pct"/>
            <w:shd w:val="clear" w:color="000000" w:fill="FFFFFF"/>
            <w:vAlign w:val="center"/>
            <w:hideMark/>
          </w:tcPr>
          <w:p w14:paraId="10159DA2"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284D0367" w14:textId="77777777" w:rsidR="005A043A" w:rsidRPr="00214F41" w:rsidRDefault="005A043A" w:rsidP="00286762">
            <w:pPr>
              <w:jc w:val="center"/>
              <w:rPr>
                <w:sz w:val="18"/>
                <w:szCs w:val="18"/>
                <w:lang w:val="en-GB"/>
              </w:rPr>
            </w:pPr>
            <w:r w:rsidRPr="00214F41">
              <w:rPr>
                <w:sz w:val="18"/>
                <w:szCs w:val="18"/>
                <w:lang w:val="en-GB"/>
              </w:rPr>
              <w:t>1798mg/2/d</w:t>
            </w:r>
          </w:p>
        </w:tc>
        <w:tc>
          <w:tcPr>
            <w:tcW w:w="229" w:type="pct"/>
            <w:shd w:val="clear" w:color="000000" w:fill="FFFFFF"/>
            <w:vAlign w:val="center"/>
            <w:hideMark/>
          </w:tcPr>
          <w:p w14:paraId="2D885F0F" w14:textId="77777777" w:rsidR="005A043A" w:rsidRPr="00214F41" w:rsidRDefault="005A043A" w:rsidP="00286762">
            <w:pPr>
              <w:jc w:val="center"/>
              <w:rPr>
                <w:sz w:val="18"/>
                <w:szCs w:val="18"/>
                <w:lang w:val="en-GB"/>
              </w:rPr>
            </w:pPr>
            <w:r w:rsidRPr="00214F41">
              <w:rPr>
                <w:sz w:val="18"/>
                <w:szCs w:val="18"/>
                <w:lang w:val="en-GB"/>
              </w:rPr>
              <w:t>98</w:t>
            </w:r>
          </w:p>
        </w:tc>
        <w:tc>
          <w:tcPr>
            <w:tcW w:w="274" w:type="pct"/>
            <w:shd w:val="clear" w:color="000000" w:fill="FFFFFF"/>
            <w:vAlign w:val="center"/>
            <w:hideMark/>
          </w:tcPr>
          <w:p w14:paraId="63B397B7"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7BD03C71" w14:textId="77777777" w:rsidR="005A043A" w:rsidRPr="00214F41" w:rsidRDefault="005A043A" w:rsidP="00286762">
            <w:pPr>
              <w:jc w:val="center"/>
              <w:rPr>
                <w:sz w:val="18"/>
                <w:szCs w:val="18"/>
                <w:lang w:val="en-GB"/>
              </w:rPr>
            </w:pPr>
            <w:r w:rsidRPr="00214F41">
              <w:rPr>
                <w:sz w:val="18"/>
                <w:szCs w:val="18"/>
                <w:lang w:val="en-GB"/>
              </w:rPr>
              <w:t>linagliptin + metformin/ 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7EABA9A4" w14:textId="77777777" w:rsidR="005A043A" w:rsidRPr="00214F41" w:rsidRDefault="005A043A" w:rsidP="00286762">
            <w:pPr>
              <w:jc w:val="center"/>
              <w:rPr>
                <w:sz w:val="18"/>
                <w:szCs w:val="18"/>
                <w:lang w:val="en-GB"/>
              </w:rPr>
            </w:pPr>
            <w:r w:rsidRPr="00214F41">
              <w:rPr>
                <w:sz w:val="18"/>
                <w:szCs w:val="18"/>
                <w:lang w:val="en-GB"/>
              </w:rPr>
              <w:t>53±10.7</w:t>
            </w:r>
          </w:p>
        </w:tc>
        <w:tc>
          <w:tcPr>
            <w:tcW w:w="227" w:type="pct"/>
            <w:shd w:val="clear" w:color="000000" w:fill="FFFFFF"/>
            <w:vAlign w:val="center"/>
            <w:hideMark/>
          </w:tcPr>
          <w:p w14:paraId="1A97FCAE" w14:textId="77777777" w:rsidR="005A043A" w:rsidRPr="00214F41" w:rsidRDefault="005A043A" w:rsidP="00286762">
            <w:pPr>
              <w:jc w:val="center"/>
              <w:rPr>
                <w:sz w:val="18"/>
                <w:szCs w:val="18"/>
                <w:lang w:val="en-GB"/>
              </w:rPr>
            </w:pPr>
            <w:r w:rsidRPr="00214F41">
              <w:rPr>
                <w:sz w:val="18"/>
                <w:szCs w:val="18"/>
                <w:lang w:val="en-GB"/>
              </w:rPr>
              <w:t>327/47.5</w:t>
            </w:r>
          </w:p>
        </w:tc>
        <w:tc>
          <w:tcPr>
            <w:tcW w:w="295" w:type="pct"/>
            <w:shd w:val="clear" w:color="000000" w:fill="FFFFFF"/>
            <w:vAlign w:val="center"/>
            <w:hideMark/>
          </w:tcPr>
          <w:p w14:paraId="53C55BAD" w14:textId="77777777" w:rsidR="005A043A" w:rsidRPr="00214F41" w:rsidRDefault="005A043A" w:rsidP="00286762">
            <w:pPr>
              <w:jc w:val="center"/>
              <w:rPr>
                <w:sz w:val="18"/>
                <w:szCs w:val="18"/>
                <w:lang w:val="en-GB"/>
              </w:rPr>
            </w:pPr>
            <w:r w:rsidRPr="00214F41">
              <w:rPr>
                <w:sz w:val="18"/>
                <w:szCs w:val="18"/>
                <w:lang w:val="en-GB"/>
              </w:rPr>
              <w:t>29±5.6</w:t>
            </w:r>
          </w:p>
        </w:tc>
        <w:tc>
          <w:tcPr>
            <w:tcW w:w="301" w:type="pct"/>
            <w:shd w:val="clear" w:color="000000" w:fill="FFFFFF"/>
            <w:vAlign w:val="center"/>
            <w:hideMark/>
          </w:tcPr>
          <w:p w14:paraId="555AEC17" w14:textId="77777777" w:rsidR="005A043A" w:rsidRPr="00214F41" w:rsidRDefault="005A043A" w:rsidP="00286762">
            <w:pPr>
              <w:jc w:val="center"/>
              <w:rPr>
                <w:sz w:val="18"/>
                <w:szCs w:val="18"/>
                <w:lang w:val="en-GB"/>
              </w:rPr>
            </w:pPr>
            <w:r w:rsidRPr="00214F41">
              <w:rPr>
                <w:sz w:val="18"/>
                <w:szCs w:val="18"/>
                <w:lang w:val="en-GB"/>
              </w:rPr>
              <w:t>29±5.7</w:t>
            </w:r>
          </w:p>
        </w:tc>
      </w:tr>
      <w:tr w:rsidR="005A043A" w:rsidRPr="0072287D" w14:paraId="3F69AE2F" w14:textId="77777777" w:rsidTr="00286762">
        <w:trPr>
          <w:trHeight w:val="930"/>
        </w:trPr>
        <w:tc>
          <w:tcPr>
            <w:tcW w:w="277" w:type="pct"/>
            <w:shd w:val="clear" w:color="000000" w:fill="FFFFFF"/>
            <w:vAlign w:val="center"/>
            <w:hideMark/>
          </w:tcPr>
          <w:p w14:paraId="1476F15F" w14:textId="77777777" w:rsidR="005A043A" w:rsidRPr="00214F41" w:rsidRDefault="005A043A" w:rsidP="00286762">
            <w:pPr>
              <w:jc w:val="center"/>
              <w:rPr>
                <w:sz w:val="18"/>
                <w:szCs w:val="18"/>
                <w:lang w:val="en-GB"/>
              </w:rPr>
            </w:pPr>
            <w:r w:rsidRPr="00214F41">
              <w:rPr>
                <w:sz w:val="18"/>
                <w:szCs w:val="18"/>
                <w:lang w:val="en-GB"/>
              </w:rPr>
              <w:t xml:space="preserve">Kim et al., 2014 </w:t>
            </w:r>
            <w:r w:rsidRPr="00214F41">
              <w:rPr>
                <w:sz w:val="18"/>
                <w:szCs w:val="18"/>
                <w:lang w:val="en-GB"/>
              </w:rPr>
              <w:fldChar w:fldCharType="begin" w:fldLock="1"/>
            </w:r>
            <w:r>
              <w:rPr>
                <w:sz w:val="18"/>
                <w:szCs w:val="18"/>
                <w:lang w:val="en-GB"/>
              </w:rPr>
              <w:instrText>ADDIN CSL_CITATION {"citationItems":[{"id":"ITEM-1","itemData":{"DOI":"10.1111/jdi.12201","ISSN":"2040-1124","abstract":"Aims/Introduction: To compare the efficacy and safety of early combination therapy with glimepiride/metformin to metformin uptitration in reducing glycated hemoglobin (HbA1c) levels in Korean type 2 diabetic patients inadequately controlled on low-dose metformin monotherapy. Materials and Methods: In a randomized, open label, parallel group, multicenter study, 209 Korean type 2 diabetic patients (HbA1c 7.0-10.0%, on metformin 500-1,000 mg/day) received glimepiride/metformin fixed-dose combination (G/M FDC) or metformin uptitration treatment (Met UP). The primary end-point was the change in HbA1c from baseline to week 24. Results: G/M FDC therapy provided significantly greater adjusted mean decreases vs Met UP therapy in HbA1c (-1.2 vs -0.8%, P &lt; 0.0001), and fasting plasma glucose (-35.7 vs -18.6 mg/dL, P &lt; 0.0001). A significantly greater proportion of patients with G/M FDC therapy achieved HbA1c &lt; 7% (74.7 vs 46.6%, P &lt; 0.0001) at the end of the study. More patients experienced hypoglycemia with G/M FDC therapy compared with Met UP therapy (41 vs 5.6%, P &lt; 0.0001), but there was no serious hypoglycemia in any group. A modest increase in mean bodyweight occurred in the patients who were treated with G/M FDC therapy (1.0 kg), whereas a slight decrease was observed in the patients who were treated with Met UP therapy (-0.7 kg). Conclusion: The present study showed that glimepiride/metformin fixed-dose combination therapy was more effective in glycemic control than metformin uptitration, and was well tolerated in type 2 diabetic patients inadequately controlled by low-dose metformin monotherapy in Korea. This trial was registered with ClinicalTrial.gov (no. NCT00612144).","author":[{"dropping-particle":"","family":"Kim","given":"H.-S.","non-dropping-particle":"","parse-names":false,"suffix":""},{"dropping-particle":"","family":"Kim","given":"D.-M.","non-dropping-particle":"","parse-names":false,"suffix":""},{"dropping-particle":"","family":"Cha","given":"B.-S.","non-dropping-particle":"","parse-names":false,"suffix":""},{"dropping-particle":"","family":"Park","given":"T S","non-dropping-particle":"","parse-names":false,"suffix":""},{"dropping-particle":"","family":"Kim","given":"K.-A.","non-dropping-particle":"","parse-names":false,"suffix":""},{"dropping-particle":"","family":"Kim","given":"D.-L.","non-dropping-particle":"","parse-names":false,"suffix":""},{"dropping-particle":"","family":"Chung","given":"C H","non-dropping-particle":"","parse-names":false,"suffix":""},{"dropping-particle":"","family":"Park","given":"J.-H.","non-dropping-particle":"","parse-names":false,"suffix":""},{"dropping-particle":"","family":"Jang","given":"H C","non-dropping-particle":"","parse-names":false,"suffix":""},{"dropping-particle":"","family":"Choi","given":"D.-S.","non-dropping-particle":"","parse-names":false,"suffix":""}],"container-title":"Journal of Diabetes Investigation","id":"ITEM-1","issue":"6","issued":{"date-parts":[["2014"]]},"language":"English","page":"701-708","title":"Efficacy of glimepiride/metformin fixed-dose combination vs metformin uptitration in type 2 diabetic patients inadequately controlled on low-dose metformin monotherapy: A randomized, open label, parallel group, multicenter study in Korea","type":"article-journal","volume":"5"},"uris":["http://www.mendeley.com/documents/?uuid=69068088-3063-4a05-816a-ec61fb022b21"]}],"mendeley":{"formattedCitation":"[57]","plainTextFormattedCitation":"[57]","previouslyFormattedCitation":"[57]"},"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[57]</w:t>
            </w:r>
            <w:r w:rsidRPr="00214F41">
              <w:rPr>
                <w:sz w:val="18"/>
                <w:szCs w:val="18"/>
                <w:lang w:val="en-GB"/>
              </w:rPr>
              <w:fldChar w:fldCharType="end"/>
            </w:r>
          </w:p>
        </w:tc>
        <w:tc>
          <w:tcPr>
            <w:tcW w:w="293" w:type="pct"/>
            <w:shd w:val="clear" w:color="000000" w:fill="FFFFFF"/>
            <w:vAlign w:val="center"/>
            <w:hideMark/>
          </w:tcPr>
          <w:p w14:paraId="321694AA"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27521EB8" w14:textId="77777777" w:rsidR="005A043A" w:rsidRPr="00214F41" w:rsidRDefault="005A043A" w:rsidP="00286762">
            <w:pPr>
              <w:jc w:val="center"/>
              <w:rPr>
                <w:sz w:val="18"/>
                <w:szCs w:val="18"/>
                <w:lang w:val="en-GB"/>
              </w:rPr>
            </w:pPr>
            <w:r w:rsidRPr="00214F41">
              <w:rPr>
                <w:sz w:val="18"/>
                <w:szCs w:val="18"/>
                <w:lang w:val="en-GB"/>
              </w:rPr>
              <w:t xml:space="preserve">To compare the efficacy and safety of early combination </w:t>
            </w:r>
            <w:proofErr w:type="spellStart"/>
            <w:r w:rsidRPr="00214F41">
              <w:rPr>
                <w:sz w:val="18"/>
                <w:szCs w:val="18"/>
                <w:lang w:val="en-GB"/>
              </w:rPr>
              <w:t>therapYwith</w:t>
            </w:r>
            <w:proofErr w:type="spellEnd"/>
            <w:r w:rsidRPr="00214F41">
              <w:rPr>
                <w:sz w:val="18"/>
                <w:szCs w:val="18"/>
                <w:lang w:val="en-GB"/>
              </w:rPr>
              <w:t xml:space="preserve"> glimepiride/metformin to metformin </w:t>
            </w:r>
            <w:proofErr w:type="spellStart"/>
            <w:r w:rsidRPr="00214F41">
              <w:rPr>
                <w:sz w:val="18"/>
                <w:szCs w:val="18"/>
                <w:lang w:val="en-GB"/>
              </w:rPr>
              <w:t>uptitration</w:t>
            </w:r>
            <w:proofErr w:type="spellEnd"/>
            <w:r w:rsidRPr="00214F41">
              <w:rPr>
                <w:sz w:val="18"/>
                <w:szCs w:val="18"/>
                <w:lang w:val="en-GB"/>
              </w:rPr>
              <w:t xml:space="preserve"> in reducing glycated </w:t>
            </w:r>
            <w:proofErr w:type="spellStart"/>
            <w:r w:rsidRPr="00214F41">
              <w:rPr>
                <w:sz w:val="18"/>
                <w:szCs w:val="18"/>
                <w:lang w:val="en-GB"/>
              </w:rPr>
              <w:t>hemoglobin</w:t>
            </w:r>
            <w:proofErr w:type="spellEnd"/>
            <w:r w:rsidRPr="00214F41">
              <w:rPr>
                <w:sz w:val="18"/>
                <w:szCs w:val="18"/>
                <w:lang w:val="en-GB"/>
              </w:rPr>
              <w:t xml:space="preserve"> (HbA1c) levels in Korean type 2 diabetic </w:t>
            </w:r>
            <w:r w:rsidRPr="00214F41">
              <w:rPr>
                <w:sz w:val="18"/>
                <w:szCs w:val="18"/>
                <w:lang w:val="en-GB"/>
              </w:rPr>
              <w:lastRenderedPageBreak/>
              <w:t>patients inadequately controlled on low-dose</w:t>
            </w:r>
            <w:r w:rsidRPr="00214F41">
              <w:rPr>
                <w:sz w:val="18"/>
                <w:szCs w:val="18"/>
                <w:lang w:val="en-GB"/>
              </w:rPr>
              <w:br/>
              <w:t>metformin monotherapy</w:t>
            </w:r>
          </w:p>
        </w:tc>
        <w:tc>
          <w:tcPr>
            <w:tcW w:w="320" w:type="pct"/>
            <w:shd w:val="clear" w:color="000000" w:fill="FFFFFF"/>
            <w:vAlign w:val="center"/>
            <w:hideMark/>
          </w:tcPr>
          <w:p w14:paraId="14712DF9" w14:textId="77777777" w:rsidR="005A043A" w:rsidRPr="00214F41" w:rsidRDefault="005A043A" w:rsidP="00286762">
            <w:pPr>
              <w:jc w:val="center"/>
              <w:rPr>
                <w:sz w:val="18"/>
                <w:szCs w:val="18"/>
                <w:lang w:val="en-GB"/>
              </w:rPr>
            </w:pPr>
            <w:r w:rsidRPr="00214F41">
              <w:rPr>
                <w:sz w:val="18"/>
                <w:szCs w:val="18"/>
                <w:lang w:val="en-GB"/>
              </w:rPr>
              <w:lastRenderedPageBreak/>
              <w:t>209/208</w:t>
            </w:r>
          </w:p>
        </w:tc>
        <w:tc>
          <w:tcPr>
            <w:tcW w:w="321" w:type="pct"/>
            <w:shd w:val="clear" w:color="000000" w:fill="FFFFFF"/>
            <w:vAlign w:val="center"/>
            <w:hideMark/>
          </w:tcPr>
          <w:p w14:paraId="54FD549D" w14:textId="77777777" w:rsidR="005A043A" w:rsidRPr="00214F41" w:rsidRDefault="005A043A" w:rsidP="00286762">
            <w:pPr>
              <w:jc w:val="center"/>
              <w:rPr>
                <w:sz w:val="18"/>
                <w:szCs w:val="18"/>
                <w:lang w:val="en-GB"/>
              </w:rPr>
            </w:pPr>
            <w:r w:rsidRPr="00214F41">
              <w:rPr>
                <w:sz w:val="18"/>
                <w:szCs w:val="18"/>
                <w:lang w:val="en-GB"/>
              </w:rPr>
              <w:t>P≥4/1g/d</w:t>
            </w:r>
          </w:p>
        </w:tc>
        <w:tc>
          <w:tcPr>
            <w:tcW w:w="502" w:type="pct"/>
            <w:shd w:val="clear" w:color="000000" w:fill="FFFFFF"/>
            <w:vAlign w:val="center"/>
            <w:hideMark/>
          </w:tcPr>
          <w:p w14:paraId="15A3FCDB"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4F280DA9" w14:textId="77777777" w:rsidR="005A043A" w:rsidRPr="00214F41" w:rsidRDefault="005A043A" w:rsidP="00286762">
            <w:pPr>
              <w:jc w:val="center"/>
              <w:rPr>
                <w:sz w:val="18"/>
                <w:szCs w:val="18"/>
                <w:lang w:val="en-GB"/>
              </w:rPr>
            </w:pPr>
            <w:r w:rsidRPr="00214F41">
              <w:rPr>
                <w:sz w:val="18"/>
                <w:szCs w:val="18"/>
                <w:lang w:val="en-GB"/>
              </w:rPr>
              <w:t>1314mg/2/d</w:t>
            </w:r>
          </w:p>
        </w:tc>
        <w:tc>
          <w:tcPr>
            <w:tcW w:w="229" w:type="pct"/>
            <w:shd w:val="clear" w:color="000000" w:fill="FFFFFF"/>
            <w:vAlign w:val="center"/>
            <w:hideMark/>
          </w:tcPr>
          <w:p w14:paraId="4EA0FDC3" w14:textId="77777777" w:rsidR="005A043A" w:rsidRPr="00214F41" w:rsidRDefault="005A043A" w:rsidP="00286762">
            <w:pPr>
              <w:jc w:val="center"/>
              <w:rPr>
                <w:sz w:val="18"/>
                <w:szCs w:val="18"/>
                <w:lang w:val="en-GB"/>
              </w:rPr>
            </w:pPr>
            <w:r w:rsidRPr="00214F41">
              <w:rPr>
                <w:sz w:val="18"/>
                <w:szCs w:val="18"/>
                <w:lang w:val="en-GB"/>
              </w:rPr>
              <w:t>182</w:t>
            </w:r>
          </w:p>
        </w:tc>
        <w:tc>
          <w:tcPr>
            <w:tcW w:w="274" w:type="pct"/>
            <w:shd w:val="clear" w:color="000000" w:fill="FFFFFF"/>
            <w:vAlign w:val="center"/>
            <w:hideMark/>
          </w:tcPr>
          <w:p w14:paraId="1133F4DD"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11457FA8" w14:textId="77777777" w:rsidR="005A043A" w:rsidRPr="00214F41" w:rsidRDefault="005A043A" w:rsidP="00286762">
            <w:pPr>
              <w:jc w:val="center"/>
              <w:rPr>
                <w:sz w:val="18"/>
                <w:szCs w:val="18"/>
                <w:lang w:val="en-GB"/>
              </w:rPr>
            </w:pPr>
            <w:r w:rsidRPr="00214F41">
              <w:rPr>
                <w:sz w:val="18"/>
                <w:szCs w:val="18"/>
                <w:lang w:val="en-GB"/>
              </w:rPr>
              <w:t>Glimepiride + metformin/ 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323EFA71" w14:textId="77777777" w:rsidR="005A043A" w:rsidRPr="00214F41" w:rsidRDefault="005A043A" w:rsidP="00286762">
            <w:pPr>
              <w:jc w:val="center"/>
              <w:rPr>
                <w:sz w:val="18"/>
                <w:szCs w:val="18"/>
                <w:lang w:val="en-GB"/>
              </w:rPr>
            </w:pPr>
            <w:r w:rsidRPr="00214F41">
              <w:rPr>
                <w:sz w:val="18"/>
                <w:szCs w:val="18"/>
                <w:lang w:val="en-GB"/>
              </w:rPr>
              <w:t>55.7±9,1</w:t>
            </w:r>
          </w:p>
        </w:tc>
        <w:tc>
          <w:tcPr>
            <w:tcW w:w="227" w:type="pct"/>
            <w:shd w:val="clear" w:color="000000" w:fill="FFFFFF"/>
            <w:vAlign w:val="center"/>
            <w:hideMark/>
          </w:tcPr>
          <w:p w14:paraId="351A938C" w14:textId="77777777" w:rsidR="005A043A" w:rsidRPr="00214F41" w:rsidRDefault="005A043A" w:rsidP="00286762">
            <w:pPr>
              <w:jc w:val="center"/>
              <w:rPr>
                <w:sz w:val="18"/>
                <w:szCs w:val="18"/>
                <w:lang w:val="en-GB"/>
              </w:rPr>
            </w:pPr>
            <w:r w:rsidRPr="00214F41">
              <w:rPr>
                <w:sz w:val="18"/>
                <w:szCs w:val="18"/>
                <w:lang w:val="en-GB"/>
              </w:rPr>
              <w:t>103/49.3</w:t>
            </w:r>
          </w:p>
        </w:tc>
        <w:tc>
          <w:tcPr>
            <w:tcW w:w="295" w:type="pct"/>
            <w:shd w:val="clear" w:color="000000" w:fill="FFFFFF"/>
            <w:vAlign w:val="center"/>
            <w:hideMark/>
          </w:tcPr>
          <w:p w14:paraId="579B3B2C" w14:textId="77777777" w:rsidR="005A043A" w:rsidRPr="00214F41" w:rsidRDefault="005A043A" w:rsidP="00286762">
            <w:pPr>
              <w:jc w:val="center"/>
              <w:rPr>
                <w:sz w:val="18"/>
                <w:szCs w:val="18"/>
                <w:lang w:val="en-GB"/>
              </w:rPr>
            </w:pPr>
            <w:r w:rsidRPr="00214F41">
              <w:rPr>
                <w:sz w:val="18"/>
                <w:szCs w:val="18"/>
                <w:lang w:val="en-GB"/>
              </w:rPr>
              <w:t>25.7±3.2</w:t>
            </w:r>
          </w:p>
        </w:tc>
        <w:tc>
          <w:tcPr>
            <w:tcW w:w="301" w:type="pct"/>
            <w:shd w:val="clear" w:color="000000" w:fill="FFFFFF"/>
            <w:vAlign w:val="center"/>
            <w:hideMark/>
          </w:tcPr>
          <w:p w14:paraId="7939F49A" w14:textId="77777777" w:rsidR="005A043A" w:rsidRPr="00214F41" w:rsidRDefault="005A043A" w:rsidP="00286762">
            <w:pPr>
              <w:jc w:val="center"/>
              <w:rPr>
                <w:sz w:val="18"/>
                <w:szCs w:val="18"/>
                <w:lang w:val="en-GB"/>
              </w:rPr>
            </w:pPr>
            <w:r w:rsidRPr="00214F41">
              <w:rPr>
                <w:sz w:val="18"/>
                <w:szCs w:val="18"/>
                <w:lang w:val="en-GB"/>
              </w:rPr>
              <w:t>25.5±3.5</w:t>
            </w:r>
          </w:p>
        </w:tc>
      </w:tr>
      <w:tr w:rsidR="005A043A" w:rsidRPr="0072287D" w14:paraId="71EC1126" w14:textId="77777777" w:rsidTr="00286762">
        <w:trPr>
          <w:trHeight w:val="930"/>
        </w:trPr>
        <w:tc>
          <w:tcPr>
            <w:tcW w:w="277" w:type="pct"/>
            <w:shd w:val="clear" w:color="000000" w:fill="FFFFFF"/>
            <w:vAlign w:val="center"/>
            <w:hideMark/>
          </w:tcPr>
          <w:p w14:paraId="544C0CD3" w14:textId="77777777" w:rsidR="005A043A" w:rsidRPr="00214F41" w:rsidRDefault="005A043A" w:rsidP="00286762">
            <w:pPr>
              <w:jc w:val="center"/>
              <w:rPr>
                <w:sz w:val="18"/>
                <w:szCs w:val="18"/>
                <w:lang w:val="en-GB"/>
              </w:rPr>
            </w:pPr>
            <w:proofErr w:type="spellStart"/>
            <w:r w:rsidRPr="00214F41">
              <w:rPr>
                <w:sz w:val="18"/>
                <w:szCs w:val="18"/>
                <w:lang w:val="en-GB"/>
              </w:rPr>
              <w:t>Nauck</w:t>
            </w:r>
            <w:proofErr w:type="spellEnd"/>
            <w:r w:rsidRPr="00214F41">
              <w:rPr>
                <w:sz w:val="18"/>
                <w:szCs w:val="18"/>
                <w:lang w:val="en-GB"/>
              </w:rPr>
              <w:t xml:space="preserve"> et al., 2012 </w:t>
            </w:r>
            <w:r w:rsidRPr="00214F41">
              <w:rPr>
                <w:sz w:val="18"/>
                <w:szCs w:val="18"/>
                <w:lang w:val="en-GB"/>
              </w:rPr>
              <w:fldChar w:fldCharType="begin" w:fldLock="1"/>
            </w:r>
            <w:r>
              <w:rPr>
                <w:sz w:val="18"/>
                <w:szCs w:val="18"/>
                <w:lang w:val="en-GB"/>
              </w:rPr>
              <w:instrText>ADDIN CSL_CITATION {"citationItems":[{"id":"ITEM-1","itemData":{"DOI":"10.1111/DOM.12012","ISSN":"1463-1326","PMID":"22985213","abstract":"Aims: To investigate efficacy and safety of dual therapy with liraglutide and metformin in comparison to glimepiride and metformin, and metformin monotherapy over 2years in patients with type 2 diabetes. Methods: In the 26-week the Liraglutide Effect and Action in Diabetes (LEAD)-2 core trial, patients (n=1091) were randomized (2:2:2:1:2) to liraglutide (0.6, 1.2 or 1.8mg once-daily), placebo or glimepiride; all with metformin. Patients were enrolled if they were 18-80years old with HbA1c 7.0-11.0% (previous monotherapy ≥3months), or 7.0-10.0% (previous combination therapy ≥3months), and body mass index ≤40kg/m2. Patients completing the 26-week double-blinded phase could enter an 18-month open-label extension. Results: HbA1c decreased significantly with liraglutide (0.4% with 0.6mg, 0.6% with 1.2 and 1.8mg) versus 0.3% increase with metformin monotherapy (p&lt;0.0001). HbA1c decrease with liraglutide was non-inferior versus 0.5% decrease with glimepiride. Liraglutide groups experienced significant weight loss (2.1, 3.0 and 2.9kg with 0.6, 1.2 and 1.8mg, respectively) compared to weight gain (0.7kg) with glimepiride (p&lt;0.0001). Weight loss with liraglutide 1.2 and 1.8mg was significantly greater than with metformin monotherapy (1.8kg; p=0.0185 and p=0.0378 for 1.2 and 1.8mg, respectively). The occurrence of minor hypoglycaemia was &lt;5.0% in all liraglutide groups, significantly less than with glimepiride (24.0%; p&lt;0.0001). Liraglutide was well tolerated overall: gastrointestinal events were more common than with glimepiride or metformin monotherapy, but occurrence decreased with time. Conclusions: Liraglutide provided sustained glycaemic control over 2 years comparable to that provided by glimepiride. Liraglutide was well tolerated, and was associated with weight loss and a low rate of hypoglycaemia. © 2012 Blackwell Publishing Ltd.","author":[{"dropping-particle":"","family":"Nauck","given":"M.","non-dropping-particle":"","parse-names":false,"suffix":""},{"dropping-particle":"","family":"Frid","given":"A.","non-dropping-particle":"","parse-names":false,"suffix":""},{"dropping-particle":"","family":"Hermansen","given":"K.","non-dropping-particle":"","parse-names":false,"suffix":""},{"dropping-particle":"","family":"Thomsen","given":"A. B.","non-dropping-particle":"","parse-names":false,"suffix":""},{"dropping-particle":"","family":"During","given":"M.","non-dropping-particle":"","parse-names":false,"suffix":""},{"dropping-particle":"","family":"Shah","given":"N.","non-dropping-particle":"","parse-names":false,"suffix":""},{"dropping-particle":"","family":"Tankova","given":"T.","non-dropping-particle":"","parse-names":false,"suffix":""},{"dropping-particle":"","family":"Mitha","given":"I.","non-dropping-particle":"","parse-names":false,"suffix":""},{"dropping-particle":"","family":"Matthews","given":"D. R.","non-dropping-particle":"","parse-names":false,"suffix":""}],"container-title":"Diabetes, obesity &amp; metabolism","id":"ITEM-1","issue":"3","issued":{"date-parts":[["2013"]]},"page":"204-212","publisher":"Diabetes Obes Metab","title":"Long-term efficacy and safety comparison of liraglutide, glimepiride and placebo, all in combination with metformin in type 2 diabetes: 2-year results from the LEAD-2 study","type":"article-journal","volume":"15"},"uris":["http://www.mendeley.com/documents/?uuid=4cb25eba-9ff8-3d2c-ae93-5a12f3ec380b"]}],"mendeley":{"formattedCitation":"[58]","plainTextFormattedCitation":"[58]","previouslyFormattedCitation":"[58]"},"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[58]</w:t>
            </w:r>
            <w:r w:rsidRPr="00214F41">
              <w:rPr>
                <w:sz w:val="18"/>
                <w:szCs w:val="18"/>
                <w:lang w:val="en-GB"/>
              </w:rPr>
              <w:fldChar w:fldCharType="end"/>
            </w:r>
          </w:p>
        </w:tc>
        <w:tc>
          <w:tcPr>
            <w:tcW w:w="293" w:type="pct"/>
            <w:shd w:val="clear" w:color="000000" w:fill="FFFFFF"/>
            <w:vAlign w:val="center"/>
            <w:hideMark/>
          </w:tcPr>
          <w:p w14:paraId="0494ECFF"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6054AD27" w14:textId="77777777" w:rsidR="005A043A" w:rsidRPr="00214F41" w:rsidRDefault="005A043A" w:rsidP="00286762">
            <w:pPr>
              <w:jc w:val="center"/>
              <w:rPr>
                <w:sz w:val="18"/>
                <w:szCs w:val="18"/>
                <w:lang w:val="en-GB"/>
              </w:rPr>
            </w:pPr>
            <w:r w:rsidRPr="00214F41">
              <w:rPr>
                <w:sz w:val="18"/>
                <w:szCs w:val="18"/>
                <w:lang w:val="en-GB"/>
              </w:rPr>
              <w:t>To investigate efficacy and safety of dual therapy with liraglutide and metformin in comparison to glimepiride and metformin, and metformin monotherapy over 2 years in patients with T2DM.</w:t>
            </w:r>
          </w:p>
        </w:tc>
        <w:tc>
          <w:tcPr>
            <w:tcW w:w="320" w:type="pct"/>
            <w:shd w:val="clear" w:color="000000" w:fill="FFFFFF"/>
            <w:vAlign w:val="center"/>
            <w:hideMark/>
          </w:tcPr>
          <w:p w14:paraId="2B83AC0D" w14:textId="77777777" w:rsidR="005A043A" w:rsidRPr="00214F41" w:rsidRDefault="005A043A" w:rsidP="00286762">
            <w:pPr>
              <w:jc w:val="center"/>
              <w:rPr>
                <w:sz w:val="18"/>
                <w:szCs w:val="18"/>
                <w:lang w:val="en-GB"/>
              </w:rPr>
            </w:pPr>
            <w:r w:rsidRPr="00214F41">
              <w:rPr>
                <w:sz w:val="18"/>
                <w:szCs w:val="18"/>
                <w:lang w:val="en-GB"/>
              </w:rPr>
              <w:t>1091/1087</w:t>
            </w:r>
          </w:p>
        </w:tc>
        <w:tc>
          <w:tcPr>
            <w:tcW w:w="321" w:type="pct"/>
            <w:shd w:val="clear" w:color="000000" w:fill="FFFFFF"/>
            <w:vAlign w:val="center"/>
            <w:hideMark/>
          </w:tcPr>
          <w:p w14:paraId="756C445D" w14:textId="77777777" w:rsidR="005A043A" w:rsidRPr="00214F41" w:rsidRDefault="005A043A" w:rsidP="00286762">
            <w:pPr>
              <w:jc w:val="center"/>
              <w:rPr>
                <w:sz w:val="18"/>
                <w:szCs w:val="18"/>
                <w:lang w:val="en-GB"/>
              </w:rPr>
            </w:pPr>
            <w:r w:rsidRPr="00214F41">
              <w:rPr>
                <w:sz w:val="18"/>
                <w:szCs w:val="18"/>
                <w:lang w:val="en-GB"/>
              </w:rPr>
              <w:t>P≥3months/</w:t>
            </w:r>
            <w:proofErr w:type="spellStart"/>
            <w:r w:rsidRPr="00214F41">
              <w:rPr>
                <w:sz w:val="18"/>
                <w:szCs w:val="18"/>
                <w:lang w:val="en-GB"/>
              </w:rPr>
              <w:t>nd</w:t>
            </w:r>
            <w:proofErr w:type="spellEnd"/>
          </w:p>
        </w:tc>
        <w:tc>
          <w:tcPr>
            <w:tcW w:w="502" w:type="pct"/>
            <w:shd w:val="clear" w:color="000000" w:fill="FFFFFF"/>
            <w:vAlign w:val="center"/>
            <w:hideMark/>
          </w:tcPr>
          <w:p w14:paraId="5587953A"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4D74AC35" w14:textId="77777777" w:rsidR="005A043A" w:rsidRPr="00214F41" w:rsidRDefault="005A043A" w:rsidP="00286762">
            <w:pPr>
              <w:jc w:val="center"/>
              <w:rPr>
                <w:sz w:val="18"/>
                <w:szCs w:val="18"/>
                <w:lang w:val="en-GB"/>
              </w:rPr>
            </w:pPr>
            <w:r w:rsidRPr="00214F41">
              <w:rPr>
                <w:sz w:val="18"/>
                <w:szCs w:val="18"/>
                <w:lang w:val="en-GB"/>
              </w:rPr>
              <w:t>2000mg/2/d</w:t>
            </w:r>
          </w:p>
        </w:tc>
        <w:tc>
          <w:tcPr>
            <w:tcW w:w="229" w:type="pct"/>
            <w:shd w:val="clear" w:color="000000" w:fill="FFFFFF"/>
            <w:vAlign w:val="center"/>
            <w:hideMark/>
          </w:tcPr>
          <w:p w14:paraId="0FFF5ACD" w14:textId="77777777" w:rsidR="005A043A" w:rsidRPr="00214F41" w:rsidRDefault="005A043A" w:rsidP="00286762">
            <w:pPr>
              <w:jc w:val="center"/>
              <w:rPr>
                <w:sz w:val="18"/>
                <w:szCs w:val="18"/>
                <w:lang w:val="en-GB"/>
              </w:rPr>
            </w:pPr>
            <w:r w:rsidRPr="00214F41">
              <w:rPr>
                <w:sz w:val="18"/>
                <w:szCs w:val="18"/>
                <w:lang w:val="en-GB"/>
              </w:rPr>
              <w:t>730</w:t>
            </w:r>
          </w:p>
        </w:tc>
        <w:tc>
          <w:tcPr>
            <w:tcW w:w="274" w:type="pct"/>
            <w:shd w:val="clear" w:color="000000" w:fill="FFFFFF"/>
            <w:vAlign w:val="center"/>
            <w:hideMark/>
          </w:tcPr>
          <w:p w14:paraId="524B3361"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29FEDFF7" w14:textId="77777777" w:rsidR="005A043A" w:rsidRPr="00214F41" w:rsidRDefault="005A043A" w:rsidP="00286762">
            <w:pPr>
              <w:jc w:val="center"/>
              <w:rPr>
                <w:sz w:val="18"/>
                <w:szCs w:val="18"/>
                <w:lang w:val="en-GB"/>
              </w:rPr>
            </w:pPr>
            <w:r w:rsidRPr="00214F41">
              <w:rPr>
                <w:sz w:val="18"/>
                <w:szCs w:val="18"/>
                <w:lang w:val="en-GB"/>
              </w:rPr>
              <w:t>Metformin IR + Glimepiride/MET/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31E2C466" w14:textId="77777777" w:rsidR="005A043A" w:rsidRPr="00214F41" w:rsidRDefault="005A043A" w:rsidP="00286762">
            <w:pPr>
              <w:jc w:val="center"/>
              <w:rPr>
                <w:sz w:val="18"/>
                <w:szCs w:val="18"/>
                <w:lang w:val="en-GB"/>
              </w:rPr>
            </w:pPr>
            <w:r w:rsidRPr="00214F41">
              <w:rPr>
                <w:sz w:val="18"/>
                <w:szCs w:val="18"/>
                <w:lang w:val="en-GB"/>
              </w:rPr>
              <w:t>56.7±9</w:t>
            </w:r>
          </w:p>
        </w:tc>
        <w:tc>
          <w:tcPr>
            <w:tcW w:w="227" w:type="pct"/>
            <w:shd w:val="clear" w:color="000000" w:fill="FFFFFF"/>
            <w:vAlign w:val="center"/>
            <w:hideMark/>
          </w:tcPr>
          <w:p w14:paraId="63954356" w14:textId="77777777" w:rsidR="005A043A" w:rsidRPr="00214F41" w:rsidRDefault="005A043A" w:rsidP="00286762">
            <w:pPr>
              <w:jc w:val="center"/>
              <w:rPr>
                <w:sz w:val="18"/>
                <w:szCs w:val="18"/>
                <w:lang w:val="en-GB"/>
              </w:rPr>
            </w:pPr>
            <w:r w:rsidRPr="00214F41">
              <w:rPr>
                <w:sz w:val="18"/>
                <w:szCs w:val="18"/>
                <w:lang w:val="en-GB"/>
              </w:rPr>
              <w:t>212/57.9</w:t>
            </w:r>
          </w:p>
        </w:tc>
        <w:tc>
          <w:tcPr>
            <w:tcW w:w="295" w:type="pct"/>
            <w:shd w:val="clear" w:color="000000" w:fill="FFFFFF"/>
            <w:vAlign w:val="center"/>
            <w:hideMark/>
          </w:tcPr>
          <w:p w14:paraId="7045229D" w14:textId="77777777" w:rsidR="005A043A" w:rsidRPr="00214F41" w:rsidRDefault="005A043A" w:rsidP="00286762">
            <w:pPr>
              <w:jc w:val="center"/>
              <w:rPr>
                <w:sz w:val="18"/>
                <w:szCs w:val="18"/>
                <w:lang w:val="en-GB"/>
              </w:rPr>
            </w:pPr>
            <w:r w:rsidRPr="00214F41">
              <w:rPr>
                <w:sz w:val="18"/>
                <w:szCs w:val="18"/>
                <w:lang w:val="en-GB"/>
              </w:rPr>
              <w:t>31.6±4.4</w:t>
            </w:r>
          </w:p>
        </w:tc>
        <w:tc>
          <w:tcPr>
            <w:tcW w:w="301" w:type="pct"/>
            <w:shd w:val="clear" w:color="000000" w:fill="FFFFFF"/>
            <w:vAlign w:val="center"/>
            <w:hideMark/>
          </w:tcPr>
          <w:p w14:paraId="274DE237" w14:textId="77777777" w:rsidR="005A043A" w:rsidRPr="00214F41" w:rsidRDefault="005A043A" w:rsidP="00286762">
            <w:pPr>
              <w:jc w:val="center"/>
              <w:rPr>
                <w:sz w:val="18"/>
                <w:szCs w:val="18"/>
                <w:lang w:val="en-GB"/>
              </w:rPr>
            </w:pPr>
            <w:r w:rsidRPr="00214F41">
              <w:rPr>
                <w:sz w:val="18"/>
                <w:szCs w:val="18"/>
                <w:lang w:val="en-GB"/>
              </w:rPr>
              <w:t>31.2/4.6</w:t>
            </w:r>
          </w:p>
        </w:tc>
      </w:tr>
      <w:tr w:rsidR="005A043A" w:rsidRPr="0072287D" w14:paraId="6E84802C" w14:textId="77777777" w:rsidTr="00286762">
        <w:trPr>
          <w:trHeight w:val="930"/>
        </w:trPr>
        <w:tc>
          <w:tcPr>
            <w:tcW w:w="277" w:type="pct"/>
            <w:shd w:val="clear" w:color="000000" w:fill="FFFFFF"/>
            <w:vAlign w:val="center"/>
            <w:hideMark/>
          </w:tcPr>
          <w:p w14:paraId="085ACF5A" w14:textId="77777777" w:rsidR="005A043A" w:rsidRPr="00214F41" w:rsidRDefault="005A043A" w:rsidP="00286762">
            <w:pPr>
              <w:jc w:val="center"/>
              <w:rPr>
                <w:sz w:val="18"/>
                <w:szCs w:val="18"/>
                <w:lang w:val="en-GB"/>
              </w:rPr>
            </w:pPr>
            <w:proofErr w:type="spellStart"/>
            <w:r w:rsidRPr="00214F41">
              <w:rPr>
                <w:sz w:val="18"/>
                <w:szCs w:val="18"/>
                <w:lang w:val="en-GB"/>
              </w:rPr>
              <w:t>Nauck</w:t>
            </w:r>
            <w:proofErr w:type="spellEnd"/>
            <w:r w:rsidRPr="00214F41">
              <w:rPr>
                <w:sz w:val="18"/>
                <w:szCs w:val="18"/>
                <w:lang w:val="en-GB"/>
              </w:rPr>
              <w:t xml:space="preserve"> et al., 2008  </w:t>
            </w:r>
            <w:r w:rsidRPr="00214F41">
              <w:rPr>
                <w:sz w:val="18"/>
                <w:szCs w:val="18"/>
                <w:lang w:val="en-GB"/>
              </w:rPr>
              <w:fldChar w:fldCharType="begin" w:fldLock="1"/>
            </w:r>
            <w:r>
              <w:rPr>
                <w:sz w:val="18"/>
                <w:szCs w:val="18"/>
                <w:lang w:val="en-GB"/>
              </w:rPr>
              <w:instrText>ADDIN CSL_CITATION {"citationItems":[{"id":"ITEM-1","itemData":{"DOI":"10.1111/j.1742-1241.2008.01933.x","ISSN":"1368-5031","abstract":"Aims: To evaluate the efficacy and safety of alogliptin, a new dipeptidyl peptidase-4 inhibitor, for 26 weeks at once-daily doses of 12.5 and 25 mg in combination with metformin in patients whose HbA1c levels were inadequately controlled on metformin alone. Methods and patients: Patients with type 2 diabetes and inadequate glycaemic control (HbA1c 7.0-10.0\\%) were randomised to continue a stable daily metformin dose regimen (≥ 1500 mg) plus the addition of placebo (n = 104) or alogliptin at once-daily doses of 12.5 (n = 213) or 25 mg (n = 210). HbA1c, insulin, proinsulin, C-peptide and fasting plasma glucose (FPG) concentrations were determined over a period of 26 weeks. Results: Alogliptin at either dose produced least squares mean (SE) decreases from baseline in HbA1c of -0.6 (0.1)\\% and in FPG of -17.0 (2.5) mg/dl [-1.0 (0.1) mmol/l], decreases that were significantly (p {\\textless} 0.001) greater than those observed with placebo. The between treatment differences (alogliptin - placebo) in FPG reached statistical significance (p {\\textless} 0.001) as early as week 1 and persisted for the duration of the study. Overall, adverse events (AEs) observed with alogliptin were not substantially different from those observed with placebo. This includes low event rates for gastrointestinal side effects and hypoglycaemic episodes. There was no dose-related pattern of AE reporting between alogliptin groups and few serious AEs were reported. Conclusion: Alogliptin is an effective and safe treatment for type 2 diabetes when added to metformin for patients not sufficiently controlled on metformin monotherapy. © 2008 The Authors.","author":[{"dropping-particle":"","family":"Nauck","given":"M A","non-dropping-particle":"","parse-names":false,"suffix":""},{"dropping-particle":"","family":"Ellis","given":"G C","non-dropping-particle":"","parse-names":false,"suffix":""},{"dropping-particle":"","family":"Fleck","given":"P R","non-dropping-particle":"","parse-names":false,"suffix":""},{"dropping-particle":"","family":"Wilson","given":"C A","non-dropping-particle":"","parse-names":false,"suffix":""},{"dropping-particle":"","family":"Mekki","given":"Q","non-dropping-particle":"","parse-names":false,"suffix":""}],"container-title":"International Journal of Clinical Practice","id":"ITEM-1","issue":"1","issued":{"date-parts":[["2009"]]},"page":"46-55","title":"Efficacy and safety of adding the dipeptidyl peptidase-4 inhibitor alogliptin to metformin therapy in patients with type 2 diabetes inadequately controlled with metformin monotherapy: {A} multicentre, randomised, double-blind, placebo-controlled study","type":"article-journal","volume":"63"},"uris":["http://www.mendeley.com/documents/?uuid=cee5689f-44b8-4e54-80d0-186baa4da034"]}],"mendeley":{"formattedCitation":"[59]","plainTextFormattedCitation":"[59]","previouslyFormattedCitation":"[59]"},"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[59]</w:t>
            </w:r>
            <w:r w:rsidRPr="00214F41">
              <w:rPr>
                <w:sz w:val="18"/>
                <w:szCs w:val="18"/>
                <w:lang w:val="en-GB"/>
              </w:rPr>
              <w:fldChar w:fldCharType="end"/>
            </w:r>
          </w:p>
        </w:tc>
        <w:tc>
          <w:tcPr>
            <w:tcW w:w="293" w:type="pct"/>
            <w:shd w:val="clear" w:color="000000" w:fill="FFFFFF"/>
            <w:vAlign w:val="center"/>
            <w:hideMark/>
          </w:tcPr>
          <w:p w14:paraId="1ED15C94"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60D96C09" w14:textId="77777777" w:rsidR="005A043A" w:rsidRPr="00214F41" w:rsidRDefault="005A043A" w:rsidP="00286762">
            <w:pPr>
              <w:jc w:val="center"/>
              <w:rPr>
                <w:sz w:val="18"/>
                <w:szCs w:val="18"/>
                <w:lang w:val="en-GB"/>
              </w:rPr>
            </w:pPr>
            <w:r w:rsidRPr="00214F41">
              <w:rPr>
                <w:sz w:val="18"/>
                <w:szCs w:val="18"/>
                <w:lang w:val="en-GB"/>
              </w:rPr>
              <w:t xml:space="preserve"> To evaluate the efficacy and safety of </w:t>
            </w:r>
            <w:proofErr w:type="spellStart"/>
            <w:r w:rsidRPr="00214F41">
              <w:rPr>
                <w:sz w:val="18"/>
                <w:szCs w:val="18"/>
                <w:lang w:val="en-GB"/>
              </w:rPr>
              <w:t>alogliptin</w:t>
            </w:r>
            <w:proofErr w:type="spellEnd"/>
            <w:r w:rsidRPr="00214F41">
              <w:rPr>
                <w:sz w:val="18"/>
                <w:szCs w:val="18"/>
                <w:lang w:val="en-GB"/>
              </w:rPr>
              <w:t>, a new dipeptidyl peptidase‐4 inhibitor, for 26</w:t>
            </w:r>
            <w:r w:rsidRPr="00214F41">
              <w:rPr>
                <w:sz w:val="18"/>
                <w:szCs w:val="18"/>
              </w:rPr>
              <w:t> </w:t>
            </w:r>
            <w:r w:rsidRPr="00214F41">
              <w:rPr>
                <w:sz w:val="18"/>
                <w:szCs w:val="18"/>
                <w:lang w:val="en-GB"/>
              </w:rPr>
              <w:t>weeks at once‐daily doses of 12.5 and 25</w:t>
            </w:r>
            <w:r w:rsidRPr="00214F41">
              <w:rPr>
                <w:sz w:val="18"/>
                <w:szCs w:val="18"/>
              </w:rPr>
              <w:t> </w:t>
            </w:r>
            <w:r w:rsidRPr="00214F41">
              <w:rPr>
                <w:sz w:val="18"/>
                <w:szCs w:val="18"/>
                <w:lang w:val="en-GB"/>
              </w:rPr>
              <w:t>mg in combination with metformin in patients whose HbA1c levels were inadequately controlled on metformin alone.</w:t>
            </w:r>
          </w:p>
        </w:tc>
        <w:tc>
          <w:tcPr>
            <w:tcW w:w="320" w:type="pct"/>
            <w:shd w:val="clear" w:color="000000" w:fill="FFFFFF"/>
            <w:vAlign w:val="center"/>
            <w:hideMark/>
          </w:tcPr>
          <w:p w14:paraId="1012800C" w14:textId="77777777" w:rsidR="005A043A" w:rsidRPr="00214F41" w:rsidRDefault="005A043A" w:rsidP="00286762">
            <w:pPr>
              <w:jc w:val="center"/>
              <w:rPr>
                <w:sz w:val="18"/>
                <w:szCs w:val="18"/>
                <w:lang w:val="en-GB"/>
              </w:rPr>
            </w:pPr>
            <w:r w:rsidRPr="00214F41">
              <w:rPr>
                <w:sz w:val="18"/>
                <w:szCs w:val="18"/>
                <w:lang w:val="en-GB"/>
              </w:rPr>
              <w:t>527/527</w:t>
            </w:r>
          </w:p>
        </w:tc>
        <w:tc>
          <w:tcPr>
            <w:tcW w:w="321" w:type="pct"/>
            <w:shd w:val="clear" w:color="000000" w:fill="FFFFFF"/>
            <w:vAlign w:val="center"/>
            <w:hideMark/>
          </w:tcPr>
          <w:p w14:paraId="30C6F99E" w14:textId="77777777" w:rsidR="005A043A" w:rsidRPr="00214F41" w:rsidRDefault="005A043A" w:rsidP="00286762">
            <w:pPr>
              <w:jc w:val="center"/>
              <w:rPr>
                <w:sz w:val="18"/>
                <w:szCs w:val="18"/>
                <w:lang w:val="en-GB"/>
              </w:rPr>
            </w:pPr>
            <w:r w:rsidRPr="00214F41">
              <w:rPr>
                <w:sz w:val="18"/>
                <w:szCs w:val="18"/>
                <w:lang w:val="en-GB"/>
              </w:rPr>
              <w:t>P≥3months≥1500 mg per day for at least 8 weeks</w:t>
            </w:r>
          </w:p>
        </w:tc>
        <w:tc>
          <w:tcPr>
            <w:tcW w:w="502" w:type="pct"/>
            <w:shd w:val="clear" w:color="000000" w:fill="FFFFFF"/>
            <w:vAlign w:val="center"/>
            <w:hideMark/>
          </w:tcPr>
          <w:p w14:paraId="5C62F126"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5ACA14F9" w14:textId="77777777" w:rsidR="005A043A" w:rsidRPr="00214F41" w:rsidRDefault="005A043A" w:rsidP="00286762">
            <w:pPr>
              <w:jc w:val="center"/>
              <w:rPr>
                <w:sz w:val="18"/>
                <w:szCs w:val="18"/>
                <w:lang w:val="en-GB"/>
              </w:rPr>
            </w:pPr>
            <w:r w:rsidRPr="00214F41">
              <w:rPr>
                <w:sz w:val="18"/>
                <w:szCs w:val="18"/>
                <w:lang w:val="en-GB"/>
              </w:rPr>
              <w:t>1868mg/</w:t>
            </w:r>
            <w:proofErr w:type="spellStart"/>
            <w:r w:rsidRPr="00214F41">
              <w:rPr>
                <w:sz w:val="18"/>
                <w:szCs w:val="18"/>
                <w:lang w:val="en-GB"/>
              </w:rPr>
              <w:t>nd</w:t>
            </w:r>
            <w:proofErr w:type="spellEnd"/>
          </w:p>
        </w:tc>
        <w:tc>
          <w:tcPr>
            <w:tcW w:w="229" w:type="pct"/>
            <w:shd w:val="clear" w:color="000000" w:fill="FFFFFF"/>
            <w:vAlign w:val="center"/>
            <w:hideMark/>
          </w:tcPr>
          <w:p w14:paraId="159369F4" w14:textId="77777777" w:rsidR="005A043A" w:rsidRPr="00214F41" w:rsidRDefault="005A043A" w:rsidP="00286762">
            <w:pPr>
              <w:jc w:val="center"/>
              <w:rPr>
                <w:sz w:val="18"/>
                <w:szCs w:val="18"/>
                <w:lang w:val="en-GB"/>
              </w:rPr>
            </w:pPr>
            <w:r w:rsidRPr="00214F41">
              <w:rPr>
                <w:sz w:val="18"/>
                <w:szCs w:val="18"/>
                <w:lang w:val="en-GB"/>
              </w:rPr>
              <w:t>182</w:t>
            </w:r>
          </w:p>
        </w:tc>
        <w:tc>
          <w:tcPr>
            <w:tcW w:w="274" w:type="pct"/>
            <w:shd w:val="clear" w:color="000000" w:fill="FFFFFF"/>
            <w:vAlign w:val="center"/>
            <w:hideMark/>
          </w:tcPr>
          <w:p w14:paraId="535472C8"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69C444E3" w14:textId="77777777" w:rsidR="005A043A" w:rsidRPr="00214F41" w:rsidRDefault="005A043A" w:rsidP="00286762">
            <w:pPr>
              <w:jc w:val="center"/>
              <w:rPr>
                <w:sz w:val="18"/>
                <w:szCs w:val="18"/>
                <w:lang w:val="en-GB"/>
              </w:rPr>
            </w:pPr>
            <w:r w:rsidRPr="00214F41">
              <w:rPr>
                <w:sz w:val="18"/>
                <w:szCs w:val="18"/>
                <w:lang w:val="en-GB"/>
              </w:rPr>
              <w:t xml:space="preserve">Metformin + </w:t>
            </w:r>
            <w:proofErr w:type="spellStart"/>
            <w:r w:rsidRPr="00214F41">
              <w:rPr>
                <w:sz w:val="18"/>
                <w:szCs w:val="18"/>
                <w:lang w:val="en-GB"/>
              </w:rPr>
              <w:t>Alogliptin</w:t>
            </w:r>
            <w:proofErr w:type="spellEnd"/>
            <w:r w:rsidRPr="00214F41">
              <w:rPr>
                <w:sz w:val="18"/>
                <w:szCs w:val="18"/>
                <w:lang w:val="en-GB"/>
              </w:rPr>
              <w:t xml:space="preserve"> 12,5 mg/MET/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29939753" w14:textId="77777777" w:rsidR="005A043A" w:rsidRPr="00214F41" w:rsidRDefault="005A043A" w:rsidP="00286762">
            <w:pPr>
              <w:jc w:val="center"/>
              <w:rPr>
                <w:sz w:val="18"/>
                <w:szCs w:val="18"/>
                <w:lang w:val="en-GB"/>
              </w:rPr>
            </w:pPr>
            <w:r w:rsidRPr="00214F41">
              <w:rPr>
                <w:sz w:val="18"/>
                <w:szCs w:val="18"/>
                <w:lang w:val="en-GB"/>
              </w:rPr>
              <w:t>55.3±11</w:t>
            </w:r>
          </w:p>
        </w:tc>
        <w:tc>
          <w:tcPr>
            <w:tcW w:w="227" w:type="pct"/>
            <w:shd w:val="clear" w:color="000000" w:fill="FFFFFF"/>
            <w:vAlign w:val="center"/>
            <w:hideMark/>
          </w:tcPr>
          <w:p w14:paraId="1E212358" w14:textId="77777777" w:rsidR="005A043A" w:rsidRPr="00214F41" w:rsidRDefault="005A043A" w:rsidP="00286762">
            <w:pPr>
              <w:jc w:val="center"/>
              <w:rPr>
                <w:sz w:val="18"/>
                <w:szCs w:val="18"/>
                <w:lang w:val="en-GB"/>
              </w:rPr>
            </w:pPr>
            <w:r w:rsidRPr="00214F41">
              <w:rPr>
                <w:sz w:val="18"/>
                <w:szCs w:val="18"/>
                <w:lang w:val="en-GB"/>
              </w:rPr>
              <w:t>151/47.6</w:t>
            </w:r>
          </w:p>
        </w:tc>
        <w:tc>
          <w:tcPr>
            <w:tcW w:w="295" w:type="pct"/>
            <w:shd w:val="clear" w:color="000000" w:fill="FFFFFF"/>
            <w:vAlign w:val="center"/>
            <w:hideMark/>
          </w:tcPr>
          <w:p w14:paraId="7855B8CA" w14:textId="77777777" w:rsidR="005A043A" w:rsidRPr="00214F41" w:rsidRDefault="005A043A" w:rsidP="00286762">
            <w:pPr>
              <w:jc w:val="center"/>
              <w:rPr>
                <w:sz w:val="18"/>
                <w:szCs w:val="18"/>
                <w:lang w:val="en-GB"/>
              </w:rPr>
            </w:pPr>
            <w:r w:rsidRPr="00214F41">
              <w:rPr>
                <w:sz w:val="18"/>
                <w:szCs w:val="18"/>
                <w:lang w:val="en-GB"/>
              </w:rPr>
              <w:t>32±6</w:t>
            </w:r>
          </w:p>
        </w:tc>
        <w:tc>
          <w:tcPr>
            <w:tcW w:w="301" w:type="pct"/>
            <w:shd w:val="clear" w:color="000000" w:fill="FFFFFF"/>
            <w:vAlign w:val="center"/>
            <w:hideMark/>
          </w:tcPr>
          <w:p w14:paraId="0B9F04B6" w14:textId="77777777" w:rsidR="005A043A" w:rsidRPr="00214F41" w:rsidRDefault="005A043A" w:rsidP="00286762">
            <w:pPr>
              <w:jc w:val="center"/>
              <w:rPr>
                <w:sz w:val="18"/>
                <w:szCs w:val="18"/>
                <w:lang w:val="en-GB"/>
              </w:rPr>
            </w:pPr>
            <w:r w:rsidRPr="00214F41">
              <w:rPr>
                <w:sz w:val="18"/>
                <w:szCs w:val="18"/>
                <w:lang w:val="en-GB"/>
              </w:rPr>
              <w:t>32/5</w:t>
            </w:r>
          </w:p>
        </w:tc>
      </w:tr>
      <w:tr w:rsidR="005A043A" w:rsidRPr="0072287D" w14:paraId="188B9476" w14:textId="77777777" w:rsidTr="00286762">
        <w:trPr>
          <w:trHeight w:val="930"/>
        </w:trPr>
        <w:tc>
          <w:tcPr>
            <w:tcW w:w="277" w:type="pct"/>
            <w:shd w:val="clear" w:color="000000" w:fill="FFFFFF"/>
            <w:vAlign w:val="center"/>
            <w:hideMark/>
          </w:tcPr>
          <w:p w14:paraId="6C3611D1" w14:textId="77777777" w:rsidR="005A043A" w:rsidRPr="00214F41" w:rsidRDefault="005A043A" w:rsidP="00286762">
            <w:pPr>
              <w:jc w:val="center"/>
              <w:rPr>
                <w:sz w:val="18"/>
                <w:szCs w:val="18"/>
                <w:lang w:val="en-GB"/>
              </w:rPr>
            </w:pPr>
            <w:proofErr w:type="spellStart"/>
            <w:r w:rsidRPr="00214F41">
              <w:rPr>
                <w:sz w:val="18"/>
                <w:szCs w:val="18"/>
                <w:lang w:val="en-GB"/>
              </w:rPr>
              <w:t>Neutel</w:t>
            </w:r>
            <w:proofErr w:type="spellEnd"/>
            <w:r w:rsidRPr="00214F41">
              <w:rPr>
                <w:sz w:val="18"/>
                <w:szCs w:val="18"/>
                <w:lang w:val="en-GB"/>
              </w:rPr>
              <w:t xml:space="preserve"> et al., 2013 </w:t>
            </w:r>
            <w:r w:rsidRPr="00214F41">
              <w:rPr>
                <w:sz w:val="18"/>
                <w:szCs w:val="18"/>
              </w:rPr>
              <w:fldChar w:fldCharType="begin" w:fldLock="1"/>
            </w:r>
            <w:r>
              <w:rPr>
                <w:sz w:val="18"/>
                <w:szCs w:val="18"/>
                <w:lang w:val="en-GB"/>
              </w:rPr>
              <w:instrText>ADDIN CSL_CITATION {"citationItems":[{"id":"ITEM-1","itemData":{"DOI":"10.1007/S13300-013-0028-9","ISSN":"1869-6953","PMID":"23881432","abstract":"Introduction: Saxagliptin added to metformin extended release (XR) and uptitrated metformin XR were evaluated for their impact on daily glucose measurements and their tolerability in patients with type 2 diabetes mellitus (T2DM) inadequately controlled with metformin monotherapy. Methods: Patients aged 18-78 years on metformin 850-1,500 mg with glycated hemoglobin (HbA1c) 7.5-11.5% at screening were eligible for this double-blind, active-controlled study. Patients were stabilized on metformin XR 1,500 mg before randomization. Patients with HbA1c 7-11% and fasting plasma glucose (FPG) ≥ 126 mg/dL after a 4-8-week lead-in period were randomly assigned to saxagliptin 5 mg + metformin XR 1,500 mg or metformin XR 500 mg + metformin XR 1,500 mg (uptitrated metformin XR). The primary end point was change from baseline to week 4 in 24-h mean weighted glucose (MWG). Secondary end points were changes from baseline to week 4 in 2-h postprandial glucose (PPG) and FPG. Results: At week 4, the adjusted mean ± SE change from baseline in 24-h MWG was -19.0 ± 5.7 mg/dL (95% CI -30.3 to -7.6) for saxagliptin + metformin XR and -8.2 ± 6.0 mg/dL (95% CI -20.0 to 3.7) for uptitrated metformin XR. Mean changes from baseline in 2-h PPG and FPG were numerically greater with saxagliptin + metformin XR versus uptitrated metformin XR. The incidence of adverse events was lower with saxagliptin + metformin XR (17.4%) versus uptitrated metformin XR (31.9%) mainly due to differences in gastrointestinal adverse event incidence (2.2% vs 10.6%, respectively). There were no reports of confirmed hypoglycemia in either group. Conclusion: In this 4-week study in patients with T2DM inadequately controlled with metformin monotherapy, saxagliptin added to metformin XR demonstrated a trend for improvement in measures of daily glycemic control, with fewer gastrointestinal adverse events, compared with uptitrated metformin. © The Author(s) 2013.","author":[{"dropping-particle":"","family":"Neutel","given":"Joel M.","non-dropping-particle":"","parse-names":false,"suffix":""},{"dropping-particle":"","family":"Zhao","given":"Cathy","non-dropping-particle":"","parse-names":false,"suffix":""},{"dropping-particle":"","family":"Karyekar","given":"Chetan S.","non-dropping-particle":"","parse-names":false,"suffix":""}],"container-title":"Diabetes therapy : research, treatment and education of diabetes and related disorders","id":"ITEM-1","issue":"2","issued":{"date-parts":[["2013","12","1"]]},"page":"269-283","publisher":"Diabetes Ther","title":"Adding Saxagliptin to Metformin Extended Release (XR) or Uptitration of Metformin XR: Efficacy on Daily Glucose Measures","type":"article-journal","volume":"4"},"uris":["http://www.mendeley.com/documents/?uuid=758a2e7c-5871-3ba2-b89c-af13625b5c60"]}],"mendeley":{"formattedCitation":"[60]","plainTextFormattedCitation":"[60]","previouslyFormattedCitation":"[60]"},"properties":{"noteIndex":0},"schema":"https://github.com/citation-style-language/schema/raw/master/csl-citation.json"}</w:instrText>
            </w:r>
            <w:r w:rsidRPr="00214F41">
              <w:rPr>
                <w:sz w:val="18"/>
                <w:szCs w:val="18"/>
              </w:rPr>
              <w:fldChar w:fldCharType="separate"/>
            </w:r>
            <w:r w:rsidRPr="00FF29A9">
              <w:rPr>
                <w:noProof/>
                <w:sz w:val="18"/>
                <w:szCs w:val="18"/>
                <w:lang w:val="en-GB"/>
              </w:rPr>
              <w:t>[60]</w:t>
            </w:r>
            <w:r w:rsidRPr="00214F41">
              <w:rPr>
                <w:sz w:val="18"/>
                <w:szCs w:val="18"/>
              </w:rPr>
              <w:fldChar w:fldCharType="end"/>
            </w:r>
          </w:p>
        </w:tc>
        <w:tc>
          <w:tcPr>
            <w:tcW w:w="293" w:type="pct"/>
            <w:shd w:val="clear" w:color="000000" w:fill="FFFFFF"/>
            <w:vAlign w:val="center"/>
            <w:hideMark/>
          </w:tcPr>
          <w:p w14:paraId="71566640"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1A9D91AD" w14:textId="77777777" w:rsidR="005A043A" w:rsidRPr="00214F41" w:rsidRDefault="005A043A" w:rsidP="00286762">
            <w:pPr>
              <w:jc w:val="center"/>
              <w:rPr>
                <w:sz w:val="18"/>
                <w:szCs w:val="18"/>
                <w:lang w:val="en-GB"/>
              </w:rPr>
            </w:pPr>
            <w:r w:rsidRPr="00214F41">
              <w:rPr>
                <w:sz w:val="18"/>
                <w:szCs w:val="18"/>
                <w:lang w:val="en-GB"/>
              </w:rPr>
              <w:t xml:space="preserve">To evaluate the impact of </w:t>
            </w:r>
            <w:proofErr w:type="spellStart"/>
            <w:r w:rsidRPr="00214F41">
              <w:rPr>
                <w:sz w:val="18"/>
                <w:szCs w:val="18"/>
                <w:lang w:val="en-GB"/>
              </w:rPr>
              <w:t>saxagliptin</w:t>
            </w:r>
            <w:proofErr w:type="spellEnd"/>
            <w:r w:rsidRPr="00214F41">
              <w:rPr>
                <w:sz w:val="18"/>
                <w:szCs w:val="18"/>
                <w:lang w:val="en-GB"/>
              </w:rPr>
              <w:t xml:space="preserve"> added to metformin extended release (XR) and </w:t>
            </w:r>
            <w:proofErr w:type="spellStart"/>
            <w:r w:rsidRPr="00214F41">
              <w:rPr>
                <w:sz w:val="18"/>
                <w:szCs w:val="18"/>
                <w:lang w:val="en-GB"/>
              </w:rPr>
              <w:t>uptitrated</w:t>
            </w:r>
            <w:proofErr w:type="spellEnd"/>
            <w:r w:rsidRPr="00214F41">
              <w:rPr>
                <w:sz w:val="18"/>
                <w:szCs w:val="18"/>
                <w:lang w:val="en-GB"/>
              </w:rPr>
              <w:t xml:space="preserve"> metformin XR on daily glucose measurements and their tolerability in patients with T2DM (T2DM) inadequately controlled with metformin monotherapy.</w:t>
            </w:r>
          </w:p>
        </w:tc>
        <w:tc>
          <w:tcPr>
            <w:tcW w:w="320" w:type="pct"/>
            <w:shd w:val="clear" w:color="000000" w:fill="FFFFFF"/>
            <w:vAlign w:val="center"/>
            <w:hideMark/>
          </w:tcPr>
          <w:p w14:paraId="29EA4708" w14:textId="77777777" w:rsidR="005A043A" w:rsidRPr="00214F41" w:rsidRDefault="005A043A" w:rsidP="00286762">
            <w:pPr>
              <w:jc w:val="center"/>
              <w:rPr>
                <w:sz w:val="18"/>
                <w:szCs w:val="18"/>
                <w:lang w:val="en-GB"/>
              </w:rPr>
            </w:pPr>
            <w:r w:rsidRPr="00214F41">
              <w:rPr>
                <w:sz w:val="18"/>
                <w:szCs w:val="18"/>
                <w:lang w:val="en-GB"/>
              </w:rPr>
              <w:t>93/93</w:t>
            </w:r>
          </w:p>
        </w:tc>
        <w:tc>
          <w:tcPr>
            <w:tcW w:w="321" w:type="pct"/>
            <w:shd w:val="clear" w:color="000000" w:fill="FFFFFF"/>
            <w:vAlign w:val="center"/>
            <w:hideMark/>
          </w:tcPr>
          <w:p w14:paraId="1BB3C5B1" w14:textId="77777777" w:rsidR="005A043A" w:rsidRPr="00214F41" w:rsidRDefault="005A043A" w:rsidP="00286762">
            <w:pPr>
              <w:jc w:val="center"/>
              <w:rPr>
                <w:sz w:val="18"/>
                <w:szCs w:val="18"/>
                <w:lang w:val="en-GB"/>
              </w:rPr>
            </w:pPr>
            <w:r w:rsidRPr="00214F41">
              <w:rPr>
                <w:sz w:val="18"/>
                <w:szCs w:val="18"/>
                <w:lang w:val="en-GB"/>
              </w:rPr>
              <w:t>P≥12/1.5g/d</w:t>
            </w:r>
          </w:p>
        </w:tc>
        <w:tc>
          <w:tcPr>
            <w:tcW w:w="502" w:type="pct"/>
            <w:shd w:val="clear" w:color="000000" w:fill="FFFFFF"/>
            <w:vAlign w:val="center"/>
            <w:hideMark/>
          </w:tcPr>
          <w:p w14:paraId="5AB3CB3A"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3E884530" w14:textId="77777777" w:rsidR="005A043A" w:rsidRPr="00214F41" w:rsidRDefault="005A043A" w:rsidP="00286762">
            <w:pPr>
              <w:jc w:val="center"/>
              <w:rPr>
                <w:sz w:val="18"/>
                <w:szCs w:val="18"/>
                <w:lang w:val="en-GB"/>
              </w:rPr>
            </w:pPr>
            <w:r w:rsidRPr="00214F41">
              <w:rPr>
                <w:sz w:val="18"/>
                <w:szCs w:val="18"/>
                <w:lang w:val="en-GB"/>
              </w:rPr>
              <w:t>2000mg/1/d</w:t>
            </w:r>
          </w:p>
        </w:tc>
        <w:tc>
          <w:tcPr>
            <w:tcW w:w="229" w:type="pct"/>
            <w:shd w:val="clear" w:color="000000" w:fill="FFFFFF"/>
            <w:vAlign w:val="center"/>
            <w:hideMark/>
          </w:tcPr>
          <w:p w14:paraId="0CD32978" w14:textId="77777777" w:rsidR="005A043A" w:rsidRPr="00214F41" w:rsidRDefault="005A043A" w:rsidP="00286762">
            <w:pPr>
              <w:jc w:val="center"/>
              <w:rPr>
                <w:sz w:val="18"/>
                <w:szCs w:val="18"/>
                <w:lang w:val="en-GB"/>
              </w:rPr>
            </w:pPr>
            <w:r w:rsidRPr="00214F41">
              <w:rPr>
                <w:sz w:val="18"/>
                <w:szCs w:val="18"/>
                <w:lang w:val="en-GB"/>
              </w:rPr>
              <w:t>28</w:t>
            </w:r>
          </w:p>
        </w:tc>
        <w:tc>
          <w:tcPr>
            <w:tcW w:w="274" w:type="pct"/>
            <w:shd w:val="clear" w:color="000000" w:fill="FFFFFF"/>
            <w:vAlign w:val="center"/>
            <w:hideMark/>
          </w:tcPr>
          <w:p w14:paraId="1BEA8AB5" w14:textId="77777777" w:rsidR="005A043A" w:rsidRPr="00214F41" w:rsidRDefault="005A043A" w:rsidP="00286762">
            <w:pPr>
              <w:jc w:val="center"/>
              <w:rPr>
                <w:sz w:val="18"/>
                <w:szCs w:val="18"/>
                <w:lang w:val="en-GB"/>
              </w:rPr>
            </w:pPr>
            <w:r w:rsidRPr="00214F41">
              <w:rPr>
                <w:sz w:val="18"/>
                <w:szCs w:val="18"/>
                <w:lang w:val="en-GB"/>
              </w:rPr>
              <w:t>XR</w:t>
            </w:r>
          </w:p>
        </w:tc>
        <w:tc>
          <w:tcPr>
            <w:tcW w:w="550" w:type="pct"/>
            <w:shd w:val="clear" w:color="000000" w:fill="FFFFFF"/>
            <w:vAlign w:val="center"/>
            <w:hideMark/>
          </w:tcPr>
          <w:p w14:paraId="0FD7F861" w14:textId="77777777" w:rsidR="005A043A" w:rsidRPr="00214F41" w:rsidRDefault="005A043A" w:rsidP="00286762">
            <w:pPr>
              <w:jc w:val="center"/>
              <w:rPr>
                <w:sz w:val="18"/>
                <w:szCs w:val="18"/>
                <w:lang w:val="en-GB"/>
              </w:rPr>
            </w:pPr>
            <w:r w:rsidRPr="00214F41">
              <w:rPr>
                <w:sz w:val="18"/>
                <w:szCs w:val="18"/>
                <w:lang w:val="en-GB"/>
              </w:rPr>
              <w:t xml:space="preserve">Metformin XR + </w:t>
            </w:r>
            <w:proofErr w:type="spellStart"/>
            <w:r w:rsidRPr="00214F41">
              <w:rPr>
                <w:sz w:val="18"/>
                <w:szCs w:val="18"/>
                <w:lang w:val="en-GB"/>
              </w:rPr>
              <w:t>saxagliptin</w:t>
            </w:r>
            <w:proofErr w:type="spellEnd"/>
            <w:r w:rsidRPr="00214F41">
              <w:rPr>
                <w:sz w:val="18"/>
                <w:szCs w:val="18"/>
                <w:lang w:val="en-GB"/>
              </w:rPr>
              <w:t>/MET/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6B6064AC" w14:textId="77777777" w:rsidR="005A043A" w:rsidRPr="00214F41" w:rsidRDefault="005A043A" w:rsidP="00286762">
            <w:pPr>
              <w:jc w:val="center"/>
              <w:rPr>
                <w:sz w:val="18"/>
                <w:szCs w:val="18"/>
                <w:lang w:val="en-GB"/>
              </w:rPr>
            </w:pPr>
            <w:r w:rsidRPr="00214F41">
              <w:rPr>
                <w:sz w:val="18"/>
                <w:szCs w:val="18"/>
                <w:lang w:val="en-GB"/>
              </w:rPr>
              <w:t>52.2±9.7</w:t>
            </w:r>
          </w:p>
        </w:tc>
        <w:tc>
          <w:tcPr>
            <w:tcW w:w="227" w:type="pct"/>
            <w:shd w:val="clear" w:color="000000" w:fill="FFFFFF"/>
            <w:vAlign w:val="center"/>
            <w:hideMark/>
          </w:tcPr>
          <w:p w14:paraId="6C03069B" w14:textId="77777777" w:rsidR="005A043A" w:rsidRPr="00214F41" w:rsidRDefault="005A043A" w:rsidP="00286762">
            <w:pPr>
              <w:jc w:val="center"/>
              <w:rPr>
                <w:sz w:val="18"/>
                <w:szCs w:val="18"/>
                <w:lang w:val="en-GB"/>
              </w:rPr>
            </w:pPr>
            <w:r w:rsidRPr="00214F41">
              <w:rPr>
                <w:sz w:val="18"/>
                <w:szCs w:val="18"/>
                <w:lang w:val="en-GB"/>
              </w:rPr>
              <w:t>47/50.5</w:t>
            </w:r>
          </w:p>
        </w:tc>
        <w:tc>
          <w:tcPr>
            <w:tcW w:w="295" w:type="pct"/>
            <w:shd w:val="clear" w:color="000000" w:fill="FFFFFF"/>
            <w:vAlign w:val="center"/>
            <w:hideMark/>
          </w:tcPr>
          <w:p w14:paraId="4B214658" w14:textId="77777777" w:rsidR="005A043A" w:rsidRPr="00214F41" w:rsidRDefault="005A043A" w:rsidP="00286762">
            <w:pPr>
              <w:jc w:val="center"/>
              <w:rPr>
                <w:sz w:val="18"/>
                <w:szCs w:val="18"/>
                <w:lang w:val="en-GB"/>
              </w:rPr>
            </w:pPr>
            <w:r w:rsidRPr="00214F41">
              <w:rPr>
                <w:sz w:val="18"/>
                <w:szCs w:val="18"/>
                <w:lang w:val="en-GB"/>
              </w:rPr>
              <w:t>31.1±4.3</w:t>
            </w:r>
          </w:p>
        </w:tc>
        <w:tc>
          <w:tcPr>
            <w:tcW w:w="301" w:type="pct"/>
            <w:shd w:val="clear" w:color="000000" w:fill="FFFFFF"/>
            <w:vAlign w:val="center"/>
            <w:hideMark/>
          </w:tcPr>
          <w:p w14:paraId="5694764F" w14:textId="77777777" w:rsidR="005A043A" w:rsidRPr="00214F41" w:rsidRDefault="005A043A" w:rsidP="00286762">
            <w:pPr>
              <w:jc w:val="center"/>
              <w:rPr>
                <w:sz w:val="18"/>
                <w:szCs w:val="18"/>
                <w:lang w:val="en-GB"/>
              </w:rPr>
            </w:pPr>
            <w:r w:rsidRPr="00214F41">
              <w:rPr>
                <w:sz w:val="18"/>
                <w:szCs w:val="18"/>
                <w:lang w:val="en-GB"/>
              </w:rPr>
              <w:t>32.5/5.1</w:t>
            </w:r>
          </w:p>
        </w:tc>
      </w:tr>
      <w:tr w:rsidR="005A043A" w:rsidRPr="0072287D" w14:paraId="7C47E9A0" w14:textId="77777777" w:rsidTr="00286762">
        <w:trPr>
          <w:trHeight w:val="930"/>
        </w:trPr>
        <w:tc>
          <w:tcPr>
            <w:tcW w:w="277" w:type="pct"/>
            <w:shd w:val="clear" w:color="000000" w:fill="FFFFFF"/>
            <w:vAlign w:val="center"/>
            <w:hideMark/>
          </w:tcPr>
          <w:p w14:paraId="3DCB2B97" w14:textId="77777777" w:rsidR="005A043A" w:rsidRPr="00214F41" w:rsidRDefault="005A043A" w:rsidP="00286762">
            <w:pPr>
              <w:jc w:val="center"/>
              <w:rPr>
                <w:sz w:val="18"/>
                <w:szCs w:val="18"/>
                <w:lang w:val="en-GB"/>
              </w:rPr>
            </w:pPr>
            <w:r w:rsidRPr="00214F41">
              <w:rPr>
                <w:sz w:val="18"/>
                <w:szCs w:val="18"/>
                <w:lang w:val="en-GB"/>
              </w:rPr>
              <w:t xml:space="preserve">Matthews et </w:t>
            </w:r>
            <w:r w:rsidRPr="00214F41">
              <w:rPr>
                <w:sz w:val="18"/>
                <w:szCs w:val="18"/>
                <w:lang w:val="en-GB"/>
              </w:rPr>
              <w:lastRenderedPageBreak/>
              <w:t xml:space="preserve">al., 2019 </w:t>
            </w:r>
            <w:r w:rsidRPr="00214F41">
              <w:rPr>
                <w:sz w:val="18"/>
                <w:szCs w:val="18"/>
                <w:lang w:val="en-GB"/>
              </w:rPr>
              <w:fldChar w:fldCharType="begin" w:fldLock="1"/>
            </w:r>
            <w:r>
              <w:rPr>
                <w:sz w:val="18"/>
                <w:szCs w:val="18"/>
                <w:lang w:val="en-GB"/>
              </w:rPr>
              <w:instrText>ADDIN CSL_CITATION {"citationItems":[{"id":"ITEM-1","itemData":{"DOI":"10.1016/S0140-6736(19)32131-2","ISSN":"0140-6736","PMID":"31542292","abstract":"Background: Early treatment intensification leading to sustained good glycaemic control is essential to delay diabetic complications. Although initial combination therapy has been suggested to offer more opportunities than a traditional stepwise approach, its validity remains to be determined. Methods: Vildagliptin Efficacy in combination with metfoRmIn For earlY treatment of type 2 diabetes (VERIFY) was a randomised, double-blind, parallel-group study of newly diagnosed patients with type 2 diabetes conducted in 254 centres across 34 countries. The study consisted of a 2-week screening visit, a 3-week metformin-alone run-in period, and a 5-year treatment period, which was further split into study periods 1, 2, and 3. Patients aged 18–70 years were included if they had type 2 diabetes diagnosed within 2 years prior to enrolment, and centrally confirmed glycated haemoglobin A1c (HbA1c) of 48–58 mmol/mol (6·5–7·5%) and a body-mass index of 22–40 kg/m2. Patients were randomly assigned in a 1:1 ratio either to the early combination treatment group or to the initial metformin monotherapy group, with the help of an interactive response technology system and simple randomisation without stratification. Patients, investigators, clinical staff performing the assessments, and data analysts were masked to treatment allocation. In study period 1, patients received either the early combination treatment with metformin (stable daily dose of 1000 mg, 1500 mg, or 2000 mg) and vildagliptin 50 mg twice daily, or standard-of-care initial metformin monotherapy (stable daily dose of 1000 mg, 1500 mg, or 2000 mg) and placebo twice daily. If the initial treatment did not maintain HbA1c below 53 mmol/mol (7·0%), confirmed at two consecutive scheduled visits which were 13 weeks apart, patients in the metformin monotherapy group received vildagliptin 50 mg twice daily in place of the placebo and entered study period 2, during which all patients received the combination therapy. The primary efficacy endpoint was the time from randomisation to initial treatment failure, defined as HbA1c measurement of at least 53 mmol/mol (7·0%) at two consecutive scheduled visits, 13 weeks apart from randomisation through period 1. The full analysis set included patients who received at least one randomised study medication and had at least one post-randomisation efficacy parameter assessed. The safety analysis set included all patients who received at least one dose of randomised study medicatio…","author":[{"dropping-particle":"","family":"Matthews","given":"David R.","non-dropping-particle":"","parse-names":false,"suffix":""},{"dropping-particle":"","family":"Paldánius","given":"Päivi M.","non-dropping-particle":"","parse-names":false,"suffix":""},{"dropping-particle":"","family":"Proot","given":"Pieter","non-dropping-particle":"","parse-names":false,"suffix":""},{"dropping-particle":"","family":"Chiang","given":"Yann Tong","non-dropping-particle":"","parse-names":false,"suffix":""},{"dropping-particle":"","family":"Stumvoll","given":"Michael","non-dropping-particle":"","parse-names":false,"suffix":""},{"dropping-particle":"","family":"Prato","given":"Stefano","non-dropping-particle":"Del","parse-names":false,"suffix":""}],"container-title":"The Lancet","id":"ITEM-1","issue":"10208","issued":{"date-parts":[["2019","10","26"]]},"page":"1519-1529","publisher":"Elsevier","title":"Glycaemic durability of an early combination therapy with vildagliptin and metformin versus sequential metformin monotherapy in newly diagnosed type 2 diabetes (VERIFY): a 5-year, multicentre, randomised, double-blind trial","type":"article-journal","volume":"394"},"uris":["http://www.mendeley.com/documents/?uuid=cc7196f4-3dab-3f6e-8531-d84dd2af93ac"]}],"mendeley":{"formattedCitation":"[61]","plainTextFormattedCitation":"[61]","previouslyFormattedCitation":"[61]"},"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[61]</w:t>
            </w:r>
            <w:r w:rsidRPr="00214F41">
              <w:rPr>
                <w:sz w:val="18"/>
                <w:szCs w:val="18"/>
                <w:lang w:val="en-GB"/>
              </w:rPr>
              <w:fldChar w:fldCharType="end"/>
            </w:r>
          </w:p>
        </w:tc>
        <w:tc>
          <w:tcPr>
            <w:tcW w:w="293" w:type="pct"/>
            <w:shd w:val="clear" w:color="000000" w:fill="FFFFFF"/>
            <w:vAlign w:val="center"/>
            <w:hideMark/>
          </w:tcPr>
          <w:p w14:paraId="36540697" w14:textId="77777777" w:rsidR="005A043A" w:rsidRPr="00214F41" w:rsidRDefault="005A043A" w:rsidP="00286762">
            <w:pPr>
              <w:jc w:val="center"/>
              <w:rPr>
                <w:sz w:val="18"/>
                <w:szCs w:val="18"/>
                <w:lang w:val="en-GB"/>
              </w:rPr>
            </w:pPr>
            <w:r w:rsidRPr="00214F41">
              <w:rPr>
                <w:sz w:val="18"/>
                <w:szCs w:val="18"/>
                <w:lang w:val="en-GB"/>
              </w:rPr>
              <w:lastRenderedPageBreak/>
              <w:t>ITT</w:t>
            </w:r>
          </w:p>
        </w:tc>
        <w:tc>
          <w:tcPr>
            <w:tcW w:w="775" w:type="pct"/>
            <w:shd w:val="clear" w:color="000000" w:fill="FFFFFF"/>
            <w:vAlign w:val="center"/>
            <w:hideMark/>
          </w:tcPr>
          <w:p w14:paraId="508D9450" w14:textId="77777777" w:rsidR="005A043A" w:rsidRPr="00214F41" w:rsidRDefault="005A043A" w:rsidP="00286762">
            <w:pPr>
              <w:jc w:val="center"/>
              <w:rPr>
                <w:sz w:val="18"/>
                <w:szCs w:val="18"/>
                <w:lang w:val="en-GB"/>
              </w:rPr>
            </w:pPr>
            <w:r w:rsidRPr="00214F41">
              <w:rPr>
                <w:sz w:val="18"/>
                <w:szCs w:val="18"/>
                <w:lang w:val="en-GB"/>
              </w:rPr>
              <w:t xml:space="preserve">To compare early combination therapy of metformin plus dipeptidyl peptidase-4 inhibitor </w:t>
            </w:r>
            <w:r w:rsidRPr="00214F41">
              <w:rPr>
                <w:sz w:val="18"/>
                <w:szCs w:val="18"/>
                <w:lang w:val="en-GB"/>
              </w:rPr>
              <w:lastRenderedPageBreak/>
              <w:t>vildagliptin with standard-of-care metformin monotherapy,</w:t>
            </w:r>
          </w:p>
        </w:tc>
        <w:tc>
          <w:tcPr>
            <w:tcW w:w="320" w:type="pct"/>
            <w:shd w:val="clear" w:color="000000" w:fill="FFFFFF"/>
            <w:vAlign w:val="center"/>
            <w:hideMark/>
          </w:tcPr>
          <w:p w14:paraId="627FA983" w14:textId="77777777" w:rsidR="005A043A" w:rsidRPr="00214F41" w:rsidRDefault="005A043A" w:rsidP="00286762">
            <w:pPr>
              <w:jc w:val="center"/>
              <w:rPr>
                <w:sz w:val="18"/>
                <w:szCs w:val="18"/>
                <w:lang w:val="en-GB"/>
              </w:rPr>
            </w:pPr>
            <w:r w:rsidRPr="00214F41">
              <w:rPr>
                <w:sz w:val="18"/>
                <w:szCs w:val="18"/>
                <w:lang w:val="en-GB"/>
              </w:rPr>
              <w:lastRenderedPageBreak/>
              <w:t>2001/1999</w:t>
            </w:r>
          </w:p>
        </w:tc>
        <w:tc>
          <w:tcPr>
            <w:tcW w:w="321" w:type="pct"/>
            <w:shd w:val="clear" w:color="000000" w:fill="FFFFFF"/>
            <w:vAlign w:val="center"/>
            <w:hideMark/>
          </w:tcPr>
          <w:p w14:paraId="5696E85F" w14:textId="77777777" w:rsidR="005A043A" w:rsidRPr="00214F41" w:rsidRDefault="005A043A" w:rsidP="00286762">
            <w:pPr>
              <w:jc w:val="center"/>
              <w:rPr>
                <w:sz w:val="18"/>
                <w:szCs w:val="18"/>
                <w:lang w:val="en-GB"/>
              </w:rPr>
            </w:pPr>
            <w:r w:rsidRPr="00214F41">
              <w:rPr>
                <w:sz w:val="18"/>
                <w:szCs w:val="18"/>
                <w:lang w:val="en-GB"/>
              </w:rPr>
              <w:t>P/3/1g/d</w:t>
            </w:r>
          </w:p>
        </w:tc>
        <w:tc>
          <w:tcPr>
            <w:tcW w:w="502" w:type="pct"/>
            <w:shd w:val="clear" w:color="000000" w:fill="FFFFFF"/>
            <w:vAlign w:val="center"/>
            <w:hideMark/>
          </w:tcPr>
          <w:p w14:paraId="765D5FEC"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7735D1A6" w14:textId="77777777" w:rsidR="005A043A" w:rsidRPr="00214F41" w:rsidRDefault="005A043A" w:rsidP="00286762">
            <w:pPr>
              <w:jc w:val="center"/>
              <w:rPr>
                <w:sz w:val="18"/>
                <w:szCs w:val="18"/>
                <w:lang w:val="en-GB"/>
              </w:rPr>
            </w:pPr>
            <w:r w:rsidRPr="00214F41">
              <w:rPr>
                <w:sz w:val="18"/>
                <w:szCs w:val="18"/>
                <w:lang w:val="en-GB"/>
              </w:rPr>
              <w:t>1500mg/2/d</w:t>
            </w:r>
          </w:p>
        </w:tc>
        <w:tc>
          <w:tcPr>
            <w:tcW w:w="229" w:type="pct"/>
            <w:shd w:val="clear" w:color="000000" w:fill="FFFFFF"/>
            <w:vAlign w:val="center"/>
            <w:hideMark/>
          </w:tcPr>
          <w:p w14:paraId="66B8C351" w14:textId="77777777" w:rsidR="005A043A" w:rsidRPr="00214F41" w:rsidRDefault="005A043A" w:rsidP="00286762">
            <w:pPr>
              <w:jc w:val="center"/>
              <w:rPr>
                <w:sz w:val="18"/>
                <w:szCs w:val="18"/>
                <w:lang w:val="en-GB"/>
              </w:rPr>
            </w:pPr>
            <w:r w:rsidRPr="00214F41">
              <w:rPr>
                <w:sz w:val="18"/>
                <w:szCs w:val="18"/>
                <w:lang w:val="en-GB"/>
              </w:rPr>
              <w:t>182</w:t>
            </w:r>
          </w:p>
        </w:tc>
        <w:tc>
          <w:tcPr>
            <w:tcW w:w="274" w:type="pct"/>
            <w:shd w:val="clear" w:color="000000" w:fill="FFFFFF"/>
            <w:vAlign w:val="center"/>
            <w:hideMark/>
          </w:tcPr>
          <w:p w14:paraId="5929D78F"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353F80B0" w14:textId="77777777" w:rsidR="005A043A" w:rsidRPr="00214F41" w:rsidRDefault="005A043A" w:rsidP="00286762">
            <w:pPr>
              <w:jc w:val="center"/>
              <w:rPr>
                <w:sz w:val="18"/>
                <w:szCs w:val="18"/>
                <w:lang w:val="en-GB"/>
              </w:rPr>
            </w:pPr>
            <w:r w:rsidRPr="00214F41">
              <w:rPr>
                <w:sz w:val="18"/>
                <w:szCs w:val="18"/>
                <w:lang w:val="en-GB"/>
              </w:rPr>
              <w:t>Metformin + vildagliptin/MET/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60389D74" w14:textId="77777777" w:rsidR="005A043A" w:rsidRPr="00214F41" w:rsidRDefault="005A043A" w:rsidP="00286762">
            <w:pPr>
              <w:jc w:val="center"/>
              <w:rPr>
                <w:sz w:val="18"/>
                <w:szCs w:val="18"/>
                <w:lang w:val="en-GB"/>
              </w:rPr>
            </w:pPr>
            <w:r w:rsidRPr="00214F41">
              <w:rPr>
                <w:sz w:val="18"/>
                <w:szCs w:val="18"/>
                <w:lang w:val="en-GB"/>
              </w:rPr>
              <w:t>54.4±9.4</w:t>
            </w:r>
          </w:p>
        </w:tc>
        <w:tc>
          <w:tcPr>
            <w:tcW w:w="227" w:type="pct"/>
            <w:shd w:val="clear" w:color="000000" w:fill="FFFFFF"/>
            <w:vAlign w:val="center"/>
            <w:hideMark/>
          </w:tcPr>
          <w:p w14:paraId="76FD49D9" w14:textId="77777777" w:rsidR="005A043A" w:rsidRPr="00214F41" w:rsidRDefault="005A043A" w:rsidP="00286762">
            <w:pPr>
              <w:jc w:val="center"/>
              <w:rPr>
                <w:sz w:val="18"/>
                <w:szCs w:val="18"/>
                <w:lang w:val="en-GB"/>
              </w:rPr>
            </w:pPr>
            <w:r w:rsidRPr="00214F41">
              <w:rPr>
                <w:sz w:val="18"/>
                <w:szCs w:val="18"/>
                <w:lang w:val="en-GB"/>
              </w:rPr>
              <w:t>941/47</w:t>
            </w:r>
          </w:p>
        </w:tc>
        <w:tc>
          <w:tcPr>
            <w:tcW w:w="295" w:type="pct"/>
            <w:shd w:val="clear" w:color="000000" w:fill="FFFFFF"/>
            <w:vAlign w:val="center"/>
            <w:hideMark/>
          </w:tcPr>
          <w:p w14:paraId="6E06FA72" w14:textId="77777777" w:rsidR="005A043A" w:rsidRPr="00214F41" w:rsidRDefault="005A043A" w:rsidP="00286762">
            <w:pPr>
              <w:jc w:val="center"/>
              <w:rPr>
                <w:sz w:val="18"/>
                <w:szCs w:val="18"/>
                <w:lang w:val="en-GB"/>
              </w:rPr>
            </w:pPr>
            <w:r w:rsidRPr="00214F41">
              <w:rPr>
                <w:sz w:val="18"/>
                <w:szCs w:val="18"/>
                <w:lang w:val="en-GB"/>
              </w:rPr>
              <w:t>31±4.7</w:t>
            </w:r>
          </w:p>
        </w:tc>
        <w:tc>
          <w:tcPr>
            <w:tcW w:w="301" w:type="pct"/>
            <w:shd w:val="clear" w:color="000000" w:fill="FFFFFF"/>
            <w:vAlign w:val="center"/>
            <w:hideMark/>
          </w:tcPr>
          <w:p w14:paraId="1CC2E7EB" w14:textId="77777777" w:rsidR="005A043A" w:rsidRPr="00214F41" w:rsidRDefault="005A043A" w:rsidP="00286762">
            <w:pPr>
              <w:jc w:val="center"/>
              <w:rPr>
                <w:sz w:val="18"/>
                <w:szCs w:val="18"/>
                <w:lang w:val="en-GB"/>
              </w:rPr>
            </w:pPr>
            <w:r w:rsidRPr="00214F41">
              <w:rPr>
                <w:sz w:val="18"/>
                <w:szCs w:val="18"/>
                <w:lang w:val="en-GB"/>
              </w:rPr>
              <w:t>31.2/4.8</w:t>
            </w:r>
          </w:p>
        </w:tc>
      </w:tr>
      <w:tr w:rsidR="005A043A" w:rsidRPr="0072287D" w14:paraId="3BCA411F" w14:textId="77777777" w:rsidTr="00286762">
        <w:trPr>
          <w:trHeight w:val="930"/>
        </w:trPr>
        <w:tc>
          <w:tcPr>
            <w:tcW w:w="277" w:type="pct"/>
            <w:shd w:val="clear" w:color="000000" w:fill="FFFFFF"/>
            <w:vAlign w:val="center"/>
            <w:hideMark/>
          </w:tcPr>
          <w:p w14:paraId="6DDA955C" w14:textId="77777777" w:rsidR="005A043A" w:rsidRPr="00214F41" w:rsidRDefault="005A043A" w:rsidP="00286762">
            <w:pPr>
              <w:jc w:val="center"/>
              <w:rPr>
                <w:sz w:val="18"/>
                <w:szCs w:val="18"/>
                <w:lang w:val="en-GB"/>
              </w:rPr>
            </w:pPr>
            <w:r w:rsidRPr="00214F41">
              <w:rPr>
                <w:sz w:val="18"/>
                <w:szCs w:val="18"/>
                <w:lang w:val="en-GB"/>
              </w:rPr>
              <w:t xml:space="preserve">Oh et al., 2019 </w:t>
            </w:r>
            <w:r w:rsidRPr="00214F41">
              <w:rPr>
                <w:sz w:val="18"/>
                <w:szCs w:val="18"/>
                <w:lang w:val="en-GB"/>
              </w:rPr>
              <w:fldChar w:fldCharType="begin" w:fldLock="1"/>
            </w:r>
            <w:r>
              <w:rPr>
                <w:sz w:val="18"/>
                <w:szCs w:val="18"/>
                <w:lang w:val="en-GB"/>
              </w:rPr>
              <w:instrText>ADDIN CSL_CITATION {"citationItems":[{"id":"ITEM-1","itemData":{"DOI":"10.4093/dmj.2018.0051","ISSN":"2233-6087","abstract":"Background: Combination of metformin to reduce the fasting plasma glucose level and an α-glucosidase inhibitor to decrease the postprandial glucose level is expected to generate a complementary effect. We compared the efficacy and safety of a fixed-dose combination of voglibose plus metformin (vogmet) with metformin monotherapy in drug-naïve newly-diagnosed type 2 diabetes mellitus. Methods: A total of 187 eligible patients aged 20 to 70 years, with a glycosylated hemoglobin (HbA1c) level of 7.0\\% to 11.0\\%, were randomized into either vogmet or metformin treatments for 24 weeks. A change in the HbA1c level from baseline was measured at week 24. Results: The reduction in the levels of HbA1c was −1.62\\%±0.07\\% in the vogmet group and −1.31\\%±0.07\\% in the metformin group (P=0.003), and significantly more vogmet-treated patients achieved the target HbA1c levels of {\\textless}6.5\\% (P=0.002) or {\\textless}7\\% (P=0.039). Glycemic variability was also significantly improved with vogmet treatment, estimated by M-values (P=0.004). Gastrointestinal adverse events and hypoglycemia (\\%) were numerically lower in the vogmet-treated group. Moreover, a significant weight loss was observed with vogmet treatment compared with metformin (−1.63 kg vs. −0.86 kg, P=0.039). Conclusion: Vogmet is a safe antihyperglycemic agent that controls blood glucose level effectively, yields weight loss, and is superior to metformin in terms of various key glycemic parameters without increasing the risk of hypoglycemia.","author":[{"dropping-particle":"","family":"Oh","given":"T J","non-dropping-particle":"","parse-names":false,"suffix":""},{"dropping-particle":"","family":"Yu","given":"J M","non-dropping-particle":"","parse-names":false,"suffix":""},{"dropping-particle":"","family":"Min","given":"K W","non-dropping-particle":"","parse-names":false,"suffix":""},{"dropping-particle":"","family":"Son","given":"H S","non-dropping-particle":"","parse-names":false,"suffix":""},{"dropping-particle":"","family":"Lee","given":"M K","non-dropping-particle":"","parse-names":false,"suffix":""},{"dropping-particle":"","family":"Yoon","given":"K H","non-dropping-particle":"","parse-names":false,"suffix":""},{"dropping-particle":"","family":"Song","given":"Y D","non-dropping-particle":"","parse-names":false,"suffix":""},{"dropping-particle":"","family":"Park","given":"J Y","non-dropping-particle":"","parse-names":false,"suffix":""},{"dropping-particle":"","family":"Jeong","given":"I K","non-dropping-particle":"","parse-names":false,"suffix":""},{"dropping-particle":"","family":"Cha","given":"B S","non-dropping-particle":"","parse-names":false,"suffix":""},{"dropping-particle":"","family":"Kim","given":"Y S","non-dropping-particle":"","parse-names":false,"suffix":""},{"dropping-particle":"","family":"Baik","given":"S H","non-dropping-particle":"","parse-names":false,"suffix":""},{"dropping-particle":"","family":"Kim","given":"I J","non-dropping-particle":"","parse-names":false,"suffix":""},{"dropping-particle":"","family":"Kim","given":"D M","non-dropping-particle":"","parse-names":false,"suffix":""},{"dropping-particle":"","family":"Kim","given":"S R","non-dropping-particle":"","parse-names":false,"suffix":""},{"dropping-particle":"","family":"Lee","given":"K W","non-dropping-particle":"","parse-names":false,"suffix":""},{"dropping-particle":"","family":"Park","given":"J H","non-dropping-particle":"","parse-names":false,"suffix":""},{"dropping-particle":"","family":"Lee","given":"I K","non-dropping-particle":"","parse-names":false,"suffix":""},{"dropping-particle":"","family":"Park","given":"T S","non-dropping-particle":"","parse-names":false,"suffix":""},{"dropping-particle":"","family":"Choi","given":"S H","non-dropping-particle":"","parse-names":false,"suffix":""},{"dropping-particle":"","family":"Park","given":"S W","non-dropping-particle":"","parse-names":false,"suffix":""}],"container-title":"Diabetes and Metabolism Journal","id":"ITEM-1","issue":"3","issued":{"date-parts":[["2019"]]},"page":"276-286","title":"Efficacy and safety of voglibose plus metformin in patients with type 2 diabetes mellitus: {A} randomized controlled trial","type":"article-journal","volume":"43"},"uris":["http://www.mendeley.com/documents/?uuid=663cf87a-5faa-480b-a278-74ee0262e337"]}],"mendeley":{"formattedCitation":"[62]","plainTextFormattedCitation":"[62]","previouslyFormattedCitation":"[62]"},"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[62]</w:t>
            </w:r>
            <w:r w:rsidRPr="00214F41">
              <w:rPr>
                <w:sz w:val="18"/>
                <w:szCs w:val="18"/>
                <w:lang w:val="en-GB"/>
              </w:rPr>
              <w:fldChar w:fldCharType="end"/>
            </w:r>
          </w:p>
        </w:tc>
        <w:tc>
          <w:tcPr>
            <w:tcW w:w="293" w:type="pct"/>
            <w:shd w:val="clear" w:color="000000" w:fill="FFFFFF"/>
            <w:vAlign w:val="center"/>
            <w:hideMark/>
          </w:tcPr>
          <w:p w14:paraId="75A0DC89"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37396630" w14:textId="77777777" w:rsidR="005A043A" w:rsidRPr="00214F41" w:rsidRDefault="005A043A" w:rsidP="00286762">
            <w:pPr>
              <w:jc w:val="center"/>
              <w:rPr>
                <w:sz w:val="18"/>
                <w:szCs w:val="18"/>
                <w:lang w:val="en-GB"/>
              </w:rPr>
            </w:pPr>
            <w:r w:rsidRPr="00214F41">
              <w:rPr>
                <w:sz w:val="18"/>
                <w:szCs w:val="18"/>
                <w:lang w:val="en-GB"/>
              </w:rPr>
              <w:t xml:space="preserve">To compare the efficacy and safety of a fixed-dose combination of </w:t>
            </w:r>
            <w:proofErr w:type="spellStart"/>
            <w:r w:rsidRPr="00214F41">
              <w:rPr>
                <w:sz w:val="18"/>
                <w:szCs w:val="18"/>
                <w:lang w:val="en-GB"/>
              </w:rPr>
              <w:t>voglibose</w:t>
            </w:r>
            <w:proofErr w:type="spellEnd"/>
            <w:r w:rsidRPr="00214F41">
              <w:rPr>
                <w:sz w:val="18"/>
                <w:szCs w:val="18"/>
                <w:lang w:val="en-GB"/>
              </w:rPr>
              <w:t xml:space="preserve"> plus metformin (</w:t>
            </w:r>
            <w:proofErr w:type="spellStart"/>
            <w:r w:rsidRPr="00214F41">
              <w:rPr>
                <w:sz w:val="18"/>
                <w:szCs w:val="18"/>
                <w:lang w:val="en-GB"/>
              </w:rPr>
              <w:t>vogmet</w:t>
            </w:r>
            <w:proofErr w:type="spellEnd"/>
            <w:r w:rsidRPr="00214F41">
              <w:rPr>
                <w:sz w:val="18"/>
                <w:szCs w:val="18"/>
                <w:lang w:val="en-GB"/>
              </w:rPr>
              <w:t>) with metformin monotherapy in drug-naive newly-diagnosed T2DM.</w:t>
            </w:r>
          </w:p>
        </w:tc>
        <w:tc>
          <w:tcPr>
            <w:tcW w:w="320" w:type="pct"/>
            <w:shd w:val="clear" w:color="000000" w:fill="FFFFFF"/>
            <w:vAlign w:val="center"/>
            <w:hideMark/>
          </w:tcPr>
          <w:p w14:paraId="30120100" w14:textId="77777777" w:rsidR="005A043A" w:rsidRPr="00214F41" w:rsidRDefault="005A043A" w:rsidP="00286762">
            <w:pPr>
              <w:jc w:val="center"/>
              <w:rPr>
                <w:sz w:val="18"/>
                <w:szCs w:val="18"/>
                <w:lang w:val="en-GB"/>
              </w:rPr>
            </w:pPr>
            <w:r w:rsidRPr="00214F41">
              <w:rPr>
                <w:sz w:val="18"/>
                <w:szCs w:val="18"/>
                <w:lang w:val="en-GB"/>
              </w:rPr>
              <w:t>187/172</w:t>
            </w:r>
          </w:p>
        </w:tc>
        <w:tc>
          <w:tcPr>
            <w:tcW w:w="321" w:type="pct"/>
            <w:shd w:val="clear" w:color="000000" w:fill="FFFFFF"/>
            <w:vAlign w:val="center"/>
            <w:hideMark/>
          </w:tcPr>
          <w:p w14:paraId="3DBD345E" w14:textId="77777777" w:rsidR="005A043A" w:rsidRPr="00214F41" w:rsidRDefault="005A043A" w:rsidP="00286762">
            <w:pPr>
              <w:jc w:val="center"/>
              <w:rPr>
                <w:sz w:val="18"/>
                <w:szCs w:val="18"/>
                <w:lang w:val="en-GB"/>
              </w:rPr>
            </w:pPr>
            <w:r w:rsidRPr="00214F41">
              <w:rPr>
                <w:sz w:val="18"/>
                <w:szCs w:val="18"/>
                <w:lang w:val="en-GB"/>
              </w:rPr>
              <w:t>S</w:t>
            </w:r>
          </w:p>
        </w:tc>
        <w:tc>
          <w:tcPr>
            <w:tcW w:w="502" w:type="pct"/>
            <w:shd w:val="clear" w:color="000000" w:fill="FFFFFF"/>
            <w:vAlign w:val="center"/>
            <w:hideMark/>
          </w:tcPr>
          <w:p w14:paraId="1E8ECC0C"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6736B04A" w14:textId="77777777" w:rsidR="005A043A" w:rsidRPr="00214F41" w:rsidRDefault="005A043A" w:rsidP="00286762">
            <w:pPr>
              <w:jc w:val="center"/>
              <w:rPr>
                <w:sz w:val="18"/>
                <w:szCs w:val="18"/>
                <w:lang w:val="en-GB"/>
              </w:rPr>
            </w:pPr>
            <w:r w:rsidRPr="00214F41">
              <w:rPr>
                <w:sz w:val="18"/>
                <w:szCs w:val="18"/>
                <w:lang w:val="en-GB"/>
              </w:rPr>
              <w:t>1323mg/3/d</w:t>
            </w:r>
          </w:p>
        </w:tc>
        <w:tc>
          <w:tcPr>
            <w:tcW w:w="229" w:type="pct"/>
            <w:shd w:val="clear" w:color="000000" w:fill="FFFFFF"/>
            <w:vAlign w:val="center"/>
            <w:hideMark/>
          </w:tcPr>
          <w:p w14:paraId="3815EF1C" w14:textId="77777777" w:rsidR="005A043A" w:rsidRPr="00214F41" w:rsidRDefault="005A043A" w:rsidP="00286762">
            <w:pPr>
              <w:jc w:val="center"/>
              <w:rPr>
                <w:sz w:val="18"/>
                <w:szCs w:val="18"/>
                <w:lang w:val="en-GB"/>
              </w:rPr>
            </w:pPr>
            <w:r w:rsidRPr="00214F41">
              <w:rPr>
                <w:sz w:val="18"/>
                <w:szCs w:val="18"/>
                <w:lang w:val="en-GB"/>
              </w:rPr>
              <w:t>168</w:t>
            </w:r>
          </w:p>
        </w:tc>
        <w:tc>
          <w:tcPr>
            <w:tcW w:w="274" w:type="pct"/>
            <w:shd w:val="clear" w:color="000000" w:fill="FFFFFF"/>
            <w:vAlign w:val="center"/>
            <w:hideMark/>
          </w:tcPr>
          <w:p w14:paraId="3C82D20D"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01C0FE24" w14:textId="77777777" w:rsidR="005A043A" w:rsidRPr="00214F41" w:rsidRDefault="005A043A" w:rsidP="00286762">
            <w:pPr>
              <w:jc w:val="center"/>
              <w:rPr>
                <w:sz w:val="18"/>
                <w:szCs w:val="18"/>
                <w:lang w:val="en-GB"/>
              </w:rPr>
            </w:pPr>
            <w:r w:rsidRPr="00214F41">
              <w:rPr>
                <w:sz w:val="18"/>
                <w:szCs w:val="18"/>
                <w:lang w:val="en-GB"/>
              </w:rPr>
              <w:t xml:space="preserve">Metformin + </w:t>
            </w:r>
            <w:proofErr w:type="spellStart"/>
            <w:r w:rsidRPr="00214F41">
              <w:rPr>
                <w:sz w:val="18"/>
                <w:szCs w:val="18"/>
                <w:lang w:val="en-GB"/>
              </w:rPr>
              <w:t>voglibose</w:t>
            </w:r>
            <w:proofErr w:type="spellEnd"/>
            <w:r w:rsidRPr="00214F41">
              <w:rPr>
                <w:sz w:val="18"/>
                <w:szCs w:val="18"/>
                <w:lang w:val="en-GB"/>
              </w:rPr>
              <w:t>/MET/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63E24E25" w14:textId="77777777" w:rsidR="005A043A" w:rsidRPr="00214F41" w:rsidRDefault="005A043A" w:rsidP="00286762">
            <w:pPr>
              <w:jc w:val="center"/>
              <w:rPr>
                <w:sz w:val="18"/>
                <w:szCs w:val="18"/>
                <w:lang w:val="en-GB"/>
              </w:rPr>
            </w:pPr>
            <w:r w:rsidRPr="00214F41">
              <w:rPr>
                <w:sz w:val="18"/>
                <w:szCs w:val="18"/>
                <w:lang w:val="en-GB"/>
              </w:rPr>
              <w:t>52.6±8.8</w:t>
            </w:r>
          </w:p>
        </w:tc>
        <w:tc>
          <w:tcPr>
            <w:tcW w:w="227" w:type="pct"/>
            <w:shd w:val="clear" w:color="000000" w:fill="FFFFFF"/>
            <w:vAlign w:val="center"/>
            <w:hideMark/>
          </w:tcPr>
          <w:p w14:paraId="7BDCBB94" w14:textId="77777777" w:rsidR="005A043A" w:rsidRPr="00214F41" w:rsidRDefault="005A043A" w:rsidP="00286762">
            <w:pPr>
              <w:jc w:val="center"/>
              <w:rPr>
                <w:sz w:val="18"/>
                <w:szCs w:val="18"/>
                <w:lang w:val="en-GB"/>
              </w:rPr>
            </w:pPr>
            <w:r w:rsidRPr="00214F41">
              <w:rPr>
                <w:sz w:val="18"/>
                <w:szCs w:val="18"/>
                <w:lang w:val="en-GB"/>
              </w:rPr>
              <w:t>99/57.6</w:t>
            </w:r>
          </w:p>
        </w:tc>
        <w:tc>
          <w:tcPr>
            <w:tcW w:w="295" w:type="pct"/>
            <w:shd w:val="clear" w:color="000000" w:fill="FFFFFF"/>
            <w:vAlign w:val="center"/>
            <w:hideMark/>
          </w:tcPr>
          <w:p w14:paraId="5E152150" w14:textId="77777777" w:rsidR="005A043A" w:rsidRPr="00214F41" w:rsidRDefault="005A043A" w:rsidP="00286762">
            <w:pPr>
              <w:jc w:val="center"/>
              <w:rPr>
                <w:sz w:val="18"/>
                <w:szCs w:val="18"/>
                <w:lang w:val="en-GB"/>
              </w:rPr>
            </w:pPr>
            <w:r w:rsidRPr="00214F41">
              <w:rPr>
                <w:sz w:val="18"/>
                <w:szCs w:val="18"/>
                <w:lang w:val="en-GB"/>
              </w:rPr>
              <w:t>25.1±2.5</w:t>
            </w:r>
          </w:p>
        </w:tc>
        <w:tc>
          <w:tcPr>
            <w:tcW w:w="301" w:type="pct"/>
            <w:shd w:val="clear" w:color="000000" w:fill="FFFFFF"/>
            <w:vAlign w:val="center"/>
            <w:hideMark/>
          </w:tcPr>
          <w:p w14:paraId="6BABE056" w14:textId="77777777" w:rsidR="005A043A" w:rsidRPr="00214F41" w:rsidRDefault="005A043A" w:rsidP="00286762">
            <w:pPr>
              <w:jc w:val="center"/>
              <w:rPr>
                <w:sz w:val="18"/>
                <w:szCs w:val="18"/>
                <w:lang w:val="en-GB"/>
              </w:rPr>
            </w:pPr>
            <w:r w:rsidRPr="00214F41">
              <w:rPr>
                <w:sz w:val="18"/>
                <w:szCs w:val="18"/>
                <w:lang w:val="en-GB"/>
              </w:rPr>
              <w:t>24.5/2.4</w:t>
            </w:r>
          </w:p>
        </w:tc>
      </w:tr>
      <w:tr w:rsidR="005A043A" w:rsidRPr="0072287D" w14:paraId="7A8B1858" w14:textId="77777777" w:rsidTr="00286762">
        <w:trPr>
          <w:trHeight w:val="930"/>
        </w:trPr>
        <w:tc>
          <w:tcPr>
            <w:tcW w:w="277" w:type="pct"/>
            <w:shd w:val="clear" w:color="000000" w:fill="FFFFFF"/>
            <w:vAlign w:val="center"/>
            <w:hideMark/>
          </w:tcPr>
          <w:p w14:paraId="59312218" w14:textId="77777777" w:rsidR="005A043A" w:rsidRPr="00214F41" w:rsidRDefault="005A043A" w:rsidP="00286762">
            <w:pPr>
              <w:jc w:val="center"/>
              <w:rPr>
                <w:sz w:val="18"/>
                <w:szCs w:val="18"/>
                <w:lang w:val="en-GB"/>
              </w:rPr>
            </w:pPr>
            <w:proofErr w:type="spellStart"/>
            <w:r w:rsidRPr="00214F41">
              <w:rPr>
                <w:sz w:val="18"/>
                <w:szCs w:val="18"/>
                <w:lang w:val="en-GB"/>
              </w:rPr>
              <w:t>Reasner</w:t>
            </w:r>
            <w:proofErr w:type="spellEnd"/>
            <w:r w:rsidRPr="00214F41">
              <w:rPr>
                <w:sz w:val="18"/>
                <w:szCs w:val="18"/>
                <w:lang w:val="en-GB"/>
              </w:rPr>
              <w:t xml:space="preserve"> et al., 2011 </w:t>
            </w:r>
            <w:r w:rsidRPr="00214F41">
              <w:rPr>
                <w:sz w:val="18"/>
                <w:szCs w:val="18"/>
                <w:lang w:val="en-GB"/>
              </w:rPr>
              <w:fldChar w:fldCharType="begin" w:fldLock="1"/>
            </w:r>
            <w:r>
              <w:rPr>
                <w:sz w:val="18"/>
                <w:szCs w:val="18"/>
                <w:lang w:val="en-GB"/>
              </w:rPr>
              <w:instrText>ADDIN CSL_CITATION {"citationItems":[{"id":"ITEM-1","itemData":{"DOI":"10.1111/j.1463-1326.2011.01390.x","ISSN":"1463-1326","PMID":"21410627","abstract":"AIMS: This study was conducted to compare the glycaemic efficacy and safety of initial combination therapy with the fixed-dose combination of sitagliptin and metformin versus metformin monotherapy in drug-naive patients with type 2 diabetes.\nMETHODS: This double-blind study (18-week Phase A and 26-week Phase B) randomized 1250 drug-naÏve patients with type 2 diabetes [mean baseline haemoglobin A1c (HbA1c) 9.9\\%] to sitagliptin/metformin 50/500 mg bid or metformin 500 mg bid (uptitrated over 4 weeks to achieve maximum doses of sitagliptin/metformin 50/1000 mg bid or metformin 1000 bid). Results of the primary efficacy endpoint (mean HbA1c reductions from baseline at the end of Phase A) are reported herein.\nRESULTS: At week 18, mean change from baseline HbA1c was -2.4\\% for sitagliptin/metformin FDC and -1.8\\% for metformin monotherapy (p {\\textless} 0.001); more patients treated with sitagliptin/metformin FDC had an HbA1c value {\\textless}7\\% (p {\\textless} 0.001) versus metformin monotherapy. Changes in fasting plasma glucose were significantly greater with sitagliptin/metformin FDC (-3.8 mmol/l) versus metformin monotherapy (-3.0 mmol/l; p {\\textless} 0.001). Homeostasis model assessment of β-cell function (HOMA-β) and fasting proinsulin/insulin ratio were significantly improved with sitagliptin/metformin FDC versus metformin monotherapy. Baseline body weight was reduced by 1.6 kg in each group. Both treatments were generally well tolerated with a low and similar incidence of hypoglycaemia. Abdominal pain (1.1 and 3.9\\%; p = 0.002) and diarrhoea (12.0 and 16.6\\%; p = 0.021) occurred significantly less with sitagliptin/metformin FDC versus metformin monotherapy; the incidence of nausea and vomiting was similar in both groups.\nCONCLUSION: Compared with metformin monotherapy, initial treatment with sitagliptin/metformin FDC provided superior glycaemic improvement with a similar degree of weight loss and lower incidences of abdominal pain and diarrhoea.","author":[{"dropping-particle":"","family":"Reasner","given":"C","non-dropping-particle":"","parse-names":false,"suffix":""},{"dropping-particle":"","family":"Olansky","given":"L","non-dropping-particle":"","parse-names":false,"suffix":""},{"dropping-particle":"","family":"Seck","given":"T L","non-dropping-particle":"","parse-names":false,"suffix":""},{"dropping-particle":"","family":"Williams-Herman","given":"D E","non-dropping-particle":"","parse-names":false,"suffix":""},{"dropping-particle":"","family":"Chen","given":"M","non-dropping-particle":"","parse-names":false,"suffix":""},{"dropping-particle":"","family":"Terranella","given":"L","non-dropping-particle":"","parse-names":false,"suffix":""},{"dropping-particle":"","family":"Johnson-Levonas","given":"A O","non-dropping-particle":"","parse-names":false,"suffix":""},{"dropping-particle":"","family":"Kaufman","given":"K D","non-dropping-particle":"","parse-names":false,"suffix":""},{"dropping-particle":"","family":"Goldstein","given":"B J","non-dropping-particle":"","parse-names":false,"suffix":""}],"container-title":"Diabetes, Obesity \\&amp; Metabolism","id":"ITEM-1","issue":"7","issued":{"date-parts":[["2011","7"]]},"page":"644-652","title":"The effect of initial therapy with the fixed-dose combination of sitagliptin and metformin compared with metformin monotherapy in patients with type 2 diabetes mellitus","type":"article-journal","volume":"13"},"uris":["http://www.mendeley.com/documents/?uuid=0d946fc9-2378-4ce1-a3a8-894fc2467750"]}],"mendeley":{"formattedCitation":"[63]","plainTextFormattedCitation":"[63]","previouslyFormattedCitation":"[63]"},"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[63]</w:t>
            </w:r>
            <w:r w:rsidRPr="00214F41">
              <w:rPr>
                <w:sz w:val="18"/>
                <w:szCs w:val="18"/>
                <w:lang w:val="en-GB"/>
              </w:rPr>
              <w:fldChar w:fldCharType="end"/>
            </w:r>
          </w:p>
        </w:tc>
        <w:tc>
          <w:tcPr>
            <w:tcW w:w="293" w:type="pct"/>
            <w:shd w:val="clear" w:color="000000" w:fill="FFFFFF"/>
            <w:vAlign w:val="center"/>
            <w:hideMark/>
          </w:tcPr>
          <w:p w14:paraId="4CF5D8C5"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0E89E68B" w14:textId="77777777" w:rsidR="005A043A" w:rsidRPr="00214F41" w:rsidRDefault="005A043A" w:rsidP="00286762">
            <w:pPr>
              <w:jc w:val="center"/>
              <w:rPr>
                <w:sz w:val="18"/>
                <w:szCs w:val="18"/>
                <w:lang w:val="en-GB"/>
              </w:rPr>
            </w:pPr>
            <w:r w:rsidRPr="00214F41">
              <w:rPr>
                <w:sz w:val="18"/>
                <w:szCs w:val="18"/>
                <w:lang w:val="en-GB"/>
              </w:rPr>
              <w:t>To compare the glycaemic efficacy and safety of initial combination therapy with the fixed‐dose combination of sitagliptin and metformin versus metformin monotherapy in drug‐naive patients with T2DM.</w:t>
            </w:r>
          </w:p>
        </w:tc>
        <w:tc>
          <w:tcPr>
            <w:tcW w:w="320" w:type="pct"/>
            <w:shd w:val="clear" w:color="000000" w:fill="FFFFFF"/>
            <w:vAlign w:val="center"/>
            <w:hideMark/>
          </w:tcPr>
          <w:p w14:paraId="5B5E2854" w14:textId="77777777" w:rsidR="005A043A" w:rsidRPr="00214F41" w:rsidRDefault="005A043A" w:rsidP="00286762">
            <w:pPr>
              <w:jc w:val="center"/>
              <w:rPr>
                <w:sz w:val="18"/>
                <w:szCs w:val="18"/>
                <w:lang w:val="en-GB"/>
              </w:rPr>
            </w:pPr>
            <w:r w:rsidRPr="00214F41">
              <w:rPr>
                <w:sz w:val="18"/>
                <w:szCs w:val="18"/>
                <w:lang w:val="en-GB"/>
              </w:rPr>
              <w:t>1250/1246</w:t>
            </w:r>
          </w:p>
        </w:tc>
        <w:tc>
          <w:tcPr>
            <w:tcW w:w="321" w:type="pct"/>
            <w:shd w:val="clear" w:color="000000" w:fill="FFFFFF"/>
            <w:vAlign w:val="center"/>
            <w:hideMark/>
          </w:tcPr>
          <w:p w14:paraId="463E0372" w14:textId="77777777" w:rsidR="005A043A" w:rsidRPr="00214F41" w:rsidRDefault="005A043A" w:rsidP="00286762">
            <w:pPr>
              <w:jc w:val="center"/>
              <w:rPr>
                <w:sz w:val="18"/>
                <w:szCs w:val="18"/>
                <w:lang w:val="en-GB"/>
              </w:rPr>
            </w:pPr>
            <w:r w:rsidRPr="00214F41">
              <w:rPr>
                <w:sz w:val="18"/>
                <w:szCs w:val="18"/>
                <w:lang w:val="en-GB"/>
              </w:rPr>
              <w:t>S</w:t>
            </w:r>
          </w:p>
        </w:tc>
        <w:tc>
          <w:tcPr>
            <w:tcW w:w="502" w:type="pct"/>
            <w:shd w:val="clear" w:color="000000" w:fill="FFFFFF"/>
            <w:vAlign w:val="center"/>
            <w:hideMark/>
          </w:tcPr>
          <w:p w14:paraId="5416F997"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1071F325" w14:textId="77777777" w:rsidR="005A043A" w:rsidRPr="00214F41" w:rsidRDefault="005A043A" w:rsidP="00286762">
            <w:pPr>
              <w:jc w:val="center"/>
              <w:rPr>
                <w:sz w:val="18"/>
                <w:szCs w:val="18"/>
                <w:lang w:val="en-GB"/>
              </w:rPr>
            </w:pPr>
            <w:r w:rsidRPr="00214F41">
              <w:rPr>
                <w:sz w:val="18"/>
                <w:szCs w:val="18"/>
                <w:lang w:val="en-GB"/>
              </w:rPr>
              <w:t>2000mg/2/d</w:t>
            </w:r>
          </w:p>
        </w:tc>
        <w:tc>
          <w:tcPr>
            <w:tcW w:w="229" w:type="pct"/>
            <w:shd w:val="clear" w:color="000000" w:fill="FFFFFF"/>
            <w:vAlign w:val="center"/>
            <w:hideMark/>
          </w:tcPr>
          <w:p w14:paraId="7E898B62" w14:textId="77777777" w:rsidR="005A043A" w:rsidRPr="00214F41" w:rsidRDefault="005A043A" w:rsidP="00286762">
            <w:pPr>
              <w:jc w:val="center"/>
              <w:rPr>
                <w:sz w:val="18"/>
                <w:szCs w:val="18"/>
                <w:lang w:val="en-GB"/>
              </w:rPr>
            </w:pPr>
            <w:r w:rsidRPr="00214F41">
              <w:rPr>
                <w:sz w:val="18"/>
                <w:szCs w:val="18"/>
                <w:lang w:val="en-GB"/>
              </w:rPr>
              <w:t>126</w:t>
            </w:r>
          </w:p>
        </w:tc>
        <w:tc>
          <w:tcPr>
            <w:tcW w:w="274" w:type="pct"/>
            <w:shd w:val="clear" w:color="000000" w:fill="FFFFFF"/>
            <w:vAlign w:val="center"/>
            <w:hideMark/>
          </w:tcPr>
          <w:p w14:paraId="7DB53099"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2B16637B" w14:textId="77777777" w:rsidR="005A043A" w:rsidRPr="00214F41" w:rsidRDefault="005A043A" w:rsidP="00286762">
            <w:pPr>
              <w:jc w:val="center"/>
              <w:rPr>
                <w:sz w:val="18"/>
                <w:szCs w:val="18"/>
                <w:lang w:val="en-GB"/>
              </w:rPr>
            </w:pPr>
            <w:r w:rsidRPr="00214F41">
              <w:rPr>
                <w:sz w:val="18"/>
                <w:szCs w:val="18"/>
                <w:lang w:val="en-GB"/>
              </w:rPr>
              <w:t>Sitagliptin and metformin/MET/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14F32FF1" w14:textId="77777777" w:rsidR="005A043A" w:rsidRPr="00214F41" w:rsidRDefault="005A043A" w:rsidP="00286762">
            <w:pPr>
              <w:jc w:val="center"/>
              <w:rPr>
                <w:sz w:val="18"/>
                <w:szCs w:val="18"/>
                <w:lang w:val="en-GB"/>
              </w:rPr>
            </w:pPr>
            <w:r w:rsidRPr="00214F41">
              <w:rPr>
                <w:sz w:val="18"/>
                <w:szCs w:val="18"/>
                <w:lang w:val="en-GB"/>
              </w:rPr>
              <w:t>49.7±10.5</w:t>
            </w:r>
          </w:p>
        </w:tc>
        <w:tc>
          <w:tcPr>
            <w:tcW w:w="227" w:type="pct"/>
            <w:shd w:val="clear" w:color="000000" w:fill="FFFFFF"/>
            <w:vAlign w:val="center"/>
            <w:hideMark/>
          </w:tcPr>
          <w:p w14:paraId="5082E440" w14:textId="77777777" w:rsidR="005A043A" w:rsidRPr="00214F41" w:rsidRDefault="005A043A" w:rsidP="00286762">
            <w:pPr>
              <w:jc w:val="center"/>
              <w:rPr>
                <w:sz w:val="18"/>
                <w:szCs w:val="18"/>
                <w:lang w:val="en-GB"/>
              </w:rPr>
            </w:pPr>
            <w:r w:rsidRPr="00214F41">
              <w:rPr>
                <w:sz w:val="18"/>
                <w:szCs w:val="18"/>
                <w:lang w:val="en-GB"/>
              </w:rPr>
              <w:t>709/56.9</w:t>
            </w:r>
          </w:p>
        </w:tc>
        <w:tc>
          <w:tcPr>
            <w:tcW w:w="295" w:type="pct"/>
            <w:shd w:val="clear" w:color="000000" w:fill="FFFFFF"/>
            <w:vAlign w:val="center"/>
            <w:hideMark/>
          </w:tcPr>
          <w:p w14:paraId="487B51D4" w14:textId="77777777" w:rsidR="005A043A" w:rsidRPr="00214F41" w:rsidRDefault="005A043A" w:rsidP="00286762">
            <w:pPr>
              <w:jc w:val="center"/>
              <w:rPr>
                <w:sz w:val="18"/>
                <w:szCs w:val="18"/>
                <w:lang w:val="en-GB"/>
              </w:rPr>
            </w:pPr>
            <w:r w:rsidRPr="00214F41">
              <w:rPr>
                <w:sz w:val="18"/>
                <w:szCs w:val="18"/>
                <w:lang w:val="en-GB"/>
              </w:rPr>
              <w:t>33.7±7.8</w:t>
            </w:r>
          </w:p>
        </w:tc>
        <w:tc>
          <w:tcPr>
            <w:tcW w:w="301" w:type="pct"/>
            <w:shd w:val="clear" w:color="000000" w:fill="FFFFFF"/>
            <w:vAlign w:val="center"/>
            <w:hideMark/>
          </w:tcPr>
          <w:p w14:paraId="3DFEFF0B" w14:textId="77777777" w:rsidR="005A043A" w:rsidRPr="00214F41" w:rsidRDefault="005A043A" w:rsidP="00286762">
            <w:pPr>
              <w:jc w:val="center"/>
              <w:rPr>
                <w:sz w:val="18"/>
                <w:szCs w:val="18"/>
                <w:lang w:val="en-GB"/>
              </w:rPr>
            </w:pPr>
            <w:r w:rsidRPr="00214F41">
              <w:rPr>
                <w:sz w:val="18"/>
                <w:szCs w:val="18"/>
                <w:lang w:val="en-GB"/>
              </w:rPr>
              <w:t>32.9/7.2</w:t>
            </w:r>
          </w:p>
        </w:tc>
      </w:tr>
      <w:tr w:rsidR="005A043A" w:rsidRPr="0072287D" w14:paraId="31295004" w14:textId="77777777" w:rsidTr="00286762">
        <w:trPr>
          <w:trHeight w:val="930"/>
        </w:trPr>
        <w:tc>
          <w:tcPr>
            <w:tcW w:w="277" w:type="pct"/>
            <w:shd w:val="clear" w:color="000000" w:fill="FFFFFF"/>
            <w:vAlign w:val="center"/>
            <w:hideMark/>
          </w:tcPr>
          <w:p w14:paraId="4531CF85" w14:textId="77777777" w:rsidR="005A043A" w:rsidRPr="00214F41" w:rsidRDefault="005A043A" w:rsidP="00286762">
            <w:pPr>
              <w:jc w:val="center"/>
              <w:rPr>
                <w:sz w:val="18"/>
                <w:szCs w:val="18"/>
                <w:lang w:val="en-GB"/>
              </w:rPr>
            </w:pPr>
            <w:r w:rsidRPr="00214F41">
              <w:rPr>
                <w:sz w:val="18"/>
                <w:szCs w:val="18"/>
                <w:lang w:val="en-GB"/>
              </w:rPr>
              <w:t xml:space="preserve">Rosenstock et al., 2010a </w:t>
            </w:r>
            <w:r w:rsidRPr="00214F41">
              <w:rPr>
                <w:sz w:val="18"/>
                <w:szCs w:val="18"/>
                <w:lang w:val="en-GB"/>
              </w:rPr>
              <w:fldChar w:fldCharType="begin" w:fldLock="1"/>
            </w:r>
            <w:r>
              <w:rPr>
                <w:sz w:val="18"/>
                <w:szCs w:val="18"/>
                <w:lang w:val="en-GB"/>
              </w:rPr>
              <w:instrText>ADDIN CSL_CITATION {"citationItems":[{"id":"ITEM-1","itemData":{"DOI":"10.2337/dc09-2315","ISSN":"0149-5992","abstract":"OBJECTIVE - 11-β-hydroxysteroid dehydrogenase type 1 (11βHSD1) converts inactive cortisone into active cortisol, thereby amplifying intracellular glucocorticoid action. The efficacy and safety of the 11βHSD1 inhibitor INCB13739 were assessed when added to ongoing metformin monotherapy in patients with type 2 diabetes exhibiting inadequate glycemic control (A1C 7-11\\%). RESEARCH DESIGN AND METHODS - This double-blind placebo-controlled paralleled study randomized 302 patients with type 2 diabetes (mean A1C 8.3\\%) on metformin monotherapy (mean 1.5 g/day) to receive one of five INCB13739 doses or placebo once daily for 12 weeks. The primary end point was the change in A1C at study end. Other end points included changes in fasting glucose, lipids, weight, adverse events, and safety. RESULTS - After 12 weeks, 200 mg of INCB13739 resulted in significant reductions in A1C (-0.6\\%), fasting plasma glucose (-24 mg/dl), and homeostasis model assessment-insulin resistance (HOMA-IR) (-24\\%) compared with placebo. Total cholesterol, LDL cholesterol, and triglycerides were all significantly decreased in hyperlipidemic patients. Body weight decreased relative to placebo after INCB13739 therapy. A reversible dose-dependent elevation in adreno-corticotrophic hormone, generally within the normal reference range, was observed. Basal cortisol homeostasis, testosterone in men, and free androgen index in women were unchanged by INCB13739. Adverse events were similar across all treatment groups. CONCLUSIONS - INCB13739 added to ongoing metformin therapy was efficacious and well tolerated in patients with type 2 diabetes who had inadequate glycemic control with metformin alone. 11βHSD1 inhibition offers a new potential approach to control glucose and cardiovascular risk factors in type 2 diabetes. © 2010 by the American Diabetes Association.","author":[{"dropping-particle":"","family":"Rosenstock","given":"J","non-dropping-particle":"","parse-names":false,"suffix":""},{"dropping-particle":"","family":"Banarer","given":"S","non-dropping-particle":"","parse-names":false,"suffix":""},{"dropping-particle":"","family":"Fonseca","given":"V A","non-dropping-particle":"","parse-names":false,"suffix":""},{"dropping-particle":"","family":"Inzucchi","given":"S E","non-dropping-particle":"","parse-names":false,"suffix":""},{"dropping-particle":"","family":"William","given":"S","non-dropping-particle":"","parse-names":false,"suffix":""},{"dropping-particle":"","family":"Wenqing","given":"Y","non-dropping-particle":"","parse-names":false,"suffix":""},{"dropping-particle":"","family":"Hollis","given":"G","non-dropping-particle":"","parse-names":false,"suffix":""},{"dropping-particle":"","family":"Flores","given":"R","non-dropping-particle":"","parse-names":false,"suffix":""},{"dropping-particle":"","family":"Levy","given":"R","non-dropping-particle":"","parse-names":false,"suffix":""},{"dropping-particle":"V","family":"Williams","given":"W","non-dropping-particle":"","parse-names":false,"suffix":""},{"dropping-particle":"","family":"Seckl","given":"J R","non-dropping-particle":"","parse-names":false,"suffix":""},{"dropping-particle":"","family":"Huber","given":"R","non-dropping-particle":"","parse-names":false,"suffix":""}],"container-title":"Diabetes Care","id":"ITEM-1","issue":"7","issued":{"date-parts":[["2010"]]},"page":"1516-1522","title":"The 11-β-hydroxysteroid dehydrogenase type 1 inhibitor {INCB13739} improves hyperglycemia in patients with type 2 diabetes inadequately controlled by metformin monotherapy","type":"article-journal","volume":"33"},"uris":["http://www.mendeley.com/documents/?uuid=9bf7a208-2fc8-461d-946c-bb359e6eb6a9"]}],"mendeley":{"formattedCitation":"[64]","plainTextFormattedCitation":"[64]","previouslyFormattedCitation":"[64]"},"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[64]</w:t>
            </w:r>
            <w:r w:rsidRPr="00214F41">
              <w:rPr>
                <w:sz w:val="18"/>
                <w:szCs w:val="18"/>
                <w:lang w:val="en-GB"/>
              </w:rPr>
              <w:fldChar w:fldCharType="end"/>
            </w:r>
          </w:p>
        </w:tc>
        <w:tc>
          <w:tcPr>
            <w:tcW w:w="293" w:type="pct"/>
            <w:shd w:val="clear" w:color="000000" w:fill="FFFFFF"/>
            <w:vAlign w:val="center"/>
            <w:hideMark/>
          </w:tcPr>
          <w:p w14:paraId="22F2FC5B"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tcPr>
          <w:p w14:paraId="5EC7FD22" w14:textId="77777777" w:rsidR="005A043A" w:rsidRPr="00214F41" w:rsidRDefault="005A043A" w:rsidP="00286762">
            <w:pPr>
              <w:jc w:val="center"/>
              <w:rPr>
                <w:sz w:val="18"/>
                <w:szCs w:val="18"/>
                <w:lang w:val="en-GB"/>
              </w:rPr>
            </w:pPr>
            <w:r w:rsidRPr="00214F41">
              <w:rPr>
                <w:sz w:val="18"/>
                <w:szCs w:val="18"/>
                <w:lang w:val="en-GB"/>
              </w:rPr>
              <w:t>The efficacy and safety of the 11</w:t>
            </w:r>
            <w:r w:rsidRPr="00214F41">
              <w:rPr>
                <w:sz w:val="18"/>
                <w:szCs w:val="18"/>
              </w:rPr>
              <w:t>β</w:t>
            </w:r>
            <w:r w:rsidRPr="00214F41">
              <w:rPr>
                <w:sz w:val="18"/>
                <w:szCs w:val="18"/>
                <w:lang w:val="en-GB"/>
              </w:rPr>
              <w:t xml:space="preserve">HSD1 inhibitor INCB13739 were assessed when added to ongoing metformin monotherapy in patients with T2DM exhibiting inadequate </w:t>
            </w:r>
            <w:proofErr w:type="spellStart"/>
            <w:r w:rsidRPr="00214F41">
              <w:rPr>
                <w:sz w:val="18"/>
                <w:szCs w:val="18"/>
                <w:lang w:val="en-GB"/>
              </w:rPr>
              <w:t>glycemic</w:t>
            </w:r>
            <w:proofErr w:type="spellEnd"/>
            <w:r w:rsidRPr="00214F41">
              <w:rPr>
                <w:sz w:val="18"/>
                <w:szCs w:val="18"/>
                <w:lang w:val="en-GB"/>
              </w:rPr>
              <w:t xml:space="preserve"> control (A1C 7–11%).</w:t>
            </w:r>
          </w:p>
        </w:tc>
        <w:tc>
          <w:tcPr>
            <w:tcW w:w="320" w:type="pct"/>
            <w:shd w:val="clear" w:color="000000" w:fill="FFFFFF"/>
            <w:vAlign w:val="center"/>
            <w:hideMark/>
          </w:tcPr>
          <w:p w14:paraId="3946E588" w14:textId="77777777" w:rsidR="005A043A" w:rsidRPr="00214F41" w:rsidRDefault="005A043A" w:rsidP="00286762">
            <w:pPr>
              <w:jc w:val="center"/>
              <w:rPr>
                <w:sz w:val="18"/>
                <w:szCs w:val="18"/>
                <w:lang w:val="en-GB"/>
              </w:rPr>
            </w:pPr>
            <w:r w:rsidRPr="00214F41">
              <w:rPr>
                <w:sz w:val="18"/>
                <w:szCs w:val="18"/>
                <w:lang w:val="en-GB"/>
              </w:rPr>
              <w:t>302/302</w:t>
            </w:r>
          </w:p>
        </w:tc>
        <w:tc>
          <w:tcPr>
            <w:tcW w:w="321" w:type="pct"/>
            <w:shd w:val="clear" w:color="000000" w:fill="FFFFFF"/>
            <w:vAlign w:val="center"/>
            <w:hideMark/>
          </w:tcPr>
          <w:p w14:paraId="6FE066A0" w14:textId="77777777" w:rsidR="005A043A" w:rsidRPr="00214F41" w:rsidRDefault="005A043A" w:rsidP="00286762">
            <w:pPr>
              <w:jc w:val="center"/>
              <w:rPr>
                <w:sz w:val="18"/>
                <w:szCs w:val="18"/>
                <w:lang w:val="en-GB"/>
              </w:rPr>
            </w:pPr>
            <w:r w:rsidRPr="00214F41">
              <w:rPr>
                <w:sz w:val="18"/>
                <w:szCs w:val="18"/>
                <w:lang w:val="en-GB"/>
              </w:rPr>
              <w:t>P≥10/1.5g/d</w:t>
            </w:r>
          </w:p>
        </w:tc>
        <w:tc>
          <w:tcPr>
            <w:tcW w:w="502" w:type="pct"/>
            <w:shd w:val="clear" w:color="000000" w:fill="FFFFFF"/>
            <w:vAlign w:val="center"/>
            <w:hideMark/>
          </w:tcPr>
          <w:p w14:paraId="0ECDE843"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0C54079E" w14:textId="77777777" w:rsidR="005A043A" w:rsidRPr="00214F41" w:rsidRDefault="005A043A" w:rsidP="00286762">
            <w:pPr>
              <w:jc w:val="center"/>
              <w:rPr>
                <w:sz w:val="18"/>
                <w:szCs w:val="18"/>
                <w:lang w:val="en-GB"/>
              </w:rPr>
            </w:pPr>
            <w:r w:rsidRPr="00214F41">
              <w:rPr>
                <w:sz w:val="18"/>
                <w:szCs w:val="18"/>
                <w:lang w:val="en-GB"/>
              </w:rPr>
              <w:t>1500mg/</w:t>
            </w:r>
            <w:proofErr w:type="spellStart"/>
            <w:r w:rsidRPr="00214F41">
              <w:rPr>
                <w:sz w:val="18"/>
                <w:szCs w:val="18"/>
                <w:lang w:val="en-GB"/>
              </w:rPr>
              <w:t>nd</w:t>
            </w:r>
            <w:proofErr w:type="spellEnd"/>
          </w:p>
        </w:tc>
        <w:tc>
          <w:tcPr>
            <w:tcW w:w="229" w:type="pct"/>
            <w:shd w:val="clear" w:color="000000" w:fill="FFFFFF"/>
            <w:vAlign w:val="center"/>
            <w:hideMark/>
          </w:tcPr>
          <w:p w14:paraId="0EB4F17F" w14:textId="77777777" w:rsidR="005A043A" w:rsidRPr="00214F41" w:rsidRDefault="005A043A" w:rsidP="00286762">
            <w:pPr>
              <w:jc w:val="center"/>
              <w:rPr>
                <w:sz w:val="18"/>
                <w:szCs w:val="18"/>
                <w:lang w:val="en-GB"/>
              </w:rPr>
            </w:pPr>
            <w:r w:rsidRPr="00214F41">
              <w:rPr>
                <w:sz w:val="18"/>
                <w:szCs w:val="18"/>
                <w:lang w:val="en-GB"/>
              </w:rPr>
              <w:t>84</w:t>
            </w:r>
          </w:p>
        </w:tc>
        <w:tc>
          <w:tcPr>
            <w:tcW w:w="274" w:type="pct"/>
            <w:shd w:val="clear" w:color="000000" w:fill="FFFFFF"/>
            <w:vAlign w:val="center"/>
            <w:hideMark/>
          </w:tcPr>
          <w:p w14:paraId="4EA15859"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1EC7258D" w14:textId="77777777" w:rsidR="005A043A" w:rsidRPr="00214F41" w:rsidRDefault="005A043A" w:rsidP="00286762">
            <w:pPr>
              <w:jc w:val="center"/>
              <w:rPr>
                <w:sz w:val="18"/>
                <w:szCs w:val="18"/>
                <w:lang w:val="en-GB"/>
              </w:rPr>
            </w:pPr>
            <w:r w:rsidRPr="00214F41">
              <w:rPr>
                <w:sz w:val="18"/>
                <w:szCs w:val="18"/>
                <w:lang w:val="en-GB"/>
              </w:rPr>
              <w:t>Metformin + 11-</w:t>
            </w:r>
            <w:r w:rsidRPr="00214F41">
              <w:rPr>
                <w:sz w:val="18"/>
                <w:szCs w:val="18"/>
              </w:rPr>
              <w:t>β</w:t>
            </w:r>
            <w:r w:rsidRPr="00214F41">
              <w:rPr>
                <w:sz w:val="18"/>
                <w:szCs w:val="18"/>
                <w:lang w:val="en-GB"/>
              </w:rPr>
              <w:t>-Hydroxysteroid Dehydrogenase Type 1 Inhibitor INCB13739 5 mg/MET/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58F8562E" w14:textId="77777777" w:rsidR="005A043A" w:rsidRPr="00214F41" w:rsidRDefault="005A043A" w:rsidP="00286762">
            <w:pPr>
              <w:jc w:val="center"/>
              <w:rPr>
                <w:sz w:val="18"/>
                <w:szCs w:val="18"/>
                <w:lang w:val="en-GB"/>
              </w:rPr>
            </w:pPr>
            <w:r w:rsidRPr="00214F41">
              <w:rPr>
                <w:sz w:val="18"/>
                <w:szCs w:val="18"/>
                <w:lang w:val="en-GB"/>
              </w:rPr>
              <w:t>53.5±10.2</w:t>
            </w:r>
          </w:p>
        </w:tc>
        <w:tc>
          <w:tcPr>
            <w:tcW w:w="227" w:type="pct"/>
            <w:shd w:val="clear" w:color="000000" w:fill="FFFFFF"/>
            <w:vAlign w:val="center"/>
            <w:hideMark/>
          </w:tcPr>
          <w:p w14:paraId="4A0F193F" w14:textId="77777777" w:rsidR="005A043A" w:rsidRPr="00214F41" w:rsidRDefault="005A043A" w:rsidP="00286762">
            <w:pPr>
              <w:jc w:val="center"/>
              <w:rPr>
                <w:sz w:val="18"/>
                <w:szCs w:val="18"/>
                <w:lang w:val="en-GB"/>
              </w:rPr>
            </w:pPr>
            <w:r w:rsidRPr="00214F41">
              <w:rPr>
                <w:sz w:val="18"/>
                <w:szCs w:val="18"/>
                <w:lang w:val="en-GB"/>
              </w:rPr>
              <w:t>55/54.5</w:t>
            </w:r>
          </w:p>
        </w:tc>
        <w:tc>
          <w:tcPr>
            <w:tcW w:w="295" w:type="pct"/>
            <w:shd w:val="clear" w:color="000000" w:fill="FFFFFF"/>
            <w:vAlign w:val="center"/>
            <w:hideMark/>
          </w:tcPr>
          <w:p w14:paraId="40486D5D" w14:textId="77777777" w:rsidR="005A043A" w:rsidRPr="00214F41" w:rsidRDefault="005A043A" w:rsidP="00286762">
            <w:pPr>
              <w:jc w:val="center"/>
              <w:rPr>
                <w:sz w:val="18"/>
                <w:szCs w:val="18"/>
                <w:lang w:val="en-GB"/>
              </w:rPr>
            </w:pPr>
            <w:r w:rsidRPr="00214F41">
              <w:rPr>
                <w:sz w:val="18"/>
                <w:szCs w:val="18"/>
                <w:lang w:val="en-GB"/>
              </w:rPr>
              <w:t>33±5</w:t>
            </w:r>
          </w:p>
        </w:tc>
        <w:tc>
          <w:tcPr>
            <w:tcW w:w="301" w:type="pct"/>
            <w:shd w:val="clear" w:color="000000" w:fill="FFFFFF"/>
            <w:vAlign w:val="center"/>
            <w:hideMark/>
          </w:tcPr>
          <w:p w14:paraId="35985CB5" w14:textId="77777777" w:rsidR="005A043A" w:rsidRPr="00214F41" w:rsidRDefault="005A043A" w:rsidP="00286762">
            <w:pPr>
              <w:jc w:val="center"/>
              <w:rPr>
                <w:sz w:val="18"/>
                <w:szCs w:val="18"/>
                <w:lang w:val="en-GB"/>
              </w:rPr>
            </w:pPr>
            <w:r w:rsidRPr="00214F41">
              <w:rPr>
                <w:sz w:val="18"/>
                <w:szCs w:val="18"/>
                <w:lang w:val="en-GB"/>
              </w:rPr>
              <w:t>33/6</w:t>
            </w:r>
          </w:p>
        </w:tc>
      </w:tr>
      <w:tr w:rsidR="005A043A" w:rsidRPr="0072287D" w14:paraId="1082ED96" w14:textId="77777777" w:rsidTr="00286762">
        <w:trPr>
          <w:trHeight w:val="2402"/>
        </w:trPr>
        <w:tc>
          <w:tcPr>
            <w:tcW w:w="277" w:type="pct"/>
            <w:shd w:val="clear" w:color="000000" w:fill="FFFFFF"/>
            <w:vAlign w:val="center"/>
            <w:hideMark/>
          </w:tcPr>
          <w:p w14:paraId="18EF6F24" w14:textId="77777777" w:rsidR="005A043A" w:rsidRPr="00214F41" w:rsidRDefault="005A043A" w:rsidP="00286762">
            <w:pPr>
              <w:jc w:val="center"/>
              <w:rPr>
                <w:sz w:val="18"/>
                <w:szCs w:val="18"/>
                <w:lang w:val="en-GB"/>
              </w:rPr>
            </w:pPr>
            <w:r w:rsidRPr="00214F41">
              <w:rPr>
                <w:sz w:val="18"/>
                <w:szCs w:val="18"/>
                <w:lang w:val="en-GB"/>
              </w:rPr>
              <w:lastRenderedPageBreak/>
              <w:t xml:space="preserve">Rosenstock et al., 2010b </w:t>
            </w:r>
            <w:r w:rsidRPr="00214F41">
              <w:rPr>
                <w:sz w:val="18"/>
                <w:szCs w:val="18"/>
                <w:lang w:val="en-GB"/>
              </w:rPr>
              <w:fldChar w:fldCharType="begin" w:fldLock="1"/>
            </w:r>
            <w:r>
              <w:rPr>
                <w:sz w:val="18"/>
                <w:szCs w:val="18"/>
                <w:lang w:val="en-GB"/>
              </w:rPr>
              <w:instrText>ADDIN CSL_CITATION {"citationItems":[{"id":"ITEM-1","itemData":{"DOI":"10.4158/EP10130.OR","ISSN":"1530-891X","abstract":"Objective To evaluate the efficacy and safety of initial combination therapy with metformin plus colesevelam in patients with early type 2 diabetes. Methods In this 16-week, randomized, double-blind, placebo-controlled study, adults with type 2 diabetes (hemoglobin A1c [A1C] values of 6.5% to 10.0%) and hypercholesterolemia (low-density lipoprotein cholesterol [LDL-C] levels ≥100 mg/dL) were randomly assigned (1:1) to colesevelam (3.75 g/d) or placebo in combination with open-label metformin (850 mg/d; uptitrated at week 2 to 1, 700 mg/d). The primary efficacy evaluation was change in A1C from baseline to study end (week 16 with last observation carried forward). Results In total, 286 patients were randomized: metformin/colesevelam (n = 145) or metformin/placebo (n = 141). Mean A1C was reduced by 1.1% with metformin/ colesevelam (from 7.8% at baseline to 6.6% at study end) and by 0.8% with metformin/placebo (from 7.5% to 6.7%), resulting in a treatment difference of -0.3% at study end (P = .0035). In addition, metformin/colesevelam significantly reduced LDL-C (-16.3%), total cholesterol (-6.1%), non-high-density lipoprotein cholesterol (-8.3%), apolipoprotein B (-8.0%), and high-sensitivity C-reactive protein (-17%) and increased apolipoprotein A-I (+4.4%) and triglycerides (+18.6%) versus metformin/placebo (P&lt;.01 for all). The proportions of patients who achieved recommended goals with metformin/colesevelam versus metformin/placebo, respectively, were as follows: A1C &lt;7.0% (67% versus 56% [P = .0092]), LDL-C &lt;100 mg/dL (48% versus 18% [P&lt;.0001]), and composite A1C &lt;7.0% + LDL-C &lt;100 mg/dL (40% versus 12% [P&lt;.0001]). Safety and tolerability were similar between the treatment groups. Conclusion Metformin plus colesevelam may be a valid option for initial therapy to achieve glycemic and lipid goals safely in early type 2 diabetes. (Endocr Pract. 2010;16:629-640)","author":[{"dropping-particle":"","family":"Rosenstock","given":"Julio","non-dropping-particle":"","parse-names":false,"suffix":""},{"dropping-particle":"","family":"Fonseca","given":"Vivian A","non-dropping-particle":"","parse-names":false,"suffix":""},{"dropping-particle":"","family":"Garvey","given":"W Timothy","non-dropping-particle":"","parse-names":false,"suffix":""},{"dropping-particle":"","family":"Goldberg","given":"Ronald B","non-dropping-particle":"","parse-names":false,"suffix":""},{"dropping-particle":"","family":"Handelsman","given":"Yehuda","non-dropping-particle":"","parse-names":false,"suffix":""},{"dropping-particle":"","family":"Abby","given":"Stacey L","non-dropping-particle":"","parse-names":false,"suffix":""},{"dropping-particle":"","family":"Lai","given":"Yu-Ling","non-dropping-particle":"","parse-names":false,"suffix":""},{"dropping-particle":"","family":"Jin","given":"Xiaoping","non-dropping-particle":"","parse-names":false,"suffix":""},{"dropping-particle":"","family":"Misir","given":"Soamnauth","non-dropping-particle":"","parse-names":false,"suffix":""},{"dropping-particle":"","family":"Nagendran","given":"Sukumar","non-dropping-particle":"","parse-names":false,"suffix":""},{"dropping-particle":"","family":"Jones","given":"Michael R","non-dropping-particle":"","parse-names":false,"suffix":""}],"container-title":"Endocrine Practice","id":"ITEM-1","issue":"4","issued":{"date-parts":[["2010","1","23"]]},"language":"en","page":"629-640","title":"Initial Combination Therapy with Metformin and Colesevelam for Achievement of Glycemic and Lipid Goals Min Early Type 2 Diabetes","type":"article-journal","volume":"16"},"uris":["http://www.mendeley.com/documents/?uuid=a119ad7f-e7ea-421c-8dfa-fab890c2b9a0"]}],"mendeley":{"formattedCitation":"[65]","plainTextFormattedCitation":"[65]","previouslyFormattedCitation":"[65]"},"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[65]</w:t>
            </w:r>
            <w:r w:rsidRPr="00214F41">
              <w:rPr>
                <w:sz w:val="18"/>
                <w:szCs w:val="18"/>
                <w:lang w:val="en-GB"/>
              </w:rPr>
              <w:fldChar w:fldCharType="end"/>
            </w:r>
          </w:p>
        </w:tc>
        <w:tc>
          <w:tcPr>
            <w:tcW w:w="293" w:type="pct"/>
            <w:shd w:val="clear" w:color="000000" w:fill="FFFFFF"/>
            <w:vAlign w:val="center"/>
            <w:hideMark/>
          </w:tcPr>
          <w:p w14:paraId="348768B5"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tcPr>
          <w:p w14:paraId="49C8BD2C" w14:textId="77777777" w:rsidR="005A043A" w:rsidRPr="00214F41" w:rsidRDefault="005A043A" w:rsidP="00286762">
            <w:pPr>
              <w:jc w:val="center"/>
              <w:rPr>
                <w:sz w:val="18"/>
                <w:szCs w:val="18"/>
                <w:lang w:val="en-GB"/>
              </w:rPr>
            </w:pPr>
            <w:r w:rsidRPr="00214F41">
              <w:rPr>
                <w:sz w:val="18"/>
                <w:szCs w:val="18"/>
                <w:lang w:val="en-GB"/>
              </w:rPr>
              <w:t>To evaluate the efficacy and safety of initial</w:t>
            </w:r>
          </w:p>
          <w:p w14:paraId="350E1D86" w14:textId="77777777" w:rsidR="005A043A" w:rsidRPr="00214F41" w:rsidRDefault="005A043A" w:rsidP="00286762">
            <w:pPr>
              <w:jc w:val="center"/>
              <w:rPr>
                <w:sz w:val="18"/>
                <w:szCs w:val="18"/>
                <w:lang w:val="en-GB"/>
              </w:rPr>
            </w:pPr>
            <w:r w:rsidRPr="00214F41">
              <w:rPr>
                <w:sz w:val="18"/>
                <w:szCs w:val="18"/>
                <w:lang w:val="en-GB"/>
              </w:rPr>
              <w:t xml:space="preserve">combination therapy with metformin plus </w:t>
            </w:r>
            <w:proofErr w:type="spellStart"/>
            <w:r w:rsidRPr="00214F41">
              <w:rPr>
                <w:sz w:val="18"/>
                <w:szCs w:val="18"/>
                <w:lang w:val="en-GB"/>
              </w:rPr>
              <w:t>colesevelam</w:t>
            </w:r>
            <w:proofErr w:type="spellEnd"/>
            <w:r w:rsidRPr="00214F41">
              <w:rPr>
                <w:sz w:val="18"/>
                <w:szCs w:val="18"/>
                <w:lang w:val="en-GB"/>
              </w:rPr>
              <w:t xml:space="preserve"> in</w:t>
            </w:r>
          </w:p>
          <w:p w14:paraId="798F5DAA" w14:textId="77777777" w:rsidR="005A043A" w:rsidRPr="00214F41" w:rsidRDefault="005A043A" w:rsidP="00286762">
            <w:pPr>
              <w:jc w:val="center"/>
              <w:rPr>
                <w:sz w:val="18"/>
                <w:szCs w:val="18"/>
                <w:lang w:val="en-GB"/>
              </w:rPr>
            </w:pPr>
            <w:r w:rsidRPr="00214F41">
              <w:rPr>
                <w:sz w:val="18"/>
                <w:szCs w:val="18"/>
                <w:lang w:val="en-GB"/>
              </w:rPr>
              <w:t>patients with early type 2 diabetes.</w:t>
            </w:r>
          </w:p>
        </w:tc>
        <w:tc>
          <w:tcPr>
            <w:tcW w:w="320" w:type="pct"/>
            <w:shd w:val="clear" w:color="000000" w:fill="FFFFFF"/>
            <w:vAlign w:val="center"/>
            <w:hideMark/>
          </w:tcPr>
          <w:p w14:paraId="0C09479C" w14:textId="77777777" w:rsidR="005A043A" w:rsidRPr="00214F41" w:rsidRDefault="005A043A" w:rsidP="00286762">
            <w:pPr>
              <w:jc w:val="center"/>
              <w:rPr>
                <w:sz w:val="18"/>
                <w:szCs w:val="18"/>
                <w:lang w:val="en-GB"/>
              </w:rPr>
            </w:pPr>
            <w:r w:rsidRPr="00214F41">
              <w:rPr>
                <w:sz w:val="18"/>
                <w:szCs w:val="18"/>
                <w:lang w:val="en-GB"/>
              </w:rPr>
              <w:t>286/286</w:t>
            </w:r>
          </w:p>
        </w:tc>
        <w:tc>
          <w:tcPr>
            <w:tcW w:w="321" w:type="pct"/>
            <w:shd w:val="clear" w:color="000000" w:fill="FFFFFF"/>
            <w:vAlign w:val="center"/>
            <w:hideMark/>
          </w:tcPr>
          <w:p w14:paraId="5B0CE118" w14:textId="77777777" w:rsidR="005A043A" w:rsidRPr="00214F41" w:rsidRDefault="005A043A" w:rsidP="00286762">
            <w:pPr>
              <w:jc w:val="center"/>
              <w:rPr>
                <w:sz w:val="18"/>
                <w:szCs w:val="18"/>
                <w:lang w:val="en-GB"/>
              </w:rPr>
            </w:pPr>
            <w:r w:rsidRPr="00214F41">
              <w:rPr>
                <w:sz w:val="18"/>
                <w:szCs w:val="18"/>
                <w:lang w:val="en-GB"/>
              </w:rPr>
              <w:t>S</w:t>
            </w:r>
          </w:p>
        </w:tc>
        <w:tc>
          <w:tcPr>
            <w:tcW w:w="502" w:type="pct"/>
            <w:shd w:val="clear" w:color="000000" w:fill="FFFFFF"/>
            <w:vAlign w:val="center"/>
            <w:hideMark/>
          </w:tcPr>
          <w:p w14:paraId="1824431E"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422F90DE" w14:textId="77777777" w:rsidR="005A043A" w:rsidRPr="00214F41" w:rsidRDefault="005A043A" w:rsidP="00286762">
            <w:pPr>
              <w:jc w:val="center"/>
              <w:rPr>
                <w:sz w:val="18"/>
                <w:szCs w:val="18"/>
                <w:lang w:val="en-GB"/>
              </w:rPr>
            </w:pPr>
            <w:r w:rsidRPr="00214F41">
              <w:rPr>
                <w:sz w:val="18"/>
                <w:szCs w:val="18"/>
                <w:lang w:val="en-GB"/>
              </w:rPr>
              <w:t>1700mg/2/d</w:t>
            </w:r>
          </w:p>
        </w:tc>
        <w:tc>
          <w:tcPr>
            <w:tcW w:w="229" w:type="pct"/>
            <w:shd w:val="clear" w:color="000000" w:fill="FFFFFF"/>
            <w:vAlign w:val="center"/>
            <w:hideMark/>
          </w:tcPr>
          <w:p w14:paraId="35D56C9D" w14:textId="77777777" w:rsidR="005A043A" w:rsidRPr="00214F41" w:rsidRDefault="005A043A" w:rsidP="00286762">
            <w:pPr>
              <w:jc w:val="center"/>
              <w:rPr>
                <w:sz w:val="18"/>
                <w:szCs w:val="18"/>
                <w:lang w:val="en-GB"/>
              </w:rPr>
            </w:pPr>
            <w:r w:rsidRPr="00214F41">
              <w:rPr>
                <w:sz w:val="18"/>
                <w:szCs w:val="18"/>
                <w:lang w:val="en-GB"/>
              </w:rPr>
              <w:t>112</w:t>
            </w:r>
          </w:p>
        </w:tc>
        <w:tc>
          <w:tcPr>
            <w:tcW w:w="274" w:type="pct"/>
            <w:shd w:val="clear" w:color="000000" w:fill="FFFFFF"/>
            <w:vAlign w:val="center"/>
            <w:hideMark/>
          </w:tcPr>
          <w:p w14:paraId="57B4A650"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485D3EC0" w14:textId="77777777" w:rsidR="005A043A" w:rsidRPr="00214F41" w:rsidRDefault="005A043A" w:rsidP="00286762">
            <w:pPr>
              <w:jc w:val="center"/>
              <w:rPr>
                <w:sz w:val="18"/>
                <w:szCs w:val="18"/>
                <w:lang w:val="en-GB"/>
              </w:rPr>
            </w:pPr>
            <w:r w:rsidRPr="00214F41">
              <w:rPr>
                <w:sz w:val="18"/>
                <w:szCs w:val="18"/>
                <w:lang w:val="en-GB"/>
              </w:rPr>
              <w:t xml:space="preserve">Metformin + </w:t>
            </w:r>
            <w:proofErr w:type="spellStart"/>
            <w:r w:rsidRPr="00214F41">
              <w:rPr>
                <w:sz w:val="18"/>
                <w:szCs w:val="18"/>
                <w:lang w:val="en-GB"/>
              </w:rPr>
              <w:t>colesevelam</w:t>
            </w:r>
            <w:proofErr w:type="spellEnd"/>
            <w:r w:rsidRPr="00214F41">
              <w:rPr>
                <w:sz w:val="18"/>
                <w:szCs w:val="18"/>
                <w:lang w:val="en-GB"/>
              </w:rPr>
              <w:t>/MET/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3C3D36F9" w14:textId="77777777" w:rsidR="005A043A" w:rsidRPr="00214F41" w:rsidRDefault="005A043A" w:rsidP="00286762">
            <w:pPr>
              <w:jc w:val="center"/>
              <w:rPr>
                <w:sz w:val="18"/>
                <w:szCs w:val="18"/>
                <w:lang w:val="en-GB"/>
              </w:rPr>
            </w:pPr>
            <w:r w:rsidRPr="00214F41">
              <w:rPr>
                <w:sz w:val="18"/>
                <w:szCs w:val="18"/>
                <w:lang w:val="en-GB"/>
              </w:rPr>
              <w:t>53.±10.8</w:t>
            </w:r>
          </w:p>
        </w:tc>
        <w:tc>
          <w:tcPr>
            <w:tcW w:w="227" w:type="pct"/>
            <w:shd w:val="clear" w:color="000000" w:fill="FFFFFF"/>
            <w:vAlign w:val="center"/>
            <w:hideMark/>
          </w:tcPr>
          <w:p w14:paraId="1372C587" w14:textId="77777777" w:rsidR="005A043A" w:rsidRPr="00214F41" w:rsidRDefault="005A043A" w:rsidP="00286762">
            <w:pPr>
              <w:jc w:val="center"/>
              <w:rPr>
                <w:sz w:val="18"/>
                <w:szCs w:val="18"/>
                <w:lang w:val="en-GB"/>
              </w:rPr>
            </w:pPr>
            <w:r w:rsidRPr="00214F41">
              <w:rPr>
                <w:sz w:val="18"/>
                <w:szCs w:val="18"/>
                <w:lang w:val="en-GB"/>
              </w:rPr>
              <w:t>125/43.7</w:t>
            </w:r>
          </w:p>
        </w:tc>
        <w:tc>
          <w:tcPr>
            <w:tcW w:w="295" w:type="pct"/>
            <w:shd w:val="clear" w:color="000000" w:fill="FFFFFF"/>
            <w:vAlign w:val="center"/>
            <w:hideMark/>
          </w:tcPr>
          <w:p w14:paraId="35108211" w14:textId="77777777" w:rsidR="005A043A" w:rsidRPr="00214F41" w:rsidRDefault="005A043A" w:rsidP="00286762">
            <w:pPr>
              <w:jc w:val="center"/>
              <w:rPr>
                <w:sz w:val="18"/>
                <w:szCs w:val="18"/>
                <w:lang w:val="en-GB"/>
              </w:rPr>
            </w:pPr>
            <w:r w:rsidRPr="00214F41">
              <w:rPr>
                <w:sz w:val="18"/>
                <w:szCs w:val="18"/>
                <w:lang w:val="en-GB"/>
              </w:rPr>
              <w:t>29.8±4.4</w:t>
            </w:r>
          </w:p>
        </w:tc>
        <w:tc>
          <w:tcPr>
            <w:tcW w:w="301" w:type="pct"/>
            <w:shd w:val="clear" w:color="000000" w:fill="FFFFFF"/>
            <w:vAlign w:val="center"/>
            <w:hideMark/>
          </w:tcPr>
          <w:p w14:paraId="555A9E97" w14:textId="77777777" w:rsidR="005A043A" w:rsidRPr="00214F41" w:rsidRDefault="005A043A" w:rsidP="00286762">
            <w:pPr>
              <w:jc w:val="center"/>
              <w:rPr>
                <w:sz w:val="18"/>
                <w:szCs w:val="18"/>
                <w:lang w:val="en-GB"/>
              </w:rPr>
            </w:pPr>
            <w:r w:rsidRPr="00214F41">
              <w:rPr>
                <w:sz w:val="18"/>
                <w:szCs w:val="18"/>
                <w:lang w:val="en-GB"/>
              </w:rPr>
              <w:t>30,6/4.7</w:t>
            </w:r>
          </w:p>
        </w:tc>
      </w:tr>
      <w:tr w:rsidR="005A043A" w:rsidRPr="00214F41" w14:paraId="7F91A9A2" w14:textId="77777777" w:rsidTr="00286762">
        <w:trPr>
          <w:trHeight w:val="930"/>
        </w:trPr>
        <w:tc>
          <w:tcPr>
            <w:tcW w:w="277" w:type="pct"/>
            <w:shd w:val="clear" w:color="000000" w:fill="FFFFFF"/>
            <w:vAlign w:val="center"/>
            <w:hideMark/>
          </w:tcPr>
          <w:p w14:paraId="09E14818" w14:textId="77777777" w:rsidR="005A043A" w:rsidRPr="00214F41" w:rsidRDefault="005A043A" w:rsidP="00286762">
            <w:pPr>
              <w:jc w:val="center"/>
              <w:rPr>
                <w:sz w:val="18"/>
                <w:szCs w:val="18"/>
                <w:lang w:val="en-GB"/>
              </w:rPr>
            </w:pPr>
            <w:r w:rsidRPr="00214F41">
              <w:rPr>
                <w:sz w:val="18"/>
                <w:szCs w:val="18"/>
                <w:lang w:val="en-GB"/>
              </w:rPr>
              <w:t xml:space="preserve">Seino et al., 2012 </w:t>
            </w:r>
            <w:r w:rsidRPr="00214F41">
              <w:rPr>
                <w:sz w:val="18"/>
                <w:szCs w:val="18"/>
                <w:lang w:val="en-GB"/>
              </w:rPr>
              <w:fldChar w:fldCharType="begin" w:fldLock="1"/>
            </w:r>
            <w:r>
              <w:rPr>
                <w:sz w:val="18"/>
                <w:szCs w:val="18"/>
                <w:lang w:val="en-GB"/>
              </w:rPr>
              <w:instrText>ADDIN CSL_CITATION {"citationItems":[{"id":"ITEM-1","itemData":{"DOI":"10.1111/j.1463-1326.2012.01620.x","ISSN":"1463-1326","abstract":"Aims: To evaluate the efficacy and safety of alogliptin added to metformin versus metformin monotherapy in Japanese patients with type 2 diabetes who achieved inadequate glycaemic control on metformin (500 or 750mg/day)+diet/exercise. Methods: In a randomized, double-blind trial, 288 patients with type 2 diabetes mellitus T2DM received either 12.5 or 25mg alogliptin once daily+metformin or placebo+metformin for 12weeks. Thereafter, 276 patients continued on one of the two alogliptin dosages+metformin in an open-label extension for 40weeks. The primary efficacy endpoint in the randomized, double-blind phase was the change in HbA1c from baseline (week 0) to the end of treatment (week 12). The primary endpoint during the long-term extension phase was adverse events. Results: After 12weeks both dosages of alogliptin+metformin produced significantly greater changes from baseline in HbA1c than placebo (metformin monotherapy: with changes in LS means-0.55 and-0.64\\% vs. 0.22\\%, respectively; p{\\textless}0.0001). Incidences of adverse effects were comparable between groups, with no increases in hypoglycaemia. Over 52 weeks, there were no safety or tolerability concerns with alogliptin when added to metformin. Conclusions: Alogliptin 12.5 and 25mg once daily was safe and effective when added to metformin (500 or 750mg/day) in Japanese patients with inadequately controlled type 2 diabetes on metformin alone. © 2012 Blackwell Publishing Ltd.","author":[{"dropping-particle":"","family":"Seino","given":"Y","non-dropping-particle":"","parse-names":false,"suffix":""},{"dropping-particle":"","family":"Miyata","given":"Y","non-dropping-particle":"","parse-names":false,"suffix":""},{"dropping-particle":"","family":"Hiroi","given":"S","non-dropping-particle":"","parse-names":false,"suffix":""},{"dropping-particle":"","family":"Hirayama","given":"M","non-dropping-particle":"","parse-names":false,"suffix":""},{"dropping-particle":"","family":"Kaku","given":"K","non-dropping-particle":"","parse-names":false,"suffix":""}],"container-title":"Diabetes, Obesity and Metabolism","id":"ITEM-1","issue":"10","issued":{"date-parts":[["2012"]]},"page":"927-936","title":"Efficacy and safety of alogliptin added to metformin in {Japanese} patients with type 2 diabetes: {A} randomized, double-blind, placebo-controlled trial with an open-label, long-term extension study","type":"article-journal","volume":"14"},"uris":["http://www.mendeley.com/documents/?uuid=a0acecea-39a4-40ff-b8cb-18b1d92df1cd"]}],"mendeley":{"formattedCitation":"[66]","plainTextFormattedCitation":"[66]","previouslyFormattedCitation":"[66]"},"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[66]</w:t>
            </w:r>
            <w:r w:rsidRPr="00214F41">
              <w:rPr>
                <w:sz w:val="18"/>
                <w:szCs w:val="18"/>
                <w:lang w:val="en-GB"/>
              </w:rPr>
              <w:fldChar w:fldCharType="end"/>
            </w:r>
          </w:p>
        </w:tc>
        <w:tc>
          <w:tcPr>
            <w:tcW w:w="293" w:type="pct"/>
            <w:shd w:val="clear" w:color="000000" w:fill="FFFFFF"/>
            <w:vAlign w:val="center"/>
            <w:hideMark/>
          </w:tcPr>
          <w:p w14:paraId="229787D4"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2A4291F4" w14:textId="77777777" w:rsidR="005A043A" w:rsidRPr="00214F41" w:rsidRDefault="005A043A" w:rsidP="00286762">
            <w:pPr>
              <w:jc w:val="center"/>
              <w:rPr>
                <w:sz w:val="18"/>
                <w:szCs w:val="18"/>
                <w:lang w:val="en-GB"/>
              </w:rPr>
            </w:pPr>
            <w:r w:rsidRPr="00214F41">
              <w:rPr>
                <w:sz w:val="18"/>
                <w:szCs w:val="18"/>
                <w:lang w:val="en-GB"/>
              </w:rPr>
              <w:t xml:space="preserve">To evaluate the efficacy and safety of </w:t>
            </w:r>
            <w:proofErr w:type="spellStart"/>
            <w:r w:rsidRPr="00214F41">
              <w:rPr>
                <w:sz w:val="18"/>
                <w:szCs w:val="18"/>
                <w:lang w:val="en-GB"/>
              </w:rPr>
              <w:t>alogliptin</w:t>
            </w:r>
            <w:proofErr w:type="spellEnd"/>
            <w:r w:rsidRPr="00214F41">
              <w:rPr>
                <w:sz w:val="18"/>
                <w:szCs w:val="18"/>
                <w:lang w:val="en-GB"/>
              </w:rPr>
              <w:t xml:space="preserve"> added to metformin versus metformin monotherapy in Japanese patients with T2DM who achieved inadequate glycaemic control on metformin (500 or 750 mg/day) + diet/exercise.</w:t>
            </w:r>
          </w:p>
        </w:tc>
        <w:tc>
          <w:tcPr>
            <w:tcW w:w="320" w:type="pct"/>
            <w:shd w:val="clear" w:color="000000" w:fill="FFFFFF"/>
            <w:vAlign w:val="center"/>
            <w:hideMark/>
          </w:tcPr>
          <w:p w14:paraId="56E6117C" w14:textId="77777777" w:rsidR="005A043A" w:rsidRPr="00214F41" w:rsidRDefault="005A043A" w:rsidP="00286762">
            <w:pPr>
              <w:jc w:val="center"/>
              <w:rPr>
                <w:sz w:val="18"/>
                <w:szCs w:val="18"/>
                <w:lang w:val="en-GB"/>
              </w:rPr>
            </w:pPr>
            <w:r w:rsidRPr="00214F41">
              <w:rPr>
                <w:sz w:val="18"/>
                <w:szCs w:val="18"/>
                <w:lang w:val="en-GB"/>
              </w:rPr>
              <w:t>288/288</w:t>
            </w:r>
          </w:p>
        </w:tc>
        <w:tc>
          <w:tcPr>
            <w:tcW w:w="321" w:type="pct"/>
            <w:shd w:val="clear" w:color="000000" w:fill="FFFFFF"/>
            <w:vAlign w:val="center"/>
            <w:hideMark/>
          </w:tcPr>
          <w:p w14:paraId="5339A5B3" w14:textId="77777777" w:rsidR="005A043A" w:rsidRPr="00214F41" w:rsidRDefault="005A043A" w:rsidP="00286762">
            <w:pPr>
              <w:jc w:val="center"/>
              <w:rPr>
                <w:sz w:val="18"/>
                <w:szCs w:val="18"/>
                <w:lang w:val="en-GB"/>
              </w:rPr>
            </w:pPr>
            <w:r w:rsidRPr="00214F41">
              <w:rPr>
                <w:sz w:val="18"/>
                <w:szCs w:val="18"/>
                <w:lang w:val="en-GB"/>
              </w:rPr>
              <w:t>P/12weeks/500-750mg/d</w:t>
            </w:r>
          </w:p>
        </w:tc>
        <w:tc>
          <w:tcPr>
            <w:tcW w:w="502" w:type="pct"/>
            <w:shd w:val="clear" w:color="000000" w:fill="FFFFFF"/>
            <w:vAlign w:val="center"/>
            <w:hideMark/>
          </w:tcPr>
          <w:p w14:paraId="6596B431" w14:textId="77777777" w:rsidR="005A043A" w:rsidRPr="00214F41" w:rsidRDefault="005A043A" w:rsidP="00286762">
            <w:pPr>
              <w:jc w:val="center"/>
              <w:rPr>
                <w:sz w:val="18"/>
                <w:szCs w:val="18"/>
                <w:lang w:val="en-GB"/>
              </w:rPr>
            </w:pPr>
            <w:proofErr w:type="spellStart"/>
            <w:r w:rsidRPr="00214F41">
              <w:rPr>
                <w:sz w:val="18"/>
                <w:szCs w:val="18"/>
                <w:lang w:val="en-GB"/>
              </w:rPr>
              <w:t>Glycoran</w:t>
            </w:r>
            <w:proofErr w:type="spellEnd"/>
          </w:p>
        </w:tc>
        <w:tc>
          <w:tcPr>
            <w:tcW w:w="362" w:type="pct"/>
            <w:shd w:val="clear" w:color="000000" w:fill="FFFFFF"/>
            <w:vAlign w:val="center"/>
            <w:hideMark/>
          </w:tcPr>
          <w:p w14:paraId="618BB8C8" w14:textId="77777777" w:rsidR="005A043A" w:rsidRPr="00214F41" w:rsidRDefault="005A043A" w:rsidP="00286762">
            <w:pPr>
              <w:jc w:val="center"/>
              <w:rPr>
                <w:sz w:val="18"/>
                <w:szCs w:val="18"/>
                <w:lang w:val="en-GB"/>
              </w:rPr>
            </w:pPr>
            <w:r w:rsidRPr="00214F41">
              <w:rPr>
                <w:sz w:val="18"/>
                <w:szCs w:val="18"/>
                <w:lang w:val="en-GB"/>
              </w:rPr>
              <w:t>750mg/3/d</w:t>
            </w:r>
          </w:p>
        </w:tc>
        <w:tc>
          <w:tcPr>
            <w:tcW w:w="229" w:type="pct"/>
            <w:shd w:val="clear" w:color="000000" w:fill="FFFFFF"/>
            <w:vAlign w:val="center"/>
            <w:hideMark/>
          </w:tcPr>
          <w:p w14:paraId="483CA999" w14:textId="77777777" w:rsidR="005A043A" w:rsidRPr="00214F41" w:rsidRDefault="005A043A" w:rsidP="00286762">
            <w:pPr>
              <w:jc w:val="center"/>
              <w:rPr>
                <w:sz w:val="18"/>
                <w:szCs w:val="18"/>
                <w:lang w:val="en-GB"/>
              </w:rPr>
            </w:pPr>
            <w:r w:rsidRPr="00214F41">
              <w:rPr>
                <w:sz w:val="18"/>
                <w:szCs w:val="18"/>
                <w:lang w:val="en-GB"/>
              </w:rPr>
              <w:t>84</w:t>
            </w:r>
          </w:p>
        </w:tc>
        <w:tc>
          <w:tcPr>
            <w:tcW w:w="274" w:type="pct"/>
            <w:shd w:val="clear" w:color="000000" w:fill="FFFFFF"/>
            <w:vAlign w:val="center"/>
            <w:hideMark/>
          </w:tcPr>
          <w:p w14:paraId="5A431D5C"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5BCA36E6" w14:textId="77777777" w:rsidR="005A043A" w:rsidRPr="00214F41" w:rsidRDefault="005A043A" w:rsidP="00286762">
            <w:pPr>
              <w:jc w:val="center"/>
              <w:rPr>
                <w:sz w:val="18"/>
                <w:szCs w:val="18"/>
                <w:lang w:val="en-GB"/>
              </w:rPr>
            </w:pPr>
            <w:r w:rsidRPr="00214F41">
              <w:rPr>
                <w:sz w:val="18"/>
                <w:szCs w:val="18"/>
                <w:lang w:val="en-GB"/>
              </w:rPr>
              <w:t xml:space="preserve">Metformin IR + </w:t>
            </w:r>
            <w:proofErr w:type="spellStart"/>
            <w:r w:rsidRPr="00214F41">
              <w:rPr>
                <w:sz w:val="18"/>
                <w:szCs w:val="18"/>
                <w:lang w:val="en-GB"/>
              </w:rPr>
              <w:t>alogliptin</w:t>
            </w:r>
            <w:proofErr w:type="spellEnd"/>
            <w:r w:rsidRPr="00214F41">
              <w:rPr>
                <w:sz w:val="18"/>
                <w:szCs w:val="18"/>
                <w:lang w:val="en-GB"/>
              </w:rPr>
              <w:t xml:space="preserve"> 12.5 mg/MET/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77A905A5" w14:textId="77777777" w:rsidR="005A043A" w:rsidRPr="00214F41" w:rsidRDefault="005A043A" w:rsidP="00286762">
            <w:pPr>
              <w:jc w:val="center"/>
              <w:rPr>
                <w:sz w:val="18"/>
                <w:szCs w:val="18"/>
                <w:lang w:val="en-GB"/>
              </w:rPr>
            </w:pPr>
            <w:r w:rsidRPr="00214F41">
              <w:rPr>
                <w:sz w:val="18"/>
                <w:szCs w:val="18"/>
                <w:lang w:val="en-GB"/>
              </w:rPr>
              <w:t>52.7±8.4</w:t>
            </w:r>
          </w:p>
        </w:tc>
        <w:tc>
          <w:tcPr>
            <w:tcW w:w="227" w:type="pct"/>
            <w:shd w:val="clear" w:color="000000" w:fill="FFFFFF"/>
            <w:vAlign w:val="center"/>
            <w:hideMark/>
          </w:tcPr>
          <w:p w14:paraId="2A4A80F5" w14:textId="77777777" w:rsidR="005A043A" w:rsidRPr="00214F41" w:rsidRDefault="005A043A" w:rsidP="00286762">
            <w:pPr>
              <w:jc w:val="center"/>
              <w:rPr>
                <w:sz w:val="18"/>
                <w:szCs w:val="18"/>
                <w:lang w:val="en-GB"/>
              </w:rPr>
            </w:pPr>
            <w:r w:rsidRPr="00214F41">
              <w:rPr>
                <w:sz w:val="18"/>
                <w:szCs w:val="18"/>
                <w:lang w:val="en-GB"/>
              </w:rPr>
              <w:t>132/68.8</w:t>
            </w:r>
          </w:p>
        </w:tc>
        <w:tc>
          <w:tcPr>
            <w:tcW w:w="295" w:type="pct"/>
            <w:shd w:val="clear" w:color="000000" w:fill="FFFFFF"/>
            <w:vAlign w:val="center"/>
            <w:hideMark/>
          </w:tcPr>
          <w:p w14:paraId="0741EDC8" w14:textId="77777777" w:rsidR="005A043A" w:rsidRPr="00214F41" w:rsidRDefault="005A043A" w:rsidP="00286762">
            <w:pPr>
              <w:jc w:val="center"/>
              <w:rPr>
                <w:sz w:val="18"/>
                <w:szCs w:val="18"/>
                <w:lang w:val="en-GB"/>
              </w:rPr>
            </w:pPr>
            <w:r w:rsidRPr="00214F41">
              <w:rPr>
                <w:sz w:val="18"/>
                <w:szCs w:val="18"/>
                <w:lang w:val="en-GB"/>
              </w:rPr>
              <w:t>26.14±4.58</w:t>
            </w:r>
          </w:p>
        </w:tc>
        <w:tc>
          <w:tcPr>
            <w:tcW w:w="301" w:type="pct"/>
            <w:shd w:val="clear" w:color="000000" w:fill="FFFFFF"/>
            <w:vAlign w:val="center"/>
            <w:hideMark/>
          </w:tcPr>
          <w:p w14:paraId="074BBCAB" w14:textId="77777777" w:rsidR="005A043A" w:rsidRPr="00214F41" w:rsidRDefault="005A043A" w:rsidP="00286762">
            <w:pPr>
              <w:jc w:val="center"/>
              <w:rPr>
                <w:sz w:val="18"/>
                <w:szCs w:val="18"/>
                <w:lang w:val="en-GB"/>
              </w:rPr>
            </w:pPr>
            <w:r w:rsidRPr="00214F41">
              <w:rPr>
                <w:sz w:val="18"/>
                <w:szCs w:val="18"/>
                <w:lang w:val="en-GB"/>
              </w:rPr>
              <w:t>25.63/4.1</w:t>
            </w:r>
          </w:p>
        </w:tc>
      </w:tr>
      <w:tr w:rsidR="005A043A" w:rsidRPr="00214F41" w14:paraId="5F8D89FE" w14:textId="77777777" w:rsidTr="00286762">
        <w:trPr>
          <w:trHeight w:val="930"/>
        </w:trPr>
        <w:tc>
          <w:tcPr>
            <w:tcW w:w="277" w:type="pct"/>
            <w:shd w:val="clear" w:color="000000" w:fill="FFFFFF"/>
            <w:vAlign w:val="center"/>
            <w:hideMark/>
          </w:tcPr>
          <w:p w14:paraId="1225B0ED" w14:textId="77777777" w:rsidR="005A043A" w:rsidRPr="00214F41" w:rsidRDefault="005A043A" w:rsidP="00286762">
            <w:pPr>
              <w:jc w:val="center"/>
              <w:rPr>
                <w:sz w:val="18"/>
                <w:szCs w:val="18"/>
                <w:lang w:val="en-GB"/>
              </w:rPr>
            </w:pPr>
            <w:r w:rsidRPr="00214F41">
              <w:rPr>
                <w:sz w:val="18"/>
                <w:szCs w:val="18"/>
                <w:lang w:val="en-GB"/>
              </w:rPr>
              <w:t xml:space="preserve">Stewart et al., 2006 </w:t>
            </w:r>
            <w:r w:rsidRPr="00214F41">
              <w:rPr>
                <w:sz w:val="18"/>
                <w:szCs w:val="18"/>
                <w:lang w:val="en-GB"/>
              </w:rPr>
              <w:fldChar w:fldCharType="begin" w:fldLock="1"/>
            </w:r>
            <w:r>
              <w:rPr>
                <w:sz w:val="18"/>
                <w:szCs w:val="18"/>
                <w:lang w:val="en-GB"/>
              </w:rPr>
              <w:instrText>ADDIN CSL_CITATION {"citationItems":[{"id":"ITEM-1","itemData":{"DOI":"10.1111/j.1464-5491.2006.01942.x","ISSN":"0742-3071","PMID":"16978370","abstract":"AIMS: To investigate the effect of metformin plus roziglitazione (RSGMET) compared with metformin alone (MET) on glycaemic control in well-controlled Type 2 diabetes.\nMETHODS: Subjects (drug naïve or those on glucose-lowering monotherapy) were randomized (n = 526), following a 4-week placebo run-in period, to RSGMET [4 mg rosiglitazone (RSG)/500 mg MET] or MET 500 mg. From weeks 2-18, medication was escalated every 4 weeks (based on gastrointestinal tolerability), then remained at RSGMET 8 mg/2 g or MET 3 g for 14 weeks.\nRESULTS: RSGMET reduced HbA(1c) from 7.2 +/- 0.6 to 6.7 +/- 0.8\\% at week 32, compared with a reduction from 7.2 +/- 0.6 to 6.8 +/- 0.9\\% with MET (treatment difference -0.13\\%; P = 0.0357). More subjects achieved an HbA(1c) value of {\\textless}/= 6.5\\% at week 32 with RSGMET (51.6 vs. 43.7\\%), but the treatment difference was not significant (odds ratio 1.37, P = 0.0949). RSGMET produced larger reductions from baseline in mean fasting plasma glucose (adjusted difference -0.62 mmol/l, P {\\textless} 0.0001), with the odds ratio of achieving a target of {\\textless} 7.0 mmol/l being 2.33 (P {\\textless} 0.0001). Statistically significant differences in favour of RSGMET relative to MET were seen for homeostatic model assessment (HOMA)-derived estimates of insulin sensitivity and pancreatic B-cell function, C-reactive protein (CRP), and systolic blood pressure. Overall rates of gastrointestinal adverse events (relevant to the known profile of MET) were comparable, but with a lower incidence of diarrhoea (8 vs. 18\\%) with RSGMET. Hypoglycaemia was reported in {\\textless}/= 7\\% subjects per group.\nCONCLUSIONS: RSGMET provided similar short-term glycaemic control to MET with greater improvements in estimates of insulin sensitivity, B-cell function and CRP, with less diarrhoea and low risk of biochemical hypoglycaemia, suggesting that early use of combination therapy may be appropriate.","author":[{"dropping-particle":"","family":"Stewart","given":"M W","non-dropping-particle":"","parse-names":false,"suffix":""},{"dropping-particle":"","family":"Cirkel","given":"D T","non-dropping-particle":"","parse-names":false,"suffix":""},{"dropping-particle":"","family":"Furuseth","given":"K","non-dropping-particle":"","parse-names":false,"suffix":""},{"dropping-particle":"","family":"Donaldson","given":"J","non-dropping-particle":"","parse-names":false,"suffix":""},{"dropping-particle":"","family":"Biswas","given":"N","non-dropping-particle":"","parse-names":false,"suffix":""},{"dropping-particle":"","family":"Starkie","given":"M G","non-dropping-particle":"","parse-names":false,"suffix":""},{"dropping-particle":"","family":"Phenekos","given":"C","non-dropping-particle":"","parse-names":false,"suffix":""},{"dropping-particle":"","family":"Hamann","given":"A","non-dropping-particle":"","parse-names":false,"suffix":""}],"container-title":"Diabetic Medicine: A Journal of the British Diabetic Association","id":"ITEM-1","issue":"10","issued":{"date-parts":[["2006","10"]]},"page":"1069-1078","title":"Effect of metformin plus roziglitazone compared with metformin alone on glycaemic control in well-controlled {Type} 2 diabetes","type":"article-journal","volume":"23"},"uris":["http://www.mendeley.com/documents/?uuid=3d7d0d14-220d-4178-a13f-336af56d3c66"]}],"mendeley":{"formattedCitation":"[67]","plainTextFormattedCitation":"[67]","previouslyFormattedCitation":"[67]"},"properties":{"noteIndex":0},"schema":"https://github.com/citation-style-language/schema/raw/master/csl-citation.json"}</w:instrText>
            </w:r>
            <w:r w:rsidRPr="00214F41">
              <w:rPr>
                <w:sz w:val="18"/>
                <w:szCs w:val="18"/>
                <w:lang w:val="en-GB"/>
              </w:rPr>
              <w:fldChar w:fldCharType="separate"/>
            </w:r>
            <w:r w:rsidRPr="00FF29A9">
              <w:rPr>
                <w:noProof/>
                <w:sz w:val="18"/>
                <w:szCs w:val="18"/>
                <w:lang w:val="en-GB"/>
              </w:rPr>
              <w:t>[67]</w:t>
            </w:r>
            <w:r w:rsidRPr="00214F41">
              <w:rPr>
                <w:sz w:val="18"/>
                <w:szCs w:val="18"/>
                <w:lang w:val="en-GB"/>
              </w:rPr>
              <w:fldChar w:fldCharType="end"/>
            </w:r>
          </w:p>
        </w:tc>
        <w:tc>
          <w:tcPr>
            <w:tcW w:w="293" w:type="pct"/>
            <w:shd w:val="clear" w:color="000000" w:fill="FFFFFF"/>
            <w:vAlign w:val="center"/>
            <w:hideMark/>
          </w:tcPr>
          <w:p w14:paraId="4B013E5A"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09C1DCC3" w14:textId="77777777" w:rsidR="005A043A" w:rsidRPr="00214F41" w:rsidRDefault="005A043A" w:rsidP="00286762">
            <w:pPr>
              <w:jc w:val="center"/>
              <w:rPr>
                <w:sz w:val="18"/>
                <w:szCs w:val="18"/>
                <w:lang w:val="en-GB"/>
              </w:rPr>
            </w:pPr>
            <w:r w:rsidRPr="00214F41">
              <w:rPr>
                <w:sz w:val="18"/>
                <w:szCs w:val="18"/>
                <w:lang w:val="en-GB"/>
              </w:rPr>
              <w:t xml:space="preserve">To investigate the effect of metformin plus </w:t>
            </w:r>
            <w:proofErr w:type="spellStart"/>
            <w:r w:rsidRPr="00214F41">
              <w:rPr>
                <w:sz w:val="18"/>
                <w:szCs w:val="18"/>
                <w:lang w:val="en-GB"/>
              </w:rPr>
              <w:t>roziglitazione</w:t>
            </w:r>
            <w:proofErr w:type="spellEnd"/>
            <w:r w:rsidRPr="00214F41">
              <w:rPr>
                <w:sz w:val="18"/>
                <w:szCs w:val="18"/>
                <w:lang w:val="en-GB"/>
              </w:rPr>
              <w:t xml:space="preserve"> (RSGMET) compared with metformin alone (MET) on glycaemic control in well‐controlled T2DM.</w:t>
            </w:r>
          </w:p>
        </w:tc>
        <w:tc>
          <w:tcPr>
            <w:tcW w:w="320" w:type="pct"/>
            <w:shd w:val="clear" w:color="000000" w:fill="FFFFFF"/>
            <w:vAlign w:val="center"/>
            <w:hideMark/>
          </w:tcPr>
          <w:p w14:paraId="6D3EE50D" w14:textId="77777777" w:rsidR="005A043A" w:rsidRPr="00214F41" w:rsidRDefault="005A043A" w:rsidP="00286762">
            <w:pPr>
              <w:jc w:val="center"/>
              <w:rPr>
                <w:sz w:val="18"/>
                <w:szCs w:val="18"/>
              </w:rPr>
            </w:pPr>
            <w:r w:rsidRPr="00214F41">
              <w:rPr>
                <w:sz w:val="18"/>
                <w:szCs w:val="18"/>
              </w:rPr>
              <w:t>526/526</w:t>
            </w:r>
          </w:p>
        </w:tc>
        <w:tc>
          <w:tcPr>
            <w:tcW w:w="321" w:type="pct"/>
            <w:shd w:val="clear" w:color="000000" w:fill="FFFFFF"/>
            <w:vAlign w:val="center"/>
            <w:hideMark/>
          </w:tcPr>
          <w:p w14:paraId="20E6171D" w14:textId="77777777" w:rsidR="005A043A" w:rsidRPr="00214F41" w:rsidRDefault="005A043A" w:rsidP="00286762">
            <w:pPr>
              <w:jc w:val="center"/>
              <w:rPr>
                <w:sz w:val="18"/>
                <w:szCs w:val="18"/>
              </w:rPr>
            </w:pPr>
            <w:r w:rsidRPr="00214F41">
              <w:rPr>
                <w:sz w:val="18"/>
                <w:szCs w:val="18"/>
              </w:rPr>
              <w:t>S</w:t>
            </w:r>
          </w:p>
        </w:tc>
        <w:tc>
          <w:tcPr>
            <w:tcW w:w="502" w:type="pct"/>
            <w:shd w:val="clear" w:color="000000" w:fill="FFFFFF"/>
            <w:vAlign w:val="center"/>
            <w:hideMark/>
          </w:tcPr>
          <w:p w14:paraId="361182E3"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362" w:type="pct"/>
            <w:shd w:val="clear" w:color="000000" w:fill="FFFFFF"/>
            <w:vAlign w:val="center"/>
            <w:hideMark/>
          </w:tcPr>
          <w:p w14:paraId="58D6FFA7" w14:textId="77777777" w:rsidR="005A043A" w:rsidRPr="00214F41" w:rsidRDefault="005A043A" w:rsidP="00286762">
            <w:pPr>
              <w:jc w:val="center"/>
              <w:rPr>
                <w:sz w:val="18"/>
                <w:szCs w:val="18"/>
              </w:rPr>
            </w:pPr>
            <w:r w:rsidRPr="00214F41">
              <w:rPr>
                <w:sz w:val="18"/>
                <w:szCs w:val="18"/>
              </w:rPr>
              <w:t>2628mg/</w:t>
            </w:r>
            <w:proofErr w:type="spellStart"/>
            <w:r w:rsidRPr="00214F41">
              <w:rPr>
                <w:sz w:val="18"/>
                <w:szCs w:val="18"/>
              </w:rPr>
              <w:t>nd</w:t>
            </w:r>
            <w:proofErr w:type="spellEnd"/>
          </w:p>
        </w:tc>
        <w:tc>
          <w:tcPr>
            <w:tcW w:w="229" w:type="pct"/>
            <w:shd w:val="clear" w:color="000000" w:fill="FFFFFF"/>
            <w:vAlign w:val="center"/>
            <w:hideMark/>
          </w:tcPr>
          <w:p w14:paraId="4B1A848E" w14:textId="77777777" w:rsidR="005A043A" w:rsidRPr="00214F41" w:rsidRDefault="005A043A" w:rsidP="00286762">
            <w:pPr>
              <w:jc w:val="center"/>
              <w:rPr>
                <w:sz w:val="18"/>
                <w:szCs w:val="18"/>
              </w:rPr>
            </w:pPr>
            <w:r w:rsidRPr="00214F41">
              <w:rPr>
                <w:sz w:val="18"/>
                <w:szCs w:val="18"/>
              </w:rPr>
              <w:t>224</w:t>
            </w:r>
          </w:p>
        </w:tc>
        <w:tc>
          <w:tcPr>
            <w:tcW w:w="274" w:type="pct"/>
            <w:shd w:val="clear" w:color="000000" w:fill="FFFFFF"/>
            <w:vAlign w:val="center"/>
            <w:hideMark/>
          </w:tcPr>
          <w:p w14:paraId="535C2216" w14:textId="77777777" w:rsidR="005A043A" w:rsidRPr="00214F41" w:rsidRDefault="005A043A" w:rsidP="00286762">
            <w:pPr>
              <w:jc w:val="center"/>
              <w:rPr>
                <w:sz w:val="18"/>
                <w:szCs w:val="18"/>
              </w:rPr>
            </w:pPr>
            <w:r w:rsidRPr="00214F41">
              <w:rPr>
                <w:sz w:val="18"/>
                <w:szCs w:val="18"/>
              </w:rPr>
              <w:t>IR</w:t>
            </w:r>
          </w:p>
        </w:tc>
        <w:tc>
          <w:tcPr>
            <w:tcW w:w="550" w:type="pct"/>
            <w:shd w:val="clear" w:color="000000" w:fill="FFFFFF"/>
            <w:vAlign w:val="center"/>
            <w:hideMark/>
          </w:tcPr>
          <w:p w14:paraId="1094926B" w14:textId="77777777" w:rsidR="005A043A" w:rsidRPr="00214F41" w:rsidRDefault="005A043A" w:rsidP="00286762">
            <w:pPr>
              <w:jc w:val="center"/>
              <w:rPr>
                <w:sz w:val="18"/>
                <w:szCs w:val="18"/>
                <w:lang w:val="en-GB"/>
              </w:rPr>
            </w:pPr>
            <w:r w:rsidRPr="00214F41">
              <w:rPr>
                <w:sz w:val="18"/>
                <w:szCs w:val="18"/>
                <w:lang w:val="en-GB"/>
              </w:rPr>
              <w:t xml:space="preserve">Metformin IR + </w:t>
            </w:r>
            <w:proofErr w:type="spellStart"/>
            <w:r w:rsidRPr="00214F41">
              <w:rPr>
                <w:sz w:val="18"/>
                <w:szCs w:val="18"/>
                <w:lang w:val="en-GB"/>
              </w:rPr>
              <w:t>roziglitazone</w:t>
            </w:r>
            <w:proofErr w:type="spellEnd"/>
            <w:r w:rsidRPr="00214F41">
              <w:rPr>
                <w:sz w:val="18"/>
                <w:szCs w:val="18"/>
                <w:lang w:val="en-GB"/>
              </w:rPr>
              <w:t>/MET/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2EC1BFFB" w14:textId="77777777" w:rsidR="005A043A" w:rsidRPr="00214F41" w:rsidRDefault="005A043A" w:rsidP="00286762">
            <w:pPr>
              <w:jc w:val="center"/>
              <w:rPr>
                <w:sz w:val="18"/>
                <w:szCs w:val="18"/>
              </w:rPr>
            </w:pPr>
            <w:r w:rsidRPr="00214F41">
              <w:rPr>
                <w:sz w:val="18"/>
                <w:szCs w:val="18"/>
              </w:rPr>
              <w:t>59±8.1</w:t>
            </w:r>
          </w:p>
        </w:tc>
        <w:tc>
          <w:tcPr>
            <w:tcW w:w="227" w:type="pct"/>
            <w:shd w:val="clear" w:color="000000" w:fill="FFFFFF"/>
            <w:vAlign w:val="center"/>
            <w:hideMark/>
          </w:tcPr>
          <w:p w14:paraId="59EEC0FF" w14:textId="77777777" w:rsidR="005A043A" w:rsidRPr="00214F41" w:rsidRDefault="005A043A" w:rsidP="00286762">
            <w:pPr>
              <w:jc w:val="center"/>
              <w:rPr>
                <w:sz w:val="18"/>
                <w:szCs w:val="18"/>
              </w:rPr>
            </w:pPr>
            <w:r w:rsidRPr="00214F41">
              <w:rPr>
                <w:sz w:val="18"/>
                <w:szCs w:val="18"/>
              </w:rPr>
              <w:t>290/55.1</w:t>
            </w:r>
          </w:p>
        </w:tc>
        <w:tc>
          <w:tcPr>
            <w:tcW w:w="295" w:type="pct"/>
            <w:shd w:val="clear" w:color="000000" w:fill="FFFFFF"/>
            <w:vAlign w:val="center"/>
            <w:hideMark/>
          </w:tcPr>
          <w:p w14:paraId="376ED50C" w14:textId="77777777" w:rsidR="005A043A" w:rsidRPr="00214F41" w:rsidRDefault="005A043A" w:rsidP="00286762">
            <w:pPr>
              <w:jc w:val="center"/>
              <w:rPr>
                <w:sz w:val="18"/>
                <w:szCs w:val="18"/>
              </w:rPr>
            </w:pPr>
            <w:r w:rsidRPr="00214F41">
              <w:rPr>
                <w:sz w:val="18"/>
                <w:szCs w:val="18"/>
              </w:rPr>
              <w:t>30.6±5.5</w:t>
            </w:r>
          </w:p>
        </w:tc>
        <w:tc>
          <w:tcPr>
            <w:tcW w:w="301" w:type="pct"/>
            <w:shd w:val="clear" w:color="000000" w:fill="FFFFFF"/>
            <w:vAlign w:val="center"/>
            <w:hideMark/>
          </w:tcPr>
          <w:p w14:paraId="31F0021B" w14:textId="77777777" w:rsidR="005A043A" w:rsidRPr="00214F41" w:rsidRDefault="005A043A" w:rsidP="00286762">
            <w:pPr>
              <w:jc w:val="center"/>
              <w:rPr>
                <w:sz w:val="18"/>
                <w:szCs w:val="18"/>
              </w:rPr>
            </w:pPr>
            <w:r w:rsidRPr="00214F41">
              <w:rPr>
                <w:sz w:val="18"/>
                <w:szCs w:val="18"/>
              </w:rPr>
              <w:t>30.9/5.4</w:t>
            </w:r>
          </w:p>
        </w:tc>
      </w:tr>
      <w:tr w:rsidR="005A043A" w:rsidRPr="0072287D" w14:paraId="560B6A8C" w14:textId="77777777" w:rsidTr="00286762">
        <w:trPr>
          <w:trHeight w:val="930"/>
        </w:trPr>
        <w:tc>
          <w:tcPr>
            <w:tcW w:w="277" w:type="pct"/>
            <w:shd w:val="clear" w:color="000000" w:fill="FFFFFF"/>
            <w:vAlign w:val="center"/>
            <w:hideMark/>
          </w:tcPr>
          <w:p w14:paraId="53F3BA5A" w14:textId="77777777" w:rsidR="005A043A" w:rsidRPr="00214F41" w:rsidRDefault="005A043A" w:rsidP="00286762">
            <w:pPr>
              <w:jc w:val="center"/>
              <w:rPr>
                <w:sz w:val="18"/>
                <w:szCs w:val="18"/>
                <w:lang w:val="en-GB"/>
              </w:rPr>
            </w:pPr>
            <w:r w:rsidRPr="00214F41">
              <w:rPr>
                <w:sz w:val="18"/>
                <w:szCs w:val="18"/>
              </w:rPr>
              <w:t xml:space="preserve">Weissman et al., 2005 </w:t>
            </w:r>
            <w:r w:rsidRPr="00214F41">
              <w:rPr>
                <w:sz w:val="18"/>
                <w:szCs w:val="18"/>
              </w:rPr>
              <w:fldChar w:fldCharType="begin" w:fldLock="1"/>
            </w:r>
            <w:r>
              <w:rPr>
                <w:sz w:val="18"/>
                <w:szCs w:val="18"/>
              </w:rPr>
              <w:instrText>ADDIN CSL_CITATION {"citationItems":[{"id":"ITEM-1","itemData":{"DOI":"10.1185/030079905X74844","ISSN":"0300-7995","PMID":"16368054","abstract":"Objective: This study was designed to compare the efficacy, safety and tolerability of rosiglitazone (RSG) added to submaximal doses of metformin (MET) with dose escalation to the maximal effective dose of MET monotherapy in type 2 diabetes mellitus. Research design and methods: In this multi-center, double-blind, randomized, parallel-group study, 766 subjects with a baseline MET dose of 1000 mg/day were randomized to receive either RSG 4 mg/day (4 mg/1000 mg) or MET 500 mg/day (1500 mg/day total dose) for 8 weeks. Only the RSG dose was increased in the combination group - to 8 mg/day (8 mg/1000 mg) - and only the MET dose was increased in the MET monotherapy group - to 2000 mg/day for the remaining 16 weeks. Results: After 24 weeks, RSG added to MET (8 mg/1000 mg/day) was at least as effective as 2000 mg/day of MET in improving HbA 1c, with mean reductions of -0.93% (95% CI: -1.06%, -0.80%) and -0.71% (95% CI: -0.83%, -0.60%), respectively, from baseline in subjects that completed the study according to the investigator (mean treatment effect/difference of -0.20% [95% CI: -0.36%, -0.04%]). In addition, a higher percentage of subjects in the RSG + MET group achieved American Diabetes Association target levels of HbA1c &lt; 7% (58.1% versus 48.4%) and American Association of Clinical Endocrinologists target levels of HbA 1c ≤ 6.5% (40.9% versus 28.2%). This combination provided significantly greater reductions from baseline in fasting plasma glucose (FPG; -2.29 mmol/L [± 2.37 mmol/L] and -1.12 mmol/L [± 2.41 mmol/L], respectively), with a treatment difference of -0.85 mmol/L (95% CI: -1.23 mmol/L, -0.47 mmol/L). For the intent-to-treat (ITT) population, the percentage of subjects experiencing a gastrointestinal side-effect was 27.9% and 38.7% for the RSG + MET and MET groups, respectively (OR = 1.63, 95% CI: 1.19, 2.24). Mean body weight (± SD) increased in all randomized subjects treated with the combination therapy (+ 1.79 ± 4.15 kg) compared with a mean weight loss in the up-titrated MET group (-1.78 ± 3.50 kg). Conclusions: This study suggests that addition of RSG to submaximal doses of MET may be a suitable alternative to the maximal effective dose of MET monotherapy. © 2005 Librapharm Limited.","author":[{"dropping-particle":"","famil</w:instrText>
            </w:r>
            <w:r w:rsidRPr="00FF29A9">
              <w:rPr>
                <w:sz w:val="18"/>
                <w:szCs w:val="18"/>
                <w:lang w:val="en-GB"/>
              </w:rPr>
              <w:instrText>y":"Weissman","given":"P.","non-dropping-particle":"","parse-names":false,"suffix":""},{"dropping-particle":"","family":"Goldstein","given":"B. J.","non-dropping-particle":"","parse-names":false,"suffix":""},{"dropping-particle":"","family":"Rosenstock","given":"J.","non-dropping-particle":"","parse-names":false,"suffix":""},{"dropping-particle":"","family":"Waterhouse","given":"B.","non-dropping-particle":"","parse-names":false,"suffix":""},{"dropping-particle":"","family":"Cobitz","given":"A. R.","non-dropping-particle":"","parse-names":false,"suffix":""},{"dropping-particle":"","family":"Wooddell","given":"Margaret J.","non-dropping-particle":"","parse-names":false,"suffix":""},{"dropping-particle":"","family":"Strow","given":"L. J.","non-dropping-particle":"","parse-names":false,"suffix":""}],"container-title":"Current medical research and opinion","id":"ITEM-1","issue":"12","issued":{"date-parts":[["2005","12"]]},"page":"2029-2035","publisher":"Curr Med Res Opin","title":"Effects of rosiglitazone added to submaximal doses of metformin compared with dose escalation of metformin in type 2 diabetes: the EMPIRE Study","type":"article-journal","volume":"21"},"uris":["http://www.mendeley.com/documents/?uuid=7c5ff356-887a-3ae6-aacb-6d5ff8bd31a4"]}],"mendeley":{"formattedCitation":"[68]","plainTextFormattedCitation":"[68]","previouslyFormattedCitation":"[68]"},"properties":{"noteIndex":0},"schema":"https://github.com/citation-style-language/schema/raw/master/csl-citation.json"}</w:instrText>
            </w:r>
            <w:r w:rsidRPr="00214F41">
              <w:rPr>
                <w:sz w:val="18"/>
                <w:szCs w:val="18"/>
              </w:rPr>
              <w:fldChar w:fldCharType="separate"/>
            </w:r>
            <w:r w:rsidRPr="00FF29A9">
              <w:rPr>
                <w:noProof/>
                <w:sz w:val="18"/>
                <w:szCs w:val="18"/>
                <w:lang w:val="en-GB"/>
              </w:rPr>
              <w:t>[68]</w:t>
            </w:r>
            <w:r w:rsidRPr="00214F41">
              <w:rPr>
                <w:sz w:val="18"/>
                <w:szCs w:val="18"/>
              </w:rPr>
              <w:fldChar w:fldCharType="end"/>
            </w:r>
          </w:p>
        </w:tc>
        <w:tc>
          <w:tcPr>
            <w:tcW w:w="293" w:type="pct"/>
            <w:shd w:val="clear" w:color="000000" w:fill="FFFFFF"/>
            <w:vAlign w:val="center"/>
            <w:hideMark/>
          </w:tcPr>
          <w:p w14:paraId="4840E9CF"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7D567F3D" w14:textId="77777777" w:rsidR="005A043A" w:rsidRPr="00214F41" w:rsidRDefault="005A043A" w:rsidP="00286762">
            <w:pPr>
              <w:jc w:val="center"/>
              <w:rPr>
                <w:sz w:val="18"/>
                <w:szCs w:val="18"/>
                <w:lang w:val="en-GB"/>
              </w:rPr>
            </w:pPr>
            <w:r w:rsidRPr="00214F41">
              <w:rPr>
                <w:sz w:val="18"/>
                <w:szCs w:val="18"/>
                <w:lang w:val="en-GB"/>
              </w:rPr>
              <w:t xml:space="preserve">To compare the efficacy, safety and tolerability of rosiglitazone (RSG) added to submaximal doses of metformin (MET) with dose escalation to the maximal effective dose of </w:t>
            </w:r>
            <w:r w:rsidRPr="00214F41">
              <w:rPr>
                <w:sz w:val="18"/>
                <w:szCs w:val="18"/>
                <w:lang w:val="en-GB"/>
              </w:rPr>
              <w:lastRenderedPageBreak/>
              <w:t>MET monotherapy in T2DM.</w:t>
            </w:r>
          </w:p>
        </w:tc>
        <w:tc>
          <w:tcPr>
            <w:tcW w:w="320" w:type="pct"/>
            <w:shd w:val="clear" w:color="000000" w:fill="FFFFFF"/>
            <w:vAlign w:val="center"/>
            <w:hideMark/>
          </w:tcPr>
          <w:p w14:paraId="7A5C4D94" w14:textId="77777777" w:rsidR="005A043A" w:rsidRPr="00214F41" w:rsidRDefault="005A043A" w:rsidP="00286762">
            <w:pPr>
              <w:jc w:val="center"/>
              <w:rPr>
                <w:sz w:val="18"/>
                <w:szCs w:val="18"/>
                <w:lang w:val="en-GB"/>
              </w:rPr>
            </w:pPr>
            <w:r w:rsidRPr="00214F41">
              <w:rPr>
                <w:sz w:val="18"/>
                <w:szCs w:val="18"/>
                <w:lang w:val="en-GB"/>
              </w:rPr>
              <w:lastRenderedPageBreak/>
              <w:t>766/766</w:t>
            </w:r>
          </w:p>
        </w:tc>
        <w:tc>
          <w:tcPr>
            <w:tcW w:w="321" w:type="pct"/>
            <w:shd w:val="clear" w:color="000000" w:fill="FFFFFF"/>
            <w:vAlign w:val="center"/>
            <w:hideMark/>
          </w:tcPr>
          <w:p w14:paraId="421921DF" w14:textId="77777777" w:rsidR="005A043A" w:rsidRPr="00214F41" w:rsidRDefault="005A043A" w:rsidP="00286762">
            <w:pPr>
              <w:jc w:val="center"/>
              <w:rPr>
                <w:sz w:val="18"/>
                <w:szCs w:val="18"/>
                <w:lang w:val="en-GB"/>
              </w:rPr>
            </w:pPr>
            <w:r w:rsidRPr="00214F41">
              <w:rPr>
                <w:sz w:val="18"/>
                <w:szCs w:val="18"/>
                <w:lang w:val="en-GB"/>
              </w:rPr>
              <w:t>P&gt;3months≤1000mg/day</w:t>
            </w:r>
          </w:p>
        </w:tc>
        <w:tc>
          <w:tcPr>
            <w:tcW w:w="502" w:type="pct"/>
            <w:shd w:val="clear" w:color="000000" w:fill="FFFFFF"/>
            <w:vAlign w:val="center"/>
            <w:hideMark/>
          </w:tcPr>
          <w:p w14:paraId="593552A2"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6DAFFCE5" w14:textId="77777777" w:rsidR="005A043A" w:rsidRPr="00214F41" w:rsidRDefault="005A043A" w:rsidP="00286762">
            <w:pPr>
              <w:jc w:val="center"/>
              <w:rPr>
                <w:sz w:val="18"/>
                <w:szCs w:val="18"/>
                <w:lang w:val="en-GB"/>
              </w:rPr>
            </w:pPr>
            <w:r w:rsidRPr="00214F41">
              <w:rPr>
                <w:sz w:val="18"/>
                <w:szCs w:val="18"/>
                <w:lang w:val="en-GB"/>
              </w:rPr>
              <w:t>2000mg/2/d</w:t>
            </w:r>
          </w:p>
        </w:tc>
        <w:tc>
          <w:tcPr>
            <w:tcW w:w="229" w:type="pct"/>
            <w:shd w:val="clear" w:color="000000" w:fill="FFFFFF"/>
            <w:vAlign w:val="center"/>
            <w:hideMark/>
          </w:tcPr>
          <w:p w14:paraId="1385DA8D" w14:textId="77777777" w:rsidR="005A043A" w:rsidRPr="00214F41" w:rsidRDefault="005A043A" w:rsidP="00286762">
            <w:pPr>
              <w:jc w:val="center"/>
              <w:rPr>
                <w:sz w:val="18"/>
                <w:szCs w:val="18"/>
                <w:lang w:val="en-GB"/>
              </w:rPr>
            </w:pPr>
            <w:r w:rsidRPr="00214F41">
              <w:rPr>
                <w:sz w:val="18"/>
                <w:szCs w:val="18"/>
                <w:lang w:val="en-GB"/>
              </w:rPr>
              <w:t>168</w:t>
            </w:r>
          </w:p>
        </w:tc>
        <w:tc>
          <w:tcPr>
            <w:tcW w:w="274" w:type="pct"/>
            <w:shd w:val="clear" w:color="000000" w:fill="FFFFFF"/>
            <w:vAlign w:val="center"/>
            <w:hideMark/>
          </w:tcPr>
          <w:p w14:paraId="111E025B"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474D1A33" w14:textId="77777777" w:rsidR="005A043A" w:rsidRPr="00214F41" w:rsidRDefault="005A043A" w:rsidP="00286762">
            <w:pPr>
              <w:jc w:val="center"/>
              <w:rPr>
                <w:sz w:val="18"/>
                <w:szCs w:val="18"/>
                <w:lang w:val="en-GB"/>
              </w:rPr>
            </w:pPr>
            <w:r w:rsidRPr="00214F41">
              <w:rPr>
                <w:sz w:val="18"/>
                <w:szCs w:val="18"/>
                <w:lang w:val="en-GB"/>
              </w:rPr>
              <w:t>Rosiglitazone + metformin/MET/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73F2F8C1" w14:textId="77777777" w:rsidR="005A043A" w:rsidRPr="00214F41" w:rsidRDefault="005A043A" w:rsidP="00286762">
            <w:pPr>
              <w:jc w:val="center"/>
              <w:rPr>
                <w:sz w:val="18"/>
                <w:szCs w:val="18"/>
                <w:lang w:val="en-GB"/>
              </w:rPr>
            </w:pPr>
            <w:r w:rsidRPr="00214F41">
              <w:rPr>
                <w:sz w:val="18"/>
                <w:szCs w:val="18"/>
                <w:lang w:val="en-GB"/>
              </w:rPr>
              <w:t>55.6±10.7</w:t>
            </w:r>
          </w:p>
        </w:tc>
        <w:tc>
          <w:tcPr>
            <w:tcW w:w="227" w:type="pct"/>
            <w:shd w:val="clear" w:color="000000" w:fill="FFFFFF"/>
            <w:vAlign w:val="center"/>
            <w:hideMark/>
          </w:tcPr>
          <w:p w14:paraId="4B3E0956"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r w:rsidRPr="00214F41">
              <w:rPr>
                <w:sz w:val="18"/>
                <w:szCs w:val="18"/>
                <w:lang w:val="en-GB"/>
              </w:rPr>
              <w:t>/</w:t>
            </w:r>
            <w:proofErr w:type="spellStart"/>
            <w:r w:rsidRPr="00214F41">
              <w:rPr>
                <w:sz w:val="18"/>
                <w:szCs w:val="18"/>
                <w:lang w:val="en-GB"/>
              </w:rPr>
              <w:t>nd</w:t>
            </w:r>
            <w:proofErr w:type="spellEnd"/>
          </w:p>
        </w:tc>
        <w:tc>
          <w:tcPr>
            <w:tcW w:w="295" w:type="pct"/>
            <w:shd w:val="clear" w:color="000000" w:fill="FFFFFF"/>
            <w:vAlign w:val="center"/>
            <w:hideMark/>
          </w:tcPr>
          <w:p w14:paraId="25F90096" w14:textId="77777777" w:rsidR="005A043A" w:rsidRPr="00214F41" w:rsidRDefault="005A043A" w:rsidP="00286762">
            <w:pPr>
              <w:jc w:val="center"/>
              <w:rPr>
                <w:sz w:val="18"/>
                <w:szCs w:val="18"/>
                <w:lang w:val="en-GB"/>
              </w:rPr>
            </w:pPr>
            <w:r w:rsidRPr="00214F41">
              <w:rPr>
                <w:sz w:val="18"/>
                <w:szCs w:val="18"/>
                <w:lang w:val="en-GB"/>
              </w:rPr>
              <w:t>33.8±6.5</w:t>
            </w:r>
          </w:p>
        </w:tc>
        <w:tc>
          <w:tcPr>
            <w:tcW w:w="301" w:type="pct"/>
            <w:shd w:val="clear" w:color="000000" w:fill="FFFFFF"/>
            <w:vAlign w:val="center"/>
            <w:hideMark/>
          </w:tcPr>
          <w:p w14:paraId="5C9833E3" w14:textId="77777777" w:rsidR="005A043A" w:rsidRPr="00214F41" w:rsidRDefault="005A043A" w:rsidP="00286762">
            <w:pPr>
              <w:jc w:val="center"/>
              <w:rPr>
                <w:sz w:val="18"/>
                <w:szCs w:val="18"/>
                <w:lang w:val="en-GB"/>
              </w:rPr>
            </w:pPr>
            <w:r w:rsidRPr="00214F41">
              <w:rPr>
                <w:sz w:val="18"/>
                <w:szCs w:val="18"/>
                <w:lang w:val="en-GB"/>
              </w:rPr>
              <w:t>34.4±7.3</w:t>
            </w:r>
          </w:p>
        </w:tc>
      </w:tr>
      <w:tr w:rsidR="005A043A" w:rsidRPr="00214F41" w14:paraId="0303AD18" w14:textId="77777777" w:rsidTr="00286762">
        <w:trPr>
          <w:trHeight w:val="930"/>
        </w:trPr>
        <w:tc>
          <w:tcPr>
            <w:tcW w:w="277" w:type="pct"/>
            <w:shd w:val="clear" w:color="000000" w:fill="FFFFFF"/>
            <w:vAlign w:val="center"/>
            <w:hideMark/>
          </w:tcPr>
          <w:p w14:paraId="0F0369F5" w14:textId="77777777" w:rsidR="005A043A" w:rsidRPr="00214F41" w:rsidRDefault="005A043A" w:rsidP="00286762">
            <w:pPr>
              <w:jc w:val="center"/>
              <w:rPr>
                <w:sz w:val="18"/>
                <w:szCs w:val="18"/>
              </w:rPr>
            </w:pPr>
            <w:r w:rsidRPr="00214F41">
              <w:rPr>
                <w:sz w:val="18"/>
                <w:szCs w:val="18"/>
                <w:lang w:val="en-GB"/>
              </w:rPr>
              <w:t xml:space="preserve">Yang et al., 2011 </w:t>
            </w:r>
            <w:r w:rsidRPr="00214F41">
              <w:rPr>
                <w:sz w:val="18"/>
                <w:szCs w:val="18"/>
              </w:rPr>
              <w:fldChar w:fldCharType="begin" w:fldLock="1"/>
            </w:r>
            <w:r>
              <w:rPr>
                <w:sz w:val="18"/>
                <w:szCs w:val="18"/>
                <w:lang w:val="en-GB"/>
              </w:rPr>
              <w:instrText>ADDIN CSL_CITATION {"citationItems":[{"id":"ITEM-1","itemData":{"DOI":"10.1016/J.DIABRES.2011.07.035","ISSN":"1872-8227","PMID":"21871686","abstract":"Aim: To assess efficacy and safety of saxagliptin added to metformin versus placebo plus metformin in Asian patients with type 2 diabetes mellitus (T2DM) and inadequate glycemic control on metformin alone. Methods: Adults (HbA1c 7.0-10.0%, on stable metformin ≥1500mg/day) were randomized 1:1 to saxagliptin 5mg daily plus metformin (n=283) or placebo plus metformin (n=287). The primary end point was HbA1c change from baseline to Week 24. Results: Saxagliptin plus metformin provided significant adjusted mean decreases versus placebo plus metformin (p≤0.0052) in HbA1c (-0.78% versus -0.37%), fasting plasma glucose (-1.14mmol/L versus -0.58mmol/L), and postprandial glucose area under the curve from 0 to 180min (-315mmolmin/L versus -160mmolmin/L). Significantly more saxagliptin-treated patients achieved a therapeutic glycemic response (HbA1c&lt;7.0%) (46.5% versus 30.5%; p=0.0001). The proportion of patients experiencing adverse events (excluding hypoglycemia) was similar for saxagliptin plus metformin (42.8%) versus placebo plus metformin (40.8%). Hypoglycemic events were reported in 1.4% of patients in each group. Conclusion: Saxagliptin added to metformin significantly improved glycemic control and was well tolerated in Asian patients with T2DM who had inadequate glycemic control with metformin and diet and lifestyle modification. © 2011 Elsevier Ireland Ltd.","author":[{"dropping-particle":"","family":"Yang","given":"Wenying","non-dropping-particle":"","parse-names":false,"suffix":""},{"dropping-particle":"","family":"Pan","given":"Chang Yu","non-dropping-particle":"","parse-names":false,"suffix":""},{"dropping-particle":"","family":"Tou","given":"Conrad","non-dropping-particle":"","parse-names":false,"suffix":""},{"dropping-particle":"","family":"Zhao","given":"June","non-dropping-particle":"","parse-names":false,"suffix":""},{"dropping-particle":"","family":"Gause-Nilsson","given":"Ingrid","non-dropping-particle":"","parse-names":false,"suffix":""}],"container-title":"Diabetes research and clinical practice","id":"ITEM-1","issue":"2","issued":{"date-parts":[["2011","11"]]},"page":"217-224","publisher":"Diabetes Res Clin Pract","title":"Efficacy and safety of saxagliptin added to metformin in Asian people with type 2 diabetes mellitus: a randomized controlled trial","type":"article-journal","volume":"94"},"uris":["http://www.mendeley.com/documents/?uuid=247faa32-b726-3e99-9771-c47af00ded16"]}],"mendeley":{"formattedCitation":"[69]","plainTextFormattedCitation":"[69]","previouslyFormattedCitation":"[69]"},"properties":{"noteIndex":0},"schema":"https://github.com/citation-style-language/schema/raw/master/csl-citation.json"}</w:instrText>
            </w:r>
            <w:r w:rsidRPr="00214F41">
              <w:rPr>
                <w:sz w:val="18"/>
                <w:szCs w:val="18"/>
              </w:rPr>
              <w:fldChar w:fldCharType="separate"/>
            </w:r>
            <w:r w:rsidRPr="00FF29A9">
              <w:rPr>
                <w:noProof/>
                <w:sz w:val="18"/>
                <w:szCs w:val="18"/>
              </w:rPr>
              <w:t>[69]</w:t>
            </w:r>
            <w:r w:rsidRPr="00214F41">
              <w:rPr>
                <w:sz w:val="18"/>
                <w:szCs w:val="18"/>
              </w:rPr>
              <w:fldChar w:fldCharType="end"/>
            </w:r>
          </w:p>
        </w:tc>
        <w:tc>
          <w:tcPr>
            <w:tcW w:w="293" w:type="pct"/>
            <w:shd w:val="clear" w:color="000000" w:fill="FFFFFF"/>
            <w:vAlign w:val="center"/>
            <w:hideMark/>
          </w:tcPr>
          <w:p w14:paraId="1104A177" w14:textId="77777777" w:rsidR="005A043A" w:rsidRPr="00214F41" w:rsidRDefault="005A043A" w:rsidP="00286762">
            <w:pPr>
              <w:jc w:val="center"/>
              <w:rPr>
                <w:sz w:val="18"/>
                <w:szCs w:val="18"/>
              </w:rPr>
            </w:pPr>
            <w:r w:rsidRPr="00214F41">
              <w:rPr>
                <w:sz w:val="18"/>
                <w:szCs w:val="18"/>
              </w:rPr>
              <w:t>ITT</w:t>
            </w:r>
          </w:p>
        </w:tc>
        <w:tc>
          <w:tcPr>
            <w:tcW w:w="775" w:type="pct"/>
            <w:shd w:val="clear" w:color="000000" w:fill="FFFFFF"/>
            <w:vAlign w:val="center"/>
            <w:hideMark/>
          </w:tcPr>
          <w:p w14:paraId="79B31450" w14:textId="77777777" w:rsidR="005A043A" w:rsidRPr="00214F41" w:rsidRDefault="005A043A" w:rsidP="00286762">
            <w:pPr>
              <w:jc w:val="center"/>
              <w:rPr>
                <w:sz w:val="18"/>
                <w:szCs w:val="18"/>
                <w:lang w:val="en-GB"/>
              </w:rPr>
            </w:pPr>
            <w:r w:rsidRPr="00214F41">
              <w:rPr>
                <w:sz w:val="18"/>
                <w:szCs w:val="18"/>
                <w:lang w:val="en-GB"/>
              </w:rPr>
              <w:t xml:space="preserve">To assess efficacy and safety of </w:t>
            </w:r>
            <w:proofErr w:type="spellStart"/>
            <w:r w:rsidRPr="00214F41">
              <w:rPr>
                <w:sz w:val="18"/>
                <w:szCs w:val="18"/>
                <w:lang w:val="en-GB"/>
              </w:rPr>
              <w:t>saxagliptin</w:t>
            </w:r>
            <w:proofErr w:type="spellEnd"/>
            <w:r w:rsidRPr="00214F41">
              <w:rPr>
                <w:sz w:val="18"/>
                <w:szCs w:val="18"/>
                <w:lang w:val="en-GB"/>
              </w:rPr>
              <w:t xml:space="preserve"> added to metformin versus placebo plus</w:t>
            </w:r>
            <w:r w:rsidRPr="00214F41">
              <w:rPr>
                <w:sz w:val="18"/>
                <w:szCs w:val="18"/>
                <w:lang w:val="en-GB"/>
              </w:rPr>
              <w:br/>
              <w:t xml:space="preserve">metformin in Asian patients with T2DM (T2DM) and inadequate </w:t>
            </w:r>
            <w:proofErr w:type="spellStart"/>
            <w:r w:rsidRPr="00214F41">
              <w:rPr>
                <w:sz w:val="18"/>
                <w:szCs w:val="18"/>
                <w:lang w:val="en-GB"/>
              </w:rPr>
              <w:t>glycemic</w:t>
            </w:r>
            <w:proofErr w:type="spellEnd"/>
            <w:r w:rsidRPr="00214F41">
              <w:rPr>
                <w:sz w:val="18"/>
                <w:szCs w:val="18"/>
                <w:lang w:val="en-GB"/>
              </w:rPr>
              <w:t xml:space="preserve"> control on metformin alone</w:t>
            </w:r>
          </w:p>
        </w:tc>
        <w:tc>
          <w:tcPr>
            <w:tcW w:w="320" w:type="pct"/>
            <w:shd w:val="clear" w:color="000000" w:fill="FFFFFF"/>
            <w:vAlign w:val="center"/>
            <w:hideMark/>
          </w:tcPr>
          <w:p w14:paraId="661F4935" w14:textId="77777777" w:rsidR="005A043A" w:rsidRPr="00214F41" w:rsidRDefault="005A043A" w:rsidP="00286762">
            <w:pPr>
              <w:jc w:val="center"/>
              <w:rPr>
                <w:sz w:val="18"/>
                <w:szCs w:val="18"/>
              </w:rPr>
            </w:pPr>
            <w:r w:rsidRPr="00214F41">
              <w:rPr>
                <w:sz w:val="18"/>
                <w:szCs w:val="18"/>
              </w:rPr>
              <w:t>570/570</w:t>
            </w:r>
          </w:p>
        </w:tc>
        <w:tc>
          <w:tcPr>
            <w:tcW w:w="321" w:type="pct"/>
            <w:shd w:val="clear" w:color="000000" w:fill="FFFFFF"/>
            <w:vAlign w:val="center"/>
            <w:hideMark/>
          </w:tcPr>
          <w:p w14:paraId="594851BD" w14:textId="77777777" w:rsidR="005A043A" w:rsidRPr="00214F41" w:rsidRDefault="005A043A" w:rsidP="00286762">
            <w:pPr>
              <w:jc w:val="center"/>
              <w:rPr>
                <w:sz w:val="18"/>
                <w:szCs w:val="18"/>
              </w:rPr>
            </w:pPr>
            <w:r w:rsidRPr="00214F41">
              <w:rPr>
                <w:sz w:val="18"/>
                <w:szCs w:val="18"/>
              </w:rPr>
              <w:t>P≥8weeks/1.6g/d</w:t>
            </w:r>
          </w:p>
        </w:tc>
        <w:tc>
          <w:tcPr>
            <w:tcW w:w="502" w:type="pct"/>
            <w:shd w:val="clear" w:color="000000" w:fill="FFFFFF"/>
            <w:vAlign w:val="center"/>
            <w:hideMark/>
          </w:tcPr>
          <w:p w14:paraId="4674B78C"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362" w:type="pct"/>
            <w:shd w:val="clear" w:color="000000" w:fill="FFFFFF"/>
            <w:vAlign w:val="center"/>
            <w:hideMark/>
          </w:tcPr>
          <w:p w14:paraId="06B24151" w14:textId="77777777" w:rsidR="005A043A" w:rsidRPr="00214F41" w:rsidRDefault="005A043A" w:rsidP="00286762">
            <w:pPr>
              <w:jc w:val="center"/>
              <w:rPr>
                <w:sz w:val="18"/>
                <w:szCs w:val="18"/>
              </w:rPr>
            </w:pPr>
            <w:r w:rsidRPr="00214F41">
              <w:rPr>
                <w:sz w:val="18"/>
                <w:szCs w:val="18"/>
              </w:rPr>
              <w:t>1606mg/</w:t>
            </w:r>
            <w:proofErr w:type="spellStart"/>
            <w:r w:rsidRPr="00214F41">
              <w:rPr>
                <w:sz w:val="18"/>
                <w:szCs w:val="18"/>
              </w:rPr>
              <w:t>nd</w:t>
            </w:r>
            <w:proofErr w:type="spellEnd"/>
          </w:p>
        </w:tc>
        <w:tc>
          <w:tcPr>
            <w:tcW w:w="229" w:type="pct"/>
            <w:shd w:val="clear" w:color="000000" w:fill="FFFFFF"/>
            <w:vAlign w:val="center"/>
            <w:hideMark/>
          </w:tcPr>
          <w:p w14:paraId="7F807087" w14:textId="77777777" w:rsidR="005A043A" w:rsidRPr="00214F41" w:rsidRDefault="005A043A" w:rsidP="00286762">
            <w:pPr>
              <w:jc w:val="center"/>
              <w:rPr>
                <w:sz w:val="18"/>
                <w:szCs w:val="18"/>
              </w:rPr>
            </w:pPr>
            <w:r w:rsidRPr="00214F41">
              <w:rPr>
                <w:sz w:val="18"/>
                <w:szCs w:val="18"/>
              </w:rPr>
              <w:t>168</w:t>
            </w:r>
          </w:p>
        </w:tc>
        <w:tc>
          <w:tcPr>
            <w:tcW w:w="274" w:type="pct"/>
            <w:shd w:val="clear" w:color="000000" w:fill="FFFFFF"/>
            <w:vAlign w:val="center"/>
            <w:hideMark/>
          </w:tcPr>
          <w:p w14:paraId="7D69DC68" w14:textId="77777777" w:rsidR="005A043A" w:rsidRPr="00214F41" w:rsidRDefault="005A043A" w:rsidP="00286762">
            <w:pPr>
              <w:jc w:val="center"/>
              <w:rPr>
                <w:sz w:val="18"/>
                <w:szCs w:val="18"/>
              </w:rPr>
            </w:pPr>
            <w:r w:rsidRPr="00214F41">
              <w:rPr>
                <w:sz w:val="18"/>
                <w:szCs w:val="18"/>
              </w:rPr>
              <w:t>IR</w:t>
            </w:r>
          </w:p>
        </w:tc>
        <w:tc>
          <w:tcPr>
            <w:tcW w:w="550" w:type="pct"/>
            <w:shd w:val="clear" w:color="000000" w:fill="FFFFFF"/>
            <w:vAlign w:val="center"/>
            <w:hideMark/>
          </w:tcPr>
          <w:p w14:paraId="61397B3D" w14:textId="77777777" w:rsidR="005A043A" w:rsidRPr="00214F41" w:rsidRDefault="005A043A" w:rsidP="00286762">
            <w:pPr>
              <w:jc w:val="center"/>
              <w:rPr>
                <w:sz w:val="18"/>
                <w:szCs w:val="18"/>
                <w:lang w:val="en-GB"/>
              </w:rPr>
            </w:pPr>
            <w:proofErr w:type="spellStart"/>
            <w:r w:rsidRPr="00214F41">
              <w:rPr>
                <w:sz w:val="18"/>
                <w:szCs w:val="18"/>
                <w:lang w:val="en-GB"/>
              </w:rPr>
              <w:t>saxagliptin</w:t>
            </w:r>
            <w:proofErr w:type="spellEnd"/>
            <w:r w:rsidRPr="00214F41">
              <w:rPr>
                <w:sz w:val="18"/>
                <w:szCs w:val="18"/>
                <w:lang w:val="en-GB"/>
              </w:rPr>
              <w:t xml:space="preserve"> + metformin/MET/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7539BDEE" w14:textId="77777777" w:rsidR="005A043A" w:rsidRPr="00214F41" w:rsidRDefault="005A043A" w:rsidP="00286762">
            <w:pPr>
              <w:jc w:val="center"/>
              <w:rPr>
                <w:sz w:val="18"/>
                <w:szCs w:val="18"/>
              </w:rPr>
            </w:pPr>
            <w:r w:rsidRPr="00214F41">
              <w:rPr>
                <w:sz w:val="18"/>
                <w:szCs w:val="18"/>
              </w:rPr>
              <w:t>54.1±10.3</w:t>
            </w:r>
          </w:p>
        </w:tc>
        <w:tc>
          <w:tcPr>
            <w:tcW w:w="227" w:type="pct"/>
            <w:shd w:val="clear" w:color="000000" w:fill="FFFFFF"/>
            <w:vAlign w:val="center"/>
            <w:hideMark/>
          </w:tcPr>
          <w:p w14:paraId="43384D72" w14:textId="77777777" w:rsidR="005A043A" w:rsidRPr="00214F41" w:rsidRDefault="005A043A" w:rsidP="00286762">
            <w:pPr>
              <w:jc w:val="center"/>
              <w:rPr>
                <w:sz w:val="18"/>
                <w:szCs w:val="18"/>
              </w:rPr>
            </w:pPr>
            <w:r w:rsidRPr="00214F41">
              <w:rPr>
                <w:sz w:val="18"/>
                <w:szCs w:val="18"/>
              </w:rPr>
              <w:t>275/48.2</w:t>
            </w:r>
          </w:p>
        </w:tc>
        <w:tc>
          <w:tcPr>
            <w:tcW w:w="295" w:type="pct"/>
            <w:shd w:val="clear" w:color="000000" w:fill="FFFFFF"/>
            <w:vAlign w:val="center"/>
            <w:hideMark/>
          </w:tcPr>
          <w:p w14:paraId="61FFDD29" w14:textId="77777777" w:rsidR="005A043A" w:rsidRPr="00214F41" w:rsidRDefault="005A043A" w:rsidP="00286762">
            <w:pPr>
              <w:jc w:val="center"/>
              <w:rPr>
                <w:sz w:val="18"/>
                <w:szCs w:val="18"/>
              </w:rPr>
            </w:pPr>
            <w:r w:rsidRPr="00214F41">
              <w:rPr>
                <w:sz w:val="18"/>
                <w:szCs w:val="18"/>
              </w:rPr>
              <w:t>26.1±3.5</w:t>
            </w:r>
          </w:p>
        </w:tc>
        <w:tc>
          <w:tcPr>
            <w:tcW w:w="301" w:type="pct"/>
            <w:shd w:val="clear" w:color="000000" w:fill="FFFFFF"/>
            <w:vAlign w:val="center"/>
            <w:hideMark/>
          </w:tcPr>
          <w:p w14:paraId="2FD46A6D" w14:textId="77777777" w:rsidR="005A043A" w:rsidRPr="00214F41" w:rsidRDefault="005A043A" w:rsidP="00286762">
            <w:pPr>
              <w:jc w:val="center"/>
              <w:rPr>
                <w:sz w:val="18"/>
                <w:szCs w:val="18"/>
              </w:rPr>
            </w:pPr>
            <w:r w:rsidRPr="00214F41">
              <w:rPr>
                <w:sz w:val="18"/>
                <w:szCs w:val="18"/>
              </w:rPr>
              <w:t>26.3/3.6</w:t>
            </w:r>
          </w:p>
        </w:tc>
      </w:tr>
      <w:tr w:rsidR="005A043A" w:rsidRPr="00214F41" w14:paraId="4CC650DF" w14:textId="77777777" w:rsidTr="00286762">
        <w:trPr>
          <w:trHeight w:val="930"/>
        </w:trPr>
        <w:tc>
          <w:tcPr>
            <w:tcW w:w="277" w:type="pct"/>
            <w:shd w:val="clear" w:color="000000" w:fill="FFFFFF"/>
            <w:vAlign w:val="center"/>
            <w:hideMark/>
          </w:tcPr>
          <w:p w14:paraId="3F142EDC" w14:textId="77777777" w:rsidR="005A043A" w:rsidRPr="00214F41" w:rsidRDefault="005A043A" w:rsidP="00286762">
            <w:pPr>
              <w:jc w:val="center"/>
              <w:rPr>
                <w:sz w:val="18"/>
                <w:szCs w:val="18"/>
              </w:rPr>
            </w:pPr>
            <w:proofErr w:type="spellStart"/>
            <w:r w:rsidRPr="00214F41">
              <w:rPr>
                <w:sz w:val="18"/>
                <w:szCs w:val="18"/>
              </w:rPr>
              <w:t>Yuxin</w:t>
            </w:r>
            <w:proofErr w:type="spellEnd"/>
            <w:r w:rsidRPr="00214F41">
              <w:rPr>
                <w:sz w:val="18"/>
                <w:szCs w:val="18"/>
              </w:rPr>
              <w:t xml:space="preserve"> et al., 2019a </w:t>
            </w:r>
            <w:r w:rsidRPr="00214F41">
              <w:rPr>
                <w:sz w:val="18"/>
                <w:szCs w:val="18"/>
              </w:rPr>
              <w:fldChar w:fldCharType="begin" w:fldLock="1"/>
            </w:r>
            <w:r>
              <w:rPr>
                <w:sz w:val="18"/>
                <w:szCs w:val="18"/>
              </w:rPr>
              <w:instrText>ADDIN CSL_CITATION {"citationItems":[{"id":"ITEM-1","itemData":{"DOI":"10.1111/JCPT.13087","ISSN":"1365-2710","PMID":"31769886","abstract":"What is known and Objective: Gastrointestinal discomfort is the most common adverse event of metformin treatment for type 2 diabetes, especially in elderly patients. The aim of this study was to compare gastrointestinal adverse events resulting from different doses of metformin used for the treatment of elderly people with type 2 diabetes. Methods: A total of 361 elderly patients with newly diagnosed diabetes were randomly divided into three groups: metformin 1000 mg/d (N = 120), metformin 1500 mg/d (N = 121) and metformin 2000 mg/d (N = 120). Glycaemic control and gastrointestinal adverse events (abdominal pain, diarrhoea, nausea, vomiting, bloating and anorexia) were assessed and compared among the three groups after 12 weeks of treatment. Results and discussion: At baseline, there was no significant difference in gastrointestinal symptoms among the three groups. After 12 weeks of treatment with metformin, the change in HbA1c level was −0.7%, −0.9% and −1.0% for the 1000 mg/d, 1500 mg/d and 2000 mg/d groups, respectively (P &lt;.0001). There was no significant difference in gastrointestinal adverse events among the three groups after treatment with metformin. In total, 62 people (17.2%) could not tolerate the adverse effects of metformin, and most of them stopped treatment in the first 4 weeks. Logistic regression analysis shows that female sex (OR = 2.660, 95%CI 1.692-4.183, P &lt;.0001) and the concurrent use of organic cation transporter 1-inhibiting drugs (OR = 1.874, 95%CI 1.076-3.265, P =.027) are independent risk factors for adverse events. What is new and conclusions: Our data demonstrate that metformin doses of 1000 mg/d-2000 mg/d have similar adverse events but that 2000 mg/d of metformin yields the best glycaemic control in elderly people with diabetes. If elderly people can tolerate 1000 mg/d of metformin, we could gradually increase the dose to 2000 mg/d to achieve better glycaemic control.","author":[{"dropping-particle":"","family":"Yuxin","given":"Huang","non-dropping-particle":"","parse-names":false,"suffix":""},{"dropping-particle":"","family":"Cuiping","given":"Jiang","non-dropping-particle":"","parse-names":false,"suffix":""},{"dropping-particle":"","family":"Wen","given":"Tan","non-dropping-particle":"","parse-names":false,"suffix":""},{"dropping-particle":"","family":"Jieyuzhen","given":"Qiu","non-dropping-particle":"","parse-names":false,"suffix":""},{"dropping-particle":"","family":"Xiaoming","given":"Tao","non-dropping-particle":"","parse-names":false,"suffix":""},{"dropping-particle":"","family":"Qin","given":"Gu","non-dropping-particle":"","parse-names":false,"suffix":""},{"dropping-particle":"","family":"Haidong","given":"Wang","non-dropping-particle":"","parse-names":false,"suffix":""},{"dropping-particle":"","family":"Jiao","given":"Sun","non-dropping-particle":"","parse-names":false,"suffix":""},{"dropping-particle":"","family":"Zhijun","given":"Bao","non-dropping-particle":"","parse-names":false,"suffix":""}],"container-title":"Journal of clinical pharmacy and therapeutics","id":"ITEM-1","issue":"3","issued":{"date-parts":[["2020","6","1"]]},"page":"470-476","publisher":"J Clin Pharm Ther","title":"Comparison of gastrointestinal adverse events with different doses of metformin in the treatment of elderly people with type 2 diabetes","type":"article-journal","volume":"45"},"uris":["http://www.mendeley.com/documents/?uuid=be42a740-3c98-3a3f-9077-cf4ee6123b22"]}],"mendeley":{"formattedCitation":"[70]","plainTextFormattedCitation":"[70]","previouslyFormattedCitation":"[70]"},"properties":{"noteIndex":0},"schema":"https://github.com/citation-style-language/schema/raw/master/csl-citation.json"}</w:instrText>
            </w:r>
            <w:r w:rsidRPr="00214F41">
              <w:rPr>
                <w:sz w:val="18"/>
                <w:szCs w:val="18"/>
              </w:rPr>
              <w:fldChar w:fldCharType="separate"/>
            </w:r>
            <w:r w:rsidRPr="00FF29A9">
              <w:rPr>
                <w:noProof/>
                <w:sz w:val="18"/>
                <w:szCs w:val="18"/>
              </w:rPr>
              <w:t>[70]</w:t>
            </w:r>
            <w:r w:rsidRPr="00214F41">
              <w:rPr>
                <w:sz w:val="18"/>
                <w:szCs w:val="18"/>
              </w:rPr>
              <w:fldChar w:fldCharType="end"/>
            </w:r>
          </w:p>
        </w:tc>
        <w:tc>
          <w:tcPr>
            <w:tcW w:w="293" w:type="pct"/>
            <w:vMerge w:val="restart"/>
            <w:shd w:val="clear" w:color="000000" w:fill="FFFFFF"/>
            <w:vAlign w:val="center"/>
            <w:hideMark/>
          </w:tcPr>
          <w:p w14:paraId="04569029" w14:textId="77777777" w:rsidR="005A043A" w:rsidRPr="00214F41" w:rsidRDefault="005A043A" w:rsidP="00286762">
            <w:pPr>
              <w:jc w:val="center"/>
              <w:rPr>
                <w:sz w:val="18"/>
                <w:szCs w:val="18"/>
              </w:rPr>
            </w:pPr>
            <w:r w:rsidRPr="00214F41">
              <w:rPr>
                <w:sz w:val="18"/>
                <w:szCs w:val="18"/>
              </w:rPr>
              <w:t>ITT</w:t>
            </w:r>
          </w:p>
        </w:tc>
        <w:tc>
          <w:tcPr>
            <w:tcW w:w="775" w:type="pct"/>
            <w:vMerge w:val="restart"/>
            <w:shd w:val="clear" w:color="000000" w:fill="FFFFFF"/>
            <w:vAlign w:val="center"/>
            <w:hideMark/>
          </w:tcPr>
          <w:p w14:paraId="07E51E09" w14:textId="77777777" w:rsidR="005A043A" w:rsidRPr="00214F41" w:rsidRDefault="005A043A" w:rsidP="00286762">
            <w:pPr>
              <w:jc w:val="center"/>
              <w:rPr>
                <w:sz w:val="18"/>
                <w:szCs w:val="18"/>
                <w:lang w:val="en-GB"/>
              </w:rPr>
            </w:pPr>
            <w:r w:rsidRPr="00214F41">
              <w:rPr>
                <w:sz w:val="18"/>
                <w:szCs w:val="18"/>
                <w:lang w:val="en-GB"/>
              </w:rPr>
              <w:t>To compare gastrointestinal adverse events resulting from different doses of metformin used for the treatment of elderly people with type 2</w:t>
            </w:r>
            <w:r w:rsidRPr="00214F41">
              <w:rPr>
                <w:sz w:val="18"/>
                <w:szCs w:val="18"/>
                <w:lang w:val="en-GB"/>
              </w:rPr>
              <w:br/>
              <w:t>diabetes.</w:t>
            </w:r>
          </w:p>
        </w:tc>
        <w:tc>
          <w:tcPr>
            <w:tcW w:w="320" w:type="pct"/>
            <w:vMerge w:val="restart"/>
            <w:shd w:val="clear" w:color="000000" w:fill="FFFFFF"/>
            <w:vAlign w:val="center"/>
            <w:hideMark/>
          </w:tcPr>
          <w:p w14:paraId="7BBDE807" w14:textId="77777777" w:rsidR="005A043A" w:rsidRPr="00214F41" w:rsidRDefault="005A043A" w:rsidP="00286762">
            <w:pPr>
              <w:jc w:val="center"/>
              <w:rPr>
                <w:sz w:val="18"/>
                <w:szCs w:val="18"/>
              </w:rPr>
            </w:pPr>
            <w:r w:rsidRPr="00214F41">
              <w:rPr>
                <w:sz w:val="18"/>
                <w:szCs w:val="18"/>
              </w:rPr>
              <w:t>361/361</w:t>
            </w:r>
          </w:p>
        </w:tc>
        <w:tc>
          <w:tcPr>
            <w:tcW w:w="321" w:type="pct"/>
            <w:vMerge w:val="restart"/>
            <w:shd w:val="clear" w:color="000000" w:fill="FFFFFF"/>
            <w:vAlign w:val="center"/>
            <w:hideMark/>
          </w:tcPr>
          <w:p w14:paraId="3F7B4D8D" w14:textId="77777777" w:rsidR="005A043A" w:rsidRPr="00214F41" w:rsidRDefault="005A043A" w:rsidP="00286762">
            <w:pPr>
              <w:jc w:val="center"/>
              <w:rPr>
                <w:sz w:val="18"/>
                <w:szCs w:val="18"/>
              </w:rPr>
            </w:pPr>
            <w:r w:rsidRPr="00214F41">
              <w:rPr>
                <w:sz w:val="18"/>
                <w:szCs w:val="18"/>
              </w:rPr>
              <w:t>S</w:t>
            </w:r>
          </w:p>
        </w:tc>
        <w:tc>
          <w:tcPr>
            <w:tcW w:w="502" w:type="pct"/>
            <w:vMerge w:val="restart"/>
            <w:shd w:val="clear" w:color="000000" w:fill="FFFFFF"/>
            <w:vAlign w:val="center"/>
            <w:hideMark/>
          </w:tcPr>
          <w:p w14:paraId="785B018C" w14:textId="77777777" w:rsidR="005A043A" w:rsidRPr="00214F41" w:rsidRDefault="005A043A" w:rsidP="00286762">
            <w:pPr>
              <w:jc w:val="center"/>
              <w:rPr>
                <w:sz w:val="18"/>
                <w:szCs w:val="18"/>
              </w:rPr>
            </w:pPr>
            <w:r w:rsidRPr="00214F41">
              <w:rPr>
                <w:sz w:val="18"/>
                <w:szCs w:val="18"/>
              </w:rPr>
              <w:t>Glucophage</w:t>
            </w:r>
          </w:p>
        </w:tc>
        <w:tc>
          <w:tcPr>
            <w:tcW w:w="362" w:type="pct"/>
            <w:shd w:val="clear" w:color="000000" w:fill="FFFFFF"/>
            <w:vAlign w:val="center"/>
            <w:hideMark/>
          </w:tcPr>
          <w:p w14:paraId="56574434" w14:textId="77777777" w:rsidR="005A043A" w:rsidRPr="00214F41" w:rsidRDefault="005A043A" w:rsidP="00286762">
            <w:pPr>
              <w:jc w:val="center"/>
              <w:rPr>
                <w:sz w:val="18"/>
                <w:szCs w:val="18"/>
              </w:rPr>
            </w:pPr>
            <w:r w:rsidRPr="00214F41">
              <w:rPr>
                <w:sz w:val="18"/>
                <w:szCs w:val="18"/>
              </w:rPr>
              <w:t>1500mg/3/d</w:t>
            </w:r>
          </w:p>
        </w:tc>
        <w:tc>
          <w:tcPr>
            <w:tcW w:w="229" w:type="pct"/>
            <w:vMerge w:val="restart"/>
            <w:shd w:val="clear" w:color="000000" w:fill="FFFFFF"/>
            <w:vAlign w:val="center"/>
            <w:hideMark/>
          </w:tcPr>
          <w:p w14:paraId="6CE071E7" w14:textId="77777777" w:rsidR="005A043A" w:rsidRPr="00214F41" w:rsidRDefault="005A043A" w:rsidP="00286762">
            <w:pPr>
              <w:jc w:val="center"/>
              <w:rPr>
                <w:sz w:val="18"/>
                <w:szCs w:val="18"/>
              </w:rPr>
            </w:pPr>
            <w:r w:rsidRPr="00214F41">
              <w:rPr>
                <w:sz w:val="18"/>
                <w:szCs w:val="18"/>
              </w:rPr>
              <w:t>84</w:t>
            </w:r>
          </w:p>
        </w:tc>
        <w:tc>
          <w:tcPr>
            <w:tcW w:w="274" w:type="pct"/>
            <w:vMerge w:val="restart"/>
            <w:shd w:val="clear" w:color="000000" w:fill="FFFFFF"/>
            <w:vAlign w:val="center"/>
            <w:hideMark/>
          </w:tcPr>
          <w:p w14:paraId="797EA426" w14:textId="77777777" w:rsidR="005A043A" w:rsidRPr="00214F41" w:rsidRDefault="005A043A" w:rsidP="00286762">
            <w:pPr>
              <w:jc w:val="center"/>
              <w:rPr>
                <w:sz w:val="18"/>
                <w:szCs w:val="18"/>
              </w:rPr>
            </w:pPr>
            <w:r w:rsidRPr="00214F41">
              <w:rPr>
                <w:sz w:val="18"/>
                <w:szCs w:val="18"/>
              </w:rPr>
              <w:t>IR</w:t>
            </w:r>
          </w:p>
        </w:tc>
        <w:tc>
          <w:tcPr>
            <w:tcW w:w="550" w:type="pct"/>
            <w:vMerge w:val="restart"/>
            <w:shd w:val="clear" w:color="000000" w:fill="FFFFFF"/>
            <w:vAlign w:val="center"/>
            <w:hideMark/>
          </w:tcPr>
          <w:p w14:paraId="0A6C421D" w14:textId="77777777" w:rsidR="005A043A" w:rsidRPr="00214F41" w:rsidRDefault="005A043A" w:rsidP="00286762">
            <w:pPr>
              <w:jc w:val="center"/>
              <w:rPr>
                <w:sz w:val="18"/>
                <w:szCs w:val="18"/>
                <w:lang w:val="en-GB"/>
              </w:rPr>
            </w:pPr>
            <w:r w:rsidRPr="00214F41">
              <w:rPr>
                <w:sz w:val="18"/>
                <w:szCs w:val="18"/>
                <w:lang w:val="en-GB"/>
              </w:rPr>
              <w:t>Metformin IR 1g/d/MET HD/MET LD</w:t>
            </w:r>
          </w:p>
        </w:tc>
        <w:tc>
          <w:tcPr>
            <w:tcW w:w="274" w:type="pct"/>
            <w:shd w:val="clear" w:color="000000" w:fill="FFFFFF"/>
            <w:vAlign w:val="center"/>
            <w:hideMark/>
          </w:tcPr>
          <w:p w14:paraId="76311332" w14:textId="77777777" w:rsidR="005A043A" w:rsidRPr="00214F41" w:rsidRDefault="005A043A" w:rsidP="00286762">
            <w:pPr>
              <w:jc w:val="center"/>
              <w:rPr>
                <w:sz w:val="18"/>
                <w:szCs w:val="18"/>
              </w:rPr>
            </w:pPr>
            <w:r w:rsidRPr="00214F41">
              <w:rPr>
                <w:sz w:val="18"/>
                <w:szCs w:val="18"/>
              </w:rPr>
              <w:t>69±6.6</w:t>
            </w:r>
          </w:p>
        </w:tc>
        <w:tc>
          <w:tcPr>
            <w:tcW w:w="227" w:type="pct"/>
            <w:shd w:val="clear" w:color="000000" w:fill="FFFFFF"/>
            <w:vAlign w:val="center"/>
            <w:hideMark/>
          </w:tcPr>
          <w:p w14:paraId="53BA5C00" w14:textId="77777777" w:rsidR="005A043A" w:rsidRPr="00214F41" w:rsidRDefault="005A043A" w:rsidP="00286762">
            <w:pPr>
              <w:jc w:val="center"/>
              <w:rPr>
                <w:sz w:val="18"/>
                <w:szCs w:val="18"/>
              </w:rPr>
            </w:pPr>
            <w:r w:rsidRPr="00214F41">
              <w:rPr>
                <w:sz w:val="18"/>
                <w:szCs w:val="18"/>
              </w:rPr>
              <w:t>136/56.4</w:t>
            </w:r>
          </w:p>
        </w:tc>
        <w:tc>
          <w:tcPr>
            <w:tcW w:w="295" w:type="pct"/>
            <w:shd w:val="clear" w:color="000000" w:fill="FFFFFF"/>
            <w:vAlign w:val="center"/>
            <w:hideMark/>
          </w:tcPr>
          <w:p w14:paraId="2F684923" w14:textId="77777777" w:rsidR="005A043A" w:rsidRPr="00214F41" w:rsidRDefault="005A043A" w:rsidP="00286762">
            <w:pPr>
              <w:jc w:val="center"/>
              <w:rPr>
                <w:sz w:val="18"/>
                <w:szCs w:val="18"/>
              </w:rPr>
            </w:pPr>
            <w:r w:rsidRPr="00214F41">
              <w:rPr>
                <w:sz w:val="18"/>
                <w:szCs w:val="18"/>
              </w:rPr>
              <w:t>25.1±4</w:t>
            </w:r>
          </w:p>
        </w:tc>
        <w:tc>
          <w:tcPr>
            <w:tcW w:w="301" w:type="pct"/>
            <w:vMerge w:val="restart"/>
            <w:shd w:val="clear" w:color="000000" w:fill="FFFFFF"/>
            <w:vAlign w:val="center"/>
            <w:hideMark/>
          </w:tcPr>
          <w:p w14:paraId="4ECA9516" w14:textId="77777777" w:rsidR="005A043A" w:rsidRPr="00214F41" w:rsidRDefault="005A043A" w:rsidP="00286762">
            <w:pPr>
              <w:jc w:val="center"/>
              <w:rPr>
                <w:sz w:val="18"/>
                <w:szCs w:val="18"/>
              </w:rPr>
            </w:pPr>
            <w:r w:rsidRPr="00214F41">
              <w:rPr>
                <w:sz w:val="18"/>
                <w:szCs w:val="18"/>
              </w:rPr>
              <w:t>25.3/3.3</w:t>
            </w:r>
          </w:p>
        </w:tc>
      </w:tr>
      <w:tr w:rsidR="005A043A" w:rsidRPr="00214F41" w14:paraId="7ED17536" w14:textId="77777777" w:rsidTr="00286762">
        <w:trPr>
          <w:trHeight w:val="930"/>
        </w:trPr>
        <w:tc>
          <w:tcPr>
            <w:tcW w:w="277" w:type="pct"/>
            <w:shd w:val="clear" w:color="000000" w:fill="FFFFFF"/>
            <w:vAlign w:val="center"/>
            <w:hideMark/>
          </w:tcPr>
          <w:p w14:paraId="6F1959B8" w14:textId="77777777" w:rsidR="005A043A" w:rsidRPr="00214F41" w:rsidRDefault="005A043A" w:rsidP="00286762">
            <w:pPr>
              <w:jc w:val="center"/>
              <w:rPr>
                <w:sz w:val="18"/>
                <w:szCs w:val="18"/>
              </w:rPr>
            </w:pPr>
            <w:proofErr w:type="spellStart"/>
            <w:r w:rsidRPr="00214F41">
              <w:rPr>
                <w:sz w:val="18"/>
                <w:szCs w:val="18"/>
              </w:rPr>
              <w:t>Yuxin</w:t>
            </w:r>
            <w:proofErr w:type="spellEnd"/>
            <w:r w:rsidRPr="00214F41">
              <w:rPr>
                <w:sz w:val="18"/>
                <w:szCs w:val="18"/>
              </w:rPr>
              <w:t xml:space="preserve"> et al., 2019b</w:t>
            </w:r>
          </w:p>
        </w:tc>
        <w:tc>
          <w:tcPr>
            <w:tcW w:w="293" w:type="pct"/>
            <w:vMerge/>
            <w:shd w:val="clear" w:color="000000" w:fill="FFFFFF"/>
            <w:vAlign w:val="center"/>
            <w:hideMark/>
          </w:tcPr>
          <w:p w14:paraId="3A93D876" w14:textId="77777777" w:rsidR="005A043A" w:rsidRPr="00214F41" w:rsidRDefault="005A043A" w:rsidP="00286762">
            <w:pPr>
              <w:jc w:val="center"/>
              <w:rPr>
                <w:sz w:val="18"/>
                <w:szCs w:val="18"/>
              </w:rPr>
            </w:pPr>
          </w:p>
        </w:tc>
        <w:tc>
          <w:tcPr>
            <w:tcW w:w="775" w:type="pct"/>
            <w:vMerge/>
            <w:shd w:val="clear" w:color="000000" w:fill="FFFFFF"/>
            <w:vAlign w:val="center"/>
            <w:hideMark/>
          </w:tcPr>
          <w:p w14:paraId="54E40101" w14:textId="77777777" w:rsidR="005A043A" w:rsidRPr="00214F41" w:rsidRDefault="005A043A" w:rsidP="00286762">
            <w:pPr>
              <w:jc w:val="center"/>
              <w:rPr>
                <w:sz w:val="18"/>
                <w:szCs w:val="18"/>
              </w:rPr>
            </w:pPr>
          </w:p>
        </w:tc>
        <w:tc>
          <w:tcPr>
            <w:tcW w:w="320" w:type="pct"/>
            <w:vMerge/>
            <w:shd w:val="clear" w:color="000000" w:fill="FFFFFF"/>
            <w:vAlign w:val="center"/>
            <w:hideMark/>
          </w:tcPr>
          <w:p w14:paraId="4A0770E8" w14:textId="77777777" w:rsidR="005A043A" w:rsidRPr="00214F41" w:rsidRDefault="005A043A" w:rsidP="00286762">
            <w:pPr>
              <w:jc w:val="center"/>
              <w:rPr>
                <w:sz w:val="18"/>
                <w:szCs w:val="18"/>
              </w:rPr>
            </w:pPr>
          </w:p>
        </w:tc>
        <w:tc>
          <w:tcPr>
            <w:tcW w:w="321" w:type="pct"/>
            <w:vMerge/>
            <w:shd w:val="clear" w:color="000000" w:fill="FFFFFF"/>
            <w:vAlign w:val="center"/>
            <w:hideMark/>
          </w:tcPr>
          <w:p w14:paraId="1A83638D" w14:textId="77777777" w:rsidR="005A043A" w:rsidRPr="00214F41" w:rsidRDefault="005A043A" w:rsidP="00286762">
            <w:pPr>
              <w:jc w:val="center"/>
              <w:rPr>
                <w:sz w:val="18"/>
                <w:szCs w:val="18"/>
              </w:rPr>
            </w:pPr>
          </w:p>
        </w:tc>
        <w:tc>
          <w:tcPr>
            <w:tcW w:w="502" w:type="pct"/>
            <w:vMerge/>
            <w:shd w:val="clear" w:color="000000" w:fill="FFFFFF"/>
            <w:vAlign w:val="center"/>
            <w:hideMark/>
          </w:tcPr>
          <w:p w14:paraId="3D8EE7F2" w14:textId="77777777" w:rsidR="005A043A" w:rsidRPr="00214F41" w:rsidRDefault="005A043A" w:rsidP="00286762">
            <w:pPr>
              <w:jc w:val="center"/>
              <w:rPr>
                <w:sz w:val="18"/>
                <w:szCs w:val="18"/>
              </w:rPr>
            </w:pPr>
          </w:p>
        </w:tc>
        <w:tc>
          <w:tcPr>
            <w:tcW w:w="362" w:type="pct"/>
            <w:shd w:val="clear" w:color="000000" w:fill="FFFFFF"/>
            <w:vAlign w:val="center"/>
            <w:hideMark/>
          </w:tcPr>
          <w:p w14:paraId="2E6512F2" w14:textId="77777777" w:rsidR="005A043A" w:rsidRPr="00214F41" w:rsidRDefault="005A043A" w:rsidP="00286762">
            <w:pPr>
              <w:jc w:val="center"/>
              <w:rPr>
                <w:sz w:val="18"/>
                <w:szCs w:val="18"/>
              </w:rPr>
            </w:pPr>
            <w:r w:rsidRPr="00214F41">
              <w:rPr>
                <w:sz w:val="18"/>
                <w:szCs w:val="18"/>
              </w:rPr>
              <w:t>2000mg/4/d</w:t>
            </w:r>
          </w:p>
        </w:tc>
        <w:tc>
          <w:tcPr>
            <w:tcW w:w="229" w:type="pct"/>
            <w:vMerge/>
            <w:shd w:val="clear" w:color="000000" w:fill="FFFFFF"/>
            <w:vAlign w:val="center"/>
            <w:hideMark/>
          </w:tcPr>
          <w:p w14:paraId="76949432" w14:textId="77777777" w:rsidR="005A043A" w:rsidRPr="00214F41" w:rsidRDefault="005A043A" w:rsidP="00286762">
            <w:pPr>
              <w:jc w:val="center"/>
              <w:rPr>
                <w:sz w:val="18"/>
                <w:szCs w:val="18"/>
              </w:rPr>
            </w:pPr>
          </w:p>
        </w:tc>
        <w:tc>
          <w:tcPr>
            <w:tcW w:w="274" w:type="pct"/>
            <w:vMerge/>
            <w:shd w:val="clear" w:color="000000" w:fill="FFFFFF"/>
            <w:vAlign w:val="center"/>
            <w:hideMark/>
          </w:tcPr>
          <w:p w14:paraId="3D062A8A" w14:textId="77777777" w:rsidR="005A043A" w:rsidRPr="00214F41" w:rsidRDefault="005A043A" w:rsidP="00286762">
            <w:pPr>
              <w:jc w:val="center"/>
              <w:rPr>
                <w:sz w:val="18"/>
                <w:szCs w:val="18"/>
              </w:rPr>
            </w:pPr>
          </w:p>
        </w:tc>
        <w:tc>
          <w:tcPr>
            <w:tcW w:w="550" w:type="pct"/>
            <w:vMerge/>
            <w:shd w:val="clear" w:color="000000" w:fill="FFFFFF"/>
            <w:vAlign w:val="center"/>
            <w:hideMark/>
          </w:tcPr>
          <w:p w14:paraId="309ACB06" w14:textId="77777777" w:rsidR="005A043A" w:rsidRPr="00214F41" w:rsidRDefault="005A043A" w:rsidP="00286762">
            <w:pPr>
              <w:jc w:val="center"/>
              <w:rPr>
                <w:sz w:val="18"/>
                <w:szCs w:val="18"/>
              </w:rPr>
            </w:pPr>
          </w:p>
        </w:tc>
        <w:tc>
          <w:tcPr>
            <w:tcW w:w="274" w:type="pct"/>
            <w:shd w:val="clear" w:color="000000" w:fill="FFFFFF"/>
            <w:vAlign w:val="center"/>
            <w:hideMark/>
          </w:tcPr>
          <w:p w14:paraId="3D6B6552" w14:textId="77777777" w:rsidR="005A043A" w:rsidRPr="00214F41" w:rsidRDefault="005A043A" w:rsidP="00286762">
            <w:pPr>
              <w:jc w:val="center"/>
              <w:rPr>
                <w:sz w:val="18"/>
                <w:szCs w:val="18"/>
              </w:rPr>
            </w:pPr>
            <w:r w:rsidRPr="00214F41">
              <w:rPr>
                <w:sz w:val="18"/>
                <w:szCs w:val="18"/>
              </w:rPr>
              <w:t>68.5±6.2</w:t>
            </w:r>
          </w:p>
        </w:tc>
        <w:tc>
          <w:tcPr>
            <w:tcW w:w="227" w:type="pct"/>
            <w:shd w:val="clear" w:color="000000" w:fill="FFFFFF"/>
            <w:vAlign w:val="center"/>
            <w:hideMark/>
          </w:tcPr>
          <w:p w14:paraId="5C1AC0D8" w14:textId="77777777" w:rsidR="005A043A" w:rsidRPr="00214F41" w:rsidRDefault="005A043A" w:rsidP="00286762">
            <w:pPr>
              <w:jc w:val="center"/>
              <w:rPr>
                <w:sz w:val="18"/>
                <w:szCs w:val="18"/>
              </w:rPr>
            </w:pPr>
            <w:r w:rsidRPr="00214F41">
              <w:rPr>
                <w:sz w:val="18"/>
                <w:szCs w:val="18"/>
              </w:rPr>
              <w:t>140/58.3</w:t>
            </w:r>
          </w:p>
        </w:tc>
        <w:tc>
          <w:tcPr>
            <w:tcW w:w="295" w:type="pct"/>
            <w:shd w:val="clear" w:color="000000" w:fill="FFFFFF"/>
            <w:vAlign w:val="center"/>
            <w:hideMark/>
          </w:tcPr>
          <w:p w14:paraId="0965184E" w14:textId="77777777" w:rsidR="005A043A" w:rsidRPr="00214F41" w:rsidRDefault="005A043A" w:rsidP="00286762">
            <w:pPr>
              <w:jc w:val="center"/>
              <w:rPr>
                <w:sz w:val="18"/>
                <w:szCs w:val="18"/>
              </w:rPr>
            </w:pPr>
            <w:r w:rsidRPr="00214F41">
              <w:rPr>
                <w:sz w:val="18"/>
                <w:szCs w:val="18"/>
              </w:rPr>
              <w:t>26.2±3.1</w:t>
            </w:r>
          </w:p>
        </w:tc>
        <w:tc>
          <w:tcPr>
            <w:tcW w:w="301" w:type="pct"/>
            <w:vMerge/>
            <w:shd w:val="clear" w:color="000000" w:fill="FFFFFF"/>
            <w:vAlign w:val="center"/>
            <w:hideMark/>
          </w:tcPr>
          <w:p w14:paraId="06622927" w14:textId="77777777" w:rsidR="005A043A" w:rsidRPr="00214F41" w:rsidRDefault="005A043A" w:rsidP="00286762">
            <w:pPr>
              <w:jc w:val="center"/>
              <w:rPr>
                <w:sz w:val="18"/>
                <w:szCs w:val="18"/>
              </w:rPr>
            </w:pPr>
          </w:p>
        </w:tc>
      </w:tr>
      <w:tr w:rsidR="005A043A" w:rsidRPr="0072287D" w14:paraId="38076C94" w14:textId="77777777" w:rsidTr="00286762">
        <w:trPr>
          <w:trHeight w:val="930"/>
        </w:trPr>
        <w:tc>
          <w:tcPr>
            <w:tcW w:w="277" w:type="pct"/>
            <w:shd w:val="clear" w:color="000000" w:fill="FFFFFF"/>
            <w:vAlign w:val="center"/>
            <w:hideMark/>
          </w:tcPr>
          <w:p w14:paraId="448A93B9" w14:textId="77777777" w:rsidR="005A043A" w:rsidRPr="00214F41" w:rsidRDefault="005A043A" w:rsidP="00286762">
            <w:pPr>
              <w:jc w:val="center"/>
              <w:rPr>
                <w:sz w:val="18"/>
                <w:szCs w:val="18"/>
                <w:lang w:val="en-GB"/>
              </w:rPr>
            </w:pPr>
            <w:r w:rsidRPr="00214F41">
              <w:rPr>
                <w:sz w:val="18"/>
                <w:szCs w:val="18"/>
              </w:rPr>
              <w:t xml:space="preserve">Zack et al., 2014a </w:t>
            </w:r>
            <w:r w:rsidRPr="00214F41">
              <w:rPr>
                <w:sz w:val="18"/>
                <w:szCs w:val="18"/>
              </w:rPr>
              <w:fldChar w:fldCharType="begin" w:fldLock="1"/>
            </w:r>
            <w:r>
              <w:rPr>
                <w:sz w:val="18"/>
                <w:szCs w:val="18"/>
              </w:rPr>
              <w:instrText>ADDIN CSL_CITATION {"citationItems":[{"id":"ITEM-1","itemData":{"DOI":"10.1002/CPDD.174","ISSN":"2160-7648","PMID":"27128216","abstract":"Ranolazine and metformin may be frequently co-administered in subjects with chronic angina and co-morbid type 2 diabetes mellitus (T2DM). The potential for a drug-drug interaction was explored in two phase 1 clinical studies in subjects with T2DM to evaluate the pharmacokinetics and safety of metformin 1000mg BID when administered with ranolazine 1000mg BID (Study 1, N=28) or ranolazine 500mg BID (Study 2, N=25) as compared to metformin alone. Co-administration of ranolazine 1000mg BID with metformin 1000mg BID resulted in 1.53- and 1.79-fold increases in steady-state metformin Cmax and AUCtau, respectively; co-administration of ranolazine 500mg BID with metformin 1000mg BID resulted in 1.22- and 1.37-fold increases in steady-state metformin Cmax and AUCtau, respectively. Co-administration of ranolazine and metformin was well tolerated in these T2DM subjects, with no serious adverse events or drug-related adverse events leading to discontinuation. The most common adverse events were nausea, diarrhea, and dizziness. These findings are consistent with a dose-related interaction between ranolazine and metformin, and suggest that a dose adjustment of metformin may not be required with ranolazine 500mg BID; whereas, the metformin dose should not exceed 1700mg of total daily dose when using ranolazine 1000mg BID.","author":[{"dropping-particle":"","family":"Zack","given":"Julia","non-dropping-particle":"","parse-names":false,"suffix":""},{"dropping-particle":"","family":"Berg","given":"Jolene","non-dropping-particle":"","parse-names":false,"suffix":""},{"dropping-particle":"","family":"Juan","given":"Axel","non-dropping-particle":"","parse-names":false,"suffix":""},{"dropping-part</w:instrText>
            </w:r>
            <w:r w:rsidRPr="00FF29A9">
              <w:rPr>
                <w:sz w:val="18"/>
                <w:szCs w:val="18"/>
                <w:lang w:val="en-GB"/>
              </w:rPr>
              <w:instrText>icle":"","family":"Pannacciulli","given":"Nicola","non-dropping-particle":"","parse-names":false,"suffix":""},{"dropping-particle":"","family":"Allard","given":"Martine","non-dropping-particle":"","parse-names":false,"suffix":""},{"dropping-particle":"","family":"Gottwald","given":"Mildred","non-dropping-particle":"","parse-names":false,"suffix":""},{"dropping-particle":"","family":"Zhang","given":"Heather","non-dropping-particle":"","parse-names":false,"suffix":""},{"dropping-particle":"","family":"Shao","given":"Yongwu","non-dropping-particle":"","parse-names":false,"suffix":""},{"dropping-particle":"","family":"Ben-Yehuda","given":"Ori","non-dropping-particle":"","parse-names":false,"suffix":""},{"dropping-particle":"","family":"Jochelson","given":"Phil","non-dropping-particle":"","parse-names":false,"suffix":""}],"container-title":"Clinical Pharmacology in Drug Development","id":"ITEM-1","issue":"2","issued":{"date-parts":[["2015","3","1"]]},"page":"121-129","publisher":"John Wiley &amp; Sons, Ltd","title":"Pharmacokinetic drug–drug interaction study of ranolazine and metformin in subjects with type 2 diabetes mellitus","type":"article-journal","volume":"4"},"uris":["http://www.mendeley.com/documents/?uuid=666041ac-13dd-39d7-9355-a54335048450"]}],"mendeley":{"formattedCitation":"[71]","plainTextFormattedCitation":"[71]","previouslyFormattedCitation":"[71]"},"properties":{"noteIndex":0},"schema":"https://github.com/citation-style-language/schema/raw/master/csl-citation.json"}</w:instrText>
            </w:r>
            <w:r w:rsidRPr="00214F41">
              <w:rPr>
                <w:sz w:val="18"/>
                <w:szCs w:val="18"/>
              </w:rPr>
              <w:fldChar w:fldCharType="separate"/>
            </w:r>
            <w:r w:rsidRPr="00FF29A9">
              <w:rPr>
                <w:noProof/>
                <w:sz w:val="18"/>
                <w:szCs w:val="18"/>
                <w:lang w:val="en-GB"/>
              </w:rPr>
              <w:t>[71]</w:t>
            </w:r>
            <w:r w:rsidRPr="00214F41">
              <w:rPr>
                <w:sz w:val="18"/>
                <w:szCs w:val="18"/>
              </w:rPr>
              <w:fldChar w:fldCharType="end"/>
            </w:r>
          </w:p>
        </w:tc>
        <w:tc>
          <w:tcPr>
            <w:tcW w:w="293" w:type="pct"/>
            <w:shd w:val="clear" w:color="000000" w:fill="FFFFFF"/>
            <w:vAlign w:val="center"/>
            <w:hideMark/>
          </w:tcPr>
          <w:p w14:paraId="13520AD5"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4D765310" w14:textId="77777777" w:rsidR="005A043A" w:rsidRPr="00214F41" w:rsidRDefault="005A043A" w:rsidP="00286762">
            <w:pPr>
              <w:jc w:val="center"/>
              <w:rPr>
                <w:sz w:val="18"/>
                <w:szCs w:val="18"/>
                <w:lang w:val="en-GB"/>
              </w:rPr>
            </w:pPr>
            <w:r w:rsidRPr="00214F41">
              <w:rPr>
                <w:sz w:val="18"/>
                <w:szCs w:val="18"/>
                <w:lang w:val="en-GB"/>
              </w:rPr>
              <w:t xml:space="preserve">To explore the potential for a drug–drug </w:t>
            </w:r>
            <w:proofErr w:type="spellStart"/>
            <w:r w:rsidRPr="00214F41">
              <w:rPr>
                <w:sz w:val="18"/>
                <w:szCs w:val="18"/>
                <w:lang w:val="en-GB"/>
              </w:rPr>
              <w:t>interactionin</w:t>
            </w:r>
            <w:proofErr w:type="spellEnd"/>
            <w:r w:rsidRPr="00214F41">
              <w:rPr>
                <w:sz w:val="18"/>
                <w:szCs w:val="18"/>
                <w:lang w:val="en-GB"/>
              </w:rPr>
              <w:t xml:space="preserve"> two phase 1 clinical studies in subjects with T2DM to evaluate the pharmacokinetics and safety of metformin 1000 mg BID when administered with ranolazine 1000 mg BID (Study 1, N = 28)  as compared to metformin alone. </w:t>
            </w:r>
          </w:p>
        </w:tc>
        <w:tc>
          <w:tcPr>
            <w:tcW w:w="320" w:type="pct"/>
            <w:shd w:val="clear" w:color="000000" w:fill="FFFFFF"/>
            <w:vAlign w:val="center"/>
            <w:hideMark/>
          </w:tcPr>
          <w:p w14:paraId="4F5D63CE" w14:textId="77777777" w:rsidR="005A043A" w:rsidRPr="00214F41" w:rsidRDefault="005A043A" w:rsidP="00286762">
            <w:pPr>
              <w:jc w:val="center"/>
              <w:rPr>
                <w:sz w:val="18"/>
                <w:szCs w:val="18"/>
                <w:lang w:val="en-GB"/>
              </w:rPr>
            </w:pPr>
            <w:r w:rsidRPr="00214F41">
              <w:rPr>
                <w:sz w:val="18"/>
                <w:szCs w:val="18"/>
                <w:lang w:val="en-GB"/>
              </w:rPr>
              <w:t>28/28</w:t>
            </w:r>
          </w:p>
        </w:tc>
        <w:tc>
          <w:tcPr>
            <w:tcW w:w="321" w:type="pct"/>
            <w:shd w:val="clear" w:color="000000" w:fill="FFFFFF"/>
            <w:vAlign w:val="center"/>
            <w:hideMark/>
          </w:tcPr>
          <w:p w14:paraId="4CCAAB41" w14:textId="77777777" w:rsidR="005A043A" w:rsidRPr="00214F41" w:rsidRDefault="005A043A" w:rsidP="00286762">
            <w:pPr>
              <w:jc w:val="center"/>
              <w:rPr>
                <w:sz w:val="18"/>
                <w:szCs w:val="18"/>
                <w:lang w:val="en-GB"/>
              </w:rPr>
            </w:pPr>
            <w:r w:rsidRPr="00214F41">
              <w:rPr>
                <w:sz w:val="18"/>
                <w:szCs w:val="18"/>
                <w:lang w:val="en-GB"/>
              </w:rPr>
              <w:t>P≥4 weeks/850-1000mg/2/d</w:t>
            </w:r>
          </w:p>
        </w:tc>
        <w:tc>
          <w:tcPr>
            <w:tcW w:w="502" w:type="pct"/>
            <w:shd w:val="clear" w:color="000000" w:fill="FFFFFF"/>
            <w:vAlign w:val="center"/>
            <w:hideMark/>
          </w:tcPr>
          <w:p w14:paraId="1618B927"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4D83CD28" w14:textId="77777777" w:rsidR="005A043A" w:rsidRPr="00214F41" w:rsidRDefault="005A043A" w:rsidP="00286762">
            <w:pPr>
              <w:jc w:val="center"/>
              <w:rPr>
                <w:sz w:val="18"/>
                <w:szCs w:val="18"/>
                <w:lang w:val="en-GB"/>
              </w:rPr>
            </w:pPr>
            <w:r w:rsidRPr="00214F41">
              <w:rPr>
                <w:sz w:val="18"/>
                <w:szCs w:val="18"/>
                <w:lang w:val="en-GB"/>
              </w:rPr>
              <w:t>2000mg/2/d</w:t>
            </w:r>
          </w:p>
        </w:tc>
        <w:tc>
          <w:tcPr>
            <w:tcW w:w="229" w:type="pct"/>
            <w:shd w:val="clear" w:color="000000" w:fill="FFFFFF"/>
            <w:vAlign w:val="center"/>
            <w:hideMark/>
          </w:tcPr>
          <w:p w14:paraId="54625604" w14:textId="77777777" w:rsidR="005A043A" w:rsidRPr="00214F41" w:rsidRDefault="005A043A" w:rsidP="00286762">
            <w:pPr>
              <w:jc w:val="center"/>
              <w:rPr>
                <w:sz w:val="18"/>
                <w:szCs w:val="18"/>
                <w:lang w:val="en-GB"/>
              </w:rPr>
            </w:pPr>
            <w:r w:rsidRPr="00214F41">
              <w:rPr>
                <w:sz w:val="18"/>
                <w:szCs w:val="18"/>
                <w:lang w:val="en-GB"/>
              </w:rPr>
              <w:t>20</w:t>
            </w:r>
          </w:p>
        </w:tc>
        <w:tc>
          <w:tcPr>
            <w:tcW w:w="274" w:type="pct"/>
            <w:shd w:val="clear" w:color="000000" w:fill="FFFFFF"/>
            <w:vAlign w:val="center"/>
            <w:hideMark/>
          </w:tcPr>
          <w:p w14:paraId="5B8AB32A"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730838AF" w14:textId="77777777" w:rsidR="005A043A" w:rsidRPr="00214F41" w:rsidRDefault="005A043A" w:rsidP="00286762">
            <w:pPr>
              <w:jc w:val="center"/>
              <w:rPr>
                <w:sz w:val="18"/>
                <w:szCs w:val="18"/>
                <w:lang w:val="en-GB"/>
              </w:rPr>
            </w:pPr>
            <w:r w:rsidRPr="00214F41">
              <w:rPr>
                <w:sz w:val="18"/>
                <w:szCs w:val="18"/>
                <w:lang w:val="en-GB"/>
              </w:rPr>
              <w:t xml:space="preserve">Metformin 1000mg BID + </w:t>
            </w:r>
            <w:proofErr w:type="spellStart"/>
            <w:r w:rsidRPr="00214F41">
              <w:rPr>
                <w:sz w:val="18"/>
                <w:szCs w:val="18"/>
                <w:lang w:val="en-GB"/>
              </w:rPr>
              <w:t>Ranolazin</w:t>
            </w:r>
            <w:proofErr w:type="spellEnd"/>
            <w:r w:rsidRPr="00214F41">
              <w:rPr>
                <w:sz w:val="18"/>
                <w:szCs w:val="18"/>
                <w:lang w:val="en-GB"/>
              </w:rPr>
              <w:t xml:space="preserve"> 1000mg BID/MET/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1D737708" w14:textId="77777777" w:rsidR="005A043A" w:rsidRPr="00214F41" w:rsidRDefault="005A043A" w:rsidP="00286762">
            <w:pPr>
              <w:jc w:val="center"/>
              <w:rPr>
                <w:sz w:val="18"/>
                <w:szCs w:val="18"/>
                <w:lang w:val="en-GB"/>
              </w:rPr>
            </w:pPr>
            <w:r w:rsidRPr="00214F41">
              <w:rPr>
                <w:sz w:val="18"/>
                <w:szCs w:val="18"/>
                <w:lang w:val="en-GB"/>
              </w:rPr>
              <w:t>57,1±42-65</w:t>
            </w:r>
          </w:p>
        </w:tc>
        <w:tc>
          <w:tcPr>
            <w:tcW w:w="227" w:type="pct"/>
            <w:shd w:val="clear" w:color="000000" w:fill="FFFFFF"/>
            <w:vAlign w:val="center"/>
            <w:hideMark/>
          </w:tcPr>
          <w:p w14:paraId="71AA1F48" w14:textId="77777777" w:rsidR="005A043A" w:rsidRPr="00214F41" w:rsidRDefault="005A043A" w:rsidP="00286762">
            <w:pPr>
              <w:jc w:val="center"/>
              <w:rPr>
                <w:sz w:val="18"/>
                <w:szCs w:val="18"/>
                <w:lang w:val="en-GB"/>
              </w:rPr>
            </w:pPr>
            <w:r w:rsidRPr="00214F41">
              <w:rPr>
                <w:sz w:val="18"/>
                <w:szCs w:val="18"/>
                <w:lang w:val="en-GB"/>
              </w:rPr>
              <w:t>15/53.6</w:t>
            </w:r>
          </w:p>
        </w:tc>
        <w:tc>
          <w:tcPr>
            <w:tcW w:w="295" w:type="pct"/>
            <w:shd w:val="clear" w:color="000000" w:fill="FFFFFF"/>
            <w:vAlign w:val="center"/>
            <w:hideMark/>
          </w:tcPr>
          <w:p w14:paraId="267F01E5" w14:textId="77777777" w:rsidR="005A043A" w:rsidRPr="00214F41" w:rsidRDefault="005A043A" w:rsidP="00286762">
            <w:pPr>
              <w:jc w:val="center"/>
              <w:rPr>
                <w:sz w:val="18"/>
                <w:szCs w:val="18"/>
                <w:lang w:val="en-GB"/>
              </w:rPr>
            </w:pPr>
            <w:r w:rsidRPr="00214F41">
              <w:rPr>
                <w:sz w:val="18"/>
                <w:szCs w:val="18"/>
                <w:lang w:val="en-GB"/>
              </w:rPr>
              <w:t>31.4±nd</w:t>
            </w:r>
          </w:p>
        </w:tc>
        <w:tc>
          <w:tcPr>
            <w:tcW w:w="301" w:type="pct"/>
            <w:shd w:val="clear" w:color="000000" w:fill="FFFFFF"/>
            <w:vAlign w:val="center"/>
            <w:hideMark/>
          </w:tcPr>
          <w:p w14:paraId="71788807" w14:textId="77777777" w:rsidR="005A043A" w:rsidRPr="00214F41" w:rsidRDefault="005A043A" w:rsidP="00286762">
            <w:pPr>
              <w:jc w:val="center"/>
              <w:rPr>
                <w:sz w:val="18"/>
                <w:szCs w:val="18"/>
                <w:lang w:val="en-GB"/>
              </w:rPr>
            </w:pPr>
            <w:r w:rsidRPr="00214F41">
              <w:rPr>
                <w:sz w:val="18"/>
                <w:szCs w:val="18"/>
                <w:lang w:val="en-GB"/>
              </w:rPr>
              <w:t>31.4/</w:t>
            </w:r>
            <w:proofErr w:type="spellStart"/>
            <w:r w:rsidRPr="00214F41">
              <w:rPr>
                <w:sz w:val="18"/>
                <w:szCs w:val="18"/>
                <w:lang w:val="en-GB"/>
              </w:rPr>
              <w:t>nd</w:t>
            </w:r>
            <w:proofErr w:type="spellEnd"/>
          </w:p>
        </w:tc>
      </w:tr>
      <w:tr w:rsidR="005A043A" w:rsidRPr="0072287D" w14:paraId="4630F206" w14:textId="77777777" w:rsidTr="00286762">
        <w:trPr>
          <w:trHeight w:val="930"/>
        </w:trPr>
        <w:tc>
          <w:tcPr>
            <w:tcW w:w="277" w:type="pct"/>
            <w:shd w:val="clear" w:color="000000" w:fill="FFFFFF"/>
            <w:vAlign w:val="center"/>
            <w:hideMark/>
          </w:tcPr>
          <w:p w14:paraId="0FDD434F" w14:textId="77777777" w:rsidR="005A043A" w:rsidRPr="00214F41" w:rsidRDefault="005A043A" w:rsidP="00286762">
            <w:pPr>
              <w:jc w:val="center"/>
              <w:rPr>
                <w:sz w:val="18"/>
                <w:szCs w:val="18"/>
                <w:lang w:val="en-GB"/>
              </w:rPr>
            </w:pPr>
            <w:r w:rsidRPr="00214F41">
              <w:rPr>
                <w:sz w:val="18"/>
                <w:szCs w:val="18"/>
                <w:lang w:val="en-GB"/>
              </w:rPr>
              <w:lastRenderedPageBreak/>
              <w:t>Zack et al., 2014b</w:t>
            </w:r>
          </w:p>
        </w:tc>
        <w:tc>
          <w:tcPr>
            <w:tcW w:w="293" w:type="pct"/>
            <w:shd w:val="clear" w:color="000000" w:fill="FFFFFF"/>
            <w:vAlign w:val="center"/>
            <w:hideMark/>
          </w:tcPr>
          <w:p w14:paraId="366BE380" w14:textId="77777777" w:rsidR="005A043A" w:rsidRPr="00214F41" w:rsidRDefault="005A043A" w:rsidP="00286762">
            <w:pPr>
              <w:jc w:val="center"/>
              <w:rPr>
                <w:sz w:val="18"/>
                <w:szCs w:val="18"/>
                <w:lang w:val="en-GB"/>
              </w:rPr>
            </w:pPr>
            <w:r w:rsidRPr="00214F41">
              <w:rPr>
                <w:sz w:val="18"/>
                <w:szCs w:val="18"/>
                <w:lang w:val="en-GB"/>
              </w:rPr>
              <w:t>ITT</w:t>
            </w:r>
          </w:p>
        </w:tc>
        <w:tc>
          <w:tcPr>
            <w:tcW w:w="775" w:type="pct"/>
            <w:shd w:val="clear" w:color="000000" w:fill="FFFFFF"/>
            <w:vAlign w:val="center"/>
            <w:hideMark/>
          </w:tcPr>
          <w:p w14:paraId="64036902" w14:textId="77777777" w:rsidR="005A043A" w:rsidRPr="00214F41" w:rsidRDefault="005A043A" w:rsidP="00286762">
            <w:pPr>
              <w:jc w:val="center"/>
              <w:rPr>
                <w:sz w:val="18"/>
                <w:szCs w:val="18"/>
                <w:lang w:val="en-GB"/>
              </w:rPr>
            </w:pPr>
            <w:r w:rsidRPr="00214F41">
              <w:rPr>
                <w:sz w:val="18"/>
                <w:szCs w:val="18"/>
                <w:lang w:val="en-GB"/>
              </w:rPr>
              <w:t xml:space="preserve">To explore the potential for a drug–drug interaction in two phase 1 clinical studies in subjects with T2DM to evaluate the pharmacokinetics and safety of metformin 1000 mg BID when administered with ranolazine 500 mg BID (Study 2, N = 25) as compared to metformin alone. </w:t>
            </w:r>
          </w:p>
        </w:tc>
        <w:tc>
          <w:tcPr>
            <w:tcW w:w="320" w:type="pct"/>
            <w:shd w:val="clear" w:color="000000" w:fill="FFFFFF"/>
            <w:vAlign w:val="center"/>
            <w:hideMark/>
          </w:tcPr>
          <w:p w14:paraId="71E064D0" w14:textId="77777777" w:rsidR="005A043A" w:rsidRPr="00214F41" w:rsidRDefault="005A043A" w:rsidP="00286762">
            <w:pPr>
              <w:jc w:val="center"/>
              <w:rPr>
                <w:sz w:val="18"/>
                <w:szCs w:val="18"/>
                <w:lang w:val="en-GB"/>
              </w:rPr>
            </w:pPr>
            <w:r w:rsidRPr="00214F41">
              <w:rPr>
                <w:sz w:val="18"/>
                <w:szCs w:val="18"/>
                <w:lang w:val="en-GB"/>
              </w:rPr>
              <w:t>24/24</w:t>
            </w:r>
          </w:p>
        </w:tc>
        <w:tc>
          <w:tcPr>
            <w:tcW w:w="321" w:type="pct"/>
            <w:shd w:val="clear" w:color="000000" w:fill="FFFFFF"/>
            <w:vAlign w:val="center"/>
            <w:hideMark/>
          </w:tcPr>
          <w:p w14:paraId="48887FC4" w14:textId="77777777" w:rsidR="005A043A" w:rsidRPr="00214F41" w:rsidRDefault="005A043A" w:rsidP="00286762">
            <w:pPr>
              <w:jc w:val="center"/>
              <w:rPr>
                <w:sz w:val="18"/>
                <w:szCs w:val="18"/>
                <w:lang w:val="en-GB"/>
              </w:rPr>
            </w:pPr>
            <w:r w:rsidRPr="00214F41">
              <w:rPr>
                <w:sz w:val="18"/>
                <w:szCs w:val="18"/>
                <w:lang w:val="en-GB"/>
              </w:rPr>
              <w:t>S≥4weeks≥1500mg/1/d</w:t>
            </w:r>
          </w:p>
        </w:tc>
        <w:tc>
          <w:tcPr>
            <w:tcW w:w="502" w:type="pct"/>
            <w:shd w:val="clear" w:color="000000" w:fill="FFFFFF"/>
            <w:vAlign w:val="center"/>
            <w:hideMark/>
          </w:tcPr>
          <w:p w14:paraId="379A53F3"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362" w:type="pct"/>
            <w:shd w:val="clear" w:color="000000" w:fill="FFFFFF"/>
            <w:vAlign w:val="center"/>
            <w:hideMark/>
          </w:tcPr>
          <w:p w14:paraId="369371A3" w14:textId="77777777" w:rsidR="005A043A" w:rsidRPr="00214F41" w:rsidRDefault="005A043A" w:rsidP="00286762">
            <w:pPr>
              <w:jc w:val="center"/>
              <w:rPr>
                <w:sz w:val="18"/>
                <w:szCs w:val="18"/>
                <w:lang w:val="en-GB"/>
              </w:rPr>
            </w:pPr>
            <w:r w:rsidRPr="00214F41">
              <w:rPr>
                <w:sz w:val="18"/>
                <w:szCs w:val="18"/>
                <w:lang w:val="en-GB"/>
              </w:rPr>
              <w:t>2000mg/2/d</w:t>
            </w:r>
          </w:p>
        </w:tc>
        <w:tc>
          <w:tcPr>
            <w:tcW w:w="229" w:type="pct"/>
            <w:shd w:val="clear" w:color="000000" w:fill="FFFFFF"/>
            <w:vAlign w:val="center"/>
            <w:hideMark/>
          </w:tcPr>
          <w:p w14:paraId="517B4451" w14:textId="77777777" w:rsidR="005A043A" w:rsidRPr="00214F41" w:rsidRDefault="005A043A" w:rsidP="00286762">
            <w:pPr>
              <w:jc w:val="center"/>
              <w:rPr>
                <w:sz w:val="18"/>
                <w:szCs w:val="18"/>
                <w:lang w:val="en-GB"/>
              </w:rPr>
            </w:pPr>
            <w:r w:rsidRPr="00214F41">
              <w:rPr>
                <w:sz w:val="18"/>
                <w:szCs w:val="18"/>
                <w:lang w:val="en-GB"/>
              </w:rPr>
              <w:t>5</w:t>
            </w:r>
          </w:p>
        </w:tc>
        <w:tc>
          <w:tcPr>
            <w:tcW w:w="274" w:type="pct"/>
            <w:shd w:val="clear" w:color="000000" w:fill="FFFFFF"/>
            <w:vAlign w:val="center"/>
            <w:hideMark/>
          </w:tcPr>
          <w:p w14:paraId="00F8C9EC" w14:textId="77777777" w:rsidR="005A043A" w:rsidRPr="00214F41" w:rsidRDefault="005A043A" w:rsidP="00286762">
            <w:pPr>
              <w:jc w:val="center"/>
              <w:rPr>
                <w:sz w:val="18"/>
                <w:szCs w:val="18"/>
                <w:lang w:val="en-GB"/>
              </w:rPr>
            </w:pPr>
            <w:r w:rsidRPr="00214F41">
              <w:rPr>
                <w:sz w:val="18"/>
                <w:szCs w:val="18"/>
                <w:lang w:val="en-GB"/>
              </w:rPr>
              <w:t>IR</w:t>
            </w:r>
          </w:p>
        </w:tc>
        <w:tc>
          <w:tcPr>
            <w:tcW w:w="550" w:type="pct"/>
            <w:shd w:val="clear" w:color="000000" w:fill="FFFFFF"/>
            <w:vAlign w:val="center"/>
            <w:hideMark/>
          </w:tcPr>
          <w:p w14:paraId="636704D3" w14:textId="77777777" w:rsidR="005A043A" w:rsidRPr="00214F41" w:rsidRDefault="005A043A" w:rsidP="00286762">
            <w:pPr>
              <w:jc w:val="center"/>
              <w:rPr>
                <w:sz w:val="18"/>
                <w:szCs w:val="18"/>
                <w:lang w:val="en-GB"/>
              </w:rPr>
            </w:pPr>
            <w:r w:rsidRPr="00214F41">
              <w:rPr>
                <w:sz w:val="18"/>
                <w:szCs w:val="18"/>
                <w:lang w:val="en-GB"/>
              </w:rPr>
              <w:t xml:space="preserve">Metformin 1000mg BID + </w:t>
            </w:r>
            <w:proofErr w:type="spellStart"/>
            <w:r w:rsidRPr="00214F41">
              <w:rPr>
                <w:sz w:val="18"/>
                <w:szCs w:val="18"/>
                <w:lang w:val="en-GB"/>
              </w:rPr>
              <w:t>Ranolazin</w:t>
            </w:r>
            <w:proofErr w:type="spellEnd"/>
            <w:r w:rsidRPr="00214F41">
              <w:rPr>
                <w:sz w:val="18"/>
                <w:szCs w:val="18"/>
                <w:lang w:val="en-GB"/>
              </w:rPr>
              <w:t xml:space="preserve"> 1000mg BI/MET/</w:t>
            </w:r>
            <w:proofErr w:type="spellStart"/>
            <w:r w:rsidRPr="00214F41">
              <w:rPr>
                <w:sz w:val="18"/>
                <w:szCs w:val="18"/>
                <w:lang w:val="en-GB"/>
              </w:rPr>
              <w:t>MET+add</w:t>
            </w:r>
            <w:proofErr w:type="spellEnd"/>
            <w:r w:rsidRPr="00214F41">
              <w:rPr>
                <w:sz w:val="18"/>
                <w:szCs w:val="18"/>
                <w:lang w:val="en-GB"/>
              </w:rPr>
              <w:t xml:space="preserve"> on</w:t>
            </w:r>
          </w:p>
        </w:tc>
        <w:tc>
          <w:tcPr>
            <w:tcW w:w="274" w:type="pct"/>
            <w:shd w:val="clear" w:color="000000" w:fill="FFFFFF"/>
            <w:vAlign w:val="center"/>
            <w:hideMark/>
          </w:tcPr>
          <w:p w14:paraId="0231054C" w14:textId="77777777" w:rsidR="005A043A" w:rsidRPr="00214F41" w:rsidRDefault="005A043A" w:rsidP="00286762">
            <w:pPr>
              <w:jc w:val="center"/>
              <w:rPr>
                <w:sz w:val="18"/>
                <w:szCs w:val="18"/>
                <w:lang w:val="en-GB"/>
              </w:rPr>
            </w:pPr>
            <w:r w:rsidRPr="00214F41">
              <w:rPr>
                <w:sz w:val="18"/>
                <w:szCs w:val="18"/>
                <w:lang w:val="en-GB"/>
              </w:rPr>
              <w:t>56.5±44-65</w:t>
            </w:r>
          </w:p>
        </w:tc>
        <w:tc>
          <w:tcPr>
            <w:tcW w:w="227" w:type="pct"/>
            <w:shd w:val="clear" w:color="000000" w:fill="FFFFFF"/>
            <w:vAlign w:val="center"/>
            <w:hideMark/>
          </w:tcPr>
          <w:p w14:paraId="2DA4F01B" w14:textId="77777777" w:rsidR="005A043A" w:rsidRPr="00214F41" w:rsidRDefault="005A043A" w:rsidP="00286762">
            <w:pPr>
              <w:jc w:val="center"/>
              <w:rPr>
                <w:sz w:val="18"/>
                <w:szCs w:val="18"/>
                <w:lang w:val="en-GB"/>
              </w:rPr>
            </w:pPr>
            <w:r w:rsidRPr="00214F41">
              <w:rPr>
                <w:sz w:val="18"/>
                <w:szCs w:val="18"/>
                <w:lang w:val="en-GB"/>
              </w:rPr>
              <w:t>13/52</w:t>
            </w:r>
          </w:p>
        </w:tc>
        <w:tc>
          <w:tcPr>
            <w:tcW w:w="295" w:type="pct"/>
            <w:shd w:val="clear" w:color="000000" w:fill="FFFFFF"/>
            <w:vAlign w:val="center"/>
            <w:hideMark/>
          </w:tcPr>
          <w:p w14:paraId="2B9BF7D4" w14:textId="77777777" w:rsidR="005A043A" w:rsidRPr="00214F41" w:rsidRDefault="005A043A" w:rsidP="00286762">
            <w:pPr>
              <w:jc w:val="center"/>
              <w:rPr>
                <w:sz w:val="18"/>
                <w:szCs w:val="18"/>
                <w:lang w:val="en-GB"/>
              </w:rPr>
            </w:pPr>
            <w:r w:rsidRPr="00214F41">
              <w:rPr>
                <w:sz w:val="18"/>
                <w:szCs w:val="18"/>
                <w:lang w:val="en-GB"/>
              </w:rPr>
              <w:t>30.9±nd</w:t>
            </w:r>
          </w:p>
        </w:tc>
        <w:tc>
          <w:tcPr>
            <w:tcW w:w="301" w:type="pct"/>
            <w:shd w:val="clear" w:color="000000" w:fill="FFFFFF"/>
            <w:vAlign w:val="center"/>
            <w:hideMark/>
          </w:tcPr>
          <w:p w14:paraId="197F5D74" w14:textId="77777777" w:rsidR="005A043A" w:rsidRPr="00214F41" w:rsidRDefault="005A043A" w:rsidP="00286762">
            <w:pPr>
              <w:jc w:val="center"/>
              <w:rPr>
                <w:sz w:val="18"/>
                <w:szCs w:val="18"/>
                <w:lang w:val="en-GB"/>
              </w:rPr>
            </w:pPr>
            <w:r w:rsidRPr="00214F41">
              <w:rPr>
                <w:sz w:val="18"/>
                <w:szCs w:val="18"/>
                <w:lang w:val="en-GB"/>
              </w:rPr>
              <w:t>30.9/</w:t>
            </w:r>
            <w:proofErr w:type="spellStart"/>
            <w:r w:rsidRPr="00214F41">
              <w:rPr>
                <w:sz w:val="18"/>
                <w:szCs w:val="18"/>
                <w:lang w:val="en-GB"/>
              </w:rPr>
              <w:t>nd</w:t>
            </w:r>
            <w:proofErr w:type="spellEnd"/>
          </w:p>
        </w:tc>
      </w:tr>
    </w:tbl>
    <w:p w14:paraId="5EC1A393" w14:textId="77777777" w:rsidR="005A043A" w:rsidRPr="006A3A77" w:rsidRDefault="005A043A" w:rsidP="005A043A">
      <w:pPr>
        <w:tabs>
          <w:tab w:val="left" w:pos="828"/>
        </w:tabs>
      </w:pPr>
      <w:bookmarkStart w:id="2" w:name="_Hlk102920722"/>
      <w:r w:rsidRPr="006A3A77">
        <w:t xml:space="preserve">Abbreviations: MET -  metformin ; ITT - intention to treat; PP - per protocol; S - started metformin therapy in the study; P - preexisting metformin therapy; </w:t>
      </w:r>
      <w:proofErr w:type="spellStart"/>
      <w:r w:rsidRPr="006A3A77">
        <w:t>nd</w:t>
      </w:r>
      <w:proofErr w:type="spellEnd"/>
      <w:r w:rsidRPr="006A3A77">
        <w:t xml:space="preserve"> – no data.</w:t>
      </w:r>
    </w:p>
    <w:bookmarkEnd w:id="2"/>
    <w:p w14:paraId="45AD1E9C" w14:textId="77777777" w:rsidR="005A043A" w:rsidRPr="00214F41" w:rsidRDefault="005A043A" w:rsidP="005A043A">
      <w:pPr>
        <w:tabs>
          <w:tab w:val="left" w:pos="828"/>
        </w:tabs>
        <w:rPr>
          <w:sz w:val="18"/>
          <w:szCs w:val="18"/>
        </w:rPr>
      </w:pPr>
    </w:p>
    <w:p w14:paraId="1D7C2934" w14:textId="1486E49A" w:rsidR="005A043A" w:rsidRDefault="005A043A" w:rsidP="005A043A">
      <w:pPr>
        <w:widowControl w:val="0"/>
        <w:autoSpaceDE w:val="0"/>
        <w:autoSpaceDN w:val="0"/>
        <w:adjustRightInd w:val="0"/>
        <w:ind w:left="640" w:hanging="640"/>
      </w:pPr>
      <w:r>
        <w:rPr>
          <w:rFonts w:eastAsia="MS Mincho"/>
          <w:color w:val="000000"/>
        </w:rPr>
        <w:t>ESM</w:t>
      </w:r>
      <w:r w:rsidRPr="00D0006F">
        <w:rPr>
          <w:rFonts w:eastAsia="MS Mincho"/>
          <w:color w:val="000000"/>
        </w:rPr>
        <w:t xml:space="preserve"> Table S</w:t>
      </w:r>
      <w:r w:rsidR="007441FC">
        <w:rPr>
          <w:rFonts w:eastAsia="MS Mincho"/>
          <w:color w:val="000000"/>
        </w:rPr>
        <w:t>4</w:t>
      </w:r>
      <w:r w:rsidRPr="00214F41">
        <w:t>. GI complications in persons receiving metformin</w:t>
      </w:r>
    </w:p>
    <w:tbl>
      <w:tblPr>
        <w:tblW w:w="5000" w:type="pct"/>
        <w:tblCellMar>
          <w:left w:w="70" w:type="dxa"/>
          <w:right w:w="70" w:type="dxa"/>
        </w:tblCellMar>
        <w:tblLook w:val="04A0" w:firstRow="1" w:lastRow="0" w:firstColumn="1" w:lastColumn="0" w:noHBand="0" w:noVBand="1"/>
      </w:tblPr>
      <w:tblGrid>
        <w:gridCol w:w="970"/>
        <w:gridCol w:w="864"/>
        <w:gridCol w:w="822"/>
        <w:gridCol w:w="1965"/>
        <w:gridCol w:w="821"/>
        <w:gridCol w:w="821"/>
        <w:gridCol w:w="821"/>
        <w:gridCol w:w="821"/>
        <w:gridCol w:w="753"/>
        <w:gridCol w:w="759"/>
        <w:gridCol w:w="753"/>
        <w:gridCol w:w="759"/>
        <w:gridCol w:w="821"/>
        <w:gridCol w:w="756"/>
        <w:gridCol w:w="756"/>
        <w:gridCol w:w="737"/>
      </w:tblGrid>
      <w:tr w:rsidR="005A043A" w:rsidRPr="0072287D" w14:paraId="67CAED8C" w14:textId="77777777" w:rsidTr="00286762">
        <w:trPr>
          <w:trHeight w:val="432"/>
        </w:trPr>
        <w:tc>
          <w:tcPr>
            <w:tcW w:w="3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58443"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Reference</w:t>
            </w:r>
          </w:p>
        </w:tc>
        <w:tc>
          <w:tcPr>
            <w:tcW w:w="1332" w:type="pct"/>
            <w:gridSpan w:val="3"/>
            <w:tcBorders>
              <w:top w:val="single" w:sz="4" w:space="0" w:color="000000"/>
              <w:left w:val="nil"/>
              <w:bottom w:val="single" w:sz="4" w:space="0" w:color="000000"/>
              <w:right w:val="single" w:sz="4" w:space="0" w:color="000000"/>
            </w:tcBorders>
            <w:shd w:val="clear" w:color="auto" w:fill="auto"/>
            <w:noWrap/>
            <w:vAlign w:val="center"/>
            <w:hideMark/>
          </w:tcPr>
          <w:p w14:paraId="68EFC60B" w14:textId="77777777" w:rsidR="005A043A" w:rsidRPr="00214F41" w:rsidRDefault="005A043A" w:rsidP="00286762">
            <w:pPr>
              <w:jc w:val="center"/>
              <w:rPr>
                <w:b/>
                <w:bCs/>
                <w:color w:val="000000"/>
                <w:sz w:val="18"/>
                <w:szCs w:val="18"/>
              </w:rPr>
            </w:pPr>
            <w:r w:rsidRPr="00214F41">
              <w:rPr>
                <w:b/>
                <w:bCs/>
                <w:color w:val="000000"/>
                <w:sz w:val="18"/>
                <w:szCs w:val="18"/>
              </w:rPr>
              <w:t>Discontinuation due to adverse events</w:t>
            </w:r>
          </w:p>
        </w:tc>
        <w:tc>
          <w:tcPr>
            <w:tcW w:w="563" w:type="pct"/>
            <w:gridSpan w:val="2"/>
            <w:tcBorders>
              <w:top w:val="single" w:sz="4" w:space="0" w:color="000000"/>
              <w:left w:val="nil"/>
              <w:bottom w:val="single" w:sz="4" w:space="0" w:color="000000"/>
              <w:right w:val="nil"/>
            </w:tcBorders>
            <w:shd w:val="clear" w:color="auto" w:fill="auto"/>
            <w:vAlign w:val="center"/>
            <w:hideMark/>
          </w:tcPr>
          <w:p w14:paraId="518D8DAE" w14:textId="77777777" w:rsidR="005A043A" w:rsidRPr="005C189D" w:rsidRDefault="005A043A" w:rsidP="00286762">
            <w:pPr>
              <w:jc w:val="center"/>
              <w:rPr>
                <w:b/>
                <w:bCs/>
                <w:color w:val="000000"/>
                <w:sz w:val="18"/>
                <w:szCs w:val="18"/>
                <w:lang w:val="en-GB"/>
              </w:rPr>
            </w:pPr>
            <w:r w:rsidRPr="00214F41">
              <w:rPr>
                <w:b/>
                <w:bCs/>
                <w:color w:val="000000"/>
                <w:sz w:val="18"/>
                <w:szCs w:val="18"/>
                <w:lang w:val="en-GB"/>
              </w:rPr>
              <w:t xml:space="preserve">abdominal pain </w:t>
            </w:r>
            <w:r w:rsidRPr="005C189D">
              <w:rPr>
                <w:b/>
                <w:bCs/>
                <w:color w:val="000000"/>
                <w:sz w:val="18"/>
                <w:szCs w:val="18"/>
                <w:lang w:val="en-GB"/>
              </w:rPr>
              <w:t>(n)</w:t>
            </w:r>
          </w:p>
        </w:tc>
        <w:tc>
          <w:tcPr>
            <w:tcW w:w="563" w:type="pct"/>
            <w:gridSpan w:val="2"/>
            <w:tcBorders>
              <w:top w:val="single" w:sz="4" w:space="0" w:color="000000"/>
              <w:left w:val="single" w:sz="4" w:space="0" w:color="000000"/>
              <w:bottom w:val="single" w:sz="4" w:space="0" w:color="000000"/>
              <w:right w:val="nil"/>
            </w:tcBorders>
            <w:shd w:val="clear" w:color="auto" w:fill="auto"/>
            <w:vAlign w:val="center"/>
            <w:hideMark/>
          </w:tcPr>
          <w:p w14:paraId="3E812573" w14:textId="77777777" w:rsidR="005A043A" w:rsidRPr="005C189D" w:rsidRDefault="005A043A" w:rsidP="00286762">
            <w:pPr>
              <w:jc w:val="center"/>
              <w:rPr>
                <w:b/>
                <w:bCs/>
                <w:color w:val="000000"/>
                <w:sz w:val="18"/>
                <w:szCs w:val="18"/>
                <w:lang w:val="en-GB"/>
              </w:rPr>
            </w:pPr>
            <w:proofErr w:type="spellStart"/>
            <w:r w:rsidRPr="005C189D">
              <w:rPr>
                <w:b/>
                <w:bCs/>
                <w:color w:val="000000"/>
                <w:sz w:val="18"/>
                <w:szCs w:val="18"/>
                <w:lang w:val="en-GB"/>
              </w:rPr>
              <w:t>Diarrhea</w:t>
            </w:r>
            <w:proofErr w:type="spellEnd"/>
            <w:r w:rsidRPr="005C189D">
              <w:rPr>
                <w:b/>
                <w:bCs/>
                <w:color w:val="000000"/>
                <w:sz w:val="18"/>
                <w:szCs w:val="18"/>
                <w:lang w:val="en-GB"/>
              </w:rPr>
              <w:t xml:space="preserve"> (n)</w:t>
            </w:r>
          </w:p>
        </w:tc>
        <w:tc>
          <w:tcPr>
            <w:tcW w:w="557" w:type="pct"/>
            <w:gridSpan w:val="2"/>
            <w:tcBorders>
              <w:top w:val="single" w:sz="4" w:space="0" w:color="000000"/>
              <w:left w:val="single" w:sz="4" w:space="0" w:color="000000"/>
              <w:bottom w:val="single" w:sz="4" w:space="0" w:color="000000"/>
              <w:right w:val="nil"/>
            </w:tcBorders>
            <w:shd w:val="clear" w:color="auto" w:fill="auto"/>
            <w:vAlign w:val="center"/>
            <w:hideMark/>
          </w:tcPr>
          <w:p w14:paraId="7B86936D"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Vomiting (n)</w:t>
            </w:r>
          </w:p>
        </w:tc>
        <w:tc>
          <w:tcPr>
            <w:tcW w:w="557" w:type="pct"/>
            <w:gridSpan w:val="2"/>
            <w:tcBorders>
              <w:top w:val="single" w:sz="4" w:space="0" w:color="000000"/>
              <w:left w:val="single" w:sz="4" w:space="0" w:color="000000"/>
              <w:bottom w:val="single" w:sz="4" w:space="0" w:color="000000"/>
              <w:right w:val="nil"/>
            </w:tcBorders>
            <w:shd w:val="clear" w:color="auto" w:fill="auto"/>
            <w:vAlign w:val="center"/>
            <w:hideMark/>
          </w:tcPr>
          <w:p w14:paraId="74D2B6F4"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Bloating  (n)</w:t>
            </w:r>
          </w:p>
        </w:tc>
        <w:tc>
          <w:tcPr>
            <w:tcW w:w="560" w:type="pct"/>
            <w:gridSpan w:val="2"/>
            <w:tcBorders>
              <w:top w:val="single" w:sz="4" w:space="0" w:color="000000"/>
              <w:left w:val="single" w:sz="4" w:space="0" w:color="000000"/>
              <w:bottom w:val="single" w:sz="4" w:space="0" w:color="000000"/>
              <w:right w:val="nil"/>
            </w:tcBorders>
            <w:shd w:val="clear" w:color="auto" w:fill="auto"/>
            <w:vAlign w:val="center"/>
            <w:hideMark/>
          </w:tcPr>
          <w:p w14:paraId="52C1A04E"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Nausea (n)</w:t>
            </w:r>
          </w:p>
        </w:tc>
        <w:tc>
          <w:tcPr>
            <w:tcW w:w="554" w:type="pct"/>
            <w:gridSpan w:val="2"/>
            <w:tcBorders>
              <w:top w:val="single" w:sz="4" w:space="0" w:color="000000"/>
              <w:left w:val="single" w:sz="4" w:space="0" w:color="000000"/>
              <w:bottom w:val="single" w:sz="4" w:space="0" w:color="000000"/>
              <w:right w:val="nil"/>
            </w:tcBorders>
            <w:shd w:val="clear" w:color="auto" w:fill="auto"/>
            <w:vAlign w:val="center"/>
            <w:hideMark/>
          </w:tcPr>
          <w:p w14:paraId="692FBF4D"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Constipation (n)</w:t>
            </w:r>
          </w:p>
        </w:tc>
      </w:tr>
      <w:tr w:rsidR="005A043A" w:rsidRPr="0010075C" w14:paraId="0D49596F" w14:textId="77777777" w:rsidTr="00286762">
        <w:trPr>
          <w:trHeight w:val="930"/>
        </w:trPr>
        <w:tc>
          <w:tcPr>
            <w:tcW w:w="312" w:type="pct"/>
            <w:vMerge/>
            <w:tcBorders>
              <w:top w:val="single" w:sz="4" w:space="0" w:color="000000"/>
              <w:left w:val="single" w:sz="4" w:space="0" w:color="000000"/>
              <w:bottom w:val="single" w:sz="4" w:space="0" w:color="000000"/>
              <w:right w:val="single" w:sz="4" w:space="0" w:color="000000"/>
            </w:tcBorders>
            <w:vAlign w:val="center"/>
            <w:hideMark/>
          </w:tcPr>
          <w:p w14:paraId="6F08085F" w14:textId="77777777" w:rsidR="005A043A" w:rsidRPr="005C189D" w:rsidRDefault="005A043A" w:rsidP="00286762">
            <w:pPr>
              <w:rPr>
                <w:b/>
                <w:bCs/>
                <w:color w:val="000000"/>
                <w:sz w:val="18"/>
                <w:szCs w:val="18"/>
                <w:lang w:val="en-GB"/>
              </w:rPr>
            </w:pPr>
          </w:p>
        </w:tc>
        <w:tc>
          <w:tcPr>
            <w:tcW w:w="318" w:type="pct"/>
            <w:tcBorders>
              <w:top w:val="nil"/>
              <w:left w:val="nil"/>
              <w:bottom w:val="single" w:sz="4" w:space="0" w:color="000000"/>
              <w:right w:val="single" w:sz="4" w:space="0" w:color="000000"/>
            </w:tcBorders>
            <w:shd w:val="clear" w:color="auto" w:fill="auto"/>
            <w:vAlign w:val="center"/>
            <w:hideMark/>
          </w:tcPr>
          <w:p w14:paraId="22360FA9"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MET events/ total</w:t>
            </w:r>
          </w:p>
        </w:tc>
        <w:tc>
          <w:tcPr>
            <w:tcW w:w="295" w:type="pct"/>
            <w:tcBorders>
              <w:top w:val="nil"/>
              <w:left w:val="nil"/>
              <w:bottom w:val="single" w:sz="4" w:space="0" w:color="000000"/>
              <w:right w:val="single" w:sz="4" w:space="0" w:color="000000"/>
            </w:tcBorders>
            <w:shd w:val="clear" w:color="auto" w:fill="auto"/>
            <w:vAlign w:val="center"/>
            <w:hideMark/>
          </w:tcPr>
          <w:p w14:paraId="0F0396A5"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CTRL events/ total</w:t>
            </w:r>
          </w:p>
        </w:tc>
        <w:tc>
          <w:tcPr>
            <w:tcW w:w="718" w:type="pct"/>
            <w:tcBorders>
              <w:top w:val="nil"/>
              <w:left w:val="nil"/>
              <w:bottom w:val="single" w:sz="4" w:space="0" w:color="000000"/>
              <w:right w:val="single" w:sz="4" w:space="0" w:color="000000"/>
            </w:tcBorders>
            <w:shd w:val="clear" w:color="auto" w:fill="auto"/>
            <w:vAlign w:val="center"/>
            <w:hideMark/>
          </w:tcPr>
          <w:p w14:paraId="17B70006" w14:textId="77777777" w:rsidR="005A043A" w:rsidRPr="00214F41" w:rsidRDefault="005A043A" w:rsidP="00286762">
            <w:pPr>
              <w:jc w:val="center"/>
              <w:rPr>
                <w:b/>
                <w:bCs/>
                <w:color w:val="000000"/>
                <w:sz w:val="18"/>
                <w:szCs w:val="18"/>
                <w:lang w:val="en-GB"/>
              </w:rPr>
            </w:pPr>
            <w:r w:rsidRPr="00214F41">
              <w:rPr>
                <w:b/>
                <w:bCs/>
                <w:color w:val="000000"/>
                <w:sz w:val="18"/>
                <w:szCs w:val="18"/>
                <w:lang w:val="en-GB"/>
              </w:rPr>
              <w:t>type of adverse event</w:t>
            </w:r>
          </w:p>
        </w:tc>
        <w:tc>
          <w:tcPr>
            <w:tcW w:w="282" w:type="pct"/>
            <w:tcBorders>
              <w:top w:val="nil"/>
              <w:left w:val="nil"/>
              <w:bottom w:val="single" w:sz="4" w:space="0" w:color="000000"/>
              <w:right w:val="single" w:sz="4" w:space="0" w:color="000000"/>
            </w:tcBorders>
            <w:shd w:val="clear" w:color="auto" w:fill="auto"/>
            <w:vAlign w:val="center"/>
            <w:hideMark/>
          </w:tcPr>
          <w:p w14:paraId="6288B5FA"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 xml:space="preserve">MET cases/ total </w:t>
            </w:r>
          </w:p>
        </w:tc>
        <w:tc>
          <w:tcPr>
            <w:tcW w:w="282" w:type="pct"/>
            <w:tcBorders>
              <w:top w:val="nil"/>
              <w:left w:val="nil"/>
              <w:bottom w:val="single" w:sz="4" w:space="0" w:color="000000"/>
              <w:right w:val="single" w:sz="4" w:space="0" w:color="000000"/>
            </w:tcBorders>
            <w:shd w:val="clear" w:color="auto" w:fill="auto"/>
            <w:vAlign w:val="center"/>
            <w:hideMark/>
          </w:tcPr>
          <w:p w14:paraId="31BA22D2"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CTRL cases/ total</w:t>
            </w:r>
          </w:p>
        </w:tc>
        <w:tc>
          <w:tcPr>
            <w:tcW w:w="282" w:type="pct"/>
            <w:tcBorders>
              <w:top w:val="nil"/>
              <w:left w:val="nil"/>
              <w:bottom w:val="single" w:sz="4" w:space="0" w:color="000000"/>
              <w:right w:val="single" w:sz="4" w:space="0" w:color="000000"/>
            </w:tcBorders>
            <w:shd w:val="clear" w:color="auto" w:fill="auto"/>
            <w:vAlign w:val="center"/>
            <w:hideMark/>
          </w:tcPr>
          <w:p w14:paraId="4CD69473"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MET cases/ total</w:t>
            </w:r>
          </w:p>
        </w:tc>
        <w:tc>
          <w:tcPr>
            <w:tcW w:w="282" w:type="pct"/>
            <w:tcBorders>
              <w:top w:val="nil"/>
              <w:left w:val="nil"/>
              <w:bottom w:val="single" w:sz="4" w:space="0" w:color="000000"/>
              <w:right w:val="single" w:sz="4" w:space="0" w:color="000000"/>
            </w:tcBorders>
            <w:shd w:val="clear" w:color="auto" w:fill="auto"/>
            <w:vAlign w:val="center"/>
            <w:hideMark/>
          </w:tcPr>
          <w:p w14:paraId="5F09E887"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CTRL cases/ total</w:t>
            </w:r>
          </w:p>
        </w:tc>
        <w:tc>
          <w:tcPr>
            <w:tcW w:w="278" w:type="pct"/>
            <w:tcBorders>
              <w:top w:val="nil"/>
              <w:left w:val="nil"/>
              <w:bottom w:val="single" w:sz="4" w:space="0" w:color="000000"/>
              <w:right w:val="single" w:sz="4" w:space="0" w:color="000000"/>
            </w:tcBorders>
            <w:shd w:val="clear" w:color="auto" w:fill="auto"/>
            <w:vAlign w:val="center"/>
            <w:hideMark/>
          </w:tcPr>
          <w:p w14:paraId="1A2A5A56"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MET cases/ total</w:t>
            </w:r>
          </w:p>
        </w:tc>
        <w:tc>
          <w:tcPr>
            <w:tcW w:w="280" w:type="pct"/>
            <w:tcBorders>
              <w:top w:val="nil"/>
              <w:left w:val="nil"/>
              <w:bottom w:val="single" w:sz="4" w:space="0" w:color="000000"/>
              <w:right w:val="single" w:sz="4" w:space="0" w:color="000000"/>
            </w:tcBorders>
            <w:shd w:val="clear" w:color="auto" w:fill="auto"/>
            <w:vAlign w:val="center"/>
            <w:hideMark/>
          </w:tcPr>
          <w:p w14:paraId="65D8602B"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CTRL cases/ total</w:t>
            </w:r>
          </w:p>
        </w:tc>
        <w:tc>
          <w:tcPr>
            <w:tcW w:w="278" w:type="pct"/>
            <w:tcBorders>
              <w:top w:val="nil"/>
              <w:left w:val="nil"/>
              <w:bottom w:val="single" w:sz="4" w:space="0" w:color="000000"/>
              <w:right w:val="single" w:sz="4" w:space="0" w:color="000000"/>
            </w:tcBorders>
            <w:shd w:val="clear" w:color="auto" w:fill="auto"/>
            <w:vAlign w:val="center"/>
            <w:hideMark/>
          </w:tcPr>
          <w:p w14:paraId="38EE440A"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MET cases/ total</w:t>
            </w:r>
          </w:p>
        </w:tc>
        <w:tc>
          <w:tcPr>
            <w:tcW w:w="280" w:type="pct"/>
            <w:tcBorders>
              <w:top w:val="nil"/>
              <w:left w:val="nil"/>
              <w:bottom w:val="single" w:sz="4" w:space="0" w:color="000000"/>
              <w:right w:val="single" w:sz="4" w:space="0" w:color="000000"/>
            </w:tcBorders>
            <w:shd w:val="clear" w:color="auto" w:fill="auto"/>
            <w:vAlign w:val="center"/>
            <w:hideMark/>
          </w:tcPr>
          <w:p w14:paraId="27B4F51F"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CTRL cases/ total</w:t>
            </w:r>
          </w:p>
        </w:tc>
        <w:tc>
          <w:tcPr>
            <w:tcW w:w="282" w:type="pct"/>
            <w:tcBorders>
              <w:top w:val="nil"/>
              <w:left w:val="nil"/>
              <w:bottom w:val="single" w:sz="4" w:space="0" w:color="000000"/>
              <w:right w:val="single" w:sz="4" w:space="0" w:color="000000"/>
            </w:tcBorders>
            <w:shd w:val="clear" w:color="auto" w:fill="auto"/>
            <w:vAlign w:val="center"/>
            <w:hideMark/>
          </w:tcPr>
          <w:p w14:paraId="642C76A8"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MET cases/ total</w:t>
            </w:r>
          </w:p>
        </w:tc>
        <w:tc>
          <w:tcPr>
            <w:tcW w:w="279" w:type="pct"/>
            <w:tcBorders>
              <w:top w:val="nil"/>
              <w:left w:val="nil"/>
              <w:bottom w:val="single" w:sz="4" w:space="0" w:color="000000"/>
              <w:right w:val="single" w:sz="4" w:space="0" w:color="000000"/>
            </w:tcBorders>
            <w:shd w:val="clear" w:color="auto" w:fill="auto"/>
            <w:vAlign w:val="center"/>
            <w:hideMark/>
          </w:tcPr>
          <w:p w14:paraId="18D1076A"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CTRL cases/ total</w:t>
            </w:r>
          </w:p>
        </w:tc>
        <w:tc>
          <w:tcPr>
            <w:tcW w:w="279" w:type="pct"/>
            <w:tcBorders>
              <w:top w:val="nil"/>
              <w:left w:val="nil"/>
              <w:bottom w:val="single" w:sz="4" w:space="0" w:color="000000"/>
              <w:right w:val="single" w:sz="4" w:space="0" w:color="000000"/>
            </w:tcBorders>
            <w:shd w:val="clear" w:color="auto" w:fill="auto"/>
            <w:vAlign w:val="center"/>
            <w:hideMark/>
          </w:tcPr>
          <w:p w14:paraId="26163511"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MET cases/ total</w:t>
            </w:r>
          </w:p>
        </w:tc>
        <w:tc>
          <w:tcPr>
            <w:tcW w:w="276" w:type="pct"/>
            <w:tcBorders>
              <w:top w:val="nil"/>
              <w:left w:val="nil"/>
              <w:bottom w:val="single" w:sz="4" w:space="0" w:color="000000"/>
              <w:right w:val="single" w:sz="4" w:space="0" w:color="000000"/>
            </w:tcBorders>
            <w:shd w:val="clear" w:color="auto" w:fill="auto"/>
            <w:vAlign w:val="center"/>
            <w:hideMark/>
          </w:tcPr>
          <w:p w14:paraId="3CFE928F" w14:textId="77777777" w:rsidR="005A043A" w:rsidRPr="005C189D" w:rsidRDefault="005A043A" w:rsidP="00286762">
            <w:pPr>
              <w:jc w:val="center"/>
              <w:rPr>
                <w:b/>
                <w:bCs/>
                <w:color w:val="000000"/>
                <w:sz w:val="18"/>
                <w:szCs w:val="18"/>
                <w:lang w:val="en-GB"/>
              </w:rPr>
            </w:pPr>
            <w:r w:rsidRPr="005C189D">
              <w:rPr>
                <w:b/>
                <w:bCs/>
                <w:color w:val="000000"/>
                <w:sz w:val="18"/>
                <w:szCs w:val="18"/>
                <w:lang w:val="en-GB"/>
              </w:rPr>
              <w:t>CTRL cases/ total</w:t>
            </w:r>
          </w:p>
        </w:tc>
      </w:tr>
      <w:tr w:rsidR="005A043A" w:rsidRPr="00214F41" w14:paraId="0A4B8ADC" w14:textId="77777777" w:rsidTr="00286762">
        <w:trPr>
          <w:trHeight w:val="278"/>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51F8B6DD" w14:textId="77777777" w:rsidR="005A043A" w:rsidRPr="00214F41" w:rsidRDefault="005A043A" w:rsidP="00286762">
            <w:pPr>
              <w:jc w:val="center"/>
              <w:rPr>
                <w:sz w:val="18"/>
                <w:szCs w:val="18"/>
              </w:rPr>
            </w:pPr>
            <w:r w:rsidRPr="005C189D">
              <w:rPr>
                <w:sz w:val="18"/>
                <w:szCs w:val="18"/>
                <w:lang w:val="en-GB"/>
              </w:rPr>
              <w:t>Agg</w:t>
            </w:r>
            <w:proofErr w:type="spellStart"/>
            <w:r w:rsidRPr="00214F41">
              <w:rPr>
                <w:sz w:val="18"/>
                <w:szCs w:val="18"/>
              </w:rPr>
              <w:t>arwal</w:t>
            </w:r>
            <w:proofErr w:type="spellEnd"/>
            <w:r w:rsidRPr="00214F41">
              <w:rPr>
                <w:sz w:val="18"/>
                <w:szCs w:val="18"/>
              </w:rPr>
              <w:t xml:space="preserve"> et al., 2017</w:t>
            </w:r>
          </w:p>
        </w:tc>
        <w:tc>
          <w:tcPr>
            <w:tcW w:w="318" w:type="pct"/>
            <w:tcBorders>
              <w:top w:val="single" w:sz="4" w:space="0" w:color="auto"/>
              <w:left w:val="nil"/>
              <w:bottom w:val="single" w:sz="4" w:space="0" w:color="auto"/>
              <w:right w:val="single" w:sz="4" w:space="0" w:color="auto"/>
            </w:tcBorders>
            <w:shd w:val="clear" w:color="auto" w:fill="auto"/>
            <w:vAlign w:val="center"/>
            <w:hideMark/>
          </w:tcPr>
          <w:p w14:paraId="4D8C1753" w14:textId="77777777" w:rsidR="005A043A" w:rsidRPr="00214F41" w:rsidRDefault="005A043A" w:rsidP="00286762">
            <w:pPr>
              <w:jc w:val="center"/>
              <w:rPr>
                <w:sz w:val="18"/>
                <w:szCs w:val="18"/>
              </w:rPr>
            </w:pPr>
            <w:r w:rsidRPr="00214F41">
              <w:rPr>
                <w:sz w:val="18"/>
                <w:szCs w:val="18"/>
              </w:rPr>
              <w:t>6/268</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1267993B" w14:textId="77777777" w:rsidR="005A043A" w:rsidRPr="00214F41" w:rsidRDefault="005A043A" w:rsidP="00286762">
            <w:pPr>
              <w:jc w:val="center"/>
              <w:rPr>
                <w:sz w:val="18"/>
                <w:szCs w:val="18"/>
              </w:rPr>
            </w:pPr>
            <w:r w:rsidRPr="00214F41">
              <w:rPr>
                <w:sz w:val="18"/>
                <w:szCs w:val="18"/>
              </w:rPr>
              <w:t>1/271</w:t>
            </w:r>
          </w:p>
        </w:tc>
        <w:tc>
          <w:tcPr>
            <w:tcW w:w="718" w:type="pct"/>
            <w:tcBorders>
              <w:top w:val="single" w:sz="4" w:space="0" w:color="auto"/>
              <w:left w:val="nil"/>
              <w:bottom w:val="single" w:sz="4" w:space="0" w:color="auto"/>
              <w:right w:val="single" w:sz="4" w:space="0" w:color="auto"/>
            </w:tcBorders>
            <w:shd w:val="clear" w:color="auto" w:fill="auto"/>
            <w:vAlign w:val="center"/>
            <w:hideMark/>
          </w:tcPr>
          <w:p w14:paraId="2B6E2A40" w14:textId="77777777" w:rsidR="005A043A" w:rsidRPr="00214F41" w:rsidRDefault="005A043A" w:rsidP="00286762">
            <w:pPr>
              <w:jc w:val="center"/>
              <w:rPr>
                <w:sz w:val="18"/>
                <w:szCs w:val="18"/>
              </w:rPr>
            </w:pPr>
            <w:r w:rsidRPr="00214F41">
              <w:rPr>
                <w:sz w:val="18"/>
                <w:szCs w:val="18"/>
                <w:lang w:val="en-GB"/>
              </w:rPr>
              <w:t xml:space="preserve">most frequently GI disorders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C57AD78" w14:textId="77777777" w:rsidR="005A043A" w:rsidRPr="00214F41" w:rsidRDefault="005A043A" w:rsidP="00286762">
            <w:pPr>
              <w:jc w:val="center"/>
              <w:rPr>
                <w:sz w:val="18"/>
                <w:szCs w:val="18"/>
              </w:rPr>
            </w:pPr>
            <w:r w:rsidRPr="00214F41">
              <w:rPr>
                <w:sz w:val="18"/>
                <w:szCs w:val="18"/>
              </w:rPr>
              <w:t>4/283</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0AA6B4BB" w14:textId="77777777" w:rsidR="005A043A" w:rsidRPr="00214F41" w:rsidRDefault="005A043A" w:rsidP="00286762">
            <w:pPr>
              <w:jc w:val="center"/>
              <w:rPr>
                <w:sz w:val="18"/>
                <w:szCs w:val="18"/>
              </w:rPr>
            </w:pPr>
            <w:r w:rsidRPr="00214F41">
              <w:rPr>
                <w:sz w:val="18"/>
                <w:szCs w:val="18"/>
              </w:rPr>
              <w:t>6/285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8701F22" w14:textId="77777777" w:rsidR="005A043A" w:rsidRPr="00214F41" w:rsidRDefault="005A043A" w:rsidP="00286762">
            <w:pPr>
              <w:jc w:val="center"/>
              <w:rPr>
                <w:sz w:val="18"/>
                <w:szCs w:val="18"/>
              </w:rPr>
            </w:pPr>
            <w:r w:rsidRPr="00214F41">
              <w:rPr>
                <w:sz w:val="18"/>
                <w:szCs w:val="18"/>
              </w:rPr>
              <w:t>25/283</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406733D8" w14:textId="77777777" w:rsidR="005A043A" w:rsidRPr="00214F41" w:rsidRDefault="005A043A" w:rsidP="00286762">
            <w:pPr>
              <w:jc w:val="center"/>
              <w:rPr>
                <w:sz w:val="18"/>
                <w:szCs w:val="18"/>
              </w:rPr>
            </w:pPr>
            <w:r w:rsidRPr="00214F41">
              <w:rPr>
                <w:sz w:val="18"/>
                <w:szCs w:val="18"/>
              </w:rPr>
              <w:t>22/285</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523CACCD" w14:textId="77777777" w:rsidR="005A043A" w:rsidRPr="00214F41" w:rsidRDefault="005A043A" w:rsidP="00286762">
            <w:pPr>
              <w:jc w:val="center"/>
              <w:rPr>
                <w:sz w:val="18"/>
                <w:szCs w:val="18"/>
              </w:rPr>
            </w:pPr>
            <w:r w:rsidRPr="00214F41">
              <w:rPr>
                <w:sz w:val="18"/>
                <w:szCs w:val="18"/>
              </w:rPr>
              <w:t>7/283</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CBE0B50" w14:textId="77777777" w:rsidR="005A043A" w:rsidRPr="00214F41" w:rsidRDefault="005A043A" w:rsidP="00286762">
            <w:pPr>
              <w:jc w:val="center"/>
              <w:rPr>
                <w:sz w:val="18"/>
                <w:szCs w:val="18"/>
              </w:rPr>
            </w:pPr>
            <w:r w:rsidRPr="00214F41">
              <w:rPr>
                <w:sz w:val="18"/>
                <w:szCs w:val="18"/>
              </w:rPr>
              <w:t>4/285</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21C4E9E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A4E4E3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491B3ACB" w14:textId="77777777" w:rsidR="005A043A" w:rsidRPr="00214F41" w:rsidRDefault="005A043A" w:rsidP="00286762">
            <w:pPr>
              <w:jc w:val="center"/>
              <w:rPr>
                <w:sz w:val="18"/>
                <w:szCs w:val="18"/>
              </w:rPr>
            </w:pPr>
            <w:r w:rsidRPr="00214F41">
              <w:rPr>
                <w:sz w:val="18"/>
                <w:szCs w:val="18"/>
              </w:rPr>
              <w:t>13/283</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34AB5B08" w14:textId="77777777" w:rsidR="005A043A" w:rsidRPr="00214F41" w:rsidRDefault="005A043A" w:rsidP="00286762">
            <w:pPr>
              <w:jc w:val="center"/>
              <w:rPr>
                <w:sz w:val="18"/>
                <w:szCs w:val="18"/>
              </w:rPr>
            </w:pPr>
            <w:r w:rsidRPr="00214F41">
              <w:rPr>
                <w:sz w:val="18"/>
                <w:szCs w:val="18"/>
              </w:rPr>
              <w:t>8/285</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2CD0213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4797169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3C1576C5" w14:textId="77777777" w:rsidTr="00286762">
        <w:trPr>
          <w:trHeight w:val="46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0F1ADD23" w14:textId="77777777" w:rsidR="005A043A" w:rsidRPr="00214F41" w:rsidRDefault="005A043A" w:rsidP="00286762">
            <w:pPr>
              <w:jc w:val="center"/>
              <w:rPr>
                <w:sz w:val="18"/>
                <w:szCs w:val="18"/>
              </w:rPr>
            </w:pPr>
            <w:proofErr w:type="spellStart"/>
            <w:r w:rsidRPr="00214F41">
              <w:rPr>
                <w:sz w:val="18"/>
                <w:szCs w:val="18"/>
              </w:rPr>
              <w:t>Aschner</w:t>
            </w:r>
            <w:proofErr w:type="spellEnd"/>
            <w:r w:rsidRPr="00214F41">
              <w:rPr>
                <w:sz w:val="18"/>
                <w:szCs w:val="18"/>
              </w:rPr>
              <w:t xml:space="preserve"> et al.., 2010</w:t>
            </w:r>
          </w:p>
        </w:tc>
        <w:tc>
          <w:tcPr>
            <w:tcW w:w="318" w:type="pct"/>
            <w:tcBorders>
              <w:top w:val="nil"/>
              <w:left w:val="nil"/>
              <w:bottom w:val="single" w:sz="4" w:space="0" w:color="auto"/>
              <w:right w:val="single" w:sz="4" w:space="0" w:color="auto"/>
            </w:tcBorders>
            <w:shd w:val="clear" w:color="000000" w:fill="FFFFFF"/>
            <w:vAlign w:val="center"/>
            <w:hideMark/>
          </w:tcPr>
          <w:p w14:paraId="14A23892" w14:textId="77777777" w:rsidR="005A043A" w:rsidRPr="00214F41" w:rsidRDefault="005A043A" w:rsidP="00286762">
            <w:pPr>
              <w:jc w:val="center"/>
              <w:rPr>
                <w:sz w:val="18"/>
                <w:szCs w:val="18"/>
              </w:rPr>
            </w:pPr>
            <w:r w:rsidRPr="00214F41">
              <w:rPr>
                <w:sz w:val="18"/>
                <w:szCs w:val="18"/>
              </w:rPr>
              <w:t>19/522</w:t>
            </w:r>
          </w:p>
        </w:tc>
        <w:tc>
          <w:tcPr>
            <w:tcW w:w="295" w:type="pct"/>
            <w:tcBorders>
              <w:top w:val="nil"/>
              <w:left w:val="nil"/>
              <w:bottom w:val="single" w:sz="4" w:space="0" w:color="auto"/>
              <w:right w:val="single" w:sz="4" w:space="0" w:color="auto"/>
            </w:tcBorders>
            <w:shd w:val="clear" w:color="000000" w:fill="FFFFFF"/>
            <w:vAlign w:val="center"/>
            <w:hideMark/>
          </w:tcPr>
          <w:p w14:paraId="2E60FD00" w14:textId="77777777" w:rsidR="005A043A" w:rsidRPr="00214F41" w:rsidRDefault="005A043A" w:rsidP="00286762">
            <w:pPr>
              <w:jc w:val="center"/>
              <w:rPr>
                <w:sz w:val="18"/>
                <w:szCs w:val="18"/>
              </w:rPr>
            </w:pPr>
            <w:r w:rsidRPr="00214F41">
              <w:rPr>
                <w:sz w:val="18"/>
                <w:szCs w:val="18"/>
              </w:rPr>
              <w:t>0/528</w:t>
            </w:r>
          </w:p>
        </w:tc>
        <w:tc>
          <w:tcPr>
            <w:tcW w:w="718" w:type="pct"/>
            <w:tcBorders>
              <w:top w:val="nil"/>
              <w:left w:val="nil"/>
              <w:bottom w:val="single" w:sz="4" w:space="0" w:color="auto"/>
              <w:right w:val="single" w:sz="4" w:space="0" w:color="auto"/>
            </w:tcBorders>
            <w:shd w:val="clear" w:color="000000" w:fill="FFFFFF"/>
            <w:vAlign w:val="center"/>
            <w:hideMark/>
          </w:tcPr>
          <w:p w14:paraId="59D6B92C"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D8AB476" w14:textId="77777777" w:rsidR="005A043A" w:rsidRPr="00214F41" w:rsidRDefault="005A043A" w:rsidP="00286762">
            <w:pPr>
              <w:jc w:val="center"/>
              <w:rPr>
                <w:sz w:val="18"/>
                <w:szCs w:val="18"/>
              </w:rPr>
            </w:pPr>
            <w:r w:rsidRPr="00214F41">
              <w:rPr>
                <w:sz w:val="18"/>
                <w:szCs w:val="18"/>
              </w:rPr>
              <w:t>20/522</w:t>
            </w:r>
          </w:p>
        </w:tc>
        <w:tc>
          <w:tcPr>
            <w:tcW w:w="282" w:type="pct"/>
            <w:tcBorders>
              <w:top w:val="nil"/>
              <w:left w:val="nil"/>
              <w:bottom w:val="single" w:sz="4" w:space="0" w:color="auto"/>
              <w:right w:val="single" w:sz="4" w:space="0" w:color="auto"/>
            </w:tcBorders>
            <w:shd w:val="clear" w:color="000000" w:fill="FFFFFF"/>
            <w:vAlign w:val="center"/>
            <w:hideMark/>
          </w:tcPr>
          <w:p w14:paraId="6D39E6C9" w14:textId="77777777" w:rsidR="005A043A" w:rsidRPr="00214F41" w:rsidRDefault="005A043A" w:rsidP="00286762">
            <w:pPr>
              <w:jc w:val="center"/>
              <w:rPr>
                <w:sz w:val="18"/>
                <w:szCs w:val="18"/>
              </w:rPr>
            </w:pPr>
            <w:r w:rsidRPr="00214F41">
              <w:rPr>
                <w:sz w:val="18"/>
                <w:szCs w:val="18"/>
              </w:rPr>
              <w:t>11/528</w:t>
            </w:r>
          </w:p>
        </w:tc>
        <w:tc>
          <w:tcPr>
            <w:tcW w:w="282" w:type="pct"/>
            <w:tcBorders>
              <w:top w:val="nil"/>
              <w:left w:val="nil"/>
              <w:bottom w:val="single" w:sz="4" w:space="0" w:color="auto"/>
              <w:right w:val="single" w:sz="4" w:space="0" w:color="auto"/>
            </w:tcBorders>
            <w:shd w:val="clear" w:color="000000" w:fill="FFFFFF"/>
            <w:vAlign w:val="center"/>
            <w:hideMark/>
          </w:tcPr>
          <w:p w14:paraId="615797A4" w14:textId="77777777" w:rsidR="005A043A" w:rsidRPr="00214F41" w:rsidRDefault="005A043A" w:rsidP="00286762">
            <w:pPr>
              <w:jc w:val="center"/>
              <w:rPr>
                <w:sz w:val="18"/>
                <w:szCs w:val="18"/>
              </w:rPr>
            </w:pPr>
            <w:r w:rsidRPr="00214F41">
              <w:rPr>
                <w:sz w:val="18"/>
                <w:szCs w:val="18"/>
              </w:rPr>
              <w:t>57/522</w:t>
            </w:r>
          </w:p>
        </w:tc>
        <w:tc>
          <w:tcPr>
            <w:tcW w:w="282" w:type="pct"/>
            <w:tcBorders>
              <w:top w:val="nil"/>
              <w:left w:val="nil"/>
              <w:bottom w:val="single" w:sz="4" w:space="0" w:color="auto"/>
              <w:right w:val="single" w:sz="4" w:space="0" w:color="auto"/>
            </w:tcBorders>
            <w:shd w:val="clear" w:color="000000" w:fill="FFFFFF"/>
            <w:vAlign w:val="center"/>
            <w:hideMark/>
          </w:tcPr>
          <w:p w14:paraId="78615AB2" w14:textId="77777777" w:rsidR="005A043A" w:rsidRPr="00214F41" w:rsidRDefault="005A043A" w:rsidP="00286762">
            <w:pPr>
              <w:jc w:val="center"/>
              <w:rPr>
                <w:sz w:val="18"/>
                <w:szCs w:val="18"/>
              </w:rPr>
            </w:pPr>
            <w:r w:rsidRPr="00214F41">
              <w:rPr>
                <w:sz w:val="18"/>
                <w:szCs w:val="18"/>
              </w:rPr>
              <w:t>19/528</w:t>
            </w:r>
          </w:p>
        </w:tc>
        <w:tc>
          <w:tcPr>
            <w:tcW w:w="278" w:type="pct"/>
            <w:tcBorders>
              <w:top w:val="nil"/>
              <w:left w:val="nil"/>
              <w:bottom w:val="single" w:sz="4" w:space="0" w:color="auto"/>
              <w:right w:val="single" w:sz="4" w:space="0" w:color="auto"/>
            </w:tcBorders>
            <w:shd w:val="clear" w:color="000000" w:fill="FFFFFF"/>
            <w:vAlign w:val="center"/>
            <w:hideMark/>
          </w:tcPr>
          <w:p w14:paraId="49E162FD" w14:textId="77777777" w:rsidR="005A043A" w:rsidRPr="00214F41" w:rsidRDefault="005A043A" w:rsidP="00286762">
            <w:pPr>
              <w:jc w:val="center"/>
              <w:rPr>
                <w:sz w:val="18"/>
                <w:szCs w:val="18"/>
              </w:rPr>
            </w:pPr>
            <w:r w:rsidRPr="00214F41">
              <w:rPr>
                <w:sz w:val="18"/>
                <w:szCs w:val="18"/>
              </w:rPr>
              <w:t>7/522</w:t>
            </w:r>
          </w:p>
        </w:tc>
        <w:tc>
          <w:tcPr>
            <w:tcW w:w="280" w:type="pct"/>
            <w:tcBorders>
              <w:top w:val="nil"/>
              <w:left w:val="nil"/>
              <w:bottom w:val="single" w:sz="4" w:space="0" w:color="auto"/>
              <w:right w:val="single" w:sz="4" w:space="0" w:color="auto"/>
            </w:tcBorders>
            <w:shd w:val="clear" w:color="000000" w:fill="FFFFFF"/>
            <w:vAlign w:val="center"/>
            <w:hideMark/>
          </w:tcPr>
          <w:p w14:paraId="669F555B" w14:textId="77777777" w:rsidR="005A043A" w:rsidRPr="00214F41" w:rsidRDefault="005A043A" w:rsidP="00286762">
            <w:pPr>
              <w:jc w:val="center"/>
              <w:rPr>
                <w:sz w:val="18"/>
                <w:szCs w:val="18"/>
              </w:rPr>
            </w:pPr>
            <w:r w:rsidRPr="00214F41">
              <w:rPr>
                <w:sz w:val="18"/>
                <w:szCs w:val="18"/>
              </w:rPr>
              <w:t>2/528</w:t>
            </w:r>
          </w:p>
        </w:tc>
        <w:tc>
          <w:tcPr>
            <w:tcW w:w="278" w:type="pct"/>
            <w:tcBorders>
              <w:top w:val="nil"/>
              <w:left w:val="nil"/>
              <w:bottom w:val="single" w:sz="4" w:space="0" w:color="auto"/>
              <w:right w:val="single" w:sz="4" w:space="0" w:color="auto"/>
            </w:tcBorders>
            <w:shd w:val="clear" w:color="000000" w:fill="FFFFFF"/>
            <w:vAlign w:val="center"/>
            <w:hideMark/>
          </w:tcPr>
          <w:p w14:paraId="099A6EE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49D94E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C64F9A4" w14:textId="77777777" w:rsidR="005A043A" w:rsidRPr="00214F41" w:rsidRDefault="005A043A" w:rsidP="00286762">
            <w:pPr>
              <w:jc w:val="center"/>
              <w:rPr>
                <w:sz w:val="18"/>
                <w:szCs w:val="18"/>
              </w:rPr>
            </w:pPr>
            <w:r w:rsidRPr="00214F41">
              <w:rPr>
                <w:sz w:val="18"/>
                <w:szCs w:val="18"/>
              </w:rPr>
              <w:t>16/522</w:t>
            </w:r>
          </w:p>
        </w:tc>
        <w:tc>
          <w:tcPr>
            <w:tcW w:w="279" w:type="pct"/>
            <w:tcBorders>
              <w:top w:val="nil"/>
              <w:left w:val="nil"/>
              <w:bottom w:val="single" w:sz="4" w:space="0" w:color="auto"/>
              <w:right w:val="single" w:sz="4" w:space="0" w:color="auto"/>
            </w:tcBorders>
            <w:shd w:val="clear" w:color="000000" w:fill="FFFFFF"/>
            <w:vAlign w:val="center"/>
            <w:hideMark/>
          </w:tcPr>
          <w:p w14:paraId="38C9DF1F" w14:textId="77777777" w:rsidR="005A043A" w:rsidRPr="00214F41" w:rsidRDefault="005A043A" w:rsidP="00286762">
            <w:pPr>
              <w:jc w:val="center"/>
              <w:rPr>
                <w:sz w:val="18"/>
                <w:szCs w:val="18"/>
              </w:rPr>
            </w:pPr>
            <w:r w:rsidRPr="00214F41">
              <w:rPr>
                <w:sz w:val="18"/>
                <w:szCs w:val="18"/>
              </w:rPr>
              <w:t>6/528</w:t>
            </w:r>
          </w:p>
        </w:tc>
        <w:tc>
          <w:tcPr>
            <w:tcW w:w="279" w:type="pct"/>
            <w:tcBorders>
              <w:top w:val="nil"/>
              <w:left w:val="nil"/>
              <w:bottom w:val="single" w:sz="4" w:space="0" w:color="auto"/>
              <w:right w:val="single" w:sz="4" w:space="0" w:color="auto"/>
            </w:tcBorders>
            <w:shd w:val="clear" w:color="000000" w:fill="FFFFFF"/>
            <w:vAlign w:val="center"/>
            <w:hideMark/>
          </w:tcPr>
          <w:p w14:paraId="33817A3C" w14:textId="77777777" w:rsidR="005A043A" w:rsidRPr="00214F41" w:rsidRDefault="005A043A" w:rsidP="00286762">
            <w:pPr>
              <w:jc w:val="center"/>
              <w:rPr>
                <w:sz w:val="18"/>
                <w:szCs w:val="18"/>
              </w:rPr>
            </w:pPr>
            <w:r w:rsidRPr="00214F41">
              <w:rPr>
                <w:sz w:val="18"/>
                <w:szCs w:val="18"/>
              </w:rPr>
              <w:t>5/522</w:t>
            </w:r>
          </w:p>
        </w:tc>
        <w:tc>
          <w:tcPr>
            <w:tcW w:w="276" w:type="pct"/>
            <w:tcBorders>
              <w:top w:val="nil"/>
              <w:left w:val="nil"/>
              <w:bottom w:val="single" w:sz="4" w:space="0" w:color="auto"/>
              <w:right w:val="single" w:sz="4" w:space="0" w:color="auto"/>
            </w:tcBorders>
            <w:shd w:val="clear" w:color="000000" w:fill="FFFFFF"/>
            <w:vAlign w:val="center"/>
            <w:hideMark/>
          </w:tcPr>
          <w:p w14:paraId="093B1EB3" w14:textId="77777777" w:rsidR="005A043A" w:rsidRPr="00214F41" w:rsidRDefault="005A043A" w:rsidP="00286762">
            <w:pPr>
              <w:jc w:val="center"/>
              <w:rPr>
                <w:sz w:val="18"/>
                <w:szCs w:val="18"/>
              </w:rPr>
            </w:pPr>
            <w:r w:rsidRPr="00214F41">
              <w:rPr>
                <w:sz w:val="18"/>
                <w:szCs w:val="18"/>
              </w:rPr>
              <w:t>9/528</w:t>
            </w:r>
          </w:p>
        </w:tc>
      </w:tr>
      <w:tr w:rsidR="005A043A" w:rsidRPr="00214F41" w14:paraId="2DE2DB65" w14:textId="77777777" w:rsidTr="00286762">
        <w:trPr>
          <w:trHeight w:val="56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1E7A30D2" w14:textId="77777777" w:rsidR="005A043A" w:rsidRPr="00214F41" w:rsidRDefault="005A043A" w:rsidP="00286762">
            <w:pPr>
              <w:jc w:val="center"/>
              <w:rPr>
                <w:sz w:val="18"/>
                <w:szCs w:val="18"/>
              </w:rPr>
            </w:pPr>
            <w:r w:rsidRPr="00214F41">
              <w:rPr>
                <w:sz w:val="18"/>
                <w:szCs w:val="18"/>
              </w:rPr>
              <w:t>Bailey et al., 2005</w:t>
            </w:r>
          </w:p>
        </w:tc>
        <w:tc>
          <w:tcPr>
            <w:tcW w:w="318" w:type="pct"/>
            <w:tcBorders>
              <w:top w:val="nil"/>
              <w:left w:val="nil"/>
              <w:bottom w:val="single" w:sz="4" w:space="0" w:color="auto"/>
              <w:right w:val="single" w:sz="4" w:space="0" w:color="auto"/>
            </w:tcBorders>
            <w:shd w:val="clear" w:color="000000" w:fill="FFFFFF"/>
            <w:vAlign w:val="center"/>
            <w:hideMark/>
          </w:tcPr>
          <w:p w14:paraId="50AFA62E" w14:textId="77777777" w:rsidR="005A043A" w:rsidRPr="00214F41" w:rsidRDefault="005A043A" w:rsidP="00286762">
            <w:pPr>
              <w:jc w:val="center"/>
              <w:rPr>
                <w:sz w:val="18"/>
                <w:szCs w:val="18"/>
              </w:rPr>
            </w:pPr>
            <w:r w:rsidRPr="00214F41">
              <w:rPr>
                <w:sz w:val="18"/>
                <w:szCs w:val="18"/>
              </w:rPr>
              <w:t>22/280</w:t>
            </w:r>
          </w:p>
        </w:tc>
        <w:tc>
          <w:tcPr>
            <w:tcW w:w="295" w:type="pct"/>
            <w:tcBorders>
              <w:top w:val="nil"/>
              <w:left w:val="nil"/>
              <w:bottom w:val="single" w:sz="4" w:space="0" w:color="auto"/>
              <w:right w:val="single" w:sz="4" w:space="0" w:color="auto"/>
            </w:tcBorders>
            <w:shd w:val="clear" w:color="000000" w:fill="FFFFFF"/>
            <w:vAlign w:val="center"/>
            <w:hideMark/>
          </w:tcPr>
          <w:p w14:paraId="7D870DE5" w14:textId="77777777" w:rsidR="005A043A" w:rsidRPr="00214F41" w:rsidRDefault="005A043A" w:rsidP="00286762">
            <w:pPr>
              <w:jc w:val="center"/>
              <w:rPr>
                <w:sz w:val="18"/>
                <w:szCs w:val="18"/>
              </w:rPr>
            </w:pPr>
            <w:r w:rsidRPr="00214F41">
              <w:rPr>
                <w:sz w:val="18"/>
                <w:szCs w:val="18"/>
              </w:rPr>
              <w:t>12/288</w:t>
            </w:r>
          </w:p>
        </w:tc>
        <w:tc>
          <w:tcPr>
            <w:tcW w:w="718" w:type="pct"/>
            <w:tcBorders>
              <w:top w:val="nil"/>
              <w:left w:val="nil"/>
              <w:bottom w:val="single" w:sz="4" w:space="0" w:color="auto"/>
              <w:right w:val="single" w:sz="4" w:space="0" w:color="auto"/>
            </w:tcBorders>
            <w:shd w:val="clear" w:color="000000" w:fill="FFFFFF"/>
            <w:vAlign w:val="center"/>
            <w:hideMark/>
          </w:tcPr>
          <w:p w14:paraId="412D0C91" w14:textId="77777777" w:rsidR="005A043A" w:rsidRPr="00214F41" w:rsidRDefault="005A043A" w:rsidP="00286762">
            <w:pPr>
              <w:jc w:val="center"/>
              <w:rPr>
                <w:sz w:val="18"/>
                <w:szCs w:val="18"/>
              </w:rPr>
            </w:pPr>
            <w:r w:rsidRPr="00214F41">
              <w:rPr>
                <w:sz w:val="18"/>
                <w:szCs w:val="18"/>
                <w:lang w:val="en-GB"/>
              </w:rPr>
              <w:t xml:space="preserve">most frequently GI disorders </w:t>
            </w:r>
          </w:p>
        </w:tc>
        <w:tc>
          <w:tcPr>
            <w:tcW w:w="282" w:type="pct"/>
            <w:tcBorders>
              <w:top w:val="nil"/>
              <w:left w:val="nil"/>
              <w:bottom w:val="single" w:sz="4" w:space="0" w:color="auto"/>
              <w:right w:val="single" w:sz="4" w:space="0" w:color="auto"/>
            </w:tcBorders>
            <w:shd w:val="clear" w:color="000000" w:fill="FFFFFF"/>
            <w:vAlign w:val="center"/>
            <w:hideMark/>
          </w:tcPr>
          <w:p w14:paraId="7847F29C" w14:textId="77777777" w:rsidR="005A043A" w:rsidRPr="00214F41" w:rsidRDefault="005A043A" w:rsidP="00286762">
            <w:pPr>
              <w:jc w:val="center"/>
              <w:rPr>
                <w:sz w:val="18"/>
                <w:szCs w:val="18"/>
              </w:rPr>
            </w:pPr>
            <w:r w:rsidRPr="00214F41">
              <w:rPr>
                <w:sz w:val="18"/>
                <w:szCs w:val="18"/>
              </w:rPr>
              <w:t>25/280</w:t>
            </w:r>
          </w:p>
        </w:tc>
        <w:tc>
          <w:tcPr>
            <w:tcW w:w="282" w:type="pct"/>
            <w:tcBorders>
              <w:top w:val="nil"/>
              <w:left w:val="nil"/>
              <w:bottom w:val="single" w:sz="4" w:space="0" w:color="auto"/>
              <w:right w:val="single" w:sz="4" w:space="0" w:color="auto"/>
            </w:tcBorders>
            <w:shd w:val="clear" w:color="000000" w:fill="FFFFFF"/>
            <w:vAlign w:val="center"/>
            <w:hideMark/>
          </w:tcPr>
          <w:p w14:paraId="7B334600" w14:textId="77777777" w:rsidR="005A043A" w:rsidRPr="00214F41" w:rsidRDefault="005A043A" w:rsidP="00286762">
            <w:pPr>
              <w:jc w:val="center"/>
              <w:rPr>
                <w:sz w:val="18"/>
                <w:szCs w:val="18"/>
              </w:rPr>
            </w:pPr>
            <w:r w:rsidRPr="00214F41">
              <w:rPr>
                <w:sz w:val="18"/>
                <w:szCs w:val="18"/>
              </w:rPr>
              <w:t>17/288</w:t>
            </w:r>
          </w:p>
        </w:tc>
        <w:tc>
          <w:tcPr>
            <w:tcW w:w="282" w:type="pct"/>
            <w:tcBorders>
              <w:top w:val="nil"/>
              <w:left w:val="nil"/>
              <w:bottom w:val="single" w:sz="4" w:space="0" w:color="auto"/>
              <w:right w:val="single" w:sz="4" w:space="0" w:color="auto"/>
            </w:tcBorders>
            <w:shd w:val="clear" w:color="000000" w:fill="FFFFFF"/>
            <w:vAlign w:val="center"/>
            <w:hideMark/>
          </w:tcPr>
          <w:p w14:paraId="79116D9A" w14:textId="77777777" w:rsidR="005A043A" w:rsidRPr="00214F41" w:rsidRDefault="005A043A" w:rsidP="00286762">
            <w:pPr>
              <w:jc w:val="center"/>
              <w:rPr>
                <w:sz w:val="18"/>
                <w:szCs w:val="18"/>
              </w:rPr>
            </w:pPr>
            <w:r w:rsidRPr="00214F41">
              <w:rPr>
                <w:sz w:val="18"/>
                <w:szCs w:val="18"/>
              </w:rPr>
              <w:t>39/280</w:t>
            </w:r>
          </w:p>
        </w:tc>
        <w:tc>
          <w:tcPr>
            <w:tcW w:w="282" w:type="pct"/>
            <w:tcBorders>
              <w:top w:val="nil"/>
              <w:left w:val="nil"/>
              <w:bottom w:val="single" w:sz="4" w:space="0" w:color="auto"/>
              <w:right w:val="single" w:sz="4" w:space="0" w:color="auto"/>
            </w:tcBorders>
            <w:shd w:val="clear" w:color="000000" w:fill="FFFFFF"/>
            <w:vAlign w:val="center"/>
            <w:hideMark/>
          </w:tcPr>
          <w:p w14:paraId="2CA693AC" w14:textId="77777777" w:rsidR="005A043A" w:rsidRPr="00214F41" w:rsidRDefault="005A043A" w:rsidP="00286762">
            <w:pPr>
              <w:jc w:val="center"/>
              <w:rPr>
                <w:sz w:val="18"/>
                <w:szCs w:val="18"/>
              </w:rPr>
            </w:pPr>
            <w:r w:rsidRPr="00214F41">
              <w:rPr>
                <w:sz w:val="18"/>
                <w:szCs w:val="18"/>
              </w:rPr>
              <w:t>17/288</w:t>
            </w:r>
          </w:p>
        </w:tc>
        <w:tc>
          <w:tcPr>
            <w:tcW w:w="278" w:type="pct"/>
            <w:tcBorders>
              <w:top w:val="nil"/>
              <w:left w:val="nil"/>
              <w:bottom w:val="single" w:sz="4" w:space="0" w:color="auto"/>
              <w:right w:val="single" w:sz="4" w:space="0" w:color="auto"/>
            </w:tcBorders>
            <w:shd w:val="clear" w:color="000000" w:fill="FFFFFF"/>
            <w:vAlign w:val="center"/>
            <w:hideMark/>
          </w:tcPr>
          <w:p w14:paraId="0D7C088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A5FCAC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77F2324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1803B7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F76245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025DDF5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664E31D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60DA32F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01BC8DB3" w14:textId="77777777" w:rsidTr="00286762">
        <w:trPr>
          <w:trHeight w:val="41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307701B" w14:textId="77777777" w:rsidR="005A043A" w:rsidRPr="00214F41" w:rsidRDefault="005A043A" w:rsidP="00286762">
            <w:pPr>
              <w:jc w:val="center"/>
              <w:rPr>
                <w:sz w:val="18"/>
                <w:szCs w:val="18"/>
              </w:rPr>
            </w:pPr>
            <w:r w:rsidRPr="00214F41">
              <w:rPr>
                <w:sz w:val="18"/>
                <w:szCs w:val="18"/>
              </w:rPr>
              <w:lastRenderedPageBreak/>
              <w:t>Blonde et al., 2002</w:t>
            </w:r>
          </w:p>
        </w:tc>
        <w:tc>
          <w:tcPr>
            <w:tcW w:w="318" w:type="pct"/>
            <w:tcBorders>
              <w:top w:val="nil"/>
              <w:left w:val="nil"/>
              <w:bottom w:val="single" w:sz="4" w:space="0" w:color="auto"/>
              <w:right w:val="single" w:sz="4" w:space="0" w:color="auto"/>
            </w:tcBorders>
            <w:shd w:val="clear" w:color="000000" w:fill="FFFFFF"/>
            <w:vAlign w:val="center"/>
            <w:hideMark/>
          </w:tcPr>
          <w:p w14:paraId="7F64A168" w14:textId="77777777" w:rsidR="005A043A" w:rsidRPr="00214F41" w:rsidRDefault="005A043A" w:rsidP="00286762">
            <w:pPr>
              <w:jc w:val="center"/>
              <w:rPr>
                <w:sz w:val="18"/>
                <w:szCs w:val="18"/>
              </w:rPr>
            </w:pPr>
            <w:r w:rsidRPr="00214F41">
              <w:rPr>
                <w:sz w:val="18"/>
                <w:szCs w:val="18"/>
              </w:rPr>
              <w:t>8/153</w:t>
            </w:r>
          </w:p>
        </w:tc>
        <w:tc>
          <w:tcPr>
            <w:tcW w:w="295" w:type="pct"/>
            <w:tcBorders>
              <w:top w:val="nil"/>
              <w:left w:val="nil"/>
              <w:bottom w:val="single" w:sz="4" w:space="0" w:color="auto"/>
              <w:right w:val="single" w:sz="4" w:space="0" w:color="auto"/>
            </w:tcBorders>
            <w:shd w:val="clear" w:color="000000" w:fill="FFFFFF"/>
            <w:vAlign w:val="center"/>
            <w:hideMark/>
          </w:tcPr>
          <w:p w14:paraId="52911EAC" w14:textId="77777777" w:rsidR="005A043A" w:rsidRPr="00214F41" w:rsidRDefault="005A043A" w:rsidP="00286762">
            <w:pPr>
              <w:jc w:val="center"/>
              <w:rPr>
                <w:sz w:val="18"/>
                <w:szCs w:val="18"/>
              </w:rPr>
            </w:pPr>
            <w:r w:rsidRPr="00214F41">
              <w:rPr>
                <w:sz w:val="18"/>
                <w:szCs w:val="18"/>
              </w:rPr>
              <w:t>5/164</w:t>
            </w:r>
          </w:p>
        </w:tc>
        <w:tc>
          <w:tcPr>
            <w:tcW w:w="718" w:type="pct"/>
            <w:tcBorders>
              <w:top w:val="nil"/>
              <w:left w:val="nil"/>
              <w:bottom w:val="single" w:sz="4" w:space="0" w:color="auto"/>
              <w:right w:val="single" w:sz="4" w:space="0" w:color="auto"/>
            </w:tcBorders>
            <w:shd w:val="clear" w:color="000000" w:fill="FFFFFF"/>
            <w:vAlign w:val="center"/>
            <w:hideMark/>
          </w:tcPr>
          <w:p w14:paraId="24528B1F"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DAFE78D" w14:textId="77777777" w:rsidR="005A043A" w:rsidRPr="00214F41" w:rsidRDefault="005A043A" w:rsidP="00286762">
            <w:pPr>
              <w:jc w:val="center"/>
              <w:rPr>
                <w:sz w:val="18"/>
                <w:szCs w:val="18"/>
              </w:rPr>
            </w:pPr>
            <w:r w:rsidRPr="00214F41">
              <w:rPr>
                <w:sz w:val="18"/>
                <w:szCs w:val="18"/>
              </w:rPr>
              <w:t>13/153</w:t>
            </w:r>
          </w:p>
        </w:tc>
        <w:tc>
          <w:tcPr>
            <w:tcW w:w="282" w:type="pct"/>
            <w:tcBorders>
              <w:top w:val="nil"/>
              <w:left w:val="nil"/>
              <w:bottom w:val="single" w:sz="4" w:space="0" w:color="auto"/>
              <w:right w:val="single" w:sz="4" w:space="0" w:color="auto"/>
            </w:tcBorders>
            <w:shd w:val="clear" w:color="000000" w:fill="FFFFFF"/>
            <w:vAlign w:val="center"/>
            <w:hideMark/>
          </w:tcPr>
          <w:p w14:paraId="3052C40C" w14:textId="77777777" w:rsidR="005A043A" w:rsidRPr="00214F41" w:rsidRDefault="005A043A" w:rsidP="00286762">
            <w:pPr>
              <w:jc w:val="center"/>
              <w:rPr>
                <w:sz w:val="18"/>
                <w:szCs w:val="18"/>
              </w:rPr>
            </w:pPr>
            <w:r w:rsidRPr="00214F41">
              <w:rPr>
                <w:sz w:val="18"/>
                <w:szCs w:val="18"/>
              </w:rPr>
              <w:t>4/164</w:t>
            </w:r>
          </w:p>
        </w:tc>
        <w:tc>
          <w:tcPr>
            <w:tcW w:w="282" w:type="pct"/>
            <w:tcBorders>
              <w:top w:val="nil"/>
              <w:left w:val="nil"/>
              <w:bottom w:val="single" w:sz="4" w:space="0" w:color="auto"/>
              <w:right w:val="single" w:sz="4" w:space="0" w:color="auto"/>
            </w:tcBorders>
            <w:shd w:val="clear" w:color="000000" w:fill="FFFFFF"/>
            <w:vAlign w:val="center"/>
            <w:hideMark/>
          </w:tcPr>
          <w:p w14:paraId="7237C032" w14:textId="77777777" w:rsidR="005A043A" w:rsidRPr="00214F41" w:rsidRDefault="005A043A" w:rsidP="00286762">
            <w:pPr>
              <w:jc w:val="center"/>
              <w:rPr>
                <w:sz w:val="18"/>
                <w:szCs w:val="18"/>
              </w:rPr>
            </w:pPr>
            <w:r w:rsidRPr="00214F41">
              <w:rPr>
                <w:sz w:val="18"/>
                <w:szCs w:val="18"/>
              </w:rPr>
              <w:t>38/153</w:t>
            </w:r>
          </w:p>
        </w:tc>
        <w:tc>
          <w:tcPr>
            <w:tcW w:w="282" w:type="pct"/>
            <w:tcBorders>
              <w:top w:val="nil"/>
              <w:left w:val="nil"/>
              <w:bottom w:val="single" w:sz="4" w:space="0" w:color="auto"/>
              <w:right w:val="single" w:sz="4" w:space="0" w:color="auto"/>
            </w:tcBorders>
            <w:shd w:val="clear" w:color="000000" w:fill="FFFFFF"/>
            <w:vAlign w:val="center"/>
            <w:hideMark/>
          </w:tcPr>
          <w:p w14:paraId="5FD53513" w14:textId="77777777" w:rsidR="005A043A" w:rsidRPr="00214F41" w:rsidRDefault="005A043A" w:rsidP="00286762">
            <w:pPr>
              <w:jc w:val="center"/>
              <w:rPr>
                <w:sz w:val="18"/>
                <w:szCs w:val="18"/>
              </w:rPr>
            </w:pPr>
            <w:r w:rsidRPr="00214F41">
              <w:rPr>
                <w:sz w:val="18"/>
                <w:szCs w:val="18"/>
              </w:rPr>
              <w:t>10/164</w:t>
            </w:r>
          </w:p>
        </w:tc>
        <w:tc>
          <w:tcPr>
            <w:tcW w:w="278" w:type="pct"/>
            <w:tcBorders>
              <w:top w:val="nil"/>
              <w:left w:val="nil"/>
              <w:bottom w:val="single" w:sz="4" w:space="0" w:color="auto"/>
              <w:right w:val="single" w:sz="4" w:space="0" w:color="auto"/>
            </w:tcBorders>
            <w:shd w:val="clear" w:color="000000" w:fill="FFFFFF"/>
            <w:vAlign w:val="center"/>
            <w:hideMark/>
          </w:tcPr>
          <w:p w14:paraId="1161FDEF" w14:textId="77777777" w:rsidR="005A043A" w:rsidRPr="00214F41" w:rsidRDefault="005A043A" w:rsidP="00286762">
            <w:pPr>
              <w:jc w:val="center"/>
              <w:rPr>
                <w:sz w:val="18"/>
                <w:szCs w:val="18"/>
              </w:rPr>
            </w:pPr>
            <w:r w:rsidRPr="00214F41">
              <w:rPr>
                <w:sz w:val="18"/>
                <w:szCs w:val="18"/>
              </w:rPr>
              <w:t>19/153</w:t>
            </w:r>
          </w:p>
        </w:tc>
        <w:tc>
          <w:tcPr>
            <w:tcW w:w="280" w:type="pct"/>
            <w:tcBorders>
              <w:top w:val="nil"/>
              <w:left w:val="nil"/>
              <w:bottom w:val="single" w:sz="4" w:space="0" w:color="auto"/>
              <w:right w:val="single" w:sz="4" w:space="0" w:color="auto"/>
            </w:tcBorders>
            <w:shd w:val="clear" w:color="000000" w:fill="FFFFFF"/>
            <w:vAlign w:val="center"/>
            <w:hideMark/>
          </w:tcPr>
          <w:p w14:paraId="7757801B" w14:textId="77777777" w:rsidR="005A043A" w:rsidRPr="00214F41" w:rsidRDefault="005A043A" w:rsidP="00286762">
            <w:pPr>
              <w:jc w:val="center"/>
              <w:rPr>
                <w:sz w:val="18"/>
                <w:szCs w:val="18"/>
              </w:rPr>
            </w:pPr>
            <w:r w:rsidRPr="00214F41">
              <w:rPr>
                <w:sz w:val="18"/>
                <w:szCs w:val="18"/>
              </w:rPr>
              <w:t>9/164</w:t>
            </w:r>
          </w:p>
        </w:tc>
        <w:tc>
          <w:tcPr>
            <w:tcW w:w="278" w:type="pct"/>
            <w:tcBorders>
              <w:top w:val="nil"/>
              <w:left w:val="nil"/>
              <w:bottom w:val="single" w:sz="4" w:space="0" w:color="auto"/>
              <w:right w:val="single" w:sz="4" w:space="0" w:color="auto"/>
            </w:tcBorders>
            <w:shd w:val="clear" w:color="000000" w:fill="FFFFFF"/>
            <w:vAlign w:val="center"/>
            <w:hideMark/>
          </w:tcPr>
          <w:p w14:paraId="72DA742E" w14:textId="77777777" w:rsidR="005A043A" w:rsidRPr="00214F41" w:rsidRDefault="005A043A" w:rsidP="00286762">
            <w:pPr>
              <w:jc w:val="center"/>
              <w:rPr>
                <w:sz w:val="18"/>
                <w:szCs w:val="18"/>
              </w:rPr>
            </w:pPr>
            <w:r w:rsidRPr="00214F41">
              <w:rPr>
                <w:sz w:val="18"/>
                <w:szCs w:val="18"/>
              </w:rPr>
              <w:t>3/153</w:t>
            </w:r>
          </w:p>
        </w:tc>
        <w:tc>
          <w:tcPr>
            <w:tcW w:w="280" w:type="pct"/>
            <w:tcBorders>
              <w:top w:val="nil"/>
              <w:left w:val="nil"/>
              <w:bottom w:val="single" w:sz="4" w:space="0" w:color="auto"/>
              <w:right w:val="single" w:sz="4" w:space="0" w:color="auto"/>
            </w:tcBorders>
            <w:shd w:val="clear" w:color="000000" w:fill="FFFFFF"/>
            <w:vAlign w:val="center"/>
            <w:hideMark/>
          </w:tcPr>
          <w:p w14:paraId="41A809F6" w14:textId="77777777" w:rsidR="005A043A" w:rsidRPr="00214F41" w:rsidRDefault="005A043A" w:rsidP="00286762">
            <w:pPr>
              <w:jc w:val="center"/>
              <w:rPr>
                <w:sz w:val="18"/>
                <w:szCs w:val="18"/>
              </w:rPr>
            </w:pPr>
            <w:r w:rsidRPr="00214F41">
              <w:rPr>
                <w:sz w:val="18"/>
                <w:szCs w:val="18"/>
              </w:rPr>
              <w:t>0/164</w:t>
            </w:r>
          </w:p>
        </w:tc>
        <w:tc>
          <w:tcPr>
            <w:tcW w:w="282" w:type="pct"/>
            <w:tcBorders>
              <w:top w:val="nil"/>
              <w:left w:val="nil"/>
              <w:bottom w:val="single" w:sz="4" w:space="0" w:color="auto"/>
              <w:right w:val="single" w:sz="4" w:space="0" w:color="auto"/>
            </w:tcBorders>
            <w:shd w:val="clear" w:color="000000" w:fill="FFFFFF"/>
            <w:vAlign w:val="center"/>
            <w:hideMark/>
          </w:tcPr>
          <w:p w14:paraId="669308F1" w14:textId="77777777" w:rsidR="005A043A" w:rsidRPr="00214F41" w:rsidRDefault="005A043A" w:rsidP="00286762">
            <w:pPr>
              <w:jc w:val="center"/>
              <w:rPr>
                <w:sz w:val="18"/>
                <w:szCs w:val="18"/>
              </w:rPr>
            </w:pPr>
            <w:r w:rsidRPr="00214F41">
              <w:rPr>
                <w:sz w:val="18"/>
                <w:szCs w:val="18"/>
              </w:rPr>
              <w:t>19/153</w:t>
            </w:r>
          </w:p>
        </w:tc>
        <w:tc>
          <w:tcPr>
            <w:tcW w:w="279" w:type="pct"/>
            <w:tcBorders>
              <w:top w:val="nil"/>
              <w:left w:val="nil"/>
              <w:bottom w:val="single" w:sz="4" w:space="0" w:color="auto"/>
              <w:right w:val="single" w:sz="4" w:space="0" w:color="auto"/>
            </w:tcBorders>
            <w:shd w:val="clear" w:color="000000" w:fill="FFFFFF"/>
            <w:vAlign w:val="center"/>
            <w:hideMark/>
          </w:tcPr>
          <w:p w14:paraId="31CAF8F1" w14:textId="77777777" w:rsidR="005A043A" w:rsidRPr="00214F41" w:rsidRDefault="005A043A" w:rsidP="00286762">
            <w:pPr>
              <w:jc w:val="center"/>
              <w:rPr>
                <w:sz w:val="18"/>
                <w:szCs w:val="18"/>
              </w:rPr>
            </w:pPr>
            <w:r w:rsidRPr="00214F41">
              <w:rPr>
                <w:sz w:val="18"/>
                <w:szCs w:val="18"/>
              </w:rPr>
              <w:t>9/164</w:t>
            </w:r>
          </w:p>
        </w:tc>
        <w:tc>
          <w:tcPr>
            <w:tcW w:w="279" w:type="pct"/>
            <w:tcBorders>
              <w:top w:val="nil"/>
              <w:left w:val="nil"/>
              <w:bottom w:val="single" w:sz="4" w:space="0" w:color="auto"/>
              <w:right w:val="single" w:sz="4" w:space="0" w:color="auto"/>
            </w:tcBorders>
            <w:shd w:val="clear" w:color="000000" w:fill="FFFFFF"/>
            <w:vAlign w:val="center"/>
            <w:hideMark/>
          </w:tcPr>
          <w:p w14:paraId="52BD04E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871D31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19261A1C" w14:textId="77777777" w:rsidTr="00286762">
        <w:trPr>
          <w:trHeight w:val="56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3994CC2B" w14:textId="77777777" w:rsidR="005A043A" w:rsidRPr="00214F41" w:rsidRDefault="005A043A" w:rsidP="00286762">
            <w:pPr>
              <w:jc w:val="center"/>
              <w:rPr>
                <w:sz w:val="18"/>
                <w:szCs w:val="18"/>
              </w:rPr>
            </w:pPr>
            <w:proofErr w:type="spellStart"/>
            <w:r w:rsidRPr="00214F41">
              <w:rPr>
                <w:sz w:val="18"/>
                <w:szCs w:val="18"/>
              </w:rPr>
              <w:t>Ferrannini</w:t>
            </w:r>
            <w:proofErr w:type="spellEnd"/>
            <w:r w:rsidRPr="00214F41">
              <w:rPr>
                <w:sz w:val="18"/>
                <w:szCs w:val="18"/>
              </w:rPr>
              <w:t xml:space="preserve"> et al.., 2013</w:t>
            </w:r>
          </w:p>
        </w:tc>
        <w:tc>
          <w:tcPr>
            <w:tcW w:w="318" w:type="pct"/>
            <w:tcBorders>
              <w:top w:val="nil"/>
              <w:left w:val="nil"/>
              <w:bottom w:val="single" w:sz="4" w:space="0" w:color="auto"/>
              <w:right w:val="single" w:sz="4" w:space="0" w:color="auto"/>
            </w:tcBorders>
            <w:shd w:val="clear" w:color="000000" w:fill="FFFFFF"/>
            <w:vAlign w:val="center"/>
            <w:hideMark/>
          </w:tcPr>
          <w:p w14:paraId="1C6953AF" w14:textId="77777777" w:rsidR="005A043A" w:rsidRPr="00214F41" w:rsidRDefault="005A043A" w:rsidP="00286762">
            <w:pPr>
              <w:jc w:val="center"/>
              <w:rPr>
                <w:sz w:val="18"/>
                <w:szCs w:val="18"/>
              </w:rPr>
            </w:pPr>
            <w:r w:rsidRPr="00214F41">
              <w:rPr>
                <w:sz w:val="18"/>
                <w:szCs w:val="18"/>
              </w:rPr>
              <w:t>1|56</w:t>
            </w:r>
          </w:p>
        </w:tc>
        <w:tc>
          <w:tcPr>
            <w:tcW w:w="295" w:type="pct"/>
            <w:tcBorders>
              <w:top w:val="nil"/>
              <w:left w:val="nil"/>
              <w:bottom w:val="single" w:sz="4" w:space="0" w:color="auto"/>
              <w:right w:val="single" w:sz="4" w:space="0" w:color="auto"/>
            </w:tcBorders>
            <w:shd w:val="clear" w:color="000000" w:fill="FFFFFF"/>
            <w:vAlign w:val="center"/>
            <w:hideMark/>
          </w:tcPr>
          <w:p w14:paraId="0FBC24B0" w14:textId="77777777" w:rsidR="005A043A" w:rsidRPr="00214F41" w:rsidRDefault="005A043A" w:rsidP="00286762">
            <w:pPr>
              <w:jc w:val="center"/>
              <w:rPr>
                <w:sz w:val="18"/>
                <w:szCs w:val="18"/>
              </w:rPr>
            </w:pPr>
            <w:r w:rsidRPr="00214F41">
              <w:rPr>
                <w:sz w:val="18"/>
                <w:szCs w:val="18"/>
              </w:rPr>
              <w:t>5/106</w:t>
            </w:r>
          </w:p>
        </w:tc>
        <w:tc>
          <w:tcPr>
            <w:tcW w:w="718" w:type="pct"/>
            <w:tcBorders>
              <w:top w:val="nil"/>
              <w:left w:val="nil"/>
              <w:bottom w:val="single" w:sz="4" w:space="0" w:color="auto"/>
              <w:right w:val="single" w:sz="4" w:space="0" w:color="auto"/>
            </w:tcBorders>
            <w:shd w:val="clear" w:color="000000" w:fill="FFFFFF"/>
            <w:vAlign w:val="center"/>
            <w:hideMark/>
          </w:tcPr>
          <w:p w14:paraId="3FD82BAF" w14:textId="77777777" w:rsidR="005A043A" w:rsidRPr="00214F41" w:rsidRDefault="005A043A" w:rsidP="00286762">
            <w:pPr>
              <w:jc w:val="center"/>
              <w:rPr>
                <w:sz w:val="18"/>
                <w:szCs w:val="18"/>
                <w:lang w:val="en-GB"/>
              </w:rPr>
            </w:pPr>
            <w:r w:rsidRPr="00214F41">
              <w:rPr>
                <w:sz w:val="18"/>
                <w:szCs w:val="18"/>
                <w:lang w:val="en-GB"/>
              </w:rPr>
              <w:t>genital infection led to most discontinuations in comparator arm</w:t>
            </w:r>
          </w:p>
        </w:tc>
        <w:tc>
          <w:tcPr>
            <w:tcW w:w="282" w:type="pct"/>
            <w:tcBorders>
              <w:top w:val="nil"/>
              <w:left w:val="nil"/>
              <w:bottom w:val="single" w:sz="4" w:space="0" w:color="auto"/>
              <w:right w:val="single" w:sz="4" w:space="0" w:color="auto"/>
            </w:tcBorders>
            <w:shd w:val="clear" w:color="000000" w:fill="FFFFFF"/>
            <w:vAlign w:val="center"/>
            <w:hideMark/>
          </w:tcPr>
          <w:p w14:paraId="6310B7C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36854D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48CAC3B" w14:textId="77777777" w:rsidR="005A043A" w:rsidRPr="00214F41" w:rsidRDefault="005A043A" w:rsidP="00286762">
            <w:pPr>
              <w:jc w:val="center"/>
              <w:rPr>
                <w:sz w:val="18"/>
                <w:szCs w:val="18"/>
              </w:rPr>
            </w:pPr>
            <w:r w:rsidRPr="00214F41">
              <w:rPr>
                <w:sz w:val="18"/>
                <w:szCs w:val="18"/>
              </w:rPr>
              <w:t>3|56</w:t>
            </w:r>
          </w:p>
        </w:tc>
        <w:tc>
          <w:tcPr>
            <w:tcW w:w="282" w:type="pct"/>
            <w:tcBorders>
              <w:top w:val="nil"/>
              <w:left w:val="nil"/>
              <w:bottom w:val="single" w:sz="4" w:space="0" w:color="auto"/>
              <w:right w:val="single" w:sz="4" w:space="0" w:color="auto"/>
            </w:tcBorders>
            <w:shd w:val="clear" w:color="000000" w:fill="FFFFFF"/>
            <w:vAlign w:val="center"/>
            <w:hideMark/>
          </w:tcPr>
          <w:p w14:paraId="43B81645" w14:textId="77777777" w:rsidR="005A043A" w:rsidRPr="00214F41" w:rsidRDefault="005A043A" w:rsidP="00286762">
            <w:pPr>
              <w:jc w:val="center"/>
              <w:rPr>
                <w:sz w:val="18"/>
                <w:szCs w:val="18"/>
              </w:rPr>
            </w:pPr>
            <w:r w:rsidRPr="00214F41">
              <w:rPr>
                <w:sz w:val="18"/>
                <w:szCs w:val="18"/>
              </w:rPr>
              <w:t>2/106</w:t>
            </w:r>
          </w:p>
        </w:tc>
        <w:tc>
          <w:tcPr>
            <w:tcW w:w="278" w:type="pct"/>
            <w:tcBorders>
              <w:top w:val="nil"/>
              <w:left w:val="nil"/>
              <w:bottom w:val="single" w:sz="4" w:space="0" w:color="auto"/>
              <w:right w:val="single" w:sz="4" w:space="0" w:color="auto"/>
            </w:tcBorders>
            <w:shd w:val="clear" w:color="000000" w:fill="FFFFFF"/>
            <w:vAlign w:val="center"/>
            <w:hideMark/>
          </w:tcPr>
          <w:p w14:paraId="083B2FC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1A5CA6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30529FB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CC6289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90F0A89" w14:textId="77777777" w:rsidR="005A043A" w:rsidRPr="00214F41" w:rsidRDefault="005A043A" w:rsidP="00286762">
            <w:pPr>
              <w:jc w:val="center"/>
              <w:rPr>
                <w:sz w:val="18"/>
                <w:szCs w:val="18"/>
              </w:rPr>
            </w:pPr>
            <w:r w:rsidRPr="00214F41">
              <w:rPr>
                <w:sz w:val="18"/>
                <w:szCs w:val="18"/>
              </w:rPr>
              <w:t>3|56</w:t>
            </w:r>
          </w:p>
        </w:tc>
        <w:tc>
          <w:tcPr>
            <w:tcW w:w="279" w:type="pct"/>
            <w:tcBorders>
              <w:top w:val="nil"/>
              <w:left w:val="nil"/>
              <w:bottom w:val="single" w:sz="4" w:space="0" w:color="auto"/>
              <w:right w:val="single" w:sz="4" w:space="0" w:color="auto"/>
            </w:tcBorders>
            <w:shd w:val="clear" w:color="000000" w:fill="FFFFFF"/>
            <w:vAlign w:val="center"/>
            <w:hideMark/>
          </w:tcPr>
          <w:p w14:paraId="2113E4BE" w14:textId="77777777" w:rsidR="005A043A" w:rsidRPr="00214F41" w:rsidRDefault="005A043A" w:rsidP="00286762">
            <w:pPr>
              <w:jc w:val="center"/>
              <w:rPr>
                <w:sz w:val="18"/>
                <w:szCs w:val="18"/>
              </w:rPr>
            </w:pPr>
            <w:r w:rsidRPr="00214F41">
              <w:rPr>
                <w:sz w:val="18"/>
                <w:szCs w:val="18"/>
              </w:rPr>
              <w:t>2/106</w:t>
            </w:r>
          </w:p>
        </w:tc>
        <w:tc>
          <w:tcPr>
            <w:tcW w:w="279" w:type="pct"/>
            <w:tcBorders>
              <w:top w:val="nil"/>
              <w:left w:val="nil"/>
              <w:bottom w:val="single" w:sz="4" w:space="0" w:color="auto"/>
              <w:right w:val="single" w:sz="4" w:space="0" w:color="auto"/>
            </w:tcBorders>
            <w:shd w:val="clear" w:color="000000" w:fill="FFFFFF"/>
            <w:vAlign w:val="center"/>
            <w:hideMark/>
          </w:tcPr>
          <w:p w14:paraId="133AFEA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947236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2F9771C3" w14:textId="77777777" w:rsidTr="00286762">
        <w:trPr>
          <w:trHeight w:val="41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5C46907" w14:textId="77777777" w:rsidR="005A043A" w:rsidRPr="00214F41" w:rsidRDefault="005A043A" w:rsidP="00286762">
            <w:pPr>
              <w:jc w:val="center"/>
              <w:rPr>
                <w:sz w:val="18"/>
                <w:szCs w:val="18"/>
              </w:rPr>
            </w:pPr>
            <w:proofErr w:type="spellStart"/>
            <w:r w:rsidRPr="00214F41">
              <w:rPr>
                <w:sz w:val="18"/>
                <w:szCs w:val="18"/>
              </w:rPr>
              <w:t>Bosi</w:t>
            </w:r>
            <w:proofErr w:type="spellEnd"/>
            <w:r w:rsidRPr="00214F41">
              <w:rPr>
                <w:sz w:val="18"/>
                <w:szCs w:val="18"/>
              </w:rPr>
              <w:t xml:space="preserve"> et al., 2009</w:t>
            </w:r>
          </w:p>
        </w:tc>
        <w:tc>
          <w:tcPr>
            <w:tcW w:w="318" w:type="pct"/>
            <w:tcBorders>
              <w:top w:val="nil"/>
              <w:left w:val="nil"/>
              <w:bottom w:val="single" w:sz="4" w:space="0" w:color="auto"/>
              <w:right w:val="single" w:sz="4" w:space="0" w:color="auto"/>
            </w:tcBorders>
            <w:shd w:val="clear" w:color="000000" w:fill="FFFFFF"/>
            <w:vAlign w:val="center"/>
            <w:hideMark/>
          </w:tcPr>
          <w:p w14:paraId="3AFE2EF9" w14:textId="77777777" w:rsidR="005A043A" w:rsidRPr="00214F41" w:rsidRDefault="005A043A" w:rsidP="00286762">
            <w:pPr>
              <w:jc w:val="center"/>
              <w:rPr>
                <w:sz w:val="18"/>
                <w:szCs w:val="18"/>
              </w:rPr>
            </w:pPr>
            <w:r w:rsidRPr="00214F41">
              <w:rPr>
                <w:sz w:val="18"/>
                <w:szCs w:val="18"/>
              </w:rPr>
              <w:t>13/292</w:t>
            </w:r>
          </w:p>
        </w:tc>
        <w:tc>
          <w:tcPr>
            <w:tcW w:w="295" w:type="pct"/>
            <w:tcBorders>
              <w:top w:val="nil"/>
              <w:left w:val="nil"/>
              <w:bottom w:val="single" w:sz="4" w:space="0" w:color="auto"/>
              <w:right w:val="single" w:sz="4" w:space="0" w:color="auto"/>
            </w:tcBorders>
            <w:shd w:val="clear" w:color="000000" w:fill="FFFFFF"/>
            <w:vAlign w:val="center"/>
            <w:hideMark/>
          </w:tcPr>
          <w:p w14:paraId="445CE2D8" w14:textId="77777777" w:rsidR="005A043A" w:rsidRPr="00214F41" w:rsidRDefault="005A043A" w:rsidP="00286762">
            <w:pPr>
              <w:jc w:val="center"/>
              <w:rPr>
                <w:sz w:val="18"/>
                <w:szCs w:val="18"/>
              </w:rPr>
            </w:pPr>
            <w:r w:rsidRPr="00214F41">
              <w:rPr>
                <w:sz w:val="18"/>
                <w:szCs w:val="18"/>
              </w:rPr>
              <w:t>7/297</w:t>
            </w:r>
          </w:p>
        </w:tc>
        <w:tc>
          <w:tcPr>
            <w:tcW w:w="718" w:type="pct"/>
            <w:tcBorders>
              <w:top w:val="nil"/>
              <w:left w:val="nil"/>
              <w:bottom w:val="single" w:sz="4" w:space="0" w:color="auto"/>
              <w:right w:val="single" w:sz="4" w:space="0" w:color="auto"/>
            </w:tcBorders>
            <w:shd w:val="clear" w:color="000000" w:fill="FFFFFF"/>
            <w:vAlign w:val="center"/>
            <w:hideMark/>
          </w:tcPr>
          <w:p w14:paraId="3A7750E3" w14:textId="77777777" w:rsidR="005A043A" w:rsidRPr="00214F41" w:rsidRDefault="005A043A" w:rsidP="00286762">
            <w:pPr>
              <w:jc w:val="center"/>
              <w:rPr>
                <w:sz w:val="18"/>
                <w:szCs w:val="18"/>
                <w:lang w:val="en-GB"/>
              </w:rPr>
            </w:pPr>
            <w:r w:rsidRPr="00214F41">
              <w:rPr>
                <w:sz w:val="18"/>
                <w:szCs w:val="18"/>
                <w:lang w:val="en-GB"/>
              </w:rPr>
              <w:t>most commonly diarrhoea, headache, nasopharyngitis</w:t>
            </w:r>
          </w:p>
        </w:tc>
        <w:tc>
          <w:tcPr>
            <w:tcW w:w="282" w:type="pct"/>
            <w:tcBorders>
              <w:top w:val="nil"/>
              <w:left w:val="nil"/>
              <w:bottom w:val="single" w:sz="4" w:space="0" w:color="auto"/>
              <w:right w:val="single" w:sz="4" w:space="0" w:color="auto"/>
            </w:tcBorders>
            <w:shd w:val="clear" w:color="000000" w:fill="FFFFFF"/>
            <w:vAlign w:val="center"/>
            <w:hideMark/>
          </w:tcPr>
          <w:p w14:paraId="0E66D4D5" w14:textId="77777777" w:rsidR="005A043A" w:rsidRPr="00214F41" w:rsidRDefault="005A043A" w:rsidP="00286762">
            <w:pPr>
              <w:jc w:val="center"/>
              <w:rPr>
                <w:sz w:val="18"/>
                <w:szCs w:val="18"/>
              </w:rPr>
            </w:pPr>
            <w:r w:rsidRPr="00214F41">
              <w:rPr>
                <w:sz w:val="18"/>
                <w:szCs w:val="18"/>
              </w:rPr>
              <w:t>10/292</w:t>
            </w:r>
          </w:p>
        </w:tc>
        <w:tc>
          <w:tcPr>
            <w:tcW w:w="282" w:type="pct"/>
            <w:tcBorders>
              <w:top w:val="nil"/>
              <w:left w:val="nil"/>
              <w:bottom w:val="single" w:sz="4" w:space="0" w:color="auto"/>
              <w:right w:val="single" w:sz="4" w:space="0" w:color="auto"/>
            </w:tcBorders>
            <w:shd w:val="clear" w:color="000000" w:fill="FFFFFF"/>
            <w:vAlign w:val="center"/>
            <w:hideMark/>
          </w:tcPr>
          <w:p w14:paraId="19FFA3FB" w14:textId="77777777" w:rsidR="005A043A" w:rsidRPr="00214F41" w:rsidRDefault="005A043A" w:rsidP="00286762">
            <w:pPr>
              <w:jc w:val="center"/>
              <w:rPr>
                <w:sz w:val="18"/>
                <w:szCs w:val="18"/>
              </w:rPr>
            </w:pPr>
            <w:r w:rsidRPr="00214F41">
              <w:rPr>
                <w:sz w:val="18"/>
                <w:szCs w:val="18"/>
              </w:rPr>
              <w:t>6/297</w:t>
            </w:r>
          </w:p>
        </w:tc>
        <w:tc>
          <w:tcPr>
            <w:tcW w:w="282" w:type="pct"/>
            <w:tcBorders>
              <w:top w:val="nil"/>
              <w:left w:val="nil"/>
              <w:bottom w:val="single" w:sz="4" w:space="0" w:color="auto"/>
              <w:right w:val="single" w:sz="4" w:space="0" w:color="auto"/>
            </w:tcBorders>
            <w:shd w:val="clear" w:color="000000" w:fill="FFFFFF"/>
            <w:vAlign w:val="center"/>
            <w:hideMark/>
          </w:tcPr>
          <w:p w14:paraId="7F429B49" w14:textId="77777777" w:rsidR="005A043A" w:rsidRPr="00214F41" w:rsidRDefault="005A043A" w:rsidP="00286762">
            <w:pPr>
              <w:jc w:val="center"/>
              <w:rPr>
                <w:sz w:val="18"/>
                <w:szCs w:val="18"/>
              </w:rPr>
            </w:pPr>
            <w:r w:rsidRPr="00214F41">
              <w:rPr>
                <w:sz w:val="18"/>
                <w:szCs w:val="18"/>
              </w:rPr>
              <w:t>32/297</w:t>
            </w:r>
          </w:p>
        </w:tc>
        <w:tc>
          <w:tcPr>
            <w:tcW w:w="282" w:type="pct"/>
            <w:tcBorders>
              <w:top w:val="nil"/>
              <w:left w:val="nil"/>
              <w:bottom w:val="single" w:sz="4" w:space="0" w:color="auto"/>
              <w:right w:val="single" w:sz="4" w:space="0" w:color="auto"/>
            </w:tcBorders>
            <w:shd w:val="clear" w:color="000000" w:fill="FFFFFF"/>
            <w:vAlign w:val="center"/>
            <w:hideMark/>
          </w:tcPr>
          <w:p w14:paraId="394C4E2F" w14:textId="77777777" w:rsidR="005A043A" w:rsidRPr="00214F41" w:rsidRDefault="005A043A" w:rsidP="00286762">
            <w:pPr>
              <w:jc w:val="center"/>
              <w:rPr>
                <w:sz w:val="18"/>
                <w:szCs w:val="18"/>
              </w:rPr>
            </w:pPr>
            <w:r w:rsidRPr="00214F41">
              <w:rPr>
                <w:sz w:val="18"/>
                <w:szCs w:val="18"/>
              </w:rPr>
              <w:t>7/297</w:t>
            </w:r>
          </w:p>
        </w:tc>
        <w:tc>
          <w:tcPr>
            <w:tcW w:w="278" w:type="pct"/>
            <w:tcBorders>
              <w:top w:val="nil"/>
              <w:left w:val="nil"/>
              <w:bottom w:val="single" w:sz="4" w:space="0" w:color="auto"/>
              <w:right w:val="single" w:sz="4" w:space="0" w:color="auto"/>
            </w:tcBorders>
            <w:shd w:val="clear" w:color="000000" w:fill="FFFFFF"/>
            <w:vAlign w:val="center"/>
            <w:hideMark/>
          </w:tcPr>
          <w:p w14:paraId="3F6034EB" w14:textId="77777777" w:rsidR="005A043A" w:rsidRPr="00214F41" w:rsidRDefault="005A043A" w:rsidP="00286762">
            <w:pPr>
              <w:jc w:val="center"/>
              <w:rPr>
                <w:sz w:val="18"/>
                <w:szCs w:val="18"/>
              </w:rPr>
            </w:pPr>
            <w:r w:rsidRPr="00214F41">
              <w:rPr>
                <w:sz w:val="18"/>
                <w:szCs w:val="18"/>
              </w:rPr>
              <w:t>7/292</w:t>
            </w:r>
          </w:p>
        </w:tc>
        <w:tc>
          <w:tcPr>
            <w:tcW w:w="280" w:type="pct"/>
            <w:tcBorders>
              <w:top w:val="nil"/>
              <w:left w:val="nil"/>
              <w:bottom w:val="single" w:sz="4" w:space="0" w:color="auto"/>
              <w:right w:val="single" w:sz="4" w:space="0" w:color="auto"/>
            </w:tcBorders>
            <w:shd w:val="clear" w:color="000000" w:fill="FFFFFF"/>
            <w:vAlign w:val="center"/>
            <w:hideMark/>
          </w:tcPr>
          <w:p w14:paraId="68DAFF06" w14:textId="77777777" w:rsidR="005A043A" w:rsidRPr="00214F41" w:rsidRDefault="005A043A" w:rsidP="00286762">
            <w:pPr>
              <w:jc w:val="center"/>
              <w:rPr>
                <w:sz w:val="18"/>
                <w:szCs w:val="18"/>
              </w:rPr>
            </w:pPr>
            <w:r w:rsidRPr="00214F41">
              <w:rPr>
                <w:sz w:val="18"/>
                <w:szCs w:val="18"/>
              </w:rPr>
              <w:t>1/297</w:t>
            </w:r>
          </w:p>
        </w:tc>
        <w:tc>
          <w:tcPr>
            <w:tcW w:w="278" w:type="pct"/>
            <w:tcBorders>
              <w:top w:val="nil"/>
              <w:left w:val="nil"/>
              <w:bottom w:val="single" w:sz="4" w:space="0" w:color="auto"/>
              <w:right w:val="single" w:sz="4" w:space="0" w:color="auto"/>
            </w:tcBorders>
            <w:shd w:val="clear" w:color="000000" w:fill="FFFFFF"/>
            <w:vAlign w:val="center"/>
            <w:hideMark/>
          </w:tcPr>
          <w:p w14:paraId="3476795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401A21F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5954038" w14:textId="77777777" w:rsidR="005A043A" w:rsidRPr="00214F41" w:rsidRDefault="005A043A" w:rsidP="00286762">
            <w:pPr>
              <w:jc w:val="center"/>
              <w:rPr>
                <w:sz w:val="18"/>
                <w:szCs w:val="18"/>
              </w:rPr>
            </w:pPr>
            <w:r w:rsidRPr="00214F41">
              <w:rPr>
                <w:sz w:val="18"/>
                <w:szCs w:val="18"/>
              </w:rPr>
              <w:t>17/292</w:t>
            </w:r>
          </w:p>
        </w:tc>
        <w:tc>
          <w:tcPr>
            <w:tcW w:w="279" w:type="pct"/>
            <w:tcBorders>
              <w:top w:val="nil"/>
              <w:left w:val="nil"/>
              <w:bottom w:val="single" w:sz="4" w:space="0" w:color="auto"/>
              <w:right w:val="single" w:sz="4" w:space="0" w:color="auto"/>
            </w:tcBorders>
            <w:shd w:val="clear" w:color="000000" w:fill="FFFFFF"/>
            <w:vAlign w:val="center"/>
            <w:hideMark/>
          </w:tcPr>
          <w:p w14:paraId="09CD6F20" w14:textId="77777777" w:rsidR="005A043A" w:rsidRPr="00214F41" w:rsidRDefault="005A043A" w:rsidP="00286762">
            <w:pPr>
              <w:jc w:val="center"/>
              <w:rPr>
                <w:sz w:val="18"/>
                <w:szCs w:val="18"/>
              </w:rPr>
            </w:pPr>
            <w:r w:rsidRPr="00214F41">
              <w:rPr>
                <w:sz w:val="18"/>
                <w:szCs w:val="18"/>
              </w:rPr>
              <w:t>7/297</w:t>
            </w:r>
          </w:p>
        </w:tc>
        <w:tc>
          <w:tcPr>
            <w:tcW w:w="279" w:type="pct"/>
            <w:tcBorders>
              <w:top w:val="nil"/>
              <w:left w:val="nil"/>
              <w:bottom w:val="single" w:sz="4" w:space="0" w:color="auto"/>
              <w:right w:val="single" w:sz="4" w:space="0" w:color="auto"/>
            </w:tcBorders>
            <w:shd w:val="clear" w:color="000000" w:fill="FFFFFF"/>
            <w:vAlign w:val="center"/>
            <w:hideMark/>
          </w:tcPr>
          <w:p w14:paraId="292CDCBE" w14:textId="77777777" w:rsidR="005A043A" w:rsidRPr="00214F41" w:rsidRDefault="005A043A" w:rsidP="00286762">
            <w:pPr>
              <w:jc w:val="center"/>
              <w:rPr>
                <w:sz w:val="18"/>
                <w:szCs w:val="18"/>
              </w:rPr>
            </w:pPr>
            <w:r w:rsidRPr="00214F41">
              <w:rPr>
                <w:sz w:val="18"/>
                <w:szCs w:val="18"/>
              </w:rPr>
              <w:t>5/297</w:t>
            </w:r>
          </w:p>
        </w:tc>
        <w:tc>
          <w:tcPr>
            <w:tcW w:w="276" w:type="pct"/>
            <w:tcBorders>
              <w:top w:val="nil"/>
              <w:left w:val="nil"/>
              <w:bottom w:val="single" w:sz="4" w:space="0" w:color="auto"/>
              <w:right w:val="single" w:sz="4" w:space="0" w:color="auto"/>
            </w:tcBorders>
            <w:shd w:val="clear" w:color="000000" w:fill="FFFFFF"/>
            <w:vAlign w:val="center"/>
            <w:hideMark/>
          </w:tcPr>
          <w:p w14:paraId="391D2EC1" w14:textId="77777777" w:rsidR="005A043A" w:rsidRPr="00214F41" w:rsidRDefault="005A043A" w:rsidP="00286762">
            <w:pPr>
              <w:jc w:val="center"/>
              <w:rPr>
                <w:sz w:val="18"/>
                <w:szCs w:val="18"/>
              </w:rPr>
            </w:pPr>
            <w:r w:rsidRPr="00214F41">
              <w:rPr>
                <w:sz w:val="18"/>
                <w:szCs w:val="18"/>
              </w:rPr>
              <w:t>10/297</w:t>
            </w:r>
          </w:p>
        </w:tc>
      </w:tr>
      <w:tr w:rsidR="005A043A" w:rsidRPr="00214F41" w14:paraId="225447C6" w14:textId="77777777" w:rsidTr="00286762">
        <w:trPr>
          <w:trHeight w:val="27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5FF422E6" w14:textId="77777777" w:rsidR="005A043A" w:rsidRPr="00214F41" w:rsidRDefault="005A043A" w:rsidP="00286762">
            <w:pPr>
              <w:jc w:val="center"/>
              <w:rPr>
                <w:sz w:val="18"/>
                <w:szCs w:val="18"/>
              </w:rPr>
            </w:pPr>
            <w:proofErr w:type="spellStart"/>
            <w:r w:rsidRPr="00214F41">
              <w:rPr>
                <w:sz w:val="18"/>
                <w:szCs w:val="18"/>
              </w:rPr>
              <w:t>DeFronzo</w:t>
            </w:r>
            <w:proofErr w:type="spellEnd"/>
            <w:r w:rsidRPr="00214F41">
              <w:rPr>
                <w:sz w:val="18"/>
                <w:szCs w:val="18"/>
              </w:rPr>
              <w:t xml:space="preserve"> et al.,  2016a</w:t>
            </w:r>
          </w:p>
        </w:tc>
        <w:tc>
          <w:tcPr>
            <w:tcW w:w="318" w:type="pct"/>
            <w:tcBorders>
              <w:top w:val="nil"/>
              <w:left w:val="nil"/>
              <w:bottom w:val="single" w:sz="4" w:space="0" w:color="auto"/>
              <w:right w:val="single" w:sz="4" w:space="0" w:color="auto"/>
            </w:tcBorders>
            <w:shd w:val="clear" w:color="000000" w:fill="FFFFFF"/>
            <w:vAlign w:val="center"/>
            <w:hideMark/>
          </w:tcPr>
          <w:p w14:paraId="33EBC253" w14:textId="77777777" w:rsidR="005A043A" w:rsidRPr="00214F41" w:rsidRDefault="005A043A" w:rsidP="00286762">
            <w:pPr>
              <w:jc w:val="center"/>
              <w:rPr>
                <w:sz w:val="18"/>
                <w:szCs w:val="18"/>
              </w:rPr>
            </w:pPr>
            <w:r w:rsidRPr="00214F41">
              <w:rPr>
                <w:sz w:val="18"/>
                <w:szCs w:val="18"/>
              </w:rPr>
              <w:t>0/24</w:t>
            </w:r>
          </w:p>
        </w:tc>
        <w:tc>
          <w:tcPr>
            <w:tcW w:w="295" w:type="pct"/>
            <w:tcBorders>
              <w:top w:val="nil"/>
              <w:left w:val="nil"/>
              <w:bottom w:val="single" w:sz="4" w:space="0" w:color="auto"/>
              <w:right w:val="single" w:sz="4" w:space="0" w:color="auto"/>
            </w:tcBorders>
            <w:shd w:val="clear" w:color="000000" w:fill="FFFFFF"/>
            <w:vAlign w:val="center"/>
            <w:hideMark/>
          </w:tcPr>
          <w:p w14:paraId="768AABC9" w14:textId="77777777" w:rsidR="005A043A" w:rsidRPr="00214F41" w:rsidRDefault="005A043A" w:rsidP="00286762">
            <w:pPr>
              <w:jc w:val="center"/>
              <w:rPr>
                <w:sz w:val="18"/>
                <w:szCs w:val="18"/>
              </w:rPr>
            </w:pPr>
            <w:r w:rsidRPr="00214F41">
              <w:rPr>
                <w:sz w:val="18"/>
                <w:szCs w:val="18"/>
              </w:rPr>
              <w:t>2|24</w:t>
            </w:r>
          </w:p>
        </w:tc>
        <w:tc>
          <w:tcPr>
            <w:tcW w:w="718" w:type="pct"/>
            <w:tcBorders>
              <w:top w:val="nil"/>
              <w:left w:val="nil"/>
              <w:bottom w:val="single" w:sz="4" w:space="0" w:color="auto"/>
              <w:right w:val="single" w:sz="4" w:space="0" w:color="auto"/>
            </w:tcBorders>
            <w:shd w:val="clear" w:color="000000" w:fill="FFFFFF"/>
            <w:vAlign w:val="center"/>
            <w:hideMark/>
          </w:tcPr>
          <w:p w14:paraId="40ED42B8" w14:textId="77777777" w:rsidR="005A043A" w:rsidRPr="00214F41" w:rsidRDefault="005A043A" w:rsidP="00286762">
            <w:pPr>
              <w:jc w:val="center"/>
              <w:rPr>
                <w:sz w:val="18"/>
                <w:szCs w:val="18"/>
              </w:rPr>
            </w:pPr>
            <w:r w:rsidRPr="00214F41">
              <w:rPr>
                <w:sz w:val="18"/>
                <w:szCs w:val="18"/>
              </w:rPr>
              <w:t>vomiting</w:t>
            </w:r>
          </w:p>
        </w:tc>
        <w:tc>
          <w:tcPr>
            <w:tcW w:w="282" w:type="pct"/>
            <w:tcBorders>
              <w:top w:val="nil"/>
              <w:left w:val="nil"/>
              <w:bottom w:val="single" w:sz="4" w:space="0" w:color="auto"/>
              <w:right w:val="single" w:sz="4" w:space="0" w:color="auto"/>
            </w:tcBorders>
            <w:shd w:val="clear" w:color="000000" w:fill="FFFFFF"/>
            <w:vAlign w:val="center"/>
            <w:hideMark/>
          </w:tcPr>
          <w:p w14:paraId="69255AB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9152DF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C9030C6" w14:textId="77777777" w:rsidR="005A043A" w:rsidRPr="00214F41" w:rsidRDefault="005A043A" w:rsidP="00286762">
            <w:pPr>
              <w:jc w:val="center"/>
              <w:rPr>
                <w:sz w:val="18"/>
                <w:szCs w:val="18"/>
              </w:rPr>
            </w:pPr>
            <w:r w:rsidRPr="00214F41">
              <w:rPr>
                <w:sz w:val="18"/>
                <w:szCs w:val="18"/>
              </w:rPr>
              <w:t>3|20</w:t>
            </w:r>
          </w:p>
        </w:tc>
        <w:tc>
          <w:tcPr>
            <w:tcW w:w="282" w:type="pct"/>
            <w:tcBorders>
              <w:top w:val="nil"/>
              <w:left w:val="nil"/>
              <w:bottom w:val="single" w:sz="4" w:space="0" w:color="auto"/>
              <w:right w:val="single" w:sz="4" w:space="0" w:color="auto"/>
            </w:tcBorders>
            <w:shd w:val="clear" w:color="000000" w:fill="FFFFFF"/>
            <w:vAlign w:val="center"/>
            <w:hideMark/>
          </w:tcPr>
          <w:p w14:paraId="62ABD493" w14:textId="77777777" w:rsidR="005A043A" w:rsidRPr="00214F41" w:rsidRDefault="005A043A" w:rsidP="00286762">
            <w:pPr>
              <w:jc w:val="center"/>
              <w:rPr>
                <w:sz w:val="18"/>
                <w:szCs w:val="18"/>
              </w:rPr>
            </w:pPr>
            <w:r w:rsidRPr="00214F41">
              <w:rPr>
                <w:sz w:val="18"/>
                <w:szCs w:val="18"/>
              </w:rPr>
              <w:t>3|22</w:t>
            </w:r>
          </w:p>
        </w:tc>
        <w:tc>
          <w:tcPr>
            <w:tcW w:w="278" w:type="pct"/>
            <w:tcBorders>
              <w:top w:val="nil"/>
              <w:left w:val="nil"/>
              <w:bottom w:val="single" w:sz="4" w:space="0" w:color="auto"/>
              <w:right w:val="single" w:sz="4" w:space="0" w:color="auto"/>
            </w:tcBorders>
            <w:shd w:val="clear" w:color="000000" w:fill="FFFFFF"/>
            <w:vAlign w:val="center"/>
            <w:hideMark/>
          </w:tcPr>
          <w:p w14:paraId="7506F187" w14:textId="77777777" w:rsidR="005A043A" w:rsidRPr="00214F41" w:rsidRDefault="005A043A" w:rsidP="00286762">
            <w:pPr>
              <w:jc w:val="center"/>
              <w:rPr>
                <w:sz w:val="18"/>
                <w:szCs w:val="18"/>
              </w:rPr>
            </w:pPr>
            <w:r w:rsidRPr="00214F41">
              <w:rPr>
                <w:sz w:val="18"/>
                <w:szCs w:val="18"/>
              </w:rPr>
              <w:t>0/20</w:t>
            </w:r>
          </w:p>
        </w:tc>
        <w:tc>
          <w:tcPr>
            <w:tcW w:w="280" w:type="pct"/>
            <w:tcBorders>
              <w:top w:val="nil"/>
              <w:left w:val="nil"/>
              <w:bottom w:val="single" w:sz="4" w:space="0" w:color="auto"/>
              <w:right w:val="single" w:sz="4" w:space="0" w:color="auto"/>
            </w:tcBorders>
            <w:shd w:val="clear" w:color="000000" w:fill="FFFFFF"/>
            <w:vAlign w:val="center"/>
            <w:hideMark/>
          </w:tcPr>
          <w:p w14:paraId="266CB7FD" w14:textId="77777777" w:rsidR="005A043A" w:rsidRPr="00214F41" w:rsidRDefault="005A043A" w:rsidP="00286762">
            <w:pPr>
              <w:jc w:val="center"/>
              <w:rPr>
                <w:sz w:val="18"/>
                <w:szCs w:val="18"/>
              </w:rPr>
            </w:pPr>
            <w:r w:rsidRPr="00214F41">
              <w:rPr>
                <w:sz w:val="18"/>
                <w:szCs w:val="18"/>
              </w:rPr>
              <w:t>2|22</w:t>
            </w:r>
          </w:p>
        </w:tc>
        <w:tc>
          <w:tcPr>
            <w:tcW w:w="278" w:type="pct"/>
            <w:tcBorders>
              <w:top w:val="nil"/>
              <w:left w:val="nil"/>
              <w:bottom w:val="single" w:sz="4" w:space="0" w:color="auto"/>
              <w:right w:val="single" w:sz="4" w:space="0" w:color="auto"/>
            </w:tcBorders>
            <w:shd w:val="clear" w:color="000000" w:fill="FFFFFF"/>
            <w:vAlign w:val="center"/>
            <w:hideMark/>
          </w:tcPr>
          <w:p w14:paraId="33DB26C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96B46C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388349D" w14:textId="77777777" w:rsidR="005A043A" w:rsidRPr="00214F41" w:rsidRDefault="005A043A" w:rsidP="00286762">
            <w:pPr>
              <w:jc w:val="center"/>
              <w:rPr>
                <w:sz w:val="18"/>
                <w:szCs w:val="18"/>
              </w:rPr>
            </w:pPr>
            <w:r w:rsidRPr="00214F41">
              <w:rPr>
                <w:sz w:val="18"/>
                <w:szCs w:val="18"/>
              </w:rPr>
              <w:t>0/20</w:t>
            </w:r>
          </w:p>
        </w:tc>
        <w:tc>
          <w:tcPr>
            <w:tcW w:w="279" w:type="pct"/>
            <w:tcBorders>
              <w:top w:val="nil"/>
              <w:left w:val="nil"/>
              <w:bottom w:val="single" w:sz="4" w:space="0" w:color="auto"/>
              <w:right w:val="single" w:sz="4" w:space="0" w:color="auto"/>
            </w:tcBorders>
            <w:shd w:val="clear" w:color="000000" w:fill="FFFFFF"/>
            <w:vAlign w:val="center"/>
            <w:hideMark/>
          </w:tcPr>
          <w:p w14:paraId="3B57348A" w14:textId="77777777" w:rsidR="005A043A" w:rsidRPr="00214F41" w:rsidRDefault="005A043A" w:rsidP="00286762">
            <w:pPr>
              <w:jc w:val="center"/>
              <w:rPr>
                <w:sz w:val="18"/>
                <w:szCs w:val="18"/>
              </w:rPr>
            </w:pPr>
            <w:r w:rsidRPr="00214F41">
              <w:rPr>
                <w:sz w:val="18"/>
                <w:szCs w:val="18"/>
              </w:rPr>
              <w:t>2|22</w:t>
            </w:r>
          </w:p>
        </w:tc>
        <w:tc>
          <w:tcPr>
            <w:tcW w:w="279" w:type="pct"/>
            <w:tcBorders>
              <w:top w:val="nil"/>
              <w:left w:val="nil"/>
              <w:bottom w:val="single" w:sz="4" w:space="0" w:color="auto"/>
              <w:right w:val="single" w:sz="4" w:space="0" w:color="auto"/>
            </w:tcBorders>
            <w:shd w:val="clear" w:color="000000" w:fill="FFFFFF"/>
            <w:vAlign w:val="center"/>
            <w:hideMark/>
          </w:tcPr>
          <w:p w14:paraId="1B87733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65CD49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12B811D" w14:textId="77777777" w:rsidTr="00286762">
        <w:trPr>
          <w:trHeight w:val="467"/>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16524322" w14:textId="77777777" w:rsidR="005A043A" w:rsidRPr="00214F41" w:rsidRDefault="005A043A" w:rsidP="00286762">
            <w:pPr>
              <w:jc w:val="center"/>
              <w:rPr>
                <w:sz w:val="18"/>
                <w:szCs w:val="18"/>
              </w:rPr>
            </w:pPr>
            <w:proofErr w:type="spellStart"/>
            <w:r w:rsidRPr="00214F41">
              <w:rPr>
                <w:sz w:val="18"/>
                <w:szCs w:val="18"/>
              </w:rPr>
              <w:t>DeFronzo</w:t>
            </w:r>
            <w:proofErr w:type="spellEnd"/>
            <w:r w:rsidRPr="00214F41">
              <w:rPr>
                <w:sz w:val="18"/>
                <w:szCs w:val="18"/>
              </w:rPr>
              <w:t xml:space="preserve"> et al.,  2016b</w:t>
            </w:r>
          </w:p>
        </w:tc>
        <w:tc>
          <w:tcPr>
            <w:tcW w:w="318" w:type="pct"/>
            <w:tcBorders>
              <w:top w:val="nil"/>
              <w:left w:val="nil"/>
              <w:bottom w:val="single" w:sz="4" w:space="0" w:color="auto"/>
              <w:right w:val="single" w:sz="4" w:space="0" w:color="auto"/>
            </w:tcBorders>
            <w:shd w:val="clear" w:color="000000" w:fill="FFFFFF"/>
            <w:vAlign w:val="center"/>
            <w:hideMark/>
          </w:tcPr>
          <w:p w14:paraId="6CE63EC6" w14:textId="77777777" w:rsidR="005A043A" w:rsidRPr="00214F41" w:rsidRDefault="005A043A" w:rsidP="00286762">
            <w:pPr>
              <w:jc w:val="center"/>
              <w:rPr>
                <w:sz w:val="18"/>
                <w:szCs w:val="18"/>
              </w:rPr>
            </w:pPr>
            <w:r w:rsidRPr="00214F41">
              <w:rPr>
                <w:sz w:val="18"/>
                <w:szCs w:val="18"/>
              </w:rPr>
              <w:t>0/24</w:t>
            </w:r>
          </w:p>
        </w:tc>
        <w:tc>
          <w:tcPr>
            <w:tcW w:w="295" w:type="pct"/>
            <w:tcBorders>
              <w:top w:val="nil"/>
              <w:left w:val="nil"/>
              <w:bottom w:val="single" w:sz="4" w:space="0" w:color="auto"/>
              <w:right w:val="single" w:sz="4" w:space="0" w:color="auto"/>
            </w:tcBorders>
            <w:shd w:val="clear" w:color="000000" w:fill="FFFFFF"/>
            <w:vAlign w:val="center"/>
            <w:hideMark/>
          </w:tcPr>
          <w:p w14:paraId="58032073" w14:textId="77777777" w:rsidR="005A043A" w:rsidRPr="00214F41" w:rsidRDefault="005A043A" w:rsidP="00286762">
            <w:pPr>
              <w:jc w:val="center"/>
              <w:rPr>
                <w:sz w:val="18"/>
                <w:szCs w:val="18"/>
              </w:rPr>
            </w:pPr>
            <w:r w:rsidRPr="00214F41">
              <w:rPr>
                <w:sz w:val="18"/>
                <w:szCs w:val="18"/>
              </w:rPr>
              <w:t>2|24</w:t>
            </w:r>
          </w:p>
        </w:tc>
        <w:tc>
          <w:tcPr>
            <w:tcW w:w="718" w:type="pct"/>
            <w:tcBorders>
              <w:top w:val="nil"/>
              <w:left w:val="nil"/>
              <w:bottom w:val="single" w:sz="4" w:space="0" w:color="auto"/>
              <w:right w:val="single" w:sz="4" w:space="0" w:color="auto"/>
            </w:tcBorders>
            <w:shd w:val="clear" w:color="000000" w:fill="FFFFFF"/>
            <w:vAlign w:val="center"/>
            <w:hideMark/>
          </w:tcPr>
          <w:p w14:paraId="0B00B29F" w14:textId="77777777" w:rsidR="005A043A" w:rsidRPr="00214F41" w:rsidRDefault="005A043A" w:rsidP="00286762">
            <w:pPr>
              <w:jc w:val="center"/>
              <w:rPr>
                <w:sz w:val="18"/>
                <w:szCs w:val="18"/>
              </w:rPr>
            </w:pPr>
            <w:r w:rsidRPr="00214F41">
              <w:rPr>
                <w:sz w:val="18"/>
                <w:szCs w:val="18"/>
              </w:rPr>
              <w:t>vomiting</w:t>
            </w:r>
          </w:p>
        </w:tc>
        <w:tc>
          <w:tcPr>
            <w:tcW w:w="282" w:type="pct"/>
            <w:tcBorders>
              <w:top w:val="nil"/>
              <w:left w:val="nil"/>
              <w:bottom w:val="single" w:sz="4" w:space="0" w:color="auto"/>
              <w:right w:val="single" w:sz="4" w:space="0" w:color="auto"/>
            </w:tcBorders>
            <w:shd w:val="clear" w:color="000000" w:fill="FFFFFF"/>
            <w:vAlign w:val="center"/>
            <w:hideMark/>
          </w:tcPr>
          <w:p w14:paraId="34D1453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B5A404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061AF94" w14:textId="77777777" w:rsidR="005A043A" w:rsidRPr="00214F41" w:rsidRDefault="005A043A" w:rsidP="00286762">
            <w:pPr>
              <w:jc w:val="center"/>
              <w:rPr>
                <w:sz w:val="18"/>
                <w:szCs w:val="18"/>
              </w:rPr>
            </w:pPr>
            <w:r w:rsidRPr="00214F41">
              <w:rPr>
                <w:sz w:val="18"/>
                <w:szCs w:val="18"/>
              </w:rPr>
              <w:t>2|20</w:t>
            </w:r>
          </w:p>
        </w:tc>
        <w:tc>
          <w:tcPr>
            <w:tcW w:w="282" w:type="pct"/>
            <w:tcBorders>
              <w:top w:val="nil"/>
              <w:left w:val="nil"/>
              <w:bottom w:val="single" w:sz="4" w:space="0" w:color="auto"/>
              <w:right w:val="single" w:sz="4" w:space="0" w:color="auto"/>
            </w:tcBorders>
            <w:shd w:val="clear" w:color="000000" w:fill="FFFFFF"/>
            <w:vAlign w:val="center"/>
            <w:hideMark/>
          </w:tcPr>
          <w:p w14:paraId="2E997FEE" w14:textId="77777777" w:rsidR="005A043A" w:rsidRPr="00214F41" w:rsidRDefault="005A043A" w:rsidP="00286762">
            <w:pPr>
              <w:jc w:val="center"/>
              <w:rPr>
                <w:sz w:val="18"/>
                <w:szCs w:val="18"/>
              </w:rPr>
            </w:pPr>
            <w:r w:rsidRPr="00214F41">
              <w:rPr>
                <w:sz w:val="18"/>
                <w:szCs w:val="18"/>
              </w:rPr>
              <w:t>3|22</w:t>
            </w:r>
          </w:p>
        </w:tc>
        <w:tc>
          <w:tcPr>
            <w:tcW w:w="278" w:type="pct"/>
            <w:tcBorders>
              <w:top w:val="nil"/>
              <w:left w:val="nil"/>
              <w:bottom w:val="single" w:sz="4" w:space="0" w:color="auto"/>
              <w:right w:val="single" w:sz="4" w:space="0" w:color="auto"/>
            </w:tcBorders>
            <w:shd w:val="clear" w:color="000000" w:fill="FFFFFF"/>
            <w:vAlign w:val="center"/>
            <w:hideMark/>
          </w:tcPr>
          <w:p w14:paraId="51CDAC05" w14:textId="77777777" w:rsidR="005A043A" w:rsidRPr="00214F41" w:rsidRDefault="005A043A" w:rsidP="00286762">
            <w:pPr>
              <w:jc w:val="center"/>
              <w:rPr>
                <w:sz w:val="18"/>
                <w:szCs w:val="18"/>
              </w:rPr>
            </w:pPr>
            <w:r w:rsidRPr="00214F41">
              <w:rPr>
                <w:sz w:val="18"/>
                <w:szCs w:val="18"/>
              </w:rPr>
              <w:t>0/20</w:t>
            </w:r>
          </w:p>
        </w:tc>
        <w:tc>
          <w:tcPr>
            <w:tcW w:w="280" w:type="pct"/>
            <w:tcBorders>
              <w:top w:val="nil"/>
              <w:left w:val="nil"/>
              <w:bottom w:val="single" w:sz="4" w:space="0" w:color="auto"/>
              <w:right w:val="single" w:sz="4" w:space="0" w:color="auto"/>
            </w:tcBorders>
            <w:shd w:val="clear" w:color="000000" w:fill="FFFFFF"/>
            <w:vAlign w:val="center"/>
            <w:hideMark/>
          </w:tcPr>
          <w:p w14:paraId="5A4D1E7F" w14:textId="77777777" w:rsidR="005A043A" w:rsidRPr="00214F41" w:rsidRDefault="005A043A" w:rsidP="00286762">
            <w:pPr>
              <w:jc w:val="center"/>
              <w:rPr>
                <w:sz w:val="18"/>
                <w:szCs w:val="18"/>
              </w:rPr>
            </w:pPr>
            <w:r w:rsidRPr="00214F41">
              <w:rPr>
                <w:sz w:val="18"/>
                <w:szCs w:val="18"/>
              </w:rPr>
              <w:t>2|22</w:t>
            </w:r>
          </w:p>
        </w:tc>
        <w:tc>
          <w:tcPr>
            <w:tcW w:w="278" w:type="pct"/>
            <w:tcBorders>
              <w:top w:val="nil"/>
              <w:left w:val="nil"/>
              <w:bottom w:val="single" w:sz="4" w:space="0" w:color="auto"/>
              <w:right w:val="single" w:sz="4" w:space="0" w:color="auto"/>
            </w:tcBorders>
            <w:shd w:val="clear" w:color="000000" w:fill="FFFFFF"/>
            <w:vAlign w:val="center"/>
            <w:hideMark/>
          </w:tcPr>
          <w:p w14:paraId="5B97D07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A2464E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13EDFD0" w14:textId="77777777" w:rsidR="005A043A" w:rsidRPr="00214F41" w:rsidRDefault="005A043A" w:rsidP="00286762">
            <w:pPr>
              <w:jc w:val="center"/>
              <w:rPr>
                <w:sz w:val="18"/>
                <w:szCs w:val="18"/>
              </w:rPr>
            </w:pPr>
            <w:r w:rsidRPr="00214F41">
              <w:rPr>
                <w:sz w:val="18"/>
                <w:szCs w:val="18"/>
              </w:rPr>
              <w:t>0/20</w:t>
            </w:r>
          </w:p>
        </w:tc>
        <w:tc>
          <w:tcPr>
            <w:tcW w:w="279" w:type="pct"/>
            <w:tcBorders>
              <w:top w:val="nil"/>
              <w:left w:val="nil"/>
              <w:bottom w:val="single" w:sz="4" w:space="0" w:color="auto"/>
              <w:right w:val="single" w:sz="4" w:space="0" w:color="auto"/>
            </w:tcBorders>
            <w:shd w:val="clear" w:color="000000" w:fill="FFFFFF"/>
            <w:vAlign w:val="center"/>
            <w:hideMark/>
          </w:tcPr>
          <w:p w14:paraId="341CDA66" w14:textId="77777777" w:rsidR="005A043A" w:rsidRPr="00214F41" w:rsidRDefault="005A043A" w:rsidP="00286762">
            <w:pPr>
              <w:jc w:val="center"/>
              <w:rPr>
                <w:sz w:val="18"/>
                <w:szCs w:val="18"/>
              </w:rPr>
            </w:pPr>
            <w:r w:rsidRPr="00214F41">
              <w:rPr>
                <w:sz w:val="18"/>
                <w:szCs w:val="18"/>
              </w:rPr>
              <w:t>2|22</w:t>
            </w:r>
          </w:p>
        </w:tc>
        <w:tc>
          <w:tcPr>
            <w:tcW w:w="279" w:type="pct"/>
            <w:tcBorders>
              <w:top w:val="nil"/>
              <w:left w:val="nil"/>
              <w:bottom w:val="single" w:sz="4" w:space="0" w:color="auto"/>
              <w:right w:val="single" w:sz="4" w:space="0" w:color="auto"/>
            </w:tcBorders>
            <w:shd w:val="clear" w:color="000000" w:fill="FFFFFF"/>
            <w:vAlign w:val="center"/>
            <w:hideMark/>
          </w:tcPr>
          <w:p w14:paraId="51F3387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ACB37E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4AA5F6EF" w14:textId="77777777" w:rsidTr="00286762">
        <w:trPr>
          <w:trHeight w:val="54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5D050F5F" w14:textId="77777777" w:rsidR="005A043A" w:rsidRPr="00214F41" w:rsidRDefault="005A043A" w:rsidP="00286762">
            <w:pPr>
              <w:jc w:val="center"/>
              <w:rPr>
                <w:sz w:val="18"/>
                <w:szCs w:val="18"/>
              </w:rPr>
            </w:pPr>
            <w:proofErr w:type="spellStart"/>
            <w:r w:rsidRPr="00214F41">
              <w:rPr>
                <w:sz w:val="18"/>
                <w:szCs w:val="18"/>
              </w:rPr>
              <w:t>DeFronzo</w:t>
            </w:r>
            <w:proofErr w:type="spellEnd"/>
            <w:r w:rsidRPr="00214F41">
              <w:rPr>
                <w:sz w:val="18"/>
                <w:szCs w:val="18"/>
              </w:rPr>
              <w:t xml:space="preserve"> et al.,  2016c</w:t>
            </w:r>
          </w:p>
        </w:tc>
        <w:tc>
          <w:tcPr>
            <w:tcW w:w="318" w:type="pct"/>
            <w:tcBorders>
              <w:top w:val="nil"/>
              <w:left w:val="nil"/>
              <w:bottom w:val="single" w:sz="4" w:space="0" w:color="auto"/>
              <w:right w:val="single" w:sz="4" w:space="0" w:color="auto"/>
            </w:tcBorders>
            <w:shd w:val="clear" w:color="000000" w:fill="FFFFFF"/>
            <w:vAlign w:val="center"/>
            <w:hideMark/>
          </w:tcPr>
          <w:p w14:paraId="262BA78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14:paraId="73C77F3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718" w:type="pct"/>
            <w:tcBorders>
              <w:top w:val="nil"/>
              <w:left w:val="nil"/>
              <w:bottom w:val="single" w:sz="4" w:space="0" w:color="auto"/>
              <w:right w:val="single" w:sz="4" w:space="0" w:color="auto"/>
            </w:tcBorders>
            <w:shd w:val="clear" w:color="000000" w:fill="FFFFFF"/>
            <w:vAlign w:val="center"/>
            <w:hideMark/>
          </w:tcPr>
          <w:p w14:paraId="4769887A"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6A57C1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595B0E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AAF889F" w14:textId="77777777" w:rsidR="005A043A" w:rsidRPr="00214F41" w:rsidRDefault="005A043A" w:rsidP="00286762">
            <w:pPr>
              <w:jc w:val="center"/>
              <w:rPr>
                <w:sz w:val="18"/>
                <w:szCs w:val="18"/>
              </w:rPr>
            </w:pPr>
            <w:r w:rsidRPr="00214F41">
              <w:rPr>
                <w:sz w:val="18"/>
                <w:szCs w:val="18"/>
              </w:rPr>
              <w:t>2|23</w:t>
            </w:r>
          </w:p>
        </w:tc>
        <w:tc>
          <w:tcPr>
            <w:tcW w:w="282" w:type="pct"/>
            <w:tcBorders>
              <w:top w:val="nil"/>
              <w:left w:val="nil"/>
              <w:bottom w:val="single" w:sz="4" w:space="0" w:color="auto"/>
              <w:right w:val="single" w:sz="4" w:space="0" w:color="auto"/>
            </w:tcBorders>
            <w:shd w:val="clear" w:color="000000" w:fill="FFFFFF"/>
            <w:vAlign w:val="center"/>
            <w:hideMark/>
          </w:tcPr>
          <w:p w14:paraId="1B191049" w14:textId="77777777" w:rsidR="005A043A" w:rsidRPr="00214F41" w:rsidRDefault="005A043A" w:rsidP="00286762">
            <w:pPr>
              <w:jc w:val="center"/>
              <w:rPr>
                <w:sz w:val="18"/>
                <w:szCs w:val="18"/>
              </w:rPr>
            </w:pPr>
            <w:r w:rsidRPr="00214F41">
              <w:rPr>
                <w:sz w:val="18"/>
                <w:szCs w:val="18"/>
              </w:rPr>
              <w:t>1|23</w:t>
            </w:r>
          </w:p>
        </w:tc>
        <w:tc>
          <w:tcPr>
            <w:tcW w:w="278" w:type="pct"/>
            <w:tcBorders>
              <w:top w:val="nil"/>
              <w:left w:val="nil"/>
              <w:bottom w:val="single" w:sz="4" w:space="0" w:color="auto"/>
              <w:right w:val="single" w:sz="4" w:space="0" w:color="auto"/>
            </w:tcBorders>
            <w:shd w:val="clear" w:color="000000" w:fill="FFFFFF"/>
            <w:vAlign w:val="center"/>
            <w:hideMark/>
          </w:tcPr>
          <w:p w14:paraId="2B926FCD" w14:textId="77777777" w:rsidR="005A043A" w:rsidRPr="00214F41" w:rsidRDefault="005A043A" w:rsidP="00286762">
            <w:pPr>
              <w:jc w:val="center"/>
              <w:rPr>
                <w:sz w:val="18"/>
                <w:szCs w:val="18"/>
              </w:rPr>
            </w:pPr>
            <w:r w:rsidRPr="00214F41">
              <w:rPr>
                <w:sz w:val="18"/>
                <w:szCs w:val="18"/>
              </w:rPr>
              <w:t>0/23</w:t>
            </w:r>
          </w:p>
        </w:tc>
        <w:tc>
          <w:tcPr>
            <w:tcW w:w="280" w:type="pct"/>
            <w:tcBorders>
              <w:top w:val="nil"/>
              <w:left w:val="nil"/>
              <w:bottom w:val="single" w:sz="4" w:space="0" w:color="auto"/>
              <w:right w:val="single" w:sz="4" w:space="0" w:color="auto"/>
            </w:tcBorders>
            <w:shd w:val="clear" w:color="000000" w:fill="FFFFFF"/>
            <w:vAlign w:val="center"/>
            <w:hideMark/>
          </w:tcPr>
          <w:p w14:paraId="2BD7D68D" w14:textId="77777777" w:rsidR="005A043A" w:rsidRPr="00214F41" w:rsidRDefault="005A043A" w:rsidP="00286762">
            <w:pPr>
              <w:jc w:val="center"/>
              <w:rPr>
                <w:sz w:val="18"/>
                <w:szCs w:val="18"/>
              </w:rPr>
            </w:pPr>
            <w:r w:rsidRPr="00214F41">
              <w:rPr>
                <w:sz w:val="18"/>
                <w:szCs w:val="18"/>
              </w:rPr>
              <w:t>2|23</w:t>
            </w:r>
          </w:p>
        </w:tc>
        <w:tc>
          <w:tcPr>
            <w:tcW w:w="278" w:type="pct"/>
            <w:tcBorders>
              <w:top w:val="nil"/>
              <w:left w:val="nil"/>
              <w:bottom w:val="single" w:sz="4" w:space="0" w:color="auto"/>
              <w:right w:val="single" w:sz="4" w:space="0" w:color="auto"/>
            </w:tcBorders>
            <w:shd w:val="clear" w:color="000000" w:fill="FFFFFF"/>
            <w:vAlign w:val="center"/>
            <w:hideMark/>
          </w:tcPr>
          <w:p w14:paraId="124EB93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1242C3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3C17E38" w14:textId="77777777" w:rsidR="005A043A" w:rsidRPr="00214F41" w:rsidRDefault="005A043A" w:rsidP="00286762">
            <w:pPr>
              <w:jc w:val="center"/>
              <w:rPr>
                <w:sz w:val="18"/>
                <w:szCs w:val="18"/>
              </w:rPr>
            </w:pPr>
            <w:r w:rsidRPr="00214F41">
              <w:rPr>
                <w:sz w:val="18"/>
                <w:szCs w:val="18"/>
              </w:rPr>
              <w:t>0/23</w:t>
            </w:r>
          </w:p>
        </w:tc>
        <w:tc>
          <w:tcPr>
            <w:tcW w:w="279" w:type="pct"/>
            <w:tcBorders>
              <w:top w:val="nil"/>
              <w:left w:val="nil"/>
              <w:bottom w:val="single" w:sz="4" w:space="0" w:color="auto"/>
              <w:right w:val="single" w:sz="4" w:space="0" w:color="auto"/>
            </w:tcBorders>
            <w:shd w:val="clear" w:color="000000" w:fill="FFFFFF"/>
            <w:vAlign w:val="center"/>
            <w:hideMark/>
          </w:tcPr>
          <w:p w14:paraId="0113F966" w14:textId="77777777" w:rsidR="005A043A" w:rsidRPr="00214F41" w:rsidRDefault="005A043A" w:rsidP="00286762">
            <w:pPr>
              <w:jc w:val="center"/>
              <w:rPr>
                <w:sz w:val="18"/>
                <w:szCs w:val="18"/>
              </w:rPr>
            </w:pPr>
            <w:r w:rsidRPr="00214F41">
              <w:rPr>
                <w:sz w:val="18"/>
                <w:szCs w:val="18"/>
              </w:rPr>
              <w:t>2|23</w:t>
            </w:r>
          </w:p>
        </w:tc>
        <w:tc>
          <w:tcPr>
            <w:tcW w:w="279" w:type="pct"/>
            <w:tcBorders>
              <w:top w:val="nil"/>
              <w:left w:val="nil"/>
              <w:bottom w:val="single" w:sz="4" w:space="0" w:color="auto"/>
              <w:right w:val="single" w:sz="4" w:space="0" w:color="auto"/>
            </w:tcBorders>
            <w:shd w:val="clear" w:color="000000" w:fill="FFFFFF"/>
            <w:vAlign w:val="center"/>
            <w:hideMark/>
          </w:tcPr>
          <w:p w14:paraId="7653635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817F88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5EB1EFEF" w14:textId="77777777" w:rsidTr="00286762">
        <w:trPr>
          <w:trHeight w:val="46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5BFF08F6" w14:textId="77777777" w:rsidR="005A043A" w:rsidRPr="00214F41" w:rsidRDefault="005A043A" w:rsidP="00286762">
            <w:pPr>
              <w:jc w:val="center"/>
              <w:rPr>
                <w:sz w:val="18"/>
                <w:szCs w:val="18"/>
              </w:rPr>
            </w:pPr>
            <w:proofErr w:type="spellStart"/>
            <w:r w:rsidRPr="00214F41">
              <w:rPr>
                <w:sz w:val="18"/>
                <w:szCs w:val="18"/>
              </w:rPr>
              <w:t>DeFronzo</w:t>
            </w:r>
            <w:proofErr w:type="spellEnd"/>
            <w:r w:rsidRPr="00214F41">
              <w:rPr>
                <w:sz w:val="18"/>
                <w:szCs w:val="18"/>
              </w:rPr>
              <w:t xml:space="preserve"> et al.,  2016d</w:t>
            </w:r>
          </w:p>
        </w:tc>
        <w:tc>
          <w:tcPr>
            <w:tcW w:w="318" w:type="pct"/>
            <w:tcBorders>
              <w:top w:val="nil"/>
              <w:left w:val="nil"/>
              <w:bottom w:val="single" w:sz="4" w:space="0" w:color="auto"/>
              <w:right w:val="single" w:sz="4" w:space="0" w:color="auto"/>
            </w:tcBorders>
            <w:shd w:val="clear" w:color="000000" w:fill="FFFFFF"/>
            <w:vAlign w:val="center"/>
            <w:hideMark/>
          </w:tcPr>
          <w:p w14:paraId="6207B2E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14:paraId="5C6783E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718" w:type="pct"/>
            <w:tcBorders>
              <w:top w:val="nil"/>
              <w:left w:val="nil"/>
              <w:bottom w:val="single" w:sz="4" w:space="0" w:color="auto"/>
              <w:right w:val="single" w:sz="4" w:space="0" w:color="auto"/>
            </w:tcBorders>
            <w:shd w:val="clear" w:color="000000" w:fill="FFFFFF"/>
            <w:vAlign w:val="center"/>
            <w:hideMark/>
          </w:tcPr>
          <w:p w14:paraId="0A3C77BC"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CCA24F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1F8DE0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36A0177" w14:textId="77777777" w:rsidR="005A043A" w:rsidRPr="00214F41" w:rsidRDefault="005A043A" w:rsidP="00286762">
            <w:pPr>
              <w:jc w:val="center"/>
              <w:rPr>
                <w:sz w:val="18"/>
                <w:szCs w:val="18"/>
              </w:rPr>
            </w:pPr>
            <w:r w:rsidRPr="00214F41">
              <w:rPr>
                <w:sz w:val="18"/>
                <w:szCs w:val="18"/>
              </w:rPr>
              <w:t>0/24</w:t>
            </w:r>
          </w:p>
        </w:tc>
        <w:tc>
          <w:tcPr>
            <w:tcW w:w="282" w:type="pct"/>
            <w:tcBorders>
              <w:top w:val="nil"/>
              <w:left w:val="nil"/>
              <w:bottom w:val="single" w:sz="4" w:space="0" w:color="auto"/>
              <w:right w:val="single" w:sz="4" w:space="0" w:color="auto"/>
            </w:tcBorders>
            <w:shd w:val="clear" w:color="000000" w:fill="FFFFFF"/>
            <w:vAlign w:val="center"/>
            <w:hideMark/>
          </w:tcPr>
          <w:p w14:paraId="54C70D0C" w14:textId="77777777" w:rsidR="005A043A" w:rsidRPr="00214F41" w:rsidRDefault="005A043A" w:rsidP="00286762">
            <w:pPr>
              <w:jc w:val="center"/>
              <w:rPr>
                <w:sz w:val="18"/>
                <w:szCs w:val="18"/>
              </w:rPr>
            </w:pPr>
            <w:r w:rsidRPr="00214F41">
              <w:rPr>
                <w:sz w:val="18"/>
                <w:szCs w:val="18"/>
              </w:rPr>
              <w:t>1|23</w:t>
            </w:r>
          </w:p>
        </w:tc>
        <w:tc>
          <w:tcPr>
            <w:tcW w:w="278" w:type="pct"/>
            <w:tcBorders>
              <w:top w:val="nil"/>
              <w:left w:val="nil"/>
              <w:bottom w:val="single" w:sz="4" w:space="0" w:color="auto"/>
              <w:right w:val="single" w:sz="4" w:space="0" w:color="auto"/>
            </w:tcBorders>
            <w:shd w:val="clear" w:color="000000" w:fill="FFFFFF"/>
            <w:vAlign w:val="center"/>
            <w:hideMark/>
          </w:tcPr>
          <w:p w14:paraId="734C5588" w14:textId="77777777" w:rsidR="005A043A" w:rsidRPr="00214F41" w:rsidRDefault="005A043A" w:rsidP="00286762">
            <w:pPr>
              <w:jc w:val="center"/>
              <w:rPr>
                <w:sz w:val="18"/>
                <w:szCs w:val="18"/>
              </w:rPr>
            </w:pPr>
            <w:r w:rsidRPr="00214F41">
              <w:rPr>
                <w:sz w:val="18"/>
                <w:szCs w:val="18"/>
              </w:rPr>
              <w:t>0/24</w:t>
            </w:r>
          </w:p>
        </w:tc>
        <w:tc>
          <w:tcPr>
            <w:tcW w:w="280" w:type="pct"/>
            <w:tcBorders>
              <w:top w:val="nil"/>
              <w:left w:val="nil"/>
              <w:bottom w:val="single" w:sz="4" w:space="0" w:color="auto"/>
              <w:right w:val="single" w:sz="4" w:space="0" w:color="auto"/>
            </w:tcBorders>
            <w:shd w:val="clear" w:color="000000" w:fill="FFFFFF"/>
            <w:vAlign w:val="center"/>
            <w:hideMark/>
          </w:tcPr>
          <w:p w14:paraId="527A29E2" w14:textId="77777777" w:rsidR="005A043A" w:rsidRPr="00214F41" w:rsidRDefault="005A043A" w:rsidP="00286762">
            <w:pPr>
              <w:jc w:val="center"/>
              <w:rPr>
                <w:sz w:val="18"/>
                <w:szCs w:val="18"/>
              </w:rPr>
            </w:pPr>
            <w:r w:rsidRPr="00214F41">
              <w:rPr>
                <w:sz w:val="18"/>
                <w:szCs w:val="18"/>
              </w:rPr>
              <w:t>2|23</w:t>
            </w:r>
          </w:p>
        </w:tc>
        <w:tc>
          <w:tcPr>
            <w:tcW w:w="278" w:type="pct"/>
            <w:tcBorders>
              <w:top w:val="nil"/>
              <w:left w:val="nil"/>
              <w:bottom w:val="single" w:sz="4" w:space="0" w:color="auto"/>
              <w:right w:val="single" w:sz="4" w:space="0" w:color="auto"/>
            </w:tcBorders>
            <w:shd w:val="clear" w:color="000000" w:fill="FFFFFF"/>
            <w:vAlign w:val="center"/>
            <w:hideMark/>
          </w:tcPr>
          <w:p w14:paraId="33A5971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2A2654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B156FA0" w14:textId="77777777" w:rsidR="005A043A" w:rsidRPr="00214F41" w:rsidRDefault="005A043A" w:rsidP="00286762">
            <w:pPr>
              <w:jc w:val="center"/>
              <w:rPr>
                <w:sz w:val="18"/>
                <w:szCs w:val="18"/>
              </w:rPr>
            </w:pPr>
            <w:r w:rsidRPr="00214F41">
              <w:rPr>
                <w:sz w:val="18"/>
                <w:szCs w:val="18"/>
              </w:rPr>
              <w:t>0/24</w:t>
            </w:r>
          </w:p>
        </w:tc>
        <w:tc>
          <w:tcPr>
            <w:tcW w:w="279" w:type="pct"/>
            <w:tcBorders>
              <w:top w:val="nil"/>
              <w:left w:val="nil"/>
              <w:bottom w:val="single" w:sz="4" w:space="0" w:color="auto"/>
              <w:right w:val="single" w:sz="4" w:space="0" w:color="auto"/>
            </w:tcBorders>
            <w:shd w:val="clear" w:color="000000" w:fill="FFFFFF"/>
            <w:vAlign w:val="center"/>
            <w:hideMark/>
          </w:tcPr>
          <w:p w14:paraId="60682491" w14:textId="77777777" w:rsidR="005A043A" w:rsidRPr="00214F41" w:rsidRDefault="005A043A" w:rsidP="00286762">
            <w:pPr>
              <w:jc w:val="center"/>
              <w:rPr>
                <w:sz w:val="18"/>
                <w:szCs w:val="18"/>
              </w:rPr>
            </w:pPr>
            <w:r w:rsidRPr="00214F41">
              <w:rPr>
                <w:sz w:val="18"/>
                <w:szCs w:val="18"/>
              </w:rPr>
              <w:t>2|23</w:t>
            </w:r>
          </w:p>
        </w:tc>
        <w:tc>
          <w:tcPr>
            <w:tcW w:w="279" w:type="pct"/>
            <w:tcBorders>
              <w:top w:val="nil"/>
              <w:left w:val="nil"/>
              <w:bottom w:val="single" w:sz="4" w:space="0" w:color="auto"/>
              <w:right w:val="single" w:sz="4" w:space="0" w:color="auto"/>
            </w:tcBorders>
            <w:shd w:val="clear" w:color="000000" w:fill="FFFFFF"/>
            <w:vAlign w:val="center"/>
            <w:hideMark/>
          </w:tcPr>
          <w:p w14:paraId="164FA78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08DB434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367A80D7" w14:textId="77777777" w:rsidTr="00286762">
        <w:trPr>
          <w:trHeight w:val="51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B4E938A" w14:textId="77777777" w:rsidR="005A043A" w:rsidRPr="00214F41" w:rsidRDefault="005A043A" w:rsidP="00286762">
            <w:pPr>
              <w:jc w:val="center"/>
              <w:rPr>
                <w:sz w:val="18"/>
                <w:szCs w:val="18"/>
              </w:rPr>
            </w:pPr>
            <w:proofErr w:type="spellStart"/>
            <w:r w:rsidRPr="00214F41">
              <w:rPr>
                <w:sz w:val="18"/>
                <w:szCs w:val="18"/>
              </w:rPr>
              <w:t>DeFronzo</w:t>
            </w:r>
            <w:proofErr w:type="spellEnd"/>
            <w:r w:rsidRPr="00214F41">
              <w:rPr>
                <w:sz w:val="18"/>
                <w:szCs w:val="18"/>
              </w:rPr>
              <w:t xml:space="preserve"> et al.,  1995</w:t>
            </w:r>
          </w:p>
        </w:tc>
        <w:tc>
          <w:tcPr>
            <w:tcW w:w="318" w:type="pct"/>
            <w:tcBorders>
              <w:top w:val="nil"/>
              <w:left w:val="nil"/>
              <w:bottom w:val="single" w:sz="4" w:space="0" w:color="auto"/>
              <w:right w:val="single" w:sz="4" w:space="0" w:color="auto"/>
            </w:tcBorders>
            <w:shd w:val="clear" w:color="000000" w:fill="FFFFFF"/>
            <w:vAlign w:val="center"/>
            <w:hideMark/>
          </w:tcPr>
          <w:p w14:paraId="407F0EAB" w14:textId="77777777" w:rsidR="005A043A" w:rsidRPr="00214F41" w:rsidRDefault="005A043A" w:rsidP="00286762">
            <w:pPr>
              <w:jc w:val="center"/>
              <w:rPr>
                <w:sz w:val="18"/>
                <w:szCs w:val="18"/>
              </w:rPr>
            </w:pPr>
            <w:r w:rsidRPr="00214F41">
              <w:rPr>
                <w:sz w:val="18"/>
                <w:szCs w:val="18"/>
              </w:rPr>
              <w:t>14/143</w:t>
            </w:r>
          </w:p>
        </w:tc>
        <w:tc>
          <w:tcPr>
            <w:tcW w:w="295" w:type="pct"/>
            <w:tcBorders>
              <w:top w:val="nil"/>
              <w:left w:val="nil"/>
              <w:bottom w:val="single" w:sz="4" w:space="0" w:color="auto"/>
              <w:right w:val="single" w:sz="4" w:space="0" w:color="auto"/>
            </w:tcBorders>
            <w:shd w:val="clear" w:color="000000" w:fill="FFFFFF"/>
            <w:vAlign w:val="center"/>
            <w:hideMark/>
          </w:tcPr>
          <w:p w14:paraId="65628192" w14:textId="77777777" w:rsidR="005A043A" w:rsidRPr="00214F41" w:rsidRDefault="005A043A" w:rsidP="00286762">
            <w:pPr>
              <w:jc w:val="center"/>
              <w:rPr>
                <w:sz w:val="18"/>
                <w:szCs w:val="18"/>
              </w:rPr>
            </w:pPr>
            <w:r w:rsidRPr="00214F41">
              <w:rPr>
                <w:sz w:val="18"/>
                <w:szCs w:val="18"/>
              </w:rPr>
              <w:t>2/146</w:t>
            </w:r>
          </w:p>
        </w:tc>
        <w:tc>
          <w:tcPr>
            <w:tcW w:w="718" w:type="pct"/>
            <w:tcBorders>
              <w:top w:val="nil"/>
              <w:left w:val="nil"/>
              <w:bottom w:val="single" w:sz="4" w:space="0" w:color="auto"/>
              <w:right w:val="single" w:sz="4" w:space="0" w:color="auto"/>
            </w:tcBorders>
            <w:shd w:val="clear" w:color="000000" w:fill="FFFFFF"/>
            <w:vAlign w:val="center"/>
            <w:hideMark/>
          </w:tcPr>
          <w:p w14:paraId="0F11BADF" w14:textId="77777777" w:rsidR="005A043A" w:rsidRPr="00214F41" w:rsidRDefault="005A043A" w:rsidP="00286762">
            <w:pPr>
              <w:jc w:val="center"/>
              <w:rPr>
                <w:sz w:val="18"/>
                <w:szCs w:val="18"/>
                <w:lang w:val="en-GB"/>
              </w:rPr>
            </w:pPr>
            <w:r w:rsidRPr="00214F41">
              <w:rPr>
                <w:sz w:val="18"/>
                <w:szCs w:val="18"/>
                <w:lang w:val="en-GB"/>
              </w:rPr>
              <w:t>most frequently GI disorders (11/14 in metformin arm)</w:t>
            </w:r>
          </w:p>
        </w:tc>
        <w:tc>
          <w:tcPr>
            <w:tcW w:w="282" w:type="pct"/>
            <w:tcBorders>
              <w:top w:val="nil"/>
              <w:left w:val="nil"/>
              <w:bottom w:val="single" w:sz="4" w:space="0" w:color="auto"/>
              <w:right w:val="single" w:sz="4" w:space="0" w:color="auto"/>
            </w:tcBorders>
            <w:shd w:val="clear" w:color="000000" w:fill="FFFFFF"/>
            <w:vAlign w:val="center"/>
            <w:hideMark/>
          </w:tcPr>
          <w:p w14:paraId="363AC80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818147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ED649B0" w14:textId="77777777" w:rsidR="005A043A" w:rsidRPr="00214F41" w:rsidRDefault="005A043A" w:rsidP="00286762">
            <w:pPr>
              <w:jc w:val="center"/>
              <w:rPr>
                <w:sz w:val="18"/>
                <w:szCs w:val="18"/>
              </w:rPr>
            </w:pPr>
            <w:r w:rsidRPr="00214F41">
              <w:rPr>
                <w:sz w:val="18"/>
                <w:szCs w:val="18"/>
              </w:rPr>
              <w:t>11/143</w:t>
            </w:r>
          </w:p>
        </w:tc>
        <w:tc>
          <w:tcPr>
            <w:tcW w:w="282" w:type="pct"/>
            <w:tcBorders>
              <w:top w:val="nil"/>
              <w:left w:val="nil"/>
              <w:bottom w:val="single" w:sz="4" w:space="0" w:color="auto"/>
              <w:right w:val="single" w:sz="4" w:space="0" w:color="auto"/>
            </w:tcBorders>
            <w:shd w:val="clear" w:color="000000" w:fill="FFFFFF"/>
            <w:vAlign w:val="center"/>
            <w:hideMark/>
          </w:tcPr>
          <w:p w14:paraId="1DD5B5B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2AA8D99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AB1355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6B5884F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DF1548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E4417B4" w14:textId="77777777" w:rsidR="005A043A" w:rsidRPr="00214F41" w:rsidRDefault="005A043A" w:rsidP="00286762">
            <w:pPr>
              <w:jc w:val="center"/>
              <w:rPr>
                <w:sz w:val="18"/>
                <w:szCs w:val="18"/>
              </w:rPr>
            </w:pPr>
            <w:r w:rsidRPr="00214F41">
              <w:rPr>
                <w:sz w:val="18"/>
                <w:szCs w:val="18"/>
              </w:rPr>
              <w:t>6/143</w:t>
            </w:r>
          </w:p>
        </w:tc>
        <w:tc>
          <w:tcPr>
            <w:tcW w:w="279" w:type="pct"/>
            <w:tcBorders>
              <w:top w:val="nil"/>
              <w:left w:val="nil"/>
              <w:bottom w:val="single" w:sz="4" w:space="0" w:color="auto"/>
              <w:right w:val="single" w:sz="4" w:space="0" w:color="auto"/>
            </w:tcBorders>
            <w:shd w:val="clear" w:color="000000" w:fill="FFFFFF"/>
            <w:vAlign w:val="center"/>
            <w:hideMark/>
          </w:tcPr>
          <w:p w14:paraId="454E46B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66FC54F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9546A2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19CBD0B1" w14:textId="77777777" w:rsidTr="00286762">
        <w:trPr>
          <w:trHeight w:val="52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14AD8403" w14:textId="77777777" w:rsidR="005A043A" w:rsidRPr="00214F41" w:rsidRDefault="005A043A" w:rsidP="00286762">
            <w:pPr>
              <w:jc w:val="center"/>
              <w:rPr>
                <w:sz w:val="18"/>
                <w:szCs w:val="18"/>
              </w:rPr>
            </w:pPr>
            <w:r w:rsidRPr="00214F41">
              <w:rPr>
                <w:sz w:val="18"/>
                <w:szCs w:val="18"/>
              </w:rPr>
              <w:t>Del Prato et al., 2002</w:t>
            </w:r>
          </w:p>
        </w:tc>
        <w:tc>
          <w:tcPr>
            <w:tcW w:w="318" w:type="pct"/>
            <w:tcBorders>
              <w:top w:val="nil"/>
              <w:left w:val="nil"/>
              <w:bottom w:val="single" w:sz="4" w:space="0" w:color="auto"/>
              <w:right w:val="single" w:sz="4" w:space="0" w:color="auto"/>
            </w:tcBorders>
            <w:shd w:val="clear" w:color="000000" w:fill="FFFFFF"/>
            <w:vAlign w:val="center"/>
            <w:hideMark/>
          </w:tcPr>
          <w:p w14:paraId="5FAE1AA4" w14:textId="77777777" w:rsidR="005A043A" w:rsidRPr="00214F41" w:rsidRDefault="005A043A" w:rsidP="00286762">
            <w:pPr>
              <w:jc w:val="center"/>
              <w:rPr>
                <w:sz w:val="18"/>
                <w:szCs w:val="18"/>
              </w:rPr>
            </w:pPr>
            <w:r w:rsidRPr="00214F41">
              <w:rPr>
                <w:sz w:val="18"/>
                <w:szCs w:val="18"/>
              </w:rPr>
              <w:t>16/284</w:t>
            </w:r>
          </w:p>
        </w:tc>
        <w:tc>
          <w:tcPr>
            <w:tcW w:w="295" w:type="pct"/>
            <w:tcBorders>
              <w:top w:val="nil"/>
              <w:left w:val="nil"/>
              <w:bottom w:val="single" w:sz="4" w:space="0" w:color="auto"/>
              <w:right w:val="single" w:sz="4" w:space="0" w:color="auto"/>
            </w:tcBorders>
            <w:shd w:val="clear" w:color="000000" w:fill="FFFFFF"/>
            <w:vAlign w:val="center"/>
            <w:hideMark/>
          </w:tcPr>
          <w:p w14:paraId="3540DE38" w14:textId="77777777" w:rsidR="005A043A" w:rsidRPr="00214F41" w:rsidRDefault="005A043A" w:rsidP="00286762">
            <w:pPr>
              <w:jc w:val="center"/>
              <w:rPr>
                <w:sz w:val="18"/>
                <w:szCs w:val="18"/>
              </w:rPr>
            </w:pPr>
            <w:r w:rsidRPr="00214F41">
              <w:rPr>
                <w:sz w:val="18"/>
                <w:szCs w:val="18"/>
              </w:rPr>
              <w:t>6/144</w:t>
            </w:r>
          </w:p>
        </w:tc>
        <w:tc>
          <w:tcPr>
            <w:tcW w:w="718" w:type="pct"/>
            <w:tcBorders>
              <w:top w:val="nil"/>
              <w:left w:val="nil"/>
              <w:bottom w:val="single" w:sz="4" w:space="0" w:color="auto"/>
              <w:right w:val="single" w:sz="4" w:space="0" w:color="auto"/>
            </w:tcBorders>
            <w:shd w:val="clear" w:color="000000" w:fill="FFFFFF"/>
            <w:vAlign w:val="center"/>
            <w:hideMark/>
          </w:tcPr>
          <w:p w14:paraId="1499DF9D" w14:textId="77777777" w:rsidR="005A043A" w:rsidRPr="00214F41" w:rsidRDefault="005A043A" w:rsidP="00286762">
            <w:pPr>
              <w:jc w:val="center"/>
              <w:rPr>
                <w:sz w:val="18"/>
                <w:szCs w:val="18"/>
              </w:rPr>
            </w:pPr>
            <w:r w:rsidRPr="00214F41">
              <w:rPr>
                <w:sz w:val="18"/>
                <w:szCs w:val="18"/>
              </w:rPr>
              <w:t>most frequently GI disorders</w:t>
            </w:r>
          </w:p>
        </w:tc>
        <w:tc>
          <w:tcPr>
            <w:tcW w:w="282" w:type="pct"/>
            <w:tcBorders>
              <w:top w:val="nil"/>
              <w:left w:val="nil"/>
              <w:bottom w:val="single" w:sz="4" w:space="0" w:color="auto"/>
              <w:right w:val="single" w:sz="4" w:space="0" w:color="auto"/>
            </w:tcBorders>
            <w:shd w:val="clear" w:color="000000" w:fill="FFFFFF"/>
            <w:vAlign w:val="center"/>
            <w:hideMark/>
          </w:tcPr>
          <w:p w14:paraId="6E2458A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3692D7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5014C25" w14:textId="77777777" w:rsidR="005A043A" w:rsidRPr="00214F41" w:rsidRDefault="005A043A" w:rsidP="00286762">
            <w:pPr>
              <w:jc w:val="center"/>
              <w:rPr>
                <w:sz w:val="18"/>
                <w:szCs w:val="18"/>
              </w:rPr>
            </w:pPr>
            <w:r w:rsidRPr="00214F41">
              <w:rPr>
                <w:sz w:val="18"/>
                <w:szCs w:val="18"/>
              </w:rPr>
              <w:t>40/143</w:t>
            </w:r>
          </w:p>
        </w:tc>
        <w:tc>
          <w:tcPr>
            <w:tcW w:w="282" w:type="pct"/>
            <w:tcBorders>
              <w:top w:val="nil"/>
              <w:left w:val="nil"/>
              <w:bottom w:val="single" w:sz="4" w:space="0" w:color="auto"/>
              <w:right w:val="single" w:sz="4" w:space="0" w:color="auto"/>
            </w:tcBorders>
            <w:shd w:val="clear" w:color="000000" w:fill="FFFFFF"/>
            <w:vAlign w:val="center"/>
            <w:hideMark/>
          </w:tcPr>
          <w:p w14:paraId="4DD3308F" w14:textId="77777777" w:rsidR="005A043A" w:rsidRPr="00214F41" w:rsidRDefault="005A043A" w:rsidP="00286762">
            <w:pPr>
              <w:jc w:val="center"/>
              <w:rPr>
                <w:sz w:val="18"/>
                <w:szCs w:val="18"/>
              </w:rPr>
            </w:pPr>
            <w:r w:rsidRPr="00214F41">
              <w:rPr>
                <w:sz w:val="18"/>
                <w:szCs w:val="18"/>
              </w:rPr>
              <w:t>2/144</w:t>
            </w:r>
          </w:p>
        </w:tc>
        <w:tc>
          <w:tcPr>
            <w:tcW w:w="278" w:type="pct"/>
            <w:tcBorders>
              <w:top w:val="nil"/>
              <w:left w:val="nil"/>
              <w:bottom w:val="single" w:sz="4" w:space="0" w:color="auto"/>
              <w:right w:val="single" w:sz="4" w:space="0" w:color="auto"/>
            </w:tcBorders>
            <w:shd w:val="clear" w:color="000000" w:fill="FFFFFF"/>
            <w:vAlign w:val="center"/>
            <w:hideMark/>
          </w:tcPr>
          <w:p w14:paraId="39FAC76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4BF772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204B05B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927CCB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6E59D5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31D2CFA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7F741AF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43B80E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354580C9" w14:textId="77777777" w:rsidTr="00286762">
        <w:trPr>
          <w:trHeight w:val="54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3B11DC6F" w14:textId="77777777" w:rsidR="005A043A" w:rsidRPr="00214F41" w:rsidRDefault="005A043A" w:rsidP="00286762">
            <w:pPr>
              <w:jc w:val="center"/>
              <w:rPr>
                <w:sz w:val="18"/>
                <w:szCs w:val="18"/>
              </w:rPr>
            </w:pPr>
            <w:proofErr w:type="spellStart"/>
            <w:r w:rsidRPr="00214F41">
              <w:rPr>
                <w:sz w:val="18"/>
                <w:szCs w:val="18"/>
              </w:rPr>
              <w:lastRenderedPageBreak/>
              <w:t>Derosa</w:t>
            </w:r>
            <w:proofErr w:type="spellEnd"/>
            <w:r w:rsidRPr="00214F41">
              <w:rPr>
                <w:sz w:val="18"/>
                <w:szCs w:val="18"/>
              </w:rPr>
              <w:t xml:space="preserve"> et al., 2017a</w:t>
            </w:r>
          </w:p>
        </w:tc>
        <w:tc>
          <w:tcPr>
            <w:tcW w:w="318" w:type="pct"/>
            <w:tcBorders>
              <w:top w:val="nil"/>
              <w:left w:val="nil"/>
              <w:bottom w:val="single" w:sz="4" w:space="0" w:color="auto"/>
              <w:right w:val="single" w:sz="4" w:space="0" w:color="auto"/>
            </w:tcBorders>
            <w:shd w:val="clear" w:color="000000" w:fill="FFFFFF"/>
            <w:vAlign w:val="center"/>
            <w:hideMark/>
          </w:tcPr>
          <w:p w14:paraId="374268C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14:paraId="09B9E3E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718" w:type="pct"/>
            <w:tcBorders>
              <w:top w:val="nil"/>
              <w:left w:val="nil"/>
              <w:bottom w:val="single" w:sz="4" w:space="0" w:color="auto"/>
              <w:right w:val="single" w:sz="4" w:space="0" w:color="auto"/>
            </w:tcBorders>
            <w:shd w:val="clear" w:color="000000" w:fill="FFFFFF"/>
            <w:vAlign w:val="center"/>
            <w:hideMark/>
          </w:tcPr>
          <w:p w14:paraId="3B68A6FA"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8DA960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4BAF9F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4135325" w14:textId="77777777" w:rsidR="005A043A" w:rsidRPr="00214F41" w:rsidRDefault="005A043A" w:rsidP="00286762">
            <w:pPr>
              <w:jc w:val="center"/>
              <w:rPr>
                <w:sz w:val="18"/>
                <w:szCs w:val="18"/>
              </w:rPr>
            </w:pPr>
            <w:r w:rsidRPr="00214F41">
              <w:rPr>
                <w:sz w:val="18"/>
                <w:szCs w:val="18"/>
              </w:rPr>
              <w:t>2/124</w:t>
            </w:r>
          </w:p>
        </w:tc>
        <w:tc>
          <w:tcPr>
            <w:tcW w:w="282" w:type="pct"/>
            <w:tcBorders>
              <w:top w:val="nil"/>
              <w:left w:val="nil"/>
              <w:bottom w:val="single" w:sz="4" w:space="0" w:color="auto"/>
              <w:right w:val="single" w:sz="4" w:space="0" w:color="auto"/>
            </w:tcBorders>
            <w:shd w:val="clear" w:color="000000" w:fill="FFFFFF"/>
            <w:vAlign w:val="center"/>
            <w:hideMark/>
          </w:tcPr>
          <w:p w14:paraId="74695594" w14:textId="77777777" w:rsidR="005A043A" w:rsidRPr="00214F41" w:rsidRDefault="005A043A" w:rsidP="00286762">
            <w:pPr>
              <w:jc w:val="center"/>
              <w:rPr>
                <w:sz w:val="18"/>
                <w:szCs w:val="18"/>
              </w:rPr>
            </w:pPr>
            <w:r w:rsidRPr="00214F41">
              <w:rPr>
                <w:sz w:val="18"/>
                <w:szCs w:val="18"/>
              </w:rPr>
              <w:t>8/119</w:t>
            </w:r>
          </w:p>
        </w:tc>
        <w:tc>
          <w:tcPr>
            <w:tcW w:w="278" w:type="pct"/>
            <w:tcBorders>
              <w:top w:val="nil"/>
              <w:left w:val="nil"/>
              <w:bottom w:val="single" w:sz="4" w:space="0" w:color="auto"/>
              <w:right w:val="single" w:sz="4" w:space="0" w:color="auto"/>
            </w:tcBorders>
            <w:shd w:val="clear" w:color="000000" w:fill="FFFFFF"/>
            <w:vAlign w:val="center"/>
            <w:hideMark/>
          </w:tcPr>
          <w:p w14:paraId="0805163D" w14:textId="77777777" w:rsidR="005A043A" w:rsidRPr="00214F41" w:rsidRDefault="005A043A" w:rsidP="00286762">
            <w:pPr>
              <w:jc w:val="center"/>
              <w:rPr>
                <w:sz w:val="18"/>
                <w:szCs w:val="18"/>
              </w:rPr>
            </w:pPr>
            <w:r w:rsidRPr="00214F41">
              <w:rPr>
                <w:sz w:val="18"/>
                <w:szCs w:val="18"/>
              </w:rPr>
              <w:t>1/124</w:t>
            </w:r>
          </w:p>
        </w:tc>
        <w:tc>
          <w:tcPr>
            <w:tcW w:w="280" w:type="pct"/>
            <w:tcBorders>
              <w:top w:val="nil"/>
              <w:left w:val="nil"/>
              <w:bottom w:val="single" w:sz="4" w:space="0" w:color="auto"/>
              <w:right w:val="single" w:sz="4" w:space="0" w:color="auto"/>
            </w:tcBorders>
            <w:shd w:val="clear" w:color="000000" w:fill="FFFFFF"/>
            <w:vAlign w:val="center"/>
            <w:hideMark/>
          </w:tcPr>
          <w:p w14:paraId="4632E539" w14:textId="77777777" w:rsidR="005A043A" w:rsidRPr="00214F41" w:rsidRDefault="005A043A" w:rsidP="00286762">
            <w:pPr>
              <w:jc w:val="center"/>
              <w:rPr>
                <w:sz w:val="18"/>
                <w:szCs w:val="18"/>
              </w:rPr>
            </w:pPr>
            <w:r w:rsidRPr="00214F41">
              <w:rPr>
                <w:sz w:val="18"/>
                <w:szCs w:val="18"/>
              </w:rPr>
              <w:t>5/119</w:t>
            </w:r>
          </w:p>
        </w:tc>
        <w:tc>
          <w:tcPr>
            <w:tcW w:w="278" w:type="pct"/>
            <w:tcBorders>
              <w:top w:val="nil"/>
              <w:left w:val="nil"/>
              <w:bottom w:val="single" w:sz="4" w:space="0" w:color="auto"/>
              <w:right w:val="single" w:sz="4" w:space="0" w:color="auto"/>
            </w:tcBorders>
            <w:shd w:val="clear" w:color="000000" w:fill="FFFFFF"/>
            <w:vAlign w:val="center"/>
            <w:hideMark/>
          </w:tcPr>
          <w:p w14:paraId="299084FD" w14:textId="77777777" w:rsidR="005A043A" w:rsidRPr="00214F41" w:rsidRDefault="005A043A" w:rsidP="00286762">
            <w:pPr>
              <w:jc w:val="center"/>
              <w:rPr>
                <w:sz w:val="18"/>
                <w:szCs w:val="18"/>
              </w:rPr>
            </w:pPr>
            <w:r w:rsidRPr="00214F41">
              <w:rPr>
                <w:sz w:val="18"/>
                <w:szCs w:val="18"/>
              </w:rPr>
              <w:t>3/124</w:t>
            </w:r>
          </w:p>
        </w:tc>
        <w:tc>
          <w:tcPr>
            <w:tcW w:w="280" w:type="pct"/>
            <w:tcBorders>
              <w:top w:val="nil"/>
              <w:left w:val="nil"/>
              <w:bottom w:val="single" w:sz="4" w:space="0" w:color="auto"/>
              <w:right w:val="single" w:sz="4" w:space="0" w:color="auto"/>
            </w:tcBorders>
            <w:shd w:val="clear" w:color="000000" w:fill="FFFFFF"/>
            <w:vAlign w:val="center"/>
            <w:hideMark/>
          </w:tcPr>
          <w:p w14:paraId="284AAA1D" w14:textId="77777777" w:rsidR="005A043A" w:rsidRPr="00214F41" w:rsidRDefault="005A043A" w:rsidP="00286762">
            <w:pPr>
              <w:jc w:val="center"/>
              <w:rPr>
                <w:sz w:val="18"/>
                <w:szCs w:val="18"/>
              </w:rPr>
            </w:pPr>
            <w:r w:rsidRPr="00214F41">
              <w:rPr>
                <w:sz w:val="18"/>
                <w:szCs w:val="18"/>
              </w:rPr>
              <w:t>29/119</w:t>
            </w:r>
          </w:p>
        </w:tc>
        <w:tc>
          <w:tcPr>
            <w:tcW w:w="282" w:type="pct"/>
            <w:tcBorders>
              <w:top w:val="nil"/>
              <w:left w:val="nil"/>
              <w:bottom w:val="single" w:sz="4" w:space="0" w:color="auto"/>
              <w:right w:val="single" w:sz="4" w:space="0" w:color="auto"/>
            </w:tcBorders>
            <w:shd w:val="clear" w:color="000000" w:fill="FFFFFF"/>
            <w:vAlign w:val="center"/>
            <w:hideMark/>
          </w:tcPr>
          <w:p w14:paraId="536CE9F5" w14:textId="77777777" w:rsidR="005A043A" w:rsidRPr="00214F41" w:rsidRDefault="005A043A" w:rsidP="00286762">
            <w:pPr>
              <w:jc w:val="center"/>
              <w:rPr>
                <w:sz w:val="18"/>
                <w:szCs w:val="18"/>
              </w:rPr>
            </w:pPr>
            <w:r w:rsidRPr="00214F41">
              <w:rPr>
                <w:sz w:val="18"/>
                <w:szCs w:val="18"/>
              </w:rPr>
              <w:t>2/124</w:t>
            </w:r>
          </w:p>
        </w:tc>
        <w:tc>
          <w:tcPr>
            <w:tcW w:w="279" w:type="pct"/>
            <w:tcBorders>
              <w:top w:val="nil"/>
              <w:left w:val="nil"/>
              <w:bottom w:val="single" w:sz="4" w:space="0" w:color="auto"/>
              <w:right w:val="single" w:sz="4" w:space="0" w:color="auto"/>
            </w:tcBorders>
            <w:shd w:val="clear" w:color="000000" w:fill="FFFFFF"/>
            <w:vAlign w:val="center"/>
            <w:hideMark/>
          </w:tcPr>
          <w:p w14:paraId="14584A87" w14:textId="77777777" w:rsidR="005A043A" w:rsidRPr="00214F41" w:rsidRDefault="005A043A" w:rsidP="00286762">
            <w:pPr>
              <w:jc w:val="center"/>
              <w:rPr>
                <w:sz w:val="18"/>
                <w:szCs w:val="18"/>
              </w:rPr>
            </w:pPr>
            <w:r w:rsidRPr="00214F41">
              <w:rPr>
                <w:sz w:val="18"/>
                <w:szCs w:val="18"/>
              </w:rPr>
              <w:t>3/119</w:t>
            </w:r>
          </w:p>
        </w:tc>
        <w:tc>
          <w:tcPr>
            <w:tcW w:w="279" w:type="pct"/>
            <w:tcBorders>
              <w:top w:val="nil"/>
              <w:left w:val="nil"/>
              <w:bottom w:val="single" w:sz="4" w:space="0" w:color="auto"/>
              <w:right w:val="single" w:sz="4" w:space="0" w:color="auto"/>
            </w:tcBorders>
            <w:shd w:val="clear" w:color="000000" w:fill="FFFFFF"/>
            <w:vAlign w:val="center"/>
            <w:hideMark/>
          </w:tcPr>
          <w:p w14:paraId="1A2FCD7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6E9754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1A547C22" w14:textId="77777777" w:rsidTr="00286762">
        <w:trPr>
          <w:trHeight w:val="42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66A5DE2" w14:textId="77777777" w:rsidR="005A043A" w:rsidRPr="00214F41" w:rsidRDefault="005A043A" w:rsidP="00286762">
            <w:pPr>
              <w:jc w:val="center"/>
              <w:rPr>
                <w:sz w:val="18"/>
                <w:szCs w:val="18"/>
              </w:rPr>
            </w:pPr>
            <w:proofErr w:type="spellStart"/>
            <w:r w:rsidRPr="00214F41">
              <w:rPr>
                <w:sz w:val="18"/>
                <w:szCs w:val="18"/>
              </w:rPr>
              <w:t>Derosa</w:t>
            </w:r>
            <w:proofErr w:type="spellEnd"/>
            <w:r w:rsidRPr="00214F41">
              <w:rPr>
                <w:sz w:val="18"/>
                <w:szCs w:val="18"/>
              </w:rPr>
              <w:t xml:space="preserve"> et al., 2017b</w:t>
            </w:r>
          </w:p>
        </w:tc>
        <w:tc>
          <w:tcPr>
            <w:tcW w:w="318" w:type="pct"/>
            <w:tcBorders>
              <w:top w:val="nil"/>
              <w:left w:val="nil"/>
              <w:bottom w:val="single" w:sz="4" w:space="0" w:color="auto"/>
              <w:right w:val="single" w:sz="4" w:space="0" w:color="auto"/>
            </w:tcBorders>
            <w:shd w:val="clear" w:color="000000" w:fill="FFFFFF"/>
            <w:vAlign w:val="center"/>
            <w:hideMark/>
          </w:tcPr>
          <w:p w14:paraId="79A0902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14:paraId="1FC6F4F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718" w:type="pct"/>
            <w:tcBorders>
              <w:top w:val="nil"/>
              <w:left w:val="nil"/>
              <w:bottom w:val="single" w:sz="4" w:space="0" w:color="auto"/>
              <w:right w:val="single" w:sz="4" w:space="0" w:color="auto"/>
            </w:tcBorders>
            <w:shd w:val="clear" w:color="000000" w:fill="FFFFFF"/>
            <w:vAlign w:val="center"/>
            <w:hideMark/>
          </w:tcPr>
          <w:p w14:paraId="2EB0AEFA"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B35815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EAFBC3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6D5AE55" w14:textId="77777777" w:rsidR="005A043A" w:rsidRPr="00214F41" w:rsidRDefault="005A043A" w:rsidP="00286762">
            <w:pPr>
              <w:jc w:val="center"/>
              <w:rPr>
                <w:sz w:val="18"/>
                <w:szCs w:val="18"/>
              </w:rPr>
            </w:pPr>
            <w:r w:rsidRPr="00214F41">
              <w:rPr>
                <w:sz w:val="18"/>
                <w:szCs w:val="18"/>
              </w:rPr>
              <w:t>0/120</w:t>
            </w:r>
          </w:p>
        </w:tc>
        <w:tc>
          <w:tcPr>
            <w:tcW w:w="282" w:type="pct"/>
            <w:tcBorders>
              <w:top w:val="nil"/>
              <w:left w:val="nil"/>
              <w:bottom w:val="single" w:sz="4" w:space="0" w:color="auto"/>
              <w:right w:val="single" w:sz="4" w:space="0" w:color="auto"/>
            </w:tcBorders>
            <w:shd w:val="clear" w:color="000000" w:fill="FFFFFF"/>
            <w:vAlign w:val="center"/>
            <w:hideMark/>
          </w:tcPr>
          <w:p w14:paraId="1E8DA682" w14:textId="77777777" w:rsidR="005A043A" w:rsidRPr="00214F41" w:rsidRDefault="005A043A" w:rsidP="00286762">
            <w:pPr>
              <w:jc w:val="center"/>
              <w:rPr>
                <w:sz w:val="18"/>
                <w:szCs w:val="18"/>
              </w:rPr>
            </w:pPr>
            <w:r w:rsidRPr="00214F41">
              <w:rPr>
                <w:sz w:val="18"/>
                <w:szCs w:val="18"/>
              </w:rPr>
              <w:t>7/115</w:t>
            </w:r>
          </w:p>
        </w:tc>
        <w:tc>
          <w:tcPr>
            <w:tcW w:w="278" w:type="pct"/>
            <w:tcBorders>
              <w:top w:val="nil"/>
              <w:left w:val="nil"/>
              <w:bottom w:val="single" w:sz="4" w:space="0" w:color="auto"/>
              <w:right w:val="single" w:sz="4" w:space="0" w:color="auto"/>
            </w:tcBorders>
            <w:shd w:val="clear" w:color="000000" w:fill="FFFFFF"/>
            <w:vAlign w:val="center"/>
            <w:hideMark/>
          </w:tcPr>
          <w:p w14:paraId="3B398279" w14:textId="77777777" w:rsidR="005A043A" w:rsidRPr="00214F41" w:rsidRDefault="005A043A" w:rsidP="00286762">
            <w:pPr>
              <w:jc w:val="center"/>
              <w:rPr>
                <w:sz w:val="18"/>
                <w:szCs w:val="18"/>
              </w:rPr>
            </w:pPr>
            <w:r w:rsidRPr="00214F41">
              <w:rPr>
                <w:sz w:val="18"/>
                <w:szCs w:val="18"/>
              </w:rPr>
              <w:t>0/120</w:t>
            </w:r>
          </w:p>
        </w:tc>
        <w:tc>
          <w:tcPr>
            <w:tcW w:w="280" w:type="pct"/>
            <w:tcBorders>
              <w:top w:val="nil"/>
              <w:left w:val="nil"/>
              <w:bottom w:val="single" w:sz="4" w:space="0" w:color="auto"/>
              <w:right w:val="single" w:sz="4" w:space="0" w:color="auto"/>
            </w:tcBorders>
            <w:shd w:val="clear" w:color="000000" w:fill="FFFFFF"/>
            <w:vAlign w:val="center"/>
            <w:hideMark/>
          </w:tcPr>
          <w:p w14:paraId="284F2D1B" w14:textId="77777777" w:rsidR="005A043A" w:rsidRPr="00214F41" w:rsidRDefault="005A043A" w:rsidP="00286762">
            <w:pPr>
              <w:jc w:val="center"/>
              <w:rPr>
                <w:sz w:val="18"/>
                <w:szCs w:val="18"/>
              </w:rPr>
            </w:pPr>
            <w:r w:rsidRPr="00214F41">
              <w:rPr>
                <w:sz w:val="18"/>
                <w:szCs w:val="18"/>
              </w:rPr>
              <w:t>3/115</w:t>
            </w:r>
          </w:p>
        </w:tc>
        <w:tc>
          <w:tcPr>
            <w:tcW w:w="278" w:type="pct"/>
            <w:tcBorders>
              <w:top w:val="nil"/>
              <w:left w:val="nil"/>
              <w:bottom w:val="single" w:sz="4" w:space="0" w:color="auto"/>
              <w:right w:val="single" w:sz="4" w:space="0" w:color="auto"/>
            </w:tcBorders>
            <w:shd w:val="clear" w:color="000000" w:fill="FFFFFF"/>
            <w:vAlign w:val="center"/>
            <w:hideMark/>
          </w:tcPr>
          <w:p w14:paraId="008233CA" w14:textId="77777777" w:rsidR="005A043A" w:rsidRPr="00214F41" w:rsidRDefault="005A043A" w:rsidP="00286762">
            <w:pPr>
              <w:jc w:val="center"/>
              <w:rPr>
                <w:sz w:val="18"/>
                <w:szCs w:val="18"/>
              </w:rPr>
            </w:pPr>
            <w:r w:rsidRPr="00214F41">
              <w:rPr>
                <w:sz w:val="18"/>
                <w:szCs w:val="18"/>
              </w:rPr>
              <w:t>5/120</w:t>
            </w:r>
          </w:p>
        </w:tc>
        <w:tc>
          <w:tcPr>
            <w:tcW w:w="280" w:type="pct"/>
            <w:tcBorders>
              <w:top w:val="nil"/>
              <w:left w:val="nil"/>
              <w:bottom w:val="single" w:sz="4" w:space="0" w:color="auto"/>
              <w:right w:val="single" w:sz="4" w:space="0" w:color="auto"/>
            </w:tcBorders>
            <w:shd w:val="clear" w:color="000000" w:fill="FFFFFF"/>
            <w:vAlign w:val="center"/>
            <w:hideMark/>
          </w:tcPr>
          <w:p w14:paraId="1E096ABB" w14:textId="77777777" w:rsidR="005A043A" w:rsidRPr="00214F41" w:rsidRDefault="005A043A" w:rsidP="00286762">
            <w:pPr>
              <w:jc w:val="center"/>
              <w:rPr>
                <w:sz w:val="18"/>
                <w:szCs w:val="18"/>
              </w:rPr>
            </w:pPr>
            <w:r w:rsidRPr="00214F41">
              <w:rPr>
                <w:sz w:val="18"/>
                <w:szCs w:val="18"/>
              </w:rPr>
              <w:t>22/115</w:t>
            </w:r>
          </w:p>
        </w:tc>
        <w:tc>
          <w:tcPr>
            <w:tcW w:w="282" w:type="pct"/>
            <w:tcBorders>
              <w:top w:val="nil"/>
              <w:left w:val="nil"/>
              <w:bottom w:val="single" w:sz="4" w:space="0" w:color="auto"/>
              <w:right w:val="single" w:sz="4" w:space="0" w:color="auto"/>
            </w:tcBorders>
            <w:shd w:val="clear" w:color="000000" w:fill="FFFFFF"/>
            <w:vAlign w:val="center"/>
            <w:hideMark/>
          </w:tcPr>
          <w:p w14:paraId="6A505110" w14:textId="77777777" w:rsidR="005A043A" w:rsidRPr="00214F41" w:rsidRDefault="005A043A" w:rsidP="00286762">
            <w:pPr>
              <w:jc w:val="center"/>
              <w:rPr>
                <w:sz w:val="18"/>
                <w:szCs w:val="18"/>
              </w:rPr>
            </w:pPr>
            <w:r w:rsidRPr="00214F41">
              <w:rPr>
                <w:sz w:val="18"/>
                <w:szCs w:val="18"/>
              </w:rPr>
              <w:t>2/120</w:t>
            </w:r>
          </w:p>
        </w:tc>
        <w:tc>
          <w:tcPr>
            <w:tcW w:w="279" w:type="pct"/>
            <w:tcBorders>
              <w:top w:val="nil"/>
              <w:left w:val="nil"/>
              <w:bottom w:val="single" w:sz="4" w:space="0" w:color="auto"/>
              <w:right w:val="single" w:sz="4" w:space="0" w:color="auto"/>
            </w:tcBorders>
            <w:shd w:val="clear" w:color="000000" w:fill="FFFFFF"/>
            <w:vAlign w:val="center"/>
            <w:hideMark/>
          </w:tcPr>
          <w:p w14:paraId="2642C2F2" w14:textId="77777777" w:rsidR="005A043A" w:rsidRPr="00214F41" w:rsidRDefault="005A043A" w:rsidP="00286762">
            <w:pPr>
              <w:jc w:val="center"/>
              <w:rPr>
                <w:sz w:val="18"/>
                <w:szCs w:val="18"/>
              </w:rPr>
            </w:pPr>
            <w:r w:rsidRPr="00214F41">
              <w:rPr>
                <w:sz w:val="18"/>
                <w:szCs w:val="18"/>
              </w:rPr>
              <w:t>2/115</w:t>
            </w:r>
          </w:p>
        </w:tc>
        <w:tc>
          <w:tcPr>
            <w:tcW w:w="279" w:type="pct"/>
            <w:tcBorders>
              <w:top w:val="nil"/>
              <w:left w:val="nil"/>
              <w:bottom w:val="single" w:sz="4" w:space="0" w:color="auto"/>
              <w:right w:val="single" w:sz="4" w:space="0" w:color="auto"/>
            </w:tcBorders>
            <w:shd w:val="clear" w:color="000000" w:fill="FFFFFF"/>
            <w:vAlign w:val="center"/>
            <w:hideMark/>
          </w:tcPr>
          <w:p w14:paraId="6A3D7DE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413E56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52602B8C"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362AE46B" w14:textId="77777777" w:rsidR="005A043A" w:rsidRPr="00214F41" w:rsidRDefault="005A043A" w:rsidP="00286762">
            <w:pPr>
              <w:jc w:val="center"/>
              <w:rPr>
                <w:sz w:val="18"/>
                <w:szCs w:val="18"/>
              </w:rPr>
            </w:pPr>
            <w:r w:rsidRPr="00214F41">
              <w:rPr>
                <w:sz w:val="18"/>
                <w:szCs w:val="18"/>
              </w:rPr>
              <w:t>Dou et al., 2017</w:t>
            </w:r>
          </w:p>
        </w:tc>
        <w:tc>
          <w:tcPr>
            <w:tcW w:w="318" w:type="pct"/>
            <w:tcBorders>
              <w:top w:val="nil"/>
              <w:left w:val="nil"/>
              <w:bottom w:val="single" w:sz="4" w:space="0" w:color="auto"/>
              <w:right w:val="single" w:sz="4" w:space="0" w:color="auto"/>
            </w:tcBorders>
            <w:shd w:val="clear" w:color="000000" w:fill="FFFFFF"/>
            <w:vAlign w:val="center"/>
            <w:hideMark/>
          </w:tcPr>
          <w:p w14:paraId="26899BF6" w14:textId="77777777" w:rsidR="005A043A" w:rsidRPr="00214F41" w:rsidRDefault="005A043A" w:rsidP="00286762">
            <w:pPr>
              <w:jc w:val="center"/>
              <w:rPr>
                <w:sz w:val="18"/>
                <w:szCs w:val="18"/>
              </w:rPr>
            </w:pPr>
            <w:r w:rsidRPr="00214F41">
              <w:rPr>
                <w:sz w:val="18"/>
                <w:szCs w:val="18"/>
              </w:rPr>
              <w:t>4/210</w:t>
            </w:r>
          </w:p>
        </w:tc>
        <w:tc>
          <w:tcPr>
            <w:tcW w:w="295" w:type="pct"/>
            <w:tcBorders>
              <w:top w:val="nil"/>
              <w:left w:val="nil"/>
              <w:bottom w:val="single" w:sz="4" w:space="0" w:color="auto"/>
              <w:right w:val="single" w:sz="4" w:space="0" w:color="auto"/>
            </w:tcBorders>
            <w:shd w:val="clear" w:color="000000" w:fill="FFFFFF"/>
            <w:vAlign w:val="center"/>
            <w:hideMark/>
          </w:tcPr>
          <w:p w14:paraId="083103F6" w14:textId="77777777" w:rsidR="005A043A" w:rsidRPr="00214F41" w:rsidRDefault="005A043A" w:rsidP="00286762">
            <w:pPr>
              <w:jc w:val="center"/>
              <w:rPr>
                <w:sz w:val="18"/>
                <w:szCs w:val="18"/>
              </w:rPr>
            </w:pPr>
            <w:r w:rsidRPr="00214F41">
              <w:rPr>
                <w:sz w:val="18"/>
                <w:szCs w:val="18"/>
              </w:rPr>
              <w:t>5/214</w:t>
            </w:r>
          </w:p>
        </w:tc>
        <w:tc>
          <w:tcPr>
            <w:tcW w:w="718" w:type="pct"/>
            <w:tcBorders>
              <w:top w:val="nil"/>
              <w:left w:val="nil"/>
              <w:bottom w:val="single" w:sz="4" w:space="0" w:color="auto"/>
              <w:right w:val="single" w:sz="4" w:space="0" w:color="auto"/>
            </w:tcBorders>
            <w:shd w:val="clear" w:color="000000" w:fill="FFFFFF"/>
            <w:vAlign w:val="center"/>
            <w:hideMark/>
          </w:tcPr>
          <w:p w14:paraId="5B71B4CE"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43224C5" w14:textId="77777777" w:rsidR="005A043A" w:rsidRPr="00214F41" w:rsidRDefault="005A043A" w:rsidP="00286762">
            <w:pPr>
              <w:jc w:val="center"/>
              <w:rPr>
                <w:sz w:val="18"/>
                <w:szCs w:val="18"/>
              </w:rPr>
            </w:pPr>
            <w:r w:rsidRPr="00214F41">
              <w:rPr>
                <w:sz w:val="18"/>
                <w:szCs w:val="18"/>
              </w:rPr>
              <w:t>4/210</w:t>
            </w:r>
          </w:p>
        </w:tc>
        <w:tc>
          <w:tcPr>
            <w:tcW w:w="282" w:type="pct"/>
            <w:tcBorders>
              <w:top w:val="nil"/>
              <w:left w:val="nil"/>
              <w:bottom w:val="single" w:sz="4" w:space="0" w:color="auto"/>
              <w:right w:val="single" w:sz="4" w:space="0" w:color="auto"/>
            </w:tcBorders>
            <w:shd w:val="clear" w:color="000000" w:fill="FFFFFF"/>
            <w:vAlign w:val="center"/>
            <w:hideMark/>
          </w:tcPr>
          <w:p w14:paraId="02B95C8E" w14:textId="77777777" w:rsidR="005A043A" w:rsidRPr="00214F41" w:rsidRDefault="005A043A" w:rsidP="00286762">
            <w:pPr>
              <w:jc w:val="center"/>
              <w:rPr>
                <w:sz w:val="18"/>
                <w:szCs w:val="18"/>
              </w:rPr>
            </w:pPr>
            <w:r w:rsidRPr="00214F41">
              <w:rPr>
                <w:sz w:val="18"/>
                <w:szCs w:val="18"/>
              </w:rPr>
              <w:t>4/214</w:t>
            </w:r>
          </w:p>
        </w:tc>
        <w:tc>
          <w:tcPr>
            <w:tcW w:w="282" w:type="pct"/>
            <w:tcBorders>
              <w:top w:val="nil"/>
              <w:left w:val="nil"/>
              <w:bottom w:val="single" w:sz="4" w:space="0" w:color="auto"/>
              <w:right w:val="single" w:sz="4" w:space="0" w:color="auto"/>
            </w:tcBorders>
            <w:shd w:val="clear" w:color="000000" w:fill="FFFFFF"/>
            <w:vAlign w:val="center"/>
            <w:hideMark/>
          </w:tcPr>
          <w:p w14:paraId="1C2075E6" w14:textId="77777777" w:rsidR="005A043A" w:rsidRPr="00214F41" w:rsidRDefault="005A043A" w:rsidP="00286762">
            <w:pPr>
              <w:jc w:val="center"/>
              <w:rPr>
                <w:sz w:val="18"/>
                <w:szCs w:val="18"/>
              </w:rPr>
            </w:pPr>
            <w:r w:rsidRPr="00214F41">
              <w:rPr>
                <w:sz w:val="18"/>
                <w:szCs w:val="18"/>
              </w:rPr>
              <w:t>13/210</w:t>
            </w:r>
          </w:p>
        </w:tc>
        <w:tc>
          <w:tcPr>
            <w:tcW w:w="282" w:type="pct"/>
            <w:tcBorders>
              <w:top w:val="nil"/>
              <w:left w:val="nil"/>
              <w:bottom w:val="single" w:sz="4" w:space="0" w:color="auto"/>
              <w:right w:val="single" w:sz="4" w:space="0" w:color="auto"/>
            </w:tcBorders>
            <w:shd w:val="clear" w:color="000000" w:fill="FFFFFF"/>
            <w:vAlign w:val="center"/>
            <w:hideMark/>
          </w:tcPr>
          <w:p w14:paraId="2457C8E2" w14:textId="77777777" w:rsidR="005A043A" w:rsidRPr="00214F41" w:rsidRDefault="005A043A" w:rsidP="00286762">
            <w:pPr>
              <w:jc w:val="center"/>
              <w:rPr>
                <w:sz w:val="18"/>
                <w:szCs w:val="18"/>
              </w:rPr>
            </w:pPr>
            <w:r w:rsidRPr="00214F41">
              <w:rPr>
                <w:sz w:val="18"/>
                <w:szCs w:val="18"/>
              </w:rPr>
              <w:t>6/214</w:t>
            </w:r>
          </w:p>
        </w:tc>
        <w:tc>
          <w:tcPr>
            <w:tcW w:w="278" w:type="pct"/>
            <w:tcBorders>
              <w:top w:val="nil"/>
              <w:left w:val="nil"/>
              <w:bottom w:val="single" w:sz="4" w:space="0" w:color="auto"/>
              <w:right w:val="single" w:sz="4" w:space="0" w:color="auto"/>
            </w:tcBorders>
            <w:shd w:val="clear" w:color="000000" w:fill="FFFFFF"/>
            <w:vAlign w:val="center"/>
            <w:hideMark/>
          </w:tcPr>
          <w:p w14:paraId="56C245C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5FC3F5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69177241" w14:textId="77777777" w:rsidR="005A043A" w:rsidRPr="00214F41" w:rsidRDefault="005A043A" w:rsidP="00286762">
            <w:pPr>
              <w:jc w:val="center"/>
              <w:rPr>
                <w:sz w:val="18"/>
                <w:szCs w:val="18"/>
              </w:rPr>
            </w:pPr>
            <w:r w:rsidRPr="00214F41">
              <w:rPr>
                <w:sz w:val="18"/>
                <w:szCs w:val="18"/>
              </w:rPr>
              <w:t>3/210</w:t>
            </w:r>
          </w:p>
        </w:tc>
        <w:tc>
          <w:tcPr>
            <w:tcW w:w="280" w:type="pct"/>
            <w:tcBorders>
              <w:top w:val="nil"/>
              <w:left w:val="nil"/>
              <w:bottom w:val="single" w:sz="4" w:space="0" w:color="auto"/>
              <w:right w:val="single" w:sz="4" w:space="0" w:color="auto"/>
            </w:tcBorders>
            <w:shd w:val="clear" w:color="000000" w:fill="FFFFFF"/>
            <w:vAlign w:val="center"/>
            <w:hideMark/>
          </w:tcPr>
          <w:p w14:paraId="43870C8B" w14:textId="77777777" w:rsidR="005A043A" w:rsidRPr="00214F41" w:rsidRDefault="005A043A" w:rsidP="00286762">
            <w:pPr>
              <w:jc w:val="center"/>
              <w:rPr>
                <w:sz w:val="18"/>
                <w:szCs w:val="18"/>
              </w:rPr>
            </w:pPr>
            <w:r w:rsidRPr="00214F41">
              <w:rPr>
                <w:sz w:val="18"/>
                <w:szCs w:val="18"/>
              </w:rPr>
              <w:t>5/214</w:t>
            </w:r>
          </w:p>
        </w:tc>
        <w:tc>
          <w:tcPr>
            <w:tcW w:w="282" w:type="pct"/>
            <w:tcBorders>
              <w:top w:val="nil"/>
              <w:left w:val="nil"/>
              <w:bottom w:val="single" w:sz="4" w:space="0" w:color="auto"/>
              <w:right w:val="single" w:sz="4" w:space="0" w:color="auto"/>
            </w:tcBorders>
            <w:shd w:val="clear" w:color="000000" w:fill="FFFFFF"/>
            <w:vAlign w:val="center"/>
            <w:hideMark/>
          </w:tcPr>
          <w:p w14:paraId="2EF8FDA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21288CC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2BAD40E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09EAD0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AC76090" w14:textId="77777777" w:rsidTr="00286762">
        <w:trPr>
          <w:trHeight w:val="423"/>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E73836F" w14:textId="77777777" w:rsidR="005A043A" w:rsidRPr="00214F41" w:rsidRDefault="005A043A" w:rsidP="00286762">
            <w:pPr>
              <w:jc w:val="center"/>
              <w:rPr>
                <w:sz w:val="18"/>
                <w:szCs w:val="18"/>
              </w:rPr>
            </w:pPr>
            <w:r w:rsidRPr="00214F41">
              <w:rPr>
                <w:sz w:val="18"/>
                <w:szCs w:val="18"/>
              </w:rPr>
              <w:t>Henry et al., 2018a</w:t>
            </w:r>
          </w:p>
        </w:tc>
        <w:tc>
          <w:tcPr>
            <w:tcW w:w="318" w:type="pct"/>
            <w:tcBorders>
              <w:top w:val="nil"/>
              <w:left w:val="nil"/>
              <w:bottom w:val="single" w:sz="4" w:space="0" w:color="auto"/>
              <w:right w:val="single" w:sz="4" w:space="0" w:color="auto"/>
            </w:tcBorders>
            <w:shd w:val="clear" w:color="000000" w:fill="FFFFFF"/>
            <w:vAlign w:val="center"/>
            <w:hideMark/>
          </w:tcPr>
          <w:p w14:paraId="4086108B" w14:textId="77777777" w:rsidR="005A043A" w:rsidRPr="00214F41" w:rsidRDefault="005A043A" w:rsidP="00286762">
            <w:pPr>
              <w:jc w:val="center"/>
              <w:rPr>
                <w:sz w:val="18"/>
                <w:szCs w:val="18"/>
              </w:rPr>
            </w:pPr>
            <w:r w:rsidRPr="00214F41">
              <w:rPr>
                <w:sz w:val="18"/>
                <w:szCs w:val="18"/>
              </w:rPr>
              <w:t>3|94</w:t>
            </w:r>
          </w:p>
        </w:tc>
        <w:tc>
          <w:tcPr>
            <w:tcW w:w="295" w:type="pct"/>
            <w:tcBorders>
              <w:top w:val="nil"/>
              <w:left w:val="nil"/>
              <w:bottom w:val="single" w:sz="4" w:space="0" w:color="auto"/>
              <w:right w:val="single" w:sz="4" w:space="0" w:color="auto"/>
            </w:tcBorders>
            <w:shd w:val="clear" w:color="000000" w:fill="FFFFFF"/>
            <w:vAlign w:val="center"/>
            <w:hideMark/>
          </w:tcPr>
          <w:p w14:paraId="72356874" w14:textId="77777777" w:rsidR="005A043A" w:rsidRPr="00214F41" w:rsidRDefault="005A043A" w:rsidP="00286762">
            <w:pPr>
              <w:jc w:val="center"/>
              <w:rPr>
                <w:sz w:val="18"/>
                <w:szCs w:val="18"/>
              </w:rPr>
            </w:pPr>
            <w:r w:rsidRPr="00214F41">
              <w:rPr>
                <w:sz w:val="18"/>
                <w:szCs w:val="18"/>
              </w:rPr>
              <w:t>6|96</w:t>
            </w:r>
          </w:p>
        </w:tc>
        <w:tc>
          <w:tcPr>
            <w:tcW w:w="718" w:type="pct"/>
            <w:vMerge w:val="restart"/>
            <w:tcBorders>
              <w:top w:val="nil"/>
              <w:left w:val="nil"/>
              <w:right w:val="single" w:sz="4" w:space="0" w:color="auto"/>
            </w:tcBorders>
            <w:shd w:val="clear" w:color="000000" w:fill="FFFFFF"/>
            <w:vAlign w:val="center"/>
            <w:hideMark/>
          </w:tcPr>
          <w:p w14:paraId="05F520AE" w14:textId="77777777" w:rsidR="005A043A" w:rsidRPr="00214F41" w:rsidRDefault="005A043A" w:rsidP="00286762">
            <w:pPr>
              <w:jc w:val="center"/>
              <w:rPr>
                <w:sz w:val="18"/>
                <w:szCs w:val="18"/>
                <w:lang w:val="en-GB"/>
              </w:rPr>
            </w:pPr>
            <w:r w:rsidRPr="00214F41">
              <w:rPr>
                <w:sz w:val="18"/>
                <w:szCs w:val="18"/>
                <w:lang w:val="en-GB"/>
              </w:rPr>
              <w:t>most frequently GI disorders (</w:t>
            </w:r>
            <w:proofErr w:type="spellStart"/>
            <w:r w:rsidRPr="00214F41">
              <w:rPr>
                <w:sz w:val="18"/>
                <w:szCs w:val="18"/>
                <w:lang w:val="en-GB"/>
              </w:rPr>
              <w:t>diarrhea</w:t>
            </w:r>
            <w:proofErr w:type="spellEnd"/>
            <w:r w:rsidRPr="00214F41">
              <w:rPr>
                <w:sz w:val="18"/>
                <w:szCs w:val="18"/>
                <w:lang w:val="en-GB"/>
              </w:rPr>
              <w:t xml:space="preserve">, nausea, and abdominal pain) </w:t>
            </w:r>
          </w:p>
        </w:tc>
        <w:tc>
          <w:tcPr>
            <w:tcW w:w="282" w:type="pct"/>
            <w:tcBorders>
              <w:top w:val="nil"/>
              <w:left w:val="nil"/>
              <w:bottom w:val="single" w:sz="4" w:space="0" w:color="auto"/>
              <w:right w:val="single" w:sz="4" w:space="0" w:color="auto"/>
            </w:tcBorders>
            <w:shd w:val="clear" w:color="000000" w:fill="FFFFFF"/>
            <w:vAlign w:val="center"/>
            <w:hideMark/>
          </w:tcPr>
          <w:p w14:paraId="27F3747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1C827D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6AC38F2" w14:textId="77777777" w:rsidR="005A043A" w:rsidRPr="00214F41" w:rsidRDefault="005A043A" w:rsidP="00286762">
            <w:pPr>
              <w:jc w:val="center"/>
              <w:rPr>
                <w:sz w:val="18"/>
                <w:szCs w:val="18"/>
              </w:rPr>
            </w:pPr>
            <w:r w:rsidRPr="00214F41">
              <w:rPr>
                <w:sz w:val="18"/>
                <w:szCs w:val="18"/>
              </w:rPr>
              <w:t>7|94</w:t>
            </w:r>
          </w:p>
        </w:tc>
        <w:tc>
          <w:tcPr>
            <w:tcW w:w="282" w:type="pct"/>
            <w:tcBorders>
              <w:top w:val="nil"/>
              <w:left w:val="nil"/>
              <w:bottom w:val="single" w:sz="4" w:space="0" w:color="auto"/>
              <w:right w:val="single" w:sz="4" w:space="0" w:color="auto"/>
            </w:tcBorders>
            <w:shd w:val="clear" w:color="000000" w:fill="FFFFFF"/>
            <w:vAlign w:val="center"/>
            <w:hideMark/>
          </w:tcPr>
          <w:p w14:paraId="0811625A" w14:textId="77777777" w:rsidR="005A043A" w:rsidRPr="00214F41" w:rsidRDefault="005A043A" w:rsidP="00286762">
            <w:pPr>
              <w:jc w:val="center"/>
              <w:rPr>
                <w:sz w:val="18"/>
                <w:szCs w:val="18"/>
              </w:rPr>
            </w:pPr>
            <w:r w:rsidRPr="00214F41">
              <w:rPr>
                <w:sz w:val="18"/>
                <w:szCs w:val="18"/>
              </w:rPr>
              <w:t>0/96</w:t>
            </w:r>
          </w:p>
        </w:tc>
        <w:tc>
          <w:tcPr>
            <w:tcW w:w="278" w:type="pct"/>
            <w:tcBorders>
              <w:top w:val="nil"/>
              <w:left w:val="nil"/>
              <w:bottom w:val="single" w:sz="4" w:space="0" w:color="auto"/>
              <w:right w:val="single" w:sz="4" w:space="0" w:color="auto"/>
            </w:tcBorders>
            <w:shd w:val="clear" w:color="000000" w:fill="FFFFFF"/>
            <w:vAlign w:val="center"/>
            <w:hideMark/>
          </w:tcPr>
          <w:p w14:paraId="1DF6C04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E3B5CB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66612BD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8DC33B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2B803E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187AF01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3F59724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6582ECE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17AEB68F"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DD05DCF" w14:textId="77777777" w:rsidR="005A043A" w:rsidRPr="00214F41" w:rsidRDefault="005A043A" w:rsidP="00286762">
            <w:pPr>
              <w:jc w:val="center"/>
              <w:rPr>
                <w:sz w:val="18"/>
                <w:szCs w:val="18"/>
              </w:rPr>
            </w:pPr>
            <w:r w:rsidRPr="00214F41">
              <w:rPr>
                <w:sz w:val="18"/>
                <w:szCs w:val="18"/>
              </w:rPr>
              <w:t>Henry et al., 2018b</w:t>
            </w:r>
          </w:p>
        </w:tc>
        <w:tc>
          <w:tcPr>
            <w:tcW w:w="318" w:type="pct"/>
            <w:tcBorders>
              <w:top w:val="nil"/>
              <w:left w:val="nil"/>
              <w:bottom w:val="single" w:sz="4" w:space="0" w:color="auto"/>
              <w:right w:val="single" w:sz="4" w:space="0" w:color="auto"/>
            </w:tcBorders>
            <w:shd w:val="clear" w:color="000000" w:fill="FFFFFF"/>
            <w:vAlign w:val="center"/>
            <w:hideMark/>
          </w:tcPr>
          <w:p w14:paraId="3DABC4D0" w14:textId="77777777" w:rsidR="005A043A" w:rsidRPr="00214F41" w:rsidRDefault="005A043A" w:rsidP="00286762">
            <w:pPr>
              <w:jc w:val="center"/>
              <w:rPr>
                <w:sz w:val="18"/>
                <w:szCs w:val="18"/>
              </w:rPr>
            </w:pPr>
            <w:r w:rsidRPr="00214F41">
              <w:rPr>
                <w:sz w:val="18"/>
                <w:szCs w:val="18"/>
              </w:rPr>
              <w:t>2|95</w:t>
            </w:r>
          </w:p>
        </w:tc>
        <w:tc>
          <w:tcPr>
            <w:tcW w:w="295" w:type="pct"/>
            <w:tcBorders>
              <w:top w:val="nil"/>
              <w:left w:val="nil"/>
              <w:bottom w:val="single" w:sz="4" w:space="0" w:color="auto"/>
              <w:right w:val="single" w:sz="4" w:space="0" w:color="auto"/>
            </w:tcBorders>
            <w:shd w:val="clear" w:color="000000" w:fill="FFFFFF"/>
            <w:vAlign w:val="center"/>
            <w:hideMark/>
          </w:tcPr>
          <w:p w14:paraId="01AA27B9" w14:textId="77777777" w:rsidR="005A043A" w:rsidRPr="00214F41" w:rsidRDefault="005A043A" w:rsidP="00286762">
            <w:pPr>
              <w:jc w:val="center"/>
              <w:rPr>
                <w:sz w:val="18"/>
                <w:szCs w:val="18"/>
              </w:rPr>
            </w:pPr>
            <w:r w:rsidRPr="00214F41">
              <w:rPr>
                <w:sz w:val="18"/>
                <w:szCs w:val="18"/>
              </w:rPr>
              <w:t>6|96</w:t>
            </w:r>
          </w:p>
        </w:tc>
        <w:tc>
          <w:tcPr>
            <w:tcW w:w="718" w:type="pct"/>
            <w:vMerge/>
            <w:tcBorders>
              <w:left w:val="nil"/>
              <w:right w:val="single" w:sz="4" w:space="0" w:color="auto"/>
            </w:tcBorders>
            <w:shd w:val="clear" w:color="000000" w:fill="FFFFFF"/>
            <w:vAlign w:val="center"/>
            <w:hideMark/>
          </w:tcPr>
          <w:p w14:paraId="77C2949C"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7ECC0B8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4E3EE5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73C9DBB" w14:textId="77777777" w:rsidR="005A043A" w:rsidRPr="00214F41" w:rsidRDefault="005A043A" w:rsidP="00286762">
            <w:pPr>
              <w:jc w:val="center"/>
              <w:rPr>
                <w:sz w:val="18"/>
                <w:szCs w:val="18"/>
              </w:rPr>
            </w:pPr>
            <w:r w:rsidRPr="00214F41">
              <w:rPr>
                <w:sz w:val="18"/>
                <w:szCs w:val="18"/>
              </w:rPr>
              <w:t>7|95</w:t>
            </w:r>
          </w:p>
        </w:tc>
        <w:tc>
          <w:tcPr>
            <w:tcW w:w="282" w:type="pct"/>
            <w:tcBorders>
              <w:top w:val="nil"/>
              <w:left w:val="nil"/>
              <w:bottom w:val="single" w:sz="4" w:space="0" w:color="auto"/>
              <w:right w:val="single" w:sz="4" w:space="0" w:color="auto"/>
            </w:tcBorders>
            <w:shd w:val="clear" w:color="000000" w:fill="FFFFFF"/>
            <w:vAlign w:val="center"/>
            <w:hideMark/>
          </w:tcPr>
          <w:p w14:paraId="1B7C0C71" w14:textId="77777777" w:rsidR="005A043A" w:rsidRPr="00214F41" w:rsidRDefault="005A043A" w:rsidP="00286762">
            <w:pPr>
              <w:jc w:val="center"/>
              <w:rPr>
                <w:sz w:val="18"/>
                <w:szCs w:val="18"/>
              </w:rPr>
            </w:pPr>
            <w:r w:rsidRPr="00214F41">
              <w:rPr>
                <w:sz w:val="18"/>
                <w:szCs w:val="18"/>
              </w:rPr>
              <w:t>0/96</w:t>
            </w:r>
          </w:p>
        </w:tc>
        <w:tc>
          <w:tcPr>
            <w:tcW w:w="278" w:type="pct"/>
            <w:tcBorders>
              <w:top w:val="nil"/>
              <w:left w:val="nil"/>
              <w:bottom w:val="single" w:sz="4" w:space="0" w:color="auto"/>
              <w:right w:val="single" w:sz="4" w:space="0" w:color="auto"/>
            </w:tcBorders>
            <w:shd w:val="clear" w:color="000000" w:fill="FFFFFF"/>
            <w:vAlign w:val="center"/>
            <w:hideMark/>
          </w:tcPr>
          <w:p w14:paraId="00F6080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99F624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728A97F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49F5818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A76EFEE" w14:textId="77777777" w:rsidR="005A043A" w:rsidRPr="00214F41" w:rsidRDefault="005A043A" w:rsidP="00286762">
            <w:pPr>
              <w:jc w:val="center"/>
              <w:rPr>
                <w:sz w:val="18"/>
                <w:szCs w:val="18"/>
              </w:rPr>
            </w:pPr>
            <w:r w:rsidRPr="00214F41">
              <w:rPr>
                <w:sz w:val="18"/>
                <w:szCs w:val="18"/>
              </w:rPr>
              <w:t>3|95</w:t>
            </w:r>
          </w:p>
        </w:tc>
        <w:tc>
          <w:tcPr>
            <w:tcW w:w="279" w:type="pct"/>
            <w:tcBorders>
              <w:top w:val="nil"/>
              <w:left w:val="nil"/>
              <w:bottom w:val="single" w:sz="4" w:space="0" w:color="auto"/>
              <w:right w:val="single" w:sz="4" w:space="0" w:color="auto"/>
            </w:tcBorders>
            <w:shd w:val="clear" w:color="000000" w:fill="FFFFFF"/>
            <w:vAlign w:val="center"/>
            <w:hideMark/>
          </w:tcPr>
          <w:p w14:paraId="6FDF8022" w14:textId="77777777" w:rsidR="005A043A" w:rsidRPr="00214F41" w:rsidRDefault="005A043A" w:rsidP="00286762">
            <w:pPr>
              <w:jc w:val="center"/>
              <w:rPr>
                <w:sz w:val="18"/>
                <w:szCs w:val="18"/>
              </w:rPr>
            </w:pPr>
            <w:r w:rsidRPr="00214F41">
              <w:rPr>
                <w:sz w:val="18"/>
                <w:szCs w:val="18"/>
              </w:rPr>
              <w:t>1|96</w:t>
            </w:r>
          </w:p>
        </w:tc>
        <w:tc>
          <w:tcPr>
            <w:tcW w:w="279" w:type="pct"/>
            <w:tcBorders>
              <w:top w:val="nil"/>
              <w:left w:val="nil"/>
              <w:bottom w:val="single" w:sz="4" w:space="0" w:color="auto"/>
              <w:right w:val="single" w:sz="4" w:space="0" w:color="auto"/>
            </w:tcBorders>
            <w:shd w:val="clear" w:color="000000" w:fill="FFFFFF"/>
            <w:vAlign w:val="center"/>
            <w:hideMark/>
          </w:tcPr>
          <w:p w14:paraId="6C43902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6FE5FD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895FDB9" w14:textId="77777777" w:rsidTr="00286762">
        <w:trPr>
          <w:trHeight w:val="33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249E5981" w14:textId="77777777" w:rsidR="005A043A" w:rsidRPr="00214F41" w:rsidRDefault="005A043A" w:rsidP="00286762">
            <w:pPr>
              <w:jc w:val="center"/>
              <w:rPr>
                <w:sz w:val="18"/>
                <w:szCs w:val="18"/>
              </w:rPr>
            </w:pPr>
            <w:r w:rsidRPr="00214F41">
              <w:rPr>
                <w:sz w:val="18"/>
                <w:szCs w:val="18"/>
              </w:rPr>
              <w:t>Henry et al., 2018c</w:t>
            </w:r>
          </w:p>
        </w:tc>
        <w:tc>
          <w:tcPr>
            <w:tcW w:w="318" w:type="pct"/>
            <w:tcBorders>
              <w:top w:val="nil"/>
              <w:left w:val="nil"/>
              <w:bottom w:val="single" w:sz="4" w:space="0" w:color="auto"/>
              <w:right w:val="single" w:sz="4" w:space="0" w:color="auto"/>
            </w:tcBorders>
            <w:shd w:val="clear" w:color="000000" w:fill="FFFFFF"/>
            <w:vAlign w:val="center"/>
            <w:hideMark/>
          </w:tcPr>
          <w:p w14:paraId="69DC5D43" w14:textId="77777777" w:rsidR="005A043A" w:rsidRPr="00214F41" w:rsidRDefault="005A043A" w:rsidP="00286762">
            <w:pPr>
              <w:jc w:val="center"/>
              <w:rPr>
                <w:sz w:val="18"/>
                <w:szCs w:val="18"/>
              </w:rPr>
            </w:pPr>
            <w:r w:rsidRPr="00214F41">
              <w:rPr>
                <w:sz w:val="18"/>
                <w:szCs w:val="18"/>
              </w:rPr>
              <w:t>4|96</w:t>
            </w:r>
          </w:p>
        </w:tc>
        <w:tc>
          <w:tcPr>
            <w:tcW w:w="295" w:type="pct"/>
            <w:tcBorders>
              <w:top w:val="nil"/>
              <w:left w:val="nil"/>
              <w:bottom w:val="single" w:sz="4" w:space="0" w:color="auto"/>
              <w:right w:val="single" w:sz="4" w:space="0" w:color="auto"/>
            </w:tcBorders>
            <w:shd w:val="clear" w:color="000000" w:fill="FFFFFF"/>
            <w:vAlign w:val="center"/>
            <w:hideMark/>
          </w:tcPr>
          <w:p w14:paraId="45F2C468" w14:textId="77777777" w:rsidR="005A043A" w:rsidRPr="00214F41" w:rsidRDefault="005A043A" w:rsidP="00286762">
            <w:pPr>
              <w:jc w:val="center"/>
              <w:rPr>
                <w:sz w:val="18"/>
                <w:szCs w:val="18"/>
              </w:rPr>
            </w:pPr>
            <w:r w:rsidRPr="00214F41">
              <w:rPr>
                <w:sz w:val="18"/>
                <w:szCs w:val="18"/>
              </w:rPr>
              <w:t>6|96</w:t>
            </w:r>
          </w:p>
        </w:tc>
        <w:tc>
          <w:tcPr>
            <w:tcW w:w="718" w:type="pct"/>
            <w:vMerge/>
            <w:tcBorders>
              <w:left w:val="nil"/>
              <w:right w:val="single" w:sz="4" w:space="0" w:color="auto"/>
            </w:tcBorders>
            <w:shd w:val="clear" w:color="000000" w:fill="FFFFFF"/>
            <w:vAlign w:val="center"/>
          </w:tcPr>
          <w:p w14:paraId="0D65A74C"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0FCFB61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E89AC5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2A5FFA3" w14:textId="77777777" w:rsidR="005A043A" w:rsidRPr="00214F41" w:rsidRDefault="005A043A" w:rsidP="00286762">
            <w:pPr>
              <w:jc w:val="center"/>
              <w:rPr>
                <w:sz w:val="18"/>
                <w:szCs w:val="18"/>
              </w:rPr>
            </w:pPr>
            <w:r w:rsidRPr="00214F41">
              <w:rPr>
                <w:sz w:val="18"/>
                <w:szCs w:val="18"/>
              </w:rPr>
              <w:t>11|96</w:t>
            </w:r>
          </w:p>
        </w:tc>
        <w:tc>
          <w:tcPr>
            <w:tcW w:w="282" w:type="pct"/>
            <w:tcBorders>
              <w:top w:val="nil"/>
              <w:left w:val="nil"/>
              <w:bottom w:val="single" w:sz="4" w:space="0" w:color="auto"/>
              <w:right w:val="single" w:sz="4" w:space="0" w:color="auto"/>
            </w:tcBorders>
            <w:shd w:val="clear" w:color="000000" w:fill="FFFFFF"/>
            <w:vAlign w:val="center"/>
            <w:hideMark/>
          </w:tcPr>
          <w:p w14:paraId="654D1596" w14:textId="77777777" w:rsidR="005A043A" w:rsidRPr="00214F41" w:rsidRDefault="005A043A" w:rsidP="00286762">
            <w:pPr>
              <w:jc w:val="center"/>
              <w:rPr>
                <w:sz w:val="18"/>
                <w:szCs w:val="18"/>
              </w:rPr>
            </w:pPr>
            <w:r w:rsidRPr="00214F41">
              <w:rPr>
                <w:sz w:val="18"/>
                <w:szCs w:val="18"/>
              </w:rPr>
              <w:t>0/96</w:t>
            </w:r>
          </w:p>
        </w:tc>
        <w:tc>
          <w:tcPr>
            <w:tcW w:w="278" w:type="pct"/>
            <w:tcBorders>
              <w:top w:val="nil"/>
              <w:left w:val="nil"/>
              <w:bottom w:val="single" w:sz="4" w:space="0" w:color="auto"/>
              <w:right w:val="single" w:sz="4" w:space="0" w:color="auto"/>
            </w:tcBorders>
            <w:shd w:val="clear" w:color="000000" w:fill="FFFFFF"/>
            <w:vAlign w:val="center"/>
            <w:hideMark/>
          </w:tcPr>
          <w:p w14:paraId="5942019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5444FA5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7544C3A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A13CF8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50CC49C" w14:textId="77777777" w:rsidR="005A043A" w:rsidRPr="00214F41" w:rsidRDefault="005A043A" w:rsidP="00286762">
            <w:pPr>
              <w:jc w:val="center"/>
              <w:rPr>
                <w:sz w:val="18"/>
                <w:szCs w:val="18"/>
              </w:rPr>
            </w:pPr>
            <w:r w:rsidRPr="00214F41">
              <w:rPr>
                <w:sz w:val="18"/>
                <w:szCs w:val="18"/>
              </w:rPr>
              <w:t>1|96</w:t>
            </w:r>
          </w:p>
        </w:tc>
        <w:tc>
          <w:tcPr>
            <w:tcW w:w="279" w:type="pct"/>
            <w:tcBorders>
              <w:top w:val="nil"/>
              <w:left w:val="nil"/>
              <w:bottom w:val="single" w:sz="4" w:space="0" w:color="auto"/>
              <w:right w:val="single" w:sz="4" w:space="0" w:color="auto"/>
            </w:tcBorders>
            <w:shd w:val="clear" w:color="000000" w:fill="FFFFFF"/>
            <w:vAlign w:val="center"/>
            <w:hideMark/>
          </w:tcPr>
          <w:p w14:paraId="25DF5D5B" w14:textId="77777777" w:rsidR="005A043A" w:rsidRPr="00214F41" w:rsidRDefault="005A043A" w:rsidP="00286762">
            <w:pPr>
              <w:jc w:val="center"/>
              <w:rPr>
                <w:sz w:val="18"/>
                <w:szCs w:val="18"/>
              </w:rPr>
            </w:pPr>
            <w:r w:rsidRPr="00214F41">
              <w:rPr>
                <w:sz w:val="18"/>
                <w:szCs w:val="18"/>
              </w:rPr>
              <w:t>1|/96</w:t>
            </w:r>
          </w:p>
        </w:tc>
        <w:tc>
          <w:tcPr>
            <w:tcW w:w="279" w:type="pct"/>
            <w:tcBorders>
              <w:top w:val="nil"/>
              <w:left w:val="nil"/>
              <w:bottom w:val="single" w:sz="4" w:space="0" w:color="auto"/>
              <w:right w:val="single" w:sz="4" w:space="0" w:color="auto"/>
            </w:tcBorders>
            <w:shd w:val="clear" w:color="000000" w:fill="FFFFFF"/>
            <w:vAlign w:val="center"/>
            <w:hideMark/>
          </w:tcPr>
          <w:p w14:paraId="050D26E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64994FC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4FAC4322" w14:textId="77777777" w:rsidTr="00286762">
        <w:trPr>
          <w:trHeight w:val="52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5D339525" w14:textId="77777777" w:rsidR="005A043A" w:rsidRPr="00214F41" w:rsidRDefault="005A043A" w:rsidP="00286762">
            <w:pPr>
              <w:jc w:val="center"/>
              <w:rPr>
                <w:sz w:val="18"/>
                <w:szCs w:val="18"/>
              </w:rPr>
            </w:pPr>
            <w:r w:rsidRPr="00214F41">
              <w:rPr>
                <w:sz w:val="18"/>
                <w:szCs w:val="18"/>
              </w:rPr>
              <w:t>Henry et al., 2018d</w:t>
            </w:r>
          </w:p>
        </w:tc>
        <w:tc>
          <w:tcPr>
            <w:tcW w:w="318" w:type="pct"/>
            <w:tcBorders>
              <w:top w:val="nil"/>
              <w:left w:val="nil"/>
              <w:bottom w:val="single" w:sz="4" w:space="0" w:color="auto"/>
              <w:right w:val="single" w:sz="4" w:space="0" w:color="auto"/>
            </w:tcBorders>
            <w:shd w:val="clear" w:color="000000" w:fill="FFFFFF"/>
            <w:vAlign w:val="center"/>
            <w:hideMark/>
          </w:tcPr>
          <w:p w14:paraId="1EED9EB6" w14:textId="77777777" w:rsidR="005A043A" w:rsidRPr="00214F41" w:rsidRDefault="005A043A" w:rsidP="00286762">
            <w:pPr>
              <w:jc w:val="center"/>
              <w:rPr>
                <w:sz w:val="18"/>
                <w:szCs w:val="18"/>
              </w:rPr>
            </w:pPr>
            <w:r w:rsidRPr="00214F41">
              <w:rPr>
                <w:sz w:val="18"/>
                <w:szCs w:val="18"/>
              </w:rPr>
              <w:t>2|96</w:t>
            </w:r>
          </w:p>
        </w:tc>
        <w:tc>
          <w:tcPr>
            <w:tcW w:w="295" w:type="pct"/>
            <w:tcBorders>
              <w:top w:val="nil"/>
              <w:left w:val="nil"/>
              <w:bottom w:val="single" w:sz="4" w:space="0" w:color="auto"/>
              <w:right w:val="single" w:sz="4" w:space="0" w:color="auto"/>
            </w:tcBorders>
            <w:shd w:val="clear" w:color="000000" w:fill="FFFFFF"/>
            <w:vAlign w:val="center"/>
            <w:hideMark/>
          </w:tcPr>
          <w:p w14:paraId="1CEE5FAC" w14:textId="77777777" w:rsidR="005A043A" w:rsidRPr="00214F41" w:rsidRDefault="005A043A" w:rsidP="00286762">
            <w:pPr>
              <w:jc w:val="center"/>
              <w:rPr>
                <w:sz w:val="18"/>
                <w:szCs w:val="18"/>
              </w:rPr>
            </w:pPr>
            <w:r w:rsidRPr="00214F41">
              <w:rPr>
                <w:sz w:val="18"/>
                <w:szCs w:val="18"/>
              </w:rPr>
              <w:t>6|96</w:t>
            </w:r>
          </w:p>
        </w:tc>
        <w:tc>
          <w:tcPr>
            <w:tcW w:w="718" w:type="pct"/>
            <w:vMerge/>
            <w:tcBorders>
              <w:left w:val="nil"/>
              <w:bottom w:val="single" w:sz="4" w:space="0" w:color="auto"/>
              <w:right w:val="single" w:sz="4" w:space="0" w:color="auto"/>
            </w:tcBorders>
            <w:shd w:val="clear" w:color="000000" w:fill="FFFFFF"/>
            <w:vAlign w:val="center"/>
          </w:tcPr>
          <w:p w14:paraId="7FD8FBC2"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423F3D1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F1829E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D0D18E7" w14:textId="77777777" w:rsidR="005A043A" w:rsidRPr="00214F41" w:rsidRDefault="005A043A" w:rsidP="00286762">
            <w:pPr>
              <w:jc w:val="center"/>
              <w:rPr>
                <w:sz w:val="18"/>
                <w:szCs w:val="18"/>
              </w:rPr>
            </w:pPr>
            <w:r w:rsidRPr="00214F41">
              <w:rPr>
                <w:sz w:val="18"/>
                <w:szCs w:val="18"/>
              </w:rPr>
              <w:t>11|96</w:t>
            </w:r>
          </w:p>
        </w:tc>
        <w:tc>
          <w:tcPr>
            <w:tcW w:w="282" w:type="pct"/>
            <w:tcBorders>
              <w:top w:val="nil"/>
              <w:left w:val="nil"/>
              <w:bottom w:val="single" w:sz="4" w:space="0" w:color="auto"/>
              <w:right w:val="single" w:sz="4" w:space="0" w:color="auto"/>
            </w:tcBorders>
            <w:shd w:val="clear" w:color="000000" w:fill="FFFFFF"/>
            <w:vAlign w:val="center"/>
            <w:hideMark/>
          </w:tcPr>
          <w:p w14:paraId="6A812B69" w14:textId="77777777" w:rsidR="005A043A" w:rsidRPr="00214F41" w:rsidRDefault="005A043A" w:rsidP="00286762">
            <w:pPr>
              <w:jc w:val="center"/>
              <w:rPr>
                <w:sz w:val="18"/>
                <w:szCs w:val="18"/>
              </w:rPr>
            </w:pPr>
            <w:r w:rsidRPr="00214F41">
              <w:rPr>
                <w:sz w:val="18"/>
                <w:szCs w:val="18"/>
              </w:rPr>
              <w:t>0|96</w:t>
            </w:r>
          </w:p>
        </w:tc>
        <w:tc>
          <w:tcPr>
            <w:tcW w:w="278" w:type="pct"/>
            <w:tcBorders>
              <w:top w:val="nil"/>
              <w:left w:val="nil"/>
              <w:bottom w:val="single" w:sz="4" w:space="0" w:color="auto"/>
              <w:right w:val="single" w:sz="4" w:space="0" w:color="auto"/>
            </w:tcBorders>
            <w:shd w:val="clear" w:color="000000" w:fill="FFFFFF"/>
            <w:vAlign w:val="center"/>
            <w:hideMark/>
          </w:tcPr>
          <w:p w14:paraId="786B3EA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454F488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0D9E8EB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6D56E8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4FEE4ED" w14:textId="77777777" w:rsidR="005A043A" w:rsidRPr="00214F41" w:rsidRDefault="005A043A" w:rsidP="00286762">
            <w:pPr>
              <w:jc w:val="center"/>
              <w:rPr>
                <w:sz w:val="18"/>
                <w:szCs w:val="18"/>
              </w:rPr>
            </w:pPr>
            <w:r w:rsidRPr="00214F41">
              <w:rPr>
                <w:sz w:val="18"/>
                <w:szCs w:val="18"/>
              </w:rPr>
              <w:t>3|96</w:t>
            </w:r>
          </w:p>
        </w:tc>
        <w:tc>
          <w:tcPr>
            <w:tcW w:w="279" w:type="pct"/>
            <w:tcBorders>
              <w:top w:val="nil"/>
              <w:left w:val="nil"/>
              <w:bottom w:val="single" w:sz="4" w:space="0" w:color="auto"/>
              <w:right w:val="single" w:sz="4" w:space="0" w:color="auto"/>
            </w:tcBorders>
            <w:shd w:val="clear" w:color="000000" w:fill="FFFFFF"/>
            <w:vAlign w:val="center"/>
            <w:hideMark/>
          </w:tcPr>
          <w:p w14:paraId="11A11970" w14:textId="77777777" w:rsidR="005A043A" w:rsidRPr="00214F41" w:rsidRDefault="005A043A" w:rsidP="00286762">
            <w:pPr>
              <w:jc w:val="center"/>
              <w:rPr>
                <w:sz w:val="18"/>
                <w:szCs w:val="18"/>
              </w:rPr>
            </w:pPr>
            <w:r w:rsidRPr="00214F41">
              <w:rPr>
                <w:sz w:val="18"/>
                <w:szCs w:val="18"/>
              </w:rPr>
              <w:t>1|96</w:t>
            </w:r>
          </w:p>
        </w:tc>
        <w:tc>
          <w:tcPr>
            <w:tcW w:w="279" w:type="pct"/>
            <w:tcBorders>
              <w:top w:val="nil"/>
              <w:left w:val="nil"/>
              <w:bottom w:val="single" w:sz="4" w:space="0" w:color="auto"/>
              <w:right w:val="single" w:sz="4" w:space="0" w:color="auto"/>
            </w:tcBorders>
            <w:shd w:val="clear" w:color="000000" w:fill="FFFFFF"/>
            <w:vAlign w:val="center"/>
            <w:hideMark/>
          </w:tcPr>
          <w:p w14:paraId="6C59A02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4561B01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7297FEF9" w14:textId="77777777" w:rsidTr="00286762">
        <w:trPr>
          <w:trHeight w:val="831"/>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1E9849B8" w14:textId="77777777" w:rsidR="005A043A" w:rsidRPr="00214F41" w:rsidRDefault="005A043A" w:rsidP="00286762">
            <w:pPr>
              <w:jc w:val="center"/>
              <w:rPr>
                <w:sz w:val="18"/>
                <w:szCs w:val="18"/>
              </w:rPr>
            </w:pPr>
            <w:r w:rsidRPr="00214F41">
              <w:rPr>
                <w:sz w:val="18"/>
                <w:szCs w:val="18"/>
              </w:rPr>
              <w:t>Henry et al., 2018e</w:t>
            </w:r>
          </w:p>
        </w:tc>
        <w:tc>
          <w:tcPr>
            <w:tcW w:w="318" w:type="pct"/>
            <w:tcBorders>
              <w:top w:val="nil"/>
              <w:left w:val="nil"/>
              <w:bottom w:val="single" w:sz="4" w:space="0" w:color="auto"/>
              <w:right w:val="single" w:sz="4" w:space="0" w:color="auto"/>
            </w:tcBorders>
            <w:shd w:val="clear" w:color="000000" w:fill="FFFFFF"/>
            <w:vAlign w:val="center"/>
            <w:hideMark/>
          </w:tcPr>
          <w:p w14:paraId="5350CD91" w14:textId="77777777" w:rsidR="005A043A" w:rsidRPr="00214F41" w:rsidRDefault="005A043A" w:rsidP="00286762">
            <w:pPr>
              <w:jc w:val="center"/>
              <w:rPr>
                <w:sz w:val="18"/>
                <w:szCs w:val="18"/>
              </w:rPr>
            </w:pPr>
            <w:r w:rsidRPr="00214F41">
              <w:rPr>
                <w:sz w:val="18"/>
                <w:szCs w:val="18"/>
              </w:rPr>
              <w:t>8|94</w:t>
            </w:r>
          </w:p>
        </w:tc>
        <w:tc>
          <w:tcPr>
            <w:tcW w:w="295" w:type="pct"/>
            <w:tcBorders>
              <w:top w:val="nil"/>
              <w:left w:val="nil"/>
              <w:bottom w:val="single" w:sz="4" w:space="0" w:color="auto"/>
              <w:right w:val="single" w:sz="4" w:space="0" w:color="auto"/>
            </w:tcBorders>
            <w:shd w:val="clear" w:color="000000" w:fill="FFFFFF"/>
            <w:vAlign w:val="center"/>
            <w:hideMark/>
          </w:tcPr>
          <w:p w14:paraId="5DEB1694" w14:textId="77777777" w:rsidR="005A043A" w:rsidRPr="00214F41" w:rsidRDefault="005A043A" w:rsidP="00286762">
            <w:pPr>
              <w:jc w:val="center"/>
              <w:rPr>
                <w:sz w:val="18"/>
                <w:szCs w:val="18"/>
              </w:rPr>
            </w:pPr>
            <w:r w:rsidRPr="00214F41">
              <w:rPr>
                <w:sz w:val="18"/>
                <w:szCs w:val="18"/>
              </w:rPr>
              <w:t>6|96</w:t>
            </w:r>
          </w:p>
        </w:tc>
        <w:tc>
          <w:tcPr>
            <w:tcW w:w="718" w:type="pct"/>
            <w:tcBorders>
              <w:top w:val="nil"/>
              <w:left w:val="nil"/>
              <w:bottom w:val="single" w:sz="4" w:space="0" w:color="auto"/>
              <w:right w:val="single" w:sz="4" w:space="0" w:color="auto"/>
            </w:tcBorders>
            <w:shd w:val="clear" w:color="000000" w:fill="FFFFFF"/>
            <w:vAlign w:val="center"/>
            <w:hideMark/>
          </w:tcPr>
          <w:p w14:paraId="1ECE22FB" w14:textId="77777777" w:rsidR="005A043A" w:rsidRPr="00214F41" w:rsidRDefault="005A043A" w:rsidP="00286762">
            <w:pPr>
              <w:jc w:val="center"/>
              <w:rPr>
                <w:sz w:val="18"/>
                <w:szCs w:val="18"/>
                <w:lang w:val="en-GB"/>
              </w:rPr>
            </w:pPr>
            <w:r w:rsidRPr="00214F41">
              <w:rPr>
                <w:sz w:val="18"/>
                <w:szCs w:val="18"/>
                <w:lang w:val="en-GB"/>
              </w:rPr>
              <w:t>most frequently GI disorders (</w:t>
            </w:r>
            <w:proofErr w:type="spellStart"/>
            <w:r w:rsidRPr="00214F41">
              <w:rPr>
                <w:sz w:val="18"/>
                <w:szCs w:val="18"/>
                <w:lang w:val="en-GB"/>
              </w:rPr>
              <w:t>diarrhea</w:t>
            </w:r>
            <w:proofErr w:type="spellEnd"/>
            <w:r w:rsidRPr="00214F41">
              <w:rPr>
                <w:sz w:val="18"/>
                <w:szCs w:val="18"/>
                <w:lang w:val="en-GB"/>
              </w:rPr>
              <w:t>, nausea, and abdominal pain)</w:t>
            </w:r>
          </w:p>
        </w:tc>
        <w:tc>
          <w:tcPr>
            <w:tcW w:w="282" w:type="pct"/>
            <w:tcBorders>
              <w:top w:val="nil"/>
              <w:left w:val="nil"/>
              <w:bottom w:val="single" w:sz="4" w:space="0" w:color="auto"/>
              <w:right w:val="single" w:sz="4" w:space="0" w:color="auto"/>
            </w:tcBorders>
            <w:shd w:val="clear" w:color="000000" w:fill="FFFFFF"/>
            <w:vAlign w:val="center"/>
            <w:hideMark/>
          </w:tcPr>
          <w:p w14:paraId="6520AA4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13187B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4303F1C" w14:textId="77777777" w:rsidR="005A043A" w:rsidRPr="00214F41" w:rsidRDefault="005A043A" w:rsidP="00286762">
            <w:pPr>
              <w:jc w:val="center"/>
              <w:rPr>
                <w:sz w:val="18"/>
                <w:szCs w:val="18"/>
              </w:rPr>
            </w:pPr>
            <w:r w:rsidRPr="00214F41">
              <w:rPr>
                <w:sz w:val="18"/>
                <w:szCs w:val="18"/>
              </w:rPr>
              <w:t>13/94</w:t>
            </w:r>
          </w:p>
        </w:tc>
        <w:tc>
          <w:tcPr>
            <w:tcW w:w="282" w:type="pct"/>
            <w:tcBorders>
              <w:top w:val="nil"/>
              <w:left w:val="nil"/>
              <w:bottom w:val="single" w:sz="4" w:space="0" w:color="auto"/>
              <w:right w:val="single" w:sz="4" w:space="0" w:color="auto"/>
            </w:tcBorders>
            <w:shd w:val="clear" w:color="000000" w:fill="FFFFFF"/>
            <w:vAlign w:val="center"/>
            <w:hideMark/>
          </w:tcPr>
          <w:p w14:paraId="59F207E3" w14:textId="77777777" w:rsidR="005A043A" w:rsidRPr="00214F41" w:rsidRDefault="005A043A" w:rsidP="00286762">
            <w:pPr>
              <w:jc w:val="center"/>
              <w:rPr>
                <w:sz w:val="18"/>
                <w:szCs w:val="18"/>
              </w:rPr>
            </w:pPr>
            <w:r w:rsidRPr="00214F41">
              <w:rPr>
                <w:sz w:val="18"/>
                <w:szCs w:val="18"/>
              </w:rPr>
              <w:t>0/96</w:t>
            </w:r>
          </w:p>
        </w:tc>
        <w:tc>
          <w:tcPr>
            <w:tcW w:w="278" w:type="pct"/>
            <w:tcBorders>
              <w:top w:val="nil"/>
              <w:left w:val="nil"/>
              <w:bottom w:val="single" w:sz="4" w:space="0" w:color="auto"/>
              <w:right w:val="single" w:sz="4" w:space="0" w:color="auto"/>
            </w:tcBorders>
            <w:shd w:val="clear" w:color="000000" w:fill="FFFFFF"/>
            <w:vAlign w:val="center"/>
            <w:hideMark/>
          </w:tcPr>
          <w:p w14:paraId="35256CD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7CCC0E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051241F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879F3A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98533B8" w14:textId="77777777" w:rsidR="005A043A" w:rsidRPr="00214F41" w:rsidRDefault="005A043A" w:rsidP="00286762">
            <w:pPr>
              <w:jc w:val="center"/>
              <w:rPr>
                <w:sz w:val="18"/>
                <w:szCs w:val="18"/>
              </w:rPr>
            </w:pPr>
            <w:r w:rsidRPr="00214F41">
              <w:rPr>
                <w:sz w:val="18"/>
                <w:szCs w:val="18"/>
              </w:rPr>
              <w:t>9|94</w:t>
            </w:r>
          </w:p>
        </w:tc>
        <w:tc>
          <w:tcPr>
            <w:tcW w:w="279" w:type="pct"/>
            <w:tcBorders>
              <w:top w:val="nil"/>
              <w:left w:val="nil"/>
              <w:bottom w:val="single" w:sz="4" w:space="0" w:color="auto"/>
              <w:right w:val="single" w:sz="4" w:space="0" w:color="auto"/>
            </w:tcBorders>
            <w:shd w:val="clear" w:color="000000" w:fill="FFFFFF"/>
            <w:vAlign w:val="center"/>
            <w:hideMark/>
          </w:tcPr>
          <w:p w14:paraId="361E02D2" w14:textId="77777777" w:rsidR="005A043A" w:rsidRPr="00214F41" w:rsidRDefault="005A043A" w:rsidP="00286762">
            <w:pPr>
              <w:jc w:val="center"/>
              <w:rPr>
                <w:sz w:val="18"/>
                <w:szCs w:val="18"/>
              </w:rPr>
            </w:pPr>
            <w:r w:rsidRPr="00214F41">
              <w:rPr>
                <w:sz w:val="18"/>
                <w:szCs w:val="18"/>
              </w:rPr>
              <w:t>1|96</w:t>
            </w:r>
          </w:p>
        </w:tc>
        <w:tc>
          <w:tcPr>
            <w:tcW w:w="279" w:type="pct"/>
            <w:tcBorders>
              <w:top w:val="nil"/>
              <w:left w:val="nil"/>
              <w:bottom w:val="single" w:sz="4" w:space="0" w:color="auto"/>
              <w:right w:val="single" w:sz="4" w:space="0" w:color="auto"/>
            </w:tcBorders>
            <w:shd w:val="clear" w:color="000000" w:fill="FFFFFF"/>
            <w:vAlign w:val="center"/>
            <w:hideMark/>
          </w:tcPr>
          <w:p w14:paraId="385EF81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E61A23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38352316"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C1D9A1B" w14:textId="77777777" w:rsidR="005A043A" w:rsidRPr="00214F41" w:rsidRDefault="005A043A" w:rsidP="00286762">
            <w:pPr>
              <w:jc w:val="center"/>
              <w:rPr>
                <w:sz w:val="18"/>
                <w:szCs w:val="18"/>
              </w:rPr>
            </w:pPr>
            <w:proofErr w:type="spellStart"/>
            <w:r w:rsidRPr="00214F41">
              <w:rPr>
                <w:sz w:val="18"/>
                <w:szCs w:val="18"/>
              </w:rPr>
              <w:t>Feinglos</w:t>
            </w:r>
            <w:proofErr w:type="spellEnd"/>
            <w:r w:rsidRPr="00214F41">
              <w:rPr>
                <w:sz w:val="18"/>
                <w:szCs w:val="18"/>
              </w:rPr>
              <w:t xml:space="preserve"> et al., 2005</w:t>
            </w:r>
          </w:p>
        </w:tc>
        <w:tc>
          <w:tcPr>
            <w:tcW w:w="318" w:type="pct"/>
            <w:tcBorders>
              <w:top w:val="nil"/>
              <w:left w:val="nil"/>
              <w:bottom w:val="single" w:sz="4" w:space="0" w:color="auto"/>
              <w:right w:val="single" w:sz="4" w:space="0" w:color="auto"/>
            </w:tcBorders>
            <w:shd w:val="clear" w:color="000000" w:fill="FFFFFF"/>
            <w:vAlign w:val="center"/>
            <w:hideMark/>
          </w:tcPr>
          <w:p w14:paraId="26ADDD32" w14:textId="77777777" w:rsidR="005A043A" w:rsidRPr="00214F41" w:rsidRDefault="005A043A" w:rsidP="00286762">
            <w:pPr>
              <w:jc w:val="center"/>
              <w:rPr>
                <w:sz w:val="18"/>
                <w:szCs w:val="18"/>
              </w:rPr>
            </w:pPr>
            <w:r w:rsidRPr="00214F41">
              <w:rPr>
                <w:sz w:val="18"/>
                <w:szCs w:val="18"/>
              </w:rPr>
              <w:t>2|34</w:t>
            </w:r>
          </w:p>
        </w:tc>
        <w:tc>
          <w:tcPr>
            <w:tcW w:w="295" w:type="pct"/>
            <w:tcBorders>
              <w:top w:val="nil"/>
              <w:left w:val="nil"/>
              <w:bottom w:val="single" w:sz="4" w:space="0" w:color="auto"/>
              <w:right w:val="single" w:sz="4" w:space="0" w:color="auto"/>
            </w:tcBorders>
            <w:shd w:val="clear" w:color="000000" w:fill="FFFFFF"/>
            <w:vAlign w:val="center"/>
            <w:hideMark/>
          </w:tcPr>
          <w:p w14:paraId="770B8367" w14:textId="77777777" w:rsidR="005A043A" w:rsidRPr="00214F41" w:rsidRDefault="005A043A" w:rsidP="00286762">
            <w:pPr>
              <w:jc w:val="center"/>
              <w:rPr>
                <w:sz w:val="18"/>
                <w:szCs w:val="18"/>
              </w:rPr>
            </w:pPr>
            <w:r w:rsidRPr="00214F41">
              <w:rPr>
                <w:sz w:val="18"/>
                <w:szCs w:val="18"/>
              </w:rPr>
              <w:t>2|37</w:t>
            </w:r>
          </w:p>
        </w:tc>
        <w:tc>
          <w:tcPr>
            <w:tcW w:w="718" w:type="pct"/>
            <w:tcBorders>
              <w:top w:val="nil"/>
              <w:left w:val="nil"/>
              <w:bottom w:val="single" w:sz="4" w:space="0" w:color="auto"/>
              <w:right w:val="single" w:sz="4" w:space="0" w:color="auto"/>
            </w:tcBorders>
            <w:shd w:val="clear" w:color="000000" w:fill="FFFFFF"/>
            <w:vAlign w:val="center"/>
            <w:hideMark/>
          </w:tcPr>
          <w:p w14:paraId="0FBD081F" w14:textId="77777777" w:rsidR="005A043A" w:rsidRPr="00214F41" w:rsidRDefault="005A043A" w:rsidP="00286762">
            <w:pPr>
              <w:jc w:val="center"/>
              <w:rPr>
                <w:sz w:val="18"/>
                <w:szCs w:val="18"/>
                <w:lang w:val="en-GB"/>
              </w:rPr>
            </w:pPr>
            <w:r w:rsidRPr="00214F41">
              <w:rPr>
                <w:sz w:val="18"/>
                <w:szCs w:val="18"/>
                <w:lang w:val="en-GB"/>
              </w:rPr>
              <w:t xml:space="preserve">none were GI disorders (hyperglycaemia, cerebrovascular disorder, palpitation, hyper- </w:t>
            </w:r>
            <w:proofErr w:type="spellStart"/>
            <w:r w:rsidRPr="00214F41">
              <w:rPr>
                <w:sz w:val="18"/>
                <w:szCs w:val="18"/>
                <w:lang w:val="en-GB"/>
              </w:rPr>
              <w:t>triglyceridemia</w:t>
            </w:r>
            <w:proofErr w:type="spellEnd"/>
            <w:r w:rsidRPr="00214F41">
              <w:rPr>
                <w:sz w:val="18"/>
                <w:szCs w:val="18"/>
                <w:lang w:val="en-GB"/>
              </w:rPr>
              <w:t xml:space="preserve"> and diplopia)</w:t>
            </w:r>
          </w:p>
        </w:tc>
        <w:tc>
          <w:tcPr>
            <w:tcW w:w="282" w:type="pct"/>
            <w:tcBorders>
              <w:top w:val="nil"/>
              <w:left w:val="nil"/>
              <w:bottom w:val="single" w:sz="4" w:space="0" w:color="auto"/>
              <w:right w:val="single" w:sz="4" w:space="0" w:color="auto"/>
            </w:tcBorders>
            <w:shd w:val="clear" w:color="000000" w:fill="FFFFFF"/>
            <w:vAlign w:val="center"/>
            <w:hideMark/>
          </w:tcPr>
          <w:p w14:paraId="61ED50E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846486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B5442A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A8DD31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4DE7EBB3" w14:textId="77777777" w:rsidR="005A043A" w:rsidRPr="00214F41" w:rsidRDefault="005A043A" w:rsidP="00286762">
            <w:pPr>
              <w:jc w:val="center"/>
              <w:rPr>
                <w:sz w:val="18"/>
                <w:szCs w:val="18"/>
              </w:rPr>
            </w:pPr>
            <w:r w:rsidRPr="00214F41">
              <w:rPr>
                <w:sz w:val="18"/>
                <w:szCs w:val="18"/>
              </w:rPr>
              <w:t>1|34</w:t>
            </w:r>
          </w:p>
        </w:tc>
        <w:tc>
          <w:tcPr>
            <w:tcW w:w="280" w:type="pct"/>
            <w:tcBorders>
              <w:top w:val="nil"/>
              <w:left w:val="nil"/>
              <w:bottom w:val="single" w:sz="4" w:space="0" w:color="auto"/>
              <w:right w:val="single" w:sz="4" w:space="0" w:color="auto"/>
            </w:tcBorders>
            <w:shd w:val="clear" w:color="000000" w:fill="FFFFFF"/>
            <w:vAlign w:val="center"/>
            <w:hideMark/>
          </w:tcPr>
          <w:p w14:paraId="554A23C4" w14:textId="77777777" w:rsidR="005A043A" w:rsidRPr="00214F41" w:rsidRDefault="005A043A" w:rsidP="00286762">
            <w:pPr>
              <w:jc w:val="center"/>
              <w:rPr>
                <w:sz w:val="18"/>
                <w:szCs w:val="18"/>
              </w:rPr>
            </w:pPr>
            <w:r w:rsidRPr="00214F41">
              <w:rPr>
                <w:sz w:val="18"/>
                <w:szCs w:val="18"/>
              </w:rPr>
              <w:t>4/176</w:t>
            </w:r>
          </w:p>
        </w:tc>
        <w:tc>
          <w:tcPr>
            <w:tcW w:w="278" w:type="pct"/>
            <w:tcBorders>
              <w:top w:val="nil"/>
              <w:left w:val="nil"/>
              <w:bottom w:val="single" w:sz="4" w:space="0" w:color="auto"/>
              <w:right w:val="single" w:sz="4" w:space="0" w:color="auto"/>
            </w:tcBorders>
            <w:shd w:val="clear" w:color="000000" w:fill="FFFFFF"/>
            <w:vAlign w:val="center"/>
            <w:hideMark/>
          </w:tcPr>
          <w:p w14:paraId="184B0C1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21AB74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5F6D79F" w14:textId="77777777" w:rsidR="005A043A" w:rsidRPr="00214F41" w:rsidRDefault="005A043A" w:rsidP="00286762">
            <w:pPr>
              <w:jc w:val="center"/>
              <w:rPr>
                <w:sz w:val="18"/>
                <w:szCs w:val="18"/>
              </w:rPr>
            </w:pPr>
            <w:r w:rsidRPr="00214F41">
              <w:rPr>
                <w:sz w:val="18"/>
                <w:szCs w:val="18"/>
              </w:rPr>
              <w:t>2|34</w:t>
            </w:r>
          </w:p>
        </w:tc>
        <w:tc>
          <w:tcPr>
            <w:tcW w:w="279" w:type="pct"/>
            <w:tcBorders>
              <w:top w:val="nil"/>
              <w:left w:val="nil"/>
              <w:bottom w:val="single" w:sz="4" w:space="0" w:color="auto"/>
              <w:right w:val="single" w:sz="4" w:space="0" w:color="auto"/>
            </w:tcBorders>
            <w:shd w:val="clear" w:color="000000" w:fill="FFFFFF"/>
            <w:vAlign w:val="center"/>
            <w:hideMark/>
          </w:tcPr>
          <w:p w14:paraId="09BAAFA7" w14:textId="77777777" w:rsidR="005A043A" w:rsidRPr="00214F41" w:rsidRDefault="005A043A" w:rsidP="00286762">
            <w:pPr>
              <w:jc w:val="center"/>
              <w:rPr>
                <w:sz w:val="18"/>
                <w:szCs w:val="18"/>
              </w:rPr>
            </w:pPr>
            <w:r w:rsidRPr="00214F41">
              <w:rPr>
                <w:sz w:val="18"/>
                <w:szCs w:val="18"/>
              </w:rPr>
              <w:t>7|176</w:t>
            </w:r>
          </w:p>
        </w:tc>
        <w:tc>
          <w:tcPr>
            <w:tcW w:w="279" w:type="pct"/>
            <w:tcBorders>
              <w:top w:val="nil"/>
              <w:left w:val="nil"/>
              <w:bottom w:val="single" w:sz="4" w:space="0" w:color="auto"/>
              <w:right w:val="single" w:sz="4" w:space="0" w:color="auto"/>
            </w:tcBorders>
            <w:shd w:val="clear" w:color="000000" w:fill="FFFFFF"/>
            <w:vAlign w:val="center"/>
            <w:hideMark/>
          </w:tcPr>
          <w:p w14:paraId="59F158A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1AE4023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460B15B"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98FE48C" w14:textId="77777777" w:rsidR="005A043A" w:rsidRPr="00214F41" w:rsidRDefault="005A043A" w:rsidP="00286762">
            <w:pPr>
              <w:jc w:val="center"/>
              <w:rPr>
                <w:sz w:val="18"/>
                <w:szCs w:val="18"/>
              </w:rPr>
            </w:pPr>
            <w:r w:rsidRPr="00214F41">
              <w:rPr>
                <w:sz w:val="18"/>
                <w:szCs w:val="18"/>
              </w:rPr>
              <w:lastRenderedPageBreak/>
              <w:t>Fonseca et al., 2011</w:t>
            </w:r>
          </w:p>
        </w:tc>
        <w:tc>
          <w:tcPr>
            <w:tcW w:w="318" w:type="pct"/>
            <w:tcBorders>
              <w:top w:val="nil"/>
              <w:left w:val="nil"/>
              <w:bottom w:val="single" w:sz="4" w:space="0" w:color="auto"/>
              <w:right w:val="single" w:sz="4" w:space="0" w:color="auto"/>
            </w:tcBorders>
            <w:shd w:val="clear" w:color="000000" w:fill="FFFFFF"/>
            <w:vAlign w:val="center"/>
            <w:hideMark/>
          </w:tcPr>
          <w:p w14:paraId="503FBBBB" w14:textId="77777777" w:rsidR="005A043A" w:rsidRPr="00214F41" w:rsidRDefault="005A043A" w:rsidP="00286762">
            <w:pPr>
              <w:jc w:val="center"/>
              <w:rPr>
                <w:sz w:val="18"/>
                <w:szCs w:val="18"/>
              </w:rPr>
            </w:pPr>
            <w:r w:rsidRPr="00214F41">
              <w:rPr>
                <w:sz w:val="18"/>
                <w:szCs w:val="18"/>
              </w:rPr>
              <w:t>7/144</w:t>
            </w:r>
          </w:p>
        </w:tc>
        <w:tc>
          <w:tcPr>
            <w:tcW w:w="295" w:type="pct"/>
            <w:tcBorders>
              <w:top w:val="nil"/>
              <w:left w:val="nil"/>
              <w:bottom w:val="single" w:sz="4" w:space="0" w:color="auto"/>
              <w:right w:val="single" w:sz="4" w:space="0" w:color="auto"/>
            </w:tcBorders>
            <w:shd w:val="clear" w:color="000000" w:fill="FFFFFF"/>
            <w:vAlign w:val="center"/>
            <w:hideMark/>
          </w:tcPr>
          <w:p w14:paraId="3811CBDA" w14:textId="77777777" w:rsidR="005A043A" w:rsidRPr="00214F41" w:rsidRDefault="005A043A" w:rsidP="00286762">
            <w:pPr>
              <w:jc w:val="center"/>
              <w:rPr>
                <w:sz w:val="18"/>
                <w:szCs w:val="18"/>
              </w:rPr>
            </w:pPr>
            <w:r w:rsidRPr="00214F41">
              <w:rPr>
                <w:sz w:val="18"/>
                <w:szCs w:val="18"/>
              </w:rPr>
              <w:t>1/138</w:t>
            </w:r>
          </w:p>
        </w:tc>
        <w:tc>
          <w:tcPr>
            <w:tcW w:w="718" w:type="pct"/>
            <w:tcBorders>
              <w:top w:val="nil"/>
              <w:left w:val="nil"/>
              <w:bottom w:val="single" w:sz="4" w:space="0" w:color="auto"/>
              <w:right w:val="single" w:sz="4" w:space="0" w:color="auto"/>
            </w:tcBorders>
            <w:shd w:val="clear" w:color="000000" w:fill="FFFFFF"/>
            <w:vAlign w:val="center"/>
            <w:hideMark/>
          </w:tcPr>
          <w:p w14:paraId="1DC638A6" w14:textId="77777777" w:rsidR="005A043A" w:rsidRPr="00214F41" w:rsidRDefault="005A043A" w:rsidP="00286762">
            <w:pPr>
              <w:jc w:val="center"/>
              <w:rPr>
                <w:sz w:val="18"/>
                <w:szCs w:val="18"/>
                <w:lang w:val="en-GB"/>
              </w:rPr>
            </w:pPr>
            <w:r w:rsidRPr="00214F41">
              <w:rPr>
                <w:sz w:val="18"/>
                <w:szCs w:val="18"/>
                <w:lang w:val="en-GB"/>
              </w:rPr>
              <w:t xml:space="preserve">Four gastrointestinal adverse events resulted in discontinuation from the </w:t>
            </w:r>
            <w:proofErr w:type="spellStart"/>
            <w:r w:rsidRPr="00214F41">
              <w:rPr>
                <w:sz w:val="18"/>
                <w:szCs w:val="18"/>
                <w:lang w:val="en-GB"/>
              </w:rPr>
              <w:t>uptitrated</w:t>
            </w:r>
            <w:proofErr w:type="spellEnd"/>
            <w:r w:rsidRPr="00214F41">
              <w:rPr>
                <w:sz w:val="18"/>
                <w:szCs w:val="18"/>
                <w:lang w:val="en-GB"/>
              </w:rPr>
              <w:t xml:space="preserve"> metformin XR group</w:t>
            </w:r>
          </w:p>
        </w:tc>
        <w:tc>
          <w:tcPr>
            <w:tcW w:w="282" w:type="pct"/>
            <w:tcBorders>
              <w:top w:val="nil"/>
              <w:left w:val="nil"/>
              <w:bottom w:val="single" w:sz="4" w:space="0" w:color="auto"/>
              <w:right w:val="single" w:sz="4" w:space="0" w:color="auto"/>
            </w:tcBorders>
            <w:shd w:val="clear" w:color="000000" w:fill="FFFFFF"/>
            <w:vAlign w:val="center"/>
            <w:hideMark/>
          </w:tcPr>
          <w:p w14:paraId="5877F29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CA2BD9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A4EF8F4" w14:textId="77777777" w:rsidR="005A043A" w:rsidRPr="00214F41" w:rsidRDefault="005A043A" w:rsidP="00286762">
            <w:pPr>
              <w:jc w:val="center"/>
              <w:rPr>
                <w:sz w:val="18"/>
                <w:szCs w:val="18"/>
              </w:rPr>
            </w:pPr>
            <w:r w:rsidRPr="00214F41">
              <w:rPr>
                <w:sz w:val="18"/>
                <w:szCs w:val="18"/>
              </w:rPr>
              <w:t>5/144</w:t>
            </w:r>
          </w:p>
        </w:tc>
        <w:tc>
          <w:tcPr>
            <w:tcW w:w="282" w:type="pct"/>
            <w:tcBorders>
              <w:top w:val="nil"/>
              <w:left w:val="nil"/>
              <w:bottom w:val="single" w:sz="4" w:space="0" w:color="auto"/>
              <w:right w:val="single" w:sz="4" w:space="0" w:color="auto"/>
            </w:tcBorders>
            <w:shd w:val="clear" w:color="000000" w:fill="FFFFFF"/>
            <w:vAlign w:val="center"/>
            <w:hideMark/>
          </w:tcPr>
          <w:p w14:paraId="22B198F6" w14:textId="77777777" w:rsidR="005A043A" w:rsidRPr="00214F41" w:rsidRDefault="005A043A" w:rsidP="00286762">
            <w:pPr>
              <w:jc w:val="center"/>
              <w:rPr>
                <w:sz w:val="18"/>
                <w:szCs w:val="18"/>
              </w:rPr>
            </w:pPr>
            <w:r w:rsidRPr="00214F41">
              <w:rPr>
                <w:sz w:val="18"/>
                <w:szCs w:val="18"/>
              </w:rPr>
              <w:t>8/138</w:t>
            </w:r>
          </w:p>
        </w:tc>
        <w:tc>
          <w:tcPr>
            <w:tcW w:w="278" w:type="pct"/>
            <w:tcBorders>
              <w:top w:val="nil"/>
              <w:left w:val="nil"/>
              <w:bottom w:val="single" w:sz="4" w:space="0" w:color="auto"/>
              <w:right w:val="single" w:sz="4" w:space="0" w:color="auto"/>
            </w:tcBorders>
            <w:shd w:val="clear" w:color="000000" w:fill="FFFFFF"/>
            <w:vAlign w:val="center"/>
            <w:hideMark/>
          </w:tcPr>
          <w:p w14:paraId="1245D390" w14:textId="77777777" w:rsidR="005A043A" w:rsidRPr="00214F41" w:rsidRDefault="005A043A" w:rsidP="00286762">
            <w:pPr>
              <w:jc w:val="center"/>
              <w:rPr>
                <w:sz w:val="18"/>
                <w:szCs w:val="18"/>
              </w:rPr>
            </w:pPr>
            <w:r w:rsidRPr="00214F41">
              <w:rPr>
                <w:sz w:val="18"/>
                <w:szCs w:val="18"/>
              </w:rPr>
              <w:t>0/144</w:t>
            </w:r>
          </w:p>
        </w:tc>
        <w:tc>
          <w:tcPr>
            <w:tcW w:w="280" w:type="pct"/>
            <w:tcBorders>
              <w:top w:val="nil"/>
              <w:left w:val="nil"/>
              <w:bottom w:val="single" w:sz="4" w:space="0" w:color="auto"/>
              <w:right w:val="single" w:sz="4" w:space="0" w:color="auto"/>
            </w:tcBorders>
            <w:shd w:val="clear" w:color="000000" w:fill="FFFFFF"/>
            <w:vAlign w:val="center"/>
            <w:hideMark/>
          </w:tcPr>
          <w:p w14:paraId="1BD1E5A6" w14:textId="77777777" w:rsidR="005A043A" w:rsidRPr="00214F41" w:rsidRDefault="005A043A" w:rsidP="00286762">
            <w:pPr>
              <w:jc w:val="center"/>
              <w:rPr>
                <w:sz w:val="18"/>
                <w:szCs w:val="18"/>
              </w:rPr>
            </w:pPr>
            <w:r w:rsidRPr="00214F41">
              <w:rPr>
                <w:sz w:val="18"/>
                <w:szCs w:val="18"/>
              </w:rPr>
              <w:t>3/138</w:t>
            </w:r>
          </w:p>
        </w:tc>
        <w:tc>
          <w:tcPr>
            <w:tcW w:w="278" w:type="pct"/>
            <w:tcBorders>
              <w:top w:val="nil"/>
              <w:left w:val="nil"/>
              <w:bottom w:val="single" w:sz="4" w:space="0" w:color="auto"/>
              <w:right w:val="single" w:sz="4" w:space="0" w:color="auto"/>
            </w:tcBorders>
            <w:shd w:val="clear" w:color="000000" w:fill="FFFFFF"/>
            <w:vAlign w:val="center"/>
            <w:hideMark/>
          </w:tcPr>
          <w:p w14:paraId="5E63DCD5" w14:textId="77777777" w:rsidR="005A043A" w:rsidRPr="00214F41" w:rsidRDefault="005A043A" w:rsidP="00286762">
            <w:pPr>
              <w:jc w:val="center"/>
              <w:rPr>
                <w:sz w:val="18"/>
                <w:szCs w:val="18"/>
              </w:rPr>
            </w:pPr>
            <w:r w:rsidRPr="00214F41">
              <w:rPr>
                <w:sz w:val="18"/>
                <w:szCs w:val="18"/>
              </w:rPr>
              <w:t>56/144</w:t>
            </w:r>
          </w:p>
        </w:tc>
        <w:tc>
          <w:tcPr>
            <w:tcW w:w="280" w:type="pct"/>
            <w:tcBorders>
              <w:top w:val="nil"/>
              <w:left w:val="nil"/>
              <w:bottom w:val="single" w:sz="4" w:space="0" w:color="auto"/>
              <w:right w:val="single" w:sz="4" w:space="0" w:color="auto"/>
            </w:tcBorders>
            <w:shd w:val="clear" w:color="000000" w:fill="FFFFFF"/>
            <w:vAlign w:val="center"/>
            <w:hideMark/>
          </w:tcPr>
          <w:p w14:paraId="381BB4D1" w14:textId="77777777" w:rsidR="005A043A" w:rsidRPr="00214F41" w:rsidRDefault="005A043A" w:rsidP="00286762">
            <w:pPr>
              <w:jc w:val="center"/>
              <w:rPr>
                <w:sz w:val="18"/>
                <w:szCs w:val="18"/>
              </w:rPr>
            </w:pPr>
            <w:r w:rsidRPr="00214F41">
              <w:rPr>
                <w:sz w:val="18"/>
                <w:szCs w:val="18"/>
              </w:rPr>
              <w:t>63/138</w:t>
            </w:r>
          </w:p>
        </w:tc>
        <w:tc>
          <w:tcPr>
            <w:tcW w:w="282" w:type="pct"/>
            <w:tcBorders>
              <w:top w:val="nil"/>
              <w:left w:val="nil"/>
              <w:bottom w:val="single" w:sz="4" w:space="0" w:color="auto"/>
              <w:right w:val="single" w:sz="4" w:space="0" w:color="auto"/>
            </w:tcBorders>
            <w:shd w:val="clear" w:color="000000" w:fill="FFFFFF"/>
            <w:vAlign w:val="center"/>
            <w:hideMark/>
          </w:tcPr>
          <w:p w14:paraId="19F47CD0" w14:textId="77777777" w:rsidR="005A043A" w:rsidRPr="00214F41" w:rsidRDefault="005A043A" w:rsidP="00286762">
            <w:pPr>
              <w:jc w:val="center"/>
              <w:rPr>
                <w:sz w:val="18"/>
                <w:szCs w:val="18"/>
              </w:rPr>
            </w:pPr>
            <w:r w:rsidRPr="00214F41">
              <w:rPr>
                <w:sz w:val="18"/>
                <w:szCs w:val="18"/>
              </w:rPr>
              <w:t>3/144</w:t>
            </w:r>
          </w:p>
        </w:tc>
        <w:tc>
          <w:tcPr>
            <w:tcW w:w="279" w:type="pct"/>
            <w:tcBorders>
              <w:top w:val="nil"/>
              <w:left w:val="nil"/>
              <w:bottom w:val="single" w:sz="4" w:space="0" w:color="auto"/>
              <w:right w:val="single" w:sz="4" w:space="0" w:color="auto"/>
            </w:tcBorders>
            <w:shd w:val="clear" w:color="000000" w:fill="FFFFFF"/>
            <w:vAlign w:val="center"/>
            <w:hideMark/>
          </w:tcPr>
          <w:p w14:paraId="5364E498" w14:textId="77777777" w:rsidR="005A043A" w:rsidRPr="00214F41" w:rsidRDefault="005A043A" w:rsidP="00286762">
            <w:pPr>
              <w:jc w:val="center"/>
              <w:rPr>
                <w:sz w:val="18"/>
                <w:szCs w:val="18"/>
              </w:rPr>
            </w:pPr>
            <w:r w:rsidRPr="00214F41">
              <w:rPr>
                <w:sz w:val="18"/>
                <w:szCs w:val="18"/>
              </w:rPr>
              <w:t>3/138</w:t>
            </w:r>
          </w:p>
        </w:tc>
        <w:tc>
          <w:tcPr>
            <w:tcW w:w="279" w:type="pct"/>
            <w:tcBorders>
              <w:top w:val="nil"/>
              <w:left w:val="nil"/>
              <w:bottom w:val="single" w:sz="4" w:space="0" w:color="auto"/>
              <w:right w:val="single" w:sz="4" w:space="0" w:color="auto"/>
            </w:tcBorders>
            <w:shd w:val="clear" w:color="000000" w:fill="FFFFFF"/>
            <w:vAlign w:val="center"/>
            <w:hideMark/>
          </w:tcPr>
          <w:p w14:paraId="60A27B6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465E72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83A72F5"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C80DE20" w14:textId="77777777" w:rsidR="005A043A" w:rsidRPr="00214F41" w:rsidRDefault="005A043A" w:rsidP="00286762">
            <w:pPr>
              <w:jc w:val="center"/>
              <w:rPr>
                <w:sz w:val="18"/>
                <w:szCs w:val="18"/>
              </w:rPr>
            </w:pPr>
            <w:proofErr w:type="spellStart"/>
            <w:r w:rsidRPr="00214F41">
              <w:rPr>
                <w:sz w:val="18"/>
                <w:szCs w:val="18"/>
              </w:rPr>
              <w:t>Fuanhchan</w:t>
            </w:r>
            <w:proofErr w:type="spellEnd"/>
            <w:r w:rsidRPr="00214F41">
              <w:rPr>
                <w:sz w:val="18"/>
                <w:szCs w:val="18"/>
              </w:rPr>
              <w:t xml:space="preserve"> et al., 2011</w:t>
            </w:r>
          </w:p>
        </w:tc>
        <w:tc>
          <w:tcPr>
            <w:tcW w:w="318" w:type="pct"/>
            <w:tcBorders>
              <w:top w:val="nil"/>
              <w:left w:val="nil"/>
              <w:bottom w:val="single" w:sz="4" w:space="0" w:color="auto"/>
              <w:right w:val="single" w:sz="4" w:space="0" w:color="auto"/>
            </w:tcBorders>
            <w:shd w:val="clear" w:color="000000" w:fill="FFFFFF"/>
            <w:vAlign w:val="center"/>
            <w:hideMark/>
          </w:tcPr>
          <w:p w14:paraId="26D66B4F" w14:textId="77777777" w:rsidR="005A043A" w:rsidRPr="00214F41" w:rsidRDefault="005A043A" w:rsidP="00286762">
            <w:pPr>
              <w:jc w:val="center"/>
              <w:rPr>
                <w:sz w:val="18"/>
                <w:szCs w:val="18"/>
              </w:rPr>
            </w:pPr>
            <w:r w:rsidRPr="00214F41">
              <w:rPr>
                <w:sz w:val="18"/>
                <w:szCs w:val="18"/>
              </w:rPr>
              <w:t>0/33</w:t>
            </w:r>
          </w:p>
        </w:tc>
        <w:tc>
          <w:tcPr>
            <w:tcW w:w="295" w:type="pct"/>
            <w:tcBorders>
              <w:top w:val="nil"/>
              <w:left w:val="nil"/>
              <w:bottom w:val="single" w:sz="4" w:space="0" w:color="auto"/>
              <w:right w:val="single" w:sz="4" w:space="0" w:color="auto"/>
            </w:tcBorders>
            <w:shd w:val="clear" w:color="000000" w:fill="FFFFFF"/>
            <w:vAlign w:val="center"/>
            <w:hideMark/>
          </w:tcPr>
          <w:p w14:paraId="0ADF8EF1" w14:textId="77777777" w:rsidR="005A043A" w:rsidRPr="00214F41" w:rsidRDefault="005A043A" w:rsidP="00286762">
            <w:pPr>
              <w:jc w:val="center"/>
              <w:rPr>
                <w:sz w:val="18"/>
                <w:szCs w:val="18"/>
              </w:rPr>
            </w:pPr>
            <w:r w:rsidRPr="00214F41">
              <w:rPr>
                <w:sz w:val="18"/>
                <w:szCs w:val="18"/>
              </w:rPr>
              <w:t>0/33</w:t>
            </w:r>
          </w:p>
        </w:tc>
        <w:tc>
          <w:tcPr>
            <w:tcW w:w="718" w:type="pct"/>
            <w:tcBorders>
              <w:top w:val="nil"/>
              <w:left w:val="nil"/>
              <w:bottom w:val="single" w:sz="4" w:space="0" w:color="auto"/>
              <w:right w:val="single" w:sz="4" w:space="0" w:color="auto"/>
            </w:tcBorders>
            <w:shd w:val="clear" w:color="000000" w:fill="FFFFFF"/>
            <w:vAlign w:val="center"/>
            <w:hideMark/>
          </w:tcPr>
          <w:p w14:paraId="3D7B73D7" w14:textId="77777777" w:rsidR="005A043A" w:rsidRPr="00214F41" w:rsidRDefault="005A043A" w:rsidP="00286762">
            <w:pPr>
              <w:jc w:val="center"/>
              <w:rPr>
                <w:sz w:val="18"/>
                <w:szCs w:val="18"/>
                <w:lang w:val="en-GB"/>
              </w:rPr>
            </w:pPr>
            <w:r w:rsidRPr="00214F41">
              <w:rPr>
                <w:sz w:val="18"/>
                <w:szCs w:val="18"/>
                <w:lang w:val="en-GB"/>
              </w:rPr>
              <w:t>few patients discontinued metformin XR treatment for GI disorders</w:t>
            </w:r>
          </w:p>
        </w:tc>
        <w:tc>
          <w:tcPr>
            <w:tcW w:w="282" w:type="pct"/>
            <w:tcBorders>
              <w:top w:val="nil"/>
              <w:left w:val="nil"/>
              <w:bottom w:val="single" w:sz="4" w:space="0" w:color="auto"/>
              <w:right w:val="single" w:sz="4" w:space="0" w:color="auto"/>
            </w:tcBorders>
            <w:shd w:val="clear" w:color="000000" w:fill="FFFFFF"/>
            <w:vAlign w:val="center"/>
            <w:hideMark/>
          </w:tcPr>
          <w:p w14:paraId="4417D31A" w14:textId="77777777" w:rsidR="005A043A" w:rsidRPr="00214F41" w:rsidRDefault="005A043A" w:rsidP="00286762">
            <w:pPr>
              <w:jc w:val="center"/>
              <w:rPr>
                <w:sz w:val="18"/>
                <w:szCs w:val="18"/>
              </w:rPr>
            </w:pPr>
            <w:r w:rsidRPr="00214F41">
              <w:rPr>
                <w:sz w:val="18"/>
                <w:szCs w:val="18"/>
                <w:lang w:val="en-GB"/>
              </w:rPr>
              <w:t xml:space="preserve"> </w:t>
            </w:r>
            <w:r w:rsidRPr="00214F41">
              <w:rPr>
                <w:sz w:val="18"/>
                <w:szCs w:val="18"/>
              </w:rPr>
              <w:t xml:space="preserve">2|33 </w:t>
            </w:r>
          </w:p>
        </w:tc>
        <w:tc>
          <w:tcPr>
            <w:tcW w:w="282" w:type="pct"/>
            <w:tcBorders>
              <w:top w:val="nil"/>
              <w:left w:val="nil"/>
              <w:bottom w:val="single" w:sz="4" w:space="0" w:color="auto"/>
              <w:right w:val="single" w:sz="4" w:space="0" w:color="auto"/>
            </w:tcBorders>
            <w:shd w:val="clear" w:color="000000" w:fill="FFFFFF"/>
            <w:vAlign w:val="center"/>
            <w:hideMark/>
          </w:tcPr>
          <w:p w14:paraId="610A57AC" w14:textId="77777777" w:rsidR="005A043A" w:rsidRPr="00214F41" w:rsidRDefault="005A043A" w:rsidP="00286762">
            <w:pPr>
              <w:jc w:val="center"/>
              <w:rPr>
                <w:sz w:val="18"/>
                <w:szCs w:val="18"/>
              </w:rPr>
            </w:pPr>
            <w:r w:rsidRPr="00214F41">
              <w:rPr>
                <w:sz w:val="18"/>
                <w:szCs w:val="18"/>
              </w:rPr>
              <w:t>1|32</w:t>
            </w:r>
          </w:p>
        </w:tc>
        <w:tc>
          <w:tcPr>
            <w:tcW w:w="282" w:type="pct"/>
            <w:tcBorders>
              <w:top w:val="nil"/>
              <w:left w:val="nil"/>
              <w:bottom w:val="single" w:sz="4" w:space="0" w:color="auto"/>
              <w:right w:val="single" w:sz="4" w:space="0" w:color="auto"/>
            </w:tcBorders>
            <w:shd w:val="clear" w:color="000000" w:fill="FFFFFF"/>
            <w:vAlign w:val="center"/>
            <w:hideMark/>
          </w:tcPr>
          <w:p w14:paraId="64D24968" w14:textId="77777777" w:rsidR="005A043A" w:rsidRPr="00214F41" w:rsidRDefault="005A043A" w:rsidP="00286762">
            <w:pPr>
              <w:jc w:val="center"/>
              <w:rPr>
                <w:sz w:val="18"/>
                <w:szCs w:val="18"/>
              </w:rPr>
            </w:pPr>
            <w:r w:rsidRPr="00214F41">
              <w:rPr>
                <w:sz w:val="18"/>
                <w:szCs w:val="18"/>
              </w:rPr>
              <w:t>1|33</w:t>
            </w:r>
          </w:p>
        </w:tc>
        <w:tc>
          <w:tcPr>
            <w:tcW w:w="282" w:type="pct"/>
            <w:tcBorders>
              <w:top w:val="nil"/>
              <w:left w:val="nil"/>
              <w:bottom w:val="single" w:sz="4" w:space="0" w:color="auto"/>
              <w:right w:val="single" w:sz="4" w:space="0" w:color="auto"/>
            </w:tcBorders>
            <w:shd w:val="clear" w:color="000000" w:fill="FFFFFF"/>
            <w:vAlign w:val="center"/>
            <w:hideMark/>
          </w:tcPr>
          <w:p w14:paraId="72571882" w14:textId="77777777" w:rsidR="005A043A" w:rsidRPr="00214F41" w:rsidRDefault="005A043A" w:rsidP="00286762">
            <w:pPr>
              <w:jc w:val="center"/>
              <w:rPr>
                <w:sz w:val="18"/>
                <w:szCs w:val="18"/>
              </w:rPr>
            </w:pPr>
            <w:r w:rsidRPr="00214F41">
              <w:rPr>
                <w:sz w:val="18"/>
                <w:szCs w:val="18"/>
              </w:rPr>
              <w:t>1|32</w:t>
            </w:r>
          </w:p>
        </w:tc>
        <w:tc>
          <w:tcPr>
            <w:tcW w:w="278" w:type="pct"/>
            <w:tcBorders>
              <w:top w:val="nil"/>
              <w:left w:val="nil"/>
              <w:bottom w:val="single" w:sz="4" w:space="0" w:color="auto"/>
              <w:right w:val="single" w:sz="4" w:space="0" w:color="auto"/>
            </w:tcBorders>
            <w:shd w:val="clear" w:color="000000" w:fill="FFFFFF"/>
            <w:vAlign w:val="center"/>
            <w:hideMark/>
          </w:tcPr>
          <w:p w14:paraId="12542B7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4215226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3FD62BB4" w14:textId="77777777" w:rsidR="005A043A" w:rsidRPr="00214F41" w:rsidRDefault="005A043A" w:rsidP="00286762">
            <w:pPr>
              <w:jc w:val="center"/>
              <w:rPr>
                <w:sz w:val="18"/>
                <w:szCs w:val="18"/>
              </w:rPr>
            </w:pPr>
            <w:r w:rsidRPr="00214F41">
              <w:rPr>
                <w:sz w:val="18"/>
                <w:szCs w:val="18"/>
              </w:rPr>
              <w:t>4|33</w:t>
            </w:r>
          </w:p>
        </w:tc>
        <w:tc>
          <w:tcPr>
            <w:tcW w:w="280" w:type="pct"/>
            <w:tcBorders>
              <w:top w:val="nil"/>
              <w:left w:val="nil"/>
              <w:bottom w:val="single" w:sz="4" w:space="0" w:color="auto"/>
              <w:right w:val="single" w:sz="4" w:space="0" w:color="auto"/>
            </w:tcBorders>
            <w:shd w:val="clear" w:color="000000" w:fill="FFFFFF"/>
            <w:vAlign w:val="center"/>
            <w:hideMark/>
          </w:tcPr>
          <w:p w14:paraId="16576126" w14:textId="77777777" w:rsidR="005A043A" w:rsidRPr="00214F41" w:rsidRDefault="005A043A" w:rsidP="00286762">
            <w:pPr>
              <w:jc w:val="center"/>
              <w:rPr>
                <w:sz w:val="18"/>
                <w:szCs w:val="18"/>
              </w:rPr>
            </w:pPr>
            <w:r w:rsidRPr="00214F41">
              <w:rPr>
                <w:sz w:val="18"/>
                <w:szCs w:val="18"/>
              </w:rPr>
              <w:t>3|32</w:t>
            </w:r>
          </w:p>
        </w:tc>
        <w:tc>
          <w:tcPr>
            <w:tcW w:w="282" w:type="pct"/>
            <w:tcBorders>
              <w:top w:val="nil"/>
              <w:left w:val="nil"/>
              <w:bottom w:val="single" w:sz="4" w:space="0" w:color="auto"/>
              <w:right w:val="single" w:sz="4" w:space="0" w:color="auto"/>
            </w:tcBorders>
            <w:shd w:val="clear" w:color="000000" w:fill="FFFFFF"/>
            <w:vAlign w:val="center"/>
            <w:hideMark/>
          </w:tcPr>
          <w:p w14:paraId="3136B098" w14:textId="77777777" w:rsidR="005A043A" w:rsidRPr="00214F41" w:rsidRDefault="005A043A" w:rsidP="00286762">
            <w:pPr>
              <w:jc w:val="center"/>
              <w:rPr>
                <w:sz w:val="18"/>
                <w:szCs w:val="18"/>
              </w:rPr>
            </w:pPr>
            <w:r w:rsidRPr="00214F41">
              <w:rPr>
                <w:sz w:val="18"/>
                <w:szCs w:val="18"/>
              </w:rPr>
              <w:t>4|33</w:t>
            </w:r>
          </w:p>
        </w:tc>
        <w:tc>
          <w:tcPr>
            <w:tcW w:w="279" w:type="pct"/>
            <w:tcBorders>
              <w:top w:val="nil"/>
              <w:left w:val="nil"/>
              <w:bottom w:val="single" w:sz="4" w:space="0" w:color="auto"/>
              <w:right w:val="single" w:sz="4" w:space="0" w:color="auto"/>
            </w:tcBorders>
            <w:shd w:val="clear" w:color="000000" w:fill="FFFFFF"/>
            <w:vAlign w:val="center"/>
            <w:hideMark/>
          </w:tcPr>
          <w:p w14:paraId="1A217D21" w14:textId="77777777" w:rsidR="005A043A" w:rsidRPr="00214F41" w:rsidRDefault="005A043A" w:rsidP="00286762">
            <w:pPr>
              <w:jc w:val="center"/>
              <w:rPr>
                <w:sz w:val="18"/>
                <w:szCs w:val="18"/>
              </w:rPr>
            </w:pPr>
            <w:r w:rsidRPr="00214F41">
              <w:rPr>
                <w:sz w:val="18"/>
                <w:szCs w:val="18"/>
              </w:rPr>
              <w:t>2|32</w:t>
            </w:r>
          </w:p>
        </w:tc>
        <w:tc>
          <w:tcPr>
            <w:tcW w:w="279" w:type="pct"/>
            <w:tcBorders>
              <w:top w:val="nil"/>
              <w:left w:val="nil"/>
              <w:bottom w:val="single" w:sz="4" w:space="0" w:color="auto"/>
              <w:right w:val="single" w:sz="4" w:space="0" w:color="auto"/>
            </w:tcBorders>
            <w:shd w:val="clear" w:color="000000" w:fill="FFFFFF"/>
            <w:vAlign w:val="center"/>
            <w:hideMark/>
          </w:tcPr>
          <w:p w14:paraId="11CA2086" w14:textId="77777777" w:rsidR="005A043A" w:rsidRPr="00214F41" w:rsidRDefault="005A043A" w:rsidP="00286762">
            <w:pPr>
              <w:jc w:val="center"/>
              <w:rPr>
                <w:sz w:val="18"/>
                <w:szCs w:val="18"/>
              </w:rPr>
            </w:pPr>
            <w:r w:rsidRPr="00214F41">
              <w:rPr>
                <w:sz w:val="18"/>
                <w:szCs w:val="18"/>
              </w:rPr>
              <w:t>2|33</w:t>
            </w:r>
          </w:p>
        </w:tc>
        <w:tc>
          <w:tcPr>
            <w:tcW w:w="276" w:type="pct"/>
            <w:tcBorders>
              <w:top w:val="nil"/>
              <w:left w:val="nil"/>
              <w:bottom w:val="single" w:sz="4" w:space="0" w:color="auto"/>
              <w:right w:val="single" w:sz="4" w:space="0" w:color="auto"/>
            </w:tcBorders>
            <w:shd w:val="clear" w:color="000000" w:fill="FFFFFF"/>
            <w:vAlign w:val="center"/>
            <w:hideMark/>
          </w:tcPr>
          <w:p w14:paraId="124E7DBD" w14:textId="77777777" w:rsidR="005A043A" w:rsidRPr="00214F41" w:rsidRDefault="005A043A" w:rsidP="00286762">
            <w:pPr>
              <w:jc w:val="center"/>
              <w:rPr>
                <w:sz w:val="18"/>
                <w:szCs w:val="18"/>
              </w:rPr>
            </w:pPr>
            <w:r w:rsidRPr="00214F41">
              <w:rPr>
                <w:sz w:val="18"/>
                <w:szCs w:val="18"/>
              </w:rPr>
              <w:t>2|32</w:t>
            </w:r>
          </w:p>
        </w:tc>
      </w:tr>
      <w:tr w:rsidR="005A043A" w:rsidRPr="00214F41" w14:paraId="3EB80ABA" w14:textId="77777777" w:rsidTr="00286762">
        <w:trPr>
          <w:trHeight w:val="469"/>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2558FCCB" w14:textId="77777777" w:rsidR="005A043A" w:rsidRPr="00214F41" w:rsidRDefault="005A043A" w:rsidP="00286762">
            <w:pPr>
              <w:jc w:val="center"/>
              <w:rPr>
                <w:sz w:val="18"/>
                <w:szCs w:val="18"/>
              </w:rPr>
            </w:pPr>
            <w:r w:rsidRPr="00214F41">
              <w:rPr>
                <w:sz w:val="18"/>
                <w:szCs w:val="18"/>
              </w:rPr>
              <w:t>Fujioka et al., 2005a</w:t>
            </w:r>
          </w:p>
        </w:tc>
        <w:tc>
          <w:tcPr>
            <w:tcW w:w="318" w:type="pct"/>
            <w:tcBorders>
              <w:top w:val="nil"/>
              <w:left w:val="nil"/>
              <w:bottom w:val="single" w:sz="4" w:space="0" w:color="auto"/>
              <w:right w:val="single" w:sz="4" w:space="0" w:color="auto"/>
            </w:tcBorders>
            <w:shd w:val="clear" w:color="000000" w:fill="FFFFFF"/>
            <w:vAlign w:val="center"/>
            <w:hideMark/>
          </w:tcPr>
          <w:p w14:paraId="61E6BEC7" w14:textId="77777777" w:rsidR="005A043A" w:rsidRPr="00214F41" w:rsidRDefault="005A043A" w:rsidP="00286762">
            <w:pPr>
              <w:jc w:val="center"/>
              <w:rPr>
                <w:sz w:val="18"/>
                <w:szCs w:val="18"/>
              </w:rPr>
            </w:pPr>
            <w:r w:rsidRPr="00214F41">
              <w:rPr>
                <w:sz w:val="18"/>
                <w:szCs w:val="18"/>
              </w:rPr>
              <w:t>8/161</w:t>
            </w:r>
          </w:p>
        </w:tc>
        <w:tc>
          <w:tcPr>
            <w:tcW w:w="295" w:type="pct"/>
            <w:tcBorders>
              <w:top w:val="nil"/>
              <w:left w:val="nil"/>
              <w:bottom w:val="single" w:sz="4" w:space="0" w:color="auto"/>
              <w:right w:val="single" w:sz="4" w:space="0" w:color="auto"/>
            </w:tcBorders>
            <w:shd w:val="clear" w:color="000000" w:fill="FFFFFF"/>
            <w:vAlign w:val="center"/>
            <w:hideMark/>
          </w:tcPr>
          <w:p w14:paraId="6C31B99F" w14:textId="77777777" w:rsidR="005A043A" w:rsidRPr="00214F41" w:rsidRDefault="005A043A" w:rsidP="00286762">
            <w:pPr>
              <w:jc w:val="center"/>
              <w:rPr>
                <w:sz w:val="18"/>
                <w:szCs w:val="18"/>
              </w:rPr>
            </w:pPr>
            <w:r w:rsidRPr="00214F41">
              <w:rPr>
                <w:sz w:val="18"/>
                <w:szCs w:val="18"/>
              </w:rPr>
              <w:t>2|79</w:t>
            </w:r>
          </w:p>
        </w:tc>
        <w:tc>
          <w:tcPr>
            <w:tcW w:w="718" w:type="pct"/>
            <w:vMerge w:val="restart"/>
            <w:tcBorders>
              <w:top w:val="nil"/>
              <w:left w:val="nil"/>
              <w:right w:val="single" w:sz="4" w:space="0" w:color="auto"/>
            </w:tcBorders>
            <w:shd w:val="clear" w:color="000000" w:fill="FFFFFF"/>
            <w:vAlign w:val="center"/>
            <w:hideMark/>
          </w:tcPr>
          <w:p w14:paraId="4AAB0717" w14:textId="77777777" w:rsidR="005A043A" w:rsidRPr="00214F41" w:rsidRDefault="005A043A" w:rsidP="00286762">
            <w:pPr>
              <w:jc w:val="center"/>
              <w:rPr>
                <w:sz w:val="18"/>
                <w:szCs w:val="18"/>
                <w:lang w:val="en-GB"/>
              </w:rPr>
            </w:pPr>
            <w:r w:rsidRPr="00214F41">
              <w:rPr>
                <w:sz w:val="18"/>
                <w:szCs w:val="18"/>
                <w:lang w:val="en-GB"/>
              </w:rPr>
              <w:t>few patients discontinued metformin XR treatment for GI disorders</w:t>
            </w:r>
          </w:p>
        </w:tc>
        <w:tc>
          <w:tcPr>
            <w:tcW w:w="282" w:type="pct"/>
            <w:tcBorders>
              <w:top w:val="nil"/>
              <w:left w:val="nil"/>
              <w:bottom w:val="single" w:sz="4" w:space="0" w:color="auto"/>
              <w:right w:val="single" w:sz="4" w:space="0" w:color="auto"/>
            </w:tcBorders>
            <w:shd w:val="clear" w:color="000000" w:fill="FFFFFF"/>
            <w:vAlign w:val="center"/>
            <w:hideMark/>
          </w:tcPr>
          <w:p w14:paraId="1E3BE0CA" w14:textId="77777777" w:rsidR="005A043A" w:rsidRPr="00214F41" w:rsidRDefault="005A043A" w:rsidP="00286762">
            <w:pPr>
              <w:jc w:val="center"/>
              <w:rPr>
                <w:sz w:val="18"/>
                <w:szCs w:val="18"/>
              </w:rPr>
            </w:pPr>
            <w:r w:rsidRPr="00214F41">
              <w:rPr>
                <w:sz w:val="18"/>
                <w:szCs w:val="18"/>
              </w:rPr>
              <w:t>12/159</w:t>
            </w:r>
          </w:p>
        </w:tc>
        <w:tc>
          <w:tcPr>
            <w:tcW w:w="282" w:type="pct"/>
            <w:tcBorders>
              <w:top w:val="nil"/>
              <w:left w:val="nil"/>
              <w:bottom w:val="single" w:sz="4" w:space="0" w:color="auto"/>
              <w:right w:val="single" w:sz="4" w:space="0" w:color="auto"/>
            </w:tcBorders>
            <w:shd w:val="clear" w:color="000000" w:fill="FFFFFF"/>
            <w:vAlign w:val="center"/>
            <w:hideMark/>
          </w:tcPr>
          <w:p w14:paraId="7A2B5A47" w14:textId="77777777" w:rsidR="005A043A" w:rsidRPr="00214F41" w:rsidRDefault="005A043A" w:rsidP="00286762">
            <w:pPr>
              <w:jc w:val="center"/>
              <w:rPr>
                <w:sz w:val="18"/>
                <w:szCs w:val="18"/>
              </w:rPr>
            </w:pPr>
            <w:r w:rsidRPr="00214F41">
              <w:rPr>
                <w:sz w:val="18"/>
                <w:szCs w:val="18"/>
              </w:rPr>
              <w:t>4|79</w:t>
            </w:r>
          </w:p>
        </w:tc>
        <w:tc>
          <w:tcPr>
            <w:tcW w:w="282" w:type="pct"/>
            <w:tcBorders>
              <w:top w:val="nil"/>
              <w:left w:val="nil"/>
              <w:bottom w:val="single" w:sz="4" w:space="0" w:color="auto"/>
              <w:right w:val="single" w:sz="4" w:space="0" w:color="auto"/>
            </w:tcBorders>
            <w:shd w:val="clear" w:color="000000" w:fill="FFFFFF"/>
            <w:vAlign w:val="center"/>
            <w:hideMark/>
          </w:tcPr>
          <w:p w14:paraId="6C335F22" w14:textId="77777777" w:rsidR="005A043A" w:rsidRPr="00214F41" w:rsidRDefault="005A043A" w:rsidP="00286762">
            <w:pPr>
              <w:jc w:val="center"/>
              <w:rPr>
                <w:sz w:val="18"/>
                <w:szCs w:val="18"/>
              </w:rPr>
            </w:pPr>
            <w:r w:rsidRPr="00214F41">
              <w:rPr>
                <w:sz w:val="18"/>
                <w:szCs w:val="18"/>
              </w:rPr>
              <w:t>11/159</w:t>
            </w:r>
          </w:p>
        </w:tc>
        <w:tc>
          <w:tcPr>
            <w:tcW w:w="282" w:type="pct"/>
            <w:tcBorders>
              <w:top w:val="nil"/>
              <w:left w:val="nil"/>
              <w:bottom w:val="single" w:sz="4" w:space="0" w:color="auto"/>
              <w:right w:val="single" w:sz="4" w:space="0" w:color="auto"/>
            </w:tcBorders>
            <w:shd w:val="clear" w:color="000000" w:fill="FFFFFF"/>
            <w:vAlign w:val="center"/>
            <w:hideMark/>
          </w:tcPr>
          <w:p w14:paraId="09D5999C" w14:textId="77777777" w:rsidR="005A043A" w:rsidRPr="00214F41" w:rsidRDefault="005A043A" w:rsidP="00286762">
            <w:pPr>
              <w:jc w:val="center"/>
              <w:rPr>
                <w:sz w:val="18"/>
                <w:szCs w:val="18"/>
              </w:rPr>
            </w:pPr>
            <w:r w:rsidRPr="00214F41">
              <w:rPr>
                <w:sz w:val="18"/>
                <w:szCs w:val="18"/>
              </w:rPr>
              <w:t>4|79</w:t>
            </w:r>
          </w:p>
        </w:tc>
        <w:tc>
          <w:tcPr>
            <w:tcW w:w="278" w:type="pct"/>
            <w:tcBorders>
              <w:top w:val="nil"/>
              <w:left w:val="nil"/>
              <w:bottom w:val="single" w:sz="4" w:space="0" w:color="auto"/>
              <w:right w:val="single" w:sz="4" w:space="0" w:color="auto"/>
            </w:tcBorders>
            <w:shd w:val="clear" w:color="000000" w:fill="FFFFFF"/>
            <w:vAlign w:val="center"/>
            <w:hideMark/>
          </w:tcPr>
          <w:p w14:paraId="6272ABB2" w14:textId="77777777" w:rsidR="005A043A" w:rsidRPr="00214F41" w:rsidRDefault="005A043A" w:rsidP="00286762">
            <w:pPr>
              <w:jc w:val="center"/>
              <w:rPr>
                <w:sz w:val="18"/>
                <w:szCs w:val="18"/>
              </w:rPr>
            </w:pPr>
            <w:r w:rsidRPr="00214F41">
              <w:rPr>
                <w:sz w:val="18"/>
                <w:szCs w:val="18"/>
              </w:rPr>
              <w:t>15/159</w:t>
            </w:r>
          </w:p>
        </w:tc>
        <w:tc>
          <w:tcPr>
            <w:tcW w:w="280" w:type="pct"/>
            <w:tcBorders>
              <w:top w:val="nil"/>
              <w:left w:val="nil"/>
              <w:bottom w:val="single" w:sz="4" w:space="0" w:color="auto"/>
              <w:right w:val="single" w:sz="4" w:space="0" w:color="auto"/>
            </w:tcBorders>
            <w:shd w:val="clear" w:color="000000" w:fill="FFFFFF"/>
            <w:vAlign w:val="center"/>
            <w:hideMark/>
          </w:tcPr>
          <w:p w14:paraId="6431A414" w14:textId="77777777" w:rsidR="005A043A" w:rsidRPr="00214F41" w:rsidRDefault="005A043A" w:rsidP="00286762">
            <w:pPr>
              <w:jc w:val="center"/>
              <w:rPr>
                <w:sz w:val="18"/>
                <w:szCs w:val="18"/>
              </w:rPr>
            </w:pPr>
            <w:r w:rsidRPr="00214F41">
              <w:rPr>
                <w:sz w:val="18"/>
                <w:szCs w:val="18"/>
              </w:rPr>
              <w:t>3|79</w:t>
            </w:r>
          </w:p>
        </w:tc>
        <w:tc>
          <w:tcPr>
            <w:tcW w:w="278" w:type="pct"/>
            <w:tcBorders>
              <w:top w:val="nil"/>
              <w:left w:val="nil"/>
              <w:bottom w:val="single" w:sz="4" w:space="0" w:color="auto"/>
              <w:right w:val="single" w:sz="4" w:space="0" w:color="auto"/>
            </w:tcBorders>
            <w:shd w:val="clear" w:color="000000" w:fill="FFFFFF"/>
            <w:vAlign w:val="center"/>
            <w:hideMark/>
          </w:tcPr>
          <w:p w14:paraId="5F7079F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904E03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B1B4B44" w14:textId="77777777" w:rsidR="005A043A" w:rsidRPr="00214F41" w:rsidRDefault="005A043A" w:rsidP="00286762">
            <w:pPr>
              <w:jc w:val="center"/>
              <w:rPr>
                <w:sz w:val="18"/>
                <w:szCs w:val="18"/>
              </w:rPr>
            </w:pPr>
            <w:r w:rsidRPr="00214F41">
              <w:rPr>
                <w:sz w:val="18"/>
                <w:szCs w:val="18"/>
              </w:rPr>
              <w:t>15/159</w:t>
            </w:r>
          </w:p>
        </w:tc>
        <w:tc>
          <w:tcPr>
            <w:tcW w:w="279" w:type="pct"/>
            <w:tcBorders>
              <w:top w:val="nil"/>
              <w:left w:val="nil"/>
              <w:bottom w:val="single" w:sz="4" w:space="0" w:color="auto"/>
              <w:right w:val="single" w:sz="4" w:space="0" w:color="auto"/>
            </w:tcBorders>
            <w:shd w:val="clear" w:color="000000" w:fill="FFFFFF"/>
            <w:vAlign w:val="center"/>
            <w:hideMark/>
          </w:tcPr>
          <w:p w14:paraId="71235813" w14:textId="77777777" w:rsidR="005A043A" w:rsidRPr="00214F41" w:rsidRDefault="005A043A" w:rsidP="00286762">
            <w:pPr>
              <w:jc w:val="center"/>
              <w:rPr>
                <w:sz w:val="18"/>
                <w:szCs w:val="18"/>
              </w:rPr>
            </w:pPr>
            <w:r w:rsidRPr="00214F41">
              <w:rPr>
                <w:sz w:val="18"/>
                <w:szCs w:val="18"/>
              </w:rPr>
              <w:t>3|79</w:t>
            </w:r>
          </w:p>
        </w:tc>
        <w:tc>
          <w:tcPr>
            <w:tcW w:w="279" w:type="pct"/>
            <w:tcBorders>
              <w:top w:val="nil"/>
              <w:left w:val="nil"/>
              <w:bottom w:val="single" w:sz="4" w:space="0" w:color="auto"/>
              <w:right w:val="single" w:sz="4" w:space="0" w:color="auto"/>
            </w:tcBorders>
            <w:shd w:val="clear" w:color="000000" w:fill="FFFFFF"/>
            <w:vAlign w:val="center"/>
            <w:hideMark/>
          </w:tcPr>
          <w:p w14:paraId="73F6D21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EE628C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711B199B" w14:textId="77777777" w:rsidTr="00286762">
        <w:trPr>
          <w:trHeight w:val="42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35805BA3" w14:textId="77777777" w:rsidR="005A043A" w:rsidRPr="00214F41" w:rsidRDefault="005A043A" w:rsidP="00286762">
            <w:pPr>
              <w:jc w:val="center"/>
              <w:rPr>
                <w:sz w:val="18"/>
                <w:szCs w:val="18"/>
              </w:rPr>
            </w:pPr>
            <w:r w:rsidRPr="00214F41">
              <w:rPr>
                <w:sz w:val="18"/>
                <w:szCs w:val="18"/>
              </w:rPr>
              <w:t>Fujioka et al., 2005b</w:t>
            </w:r>
          </w:p>
        </w:tc>
        <w:tc>
          <w:tcPr>
            <w:tcW w:w="318" w:type="pct"/>
            <w:tcBorders>
              <w:top w:val="nil"/>
              <w:left w:val="nil"/>
              <w:bottom w:val="single" w:sz="4" w:space="0" w:color="auto"/>
              <w:right w:val="single" w:sz="4" w:space="0" w:color="auto"/>
            </w:tcBorders>
            <w:shd w:val="clear" w:color="000000" w:fill="FFFFFF"/>
            <w:vAlign w:val="center"/>
            <w:hideMark/>
          </w:tcPr>
          <w:p w14:paraId="18483C6E" w14:textId="77777777" w:rsidR="005A043A" w:rsidRPr="00214F41" w:rsidRDefault="005A043A" w:rsidP="00286762">
            <w:pPr>
              <w:jc w:val="center"/>
              <w:rPr>
                <w:sz w:val="18"/>
                <w:szCs w:val="18"/>
              </w:rPr>
            </w:pPr>
            <w:r w:rsidRPr="00214F41">
              <w:rPr>
                <w:sz w:val="18"/>
                <w:szCs w:val="18"/>
              </w:rPr>
              <w:t>4/128</w:t>
            </w:r>
          </w:p>
        </w:tc>
        <w:tc>
          <w:tcPr>
            <w:tcW w:w="295" w:type="pct"/>
            <w:tcBorders>
              <w:top w:val="nil"/>
              <w:left w:val="nil"/>
              <w:bottom w:val="single" w:sz="4" w:space="0" w:color="auto"/>
              <w:right w:val="single" w:sz="4" w:space="0" w:color="auto"/>
            </w:tcBorders>
            <w:shd w:val="clear" w:color="000000" w:fill="FFFFFF"/>
            <w:vAlign w:val="center"/>
            <w:hideMark/>
          </w:tcPr>
          <w:p w14:paraId="264314FD" w14:textId="77777777" w:rsidR="005A043A" w:rsidRPr="00214F41" w:rsidRDefault="005A043A" w:rsidP="00286762">
            <w:pPr>
              <w:jc w:val="center"/>
              <w:rPr>
                <w:sz w:val="18"/>
                <w:szCs w:val="18"/>
              </w:rPr>
            </w:pPr>
            <w:r w:rsidRPr="00214F41">
              <w:rPr>
                <w:sz w:val="18"/>
                <w:szCs w:val="18"/>
              </w:rPr>
              <w:t>1/117</w:t>
            </w:r>
          </w:p>
        </w:tc>
        <w:tc>
          <w:tcPr>
            <w:tcW w:w="718" w:type="pct"/>
            <w:vMerge/>
            <w:tcBorders>
              <w:left w:val="nil"/>
              <w:right w:val="single" w:sz="4" w:space="0" w:color="auto"/>
            </w:tcBorders>
            <w:shd w:val="clear" w:color="000000" w:fill="FFFFFF"/>
            <w:vAlign w:val="center"/>
          </w:tcPr>
          <w:p w14:paraId="7688FD42"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0068B488" w14:textId="77777777" w:rsidR="005A043A" w:rsidRPr="00214F41" w:rsidRDefault="005A043A" w:rsidP="00286762">
            <w:pPr>
              <w:jc w:val="center"/>
              <w:rPr>
                <w:sz w:val="18"/>
                <w:szCs w:val="18"/>
              </w:rPr>
            </w:pPr>
            <w:r w:rsidRPr="00214F41">
              <w:rPr>
                <w:sz w:val="18"/>
                <w:szCs w:val="18"/>
              </w:rPr>
              <w:t>7/117</w:t>
            </w:r>
          </w:p>
        </w:tc>
        <w:tc>
          <w:tcPr>
            <w:tcW w:w="282" w:type="pct"/>
            <w:tcBorders>
              <w:top w:val="nil"/>
              <w:left w:val="nil"/>
              <w:bottom w:val="single" w:sz="4" w:space="0" w:color="auto"/>
              <w:right w:val="single" w:sz="4" w:space="0" w:color="auto"/>
            </w:tcBorders>
            <w:shd w:val="clear" w:color="000000" w:fill="FFFFFF"/>
            <w:vAlign w:val="center"/>
            <w:hideMark/>
          </w:tcPr>
          <w:p w14:paraId="4BE27A15" w14:textId="77777777" w:rsidR="005A043A" w:rsidRPr="00214F41" w:rsidRDefault="005A043A" w:rsidP="00286762">
            <w:pPr>
              <w:jc w:val="center"/>
              <w:rPr>
                <w:sz w:val="18"/>
                <w:szCs w:val="18"/>
              </w:rPr>
            </w:pPr>
            <w:r w:rsidRPr="00214F41">
              <w:rPr>
                <w:sz w:val="18"/>
                <w:szCs w:val="18"/>
              </w:rPr>
              <w:t>3/116</w:t>
            </w:r>
          </w:p>
        </w:tc>
        <w:tc>
          <w:tcPr>
            <w:tcW w:w="282" w:type="pct"/>
            <w:tcBorders>
              <w:top w:val="nil"/>
              <w:left w:val="nil"/>
              <w:bottom w:val="single" w:sz="4" w:space="0" w:color="auto"/>
              <w:right w:val="single" w:sz="4" w:space="0" w:color="auto"/>
            </w:tcBorders>
            <w:shd w:val="clear" w:color="000000" w:fill="FFFFFF"/>
            <w:vAlign w:val="center"/>
            <w:hideMark/>
          </w:tcPr>
          <w:p w14:paraId="4A7245B5" w14:textId="77777777" w:rsidR="005A043A" w:rsidRPr="00214F41" w:rsidRDefault="005A043A" w:rsidP="00286762">
            <w:pPr>
              <w:jc w:val="center"/>
              <w:rPr>
                <w:sz w:val="18"/>
                <w:szCs w:val="18"/>
              </w:rPr>
            </w:pPr>
            <w:r w:rsidRPr="00214F41">
              <w:rPr>
                <w:sz w:val="18"/>
                <w:szCs w:val="18"/>
              </w:rPr>
              <w:t>6/117</w:t>
            </w:r>
          </w:p>
        </w:tc>
        <w:tc>
          <w:tcPr>
            <w:tcW w:w="282" w:type="pct"/>
            <w:tcBorders>
              <w:top w:val="nil"/>
              <w:left w:val="nil"/>
              <w:bottom w:val="single" w:sz="4" w:space="0" w:color="auto"/>
              <w:right w:val="single" w:sz="4" w:space="0" w:color="auto"/>
            </w:tcBorders>
            <w:shd w:val="clear" w:color="000000" w:fill="FFFFFF"/>
            <w:vAlign w:val="center"/>
            <w:hideMark/>
          </w:tcPr>
          <w:p w14:paraId="1CE8FCF5" w14:textId="77777777" w:rsidR="005A043A" w:rsidRPr="00214F41" w:rsidRDefault="005A043A" w:rsidP="00286762">
            <w:pPr>
              <w:jc w:val="center"/>
              <w:rPr>
                <w:sz w:val="18"/>
                <w:szCs w:val="18"/>
              </w:rPr>
            </w:pPr>
            <w:r w:rsidRPr="00214F41">
              <w:rPr>
                <w:sz w:val="18"/>
                <w:szCs w:val="18"/>
              </w:rPr>
              <w:t>4/116</w:t>
            </w:r>
          </w:p>
        </w:tc>
        <w:tc>
          <w:tcPr>
            <w:tcW w:w="278" w:type="pct"/>
            <w:tcBorders>
              <w:top w:val="nil"/>
              <w:left w:val="nil"/>
              <w:bottom w:val="single" w:sz="4" w:space="0" w:color="auto"/>
              <w:right w:val="single" w:sz="4" w:space="0" w:color="auto"/>
            </w:tcBorders>
            <w:shd w:val="clear" w:color="000000" w:fill="FFFFFF"/>
            <w:vAlign w:val="center"/>
            <w:hideMark/>
          </w:tcPr>
          <w:p w14:paraId="313D126E" w14:textId="77777777" w:rsidR="005A043A" w:rsidRPr="00214F41" w:rsidRDefault="005A043A" w:rsidP="00286762">
            <w:pPr>
              <w:jc w:val="center"/>
              <w:rPr>
                <w:sz w:val="18"/>
                <w:szCs w:val="18"/>
              </w:rPr>
            </w:pPr>
            <w:r w:rsidRPr="00214F41">
              <w:rPr>
                <w:sz w:val="18"/>
                <w:szCs w:val="18"/>
              </w:rPr>
              <w:t>5/117</w:t>
            </w:r>
          </w:p>
        </w:tc>
        <w:tc>
          <w:tcPr>
            <w:tcW w:w="280" w:type="pct"/>
            <w:tcBorders>
              <w:top w:val="nil"/>
              <w:left w:val="nil"/>
              <w:bottom w:val="single" w:sz="4" w:space="0" w:color="auto"/>
              <w:right w:val="single" w:sz="4" w:space="0" w:color="auto"/>
            </w:tcBorders>
            <w:shd w:val="clear" w:color="000000" w:fill="FFFFFF"/>
            <w:vAlign w:val="center"/>
            <w:hideMark/>
          </w:tcPr>
          <w:p w14:paraId="0EF8CE1F" w14:textId="77777777" w:rsidR="005A043A" w:rsidRPr="00214F41" w:rsidRDefault="005A043A" w:rsidP="00286762">
            <w:pPr>
              <w:jc w:val="center"/>
              <w:rPr>
                <w:sz w:val="18"/>
                <w:szCs w:val="18"/>
              </w:rPr>
            </w:pPr>
            <w:r w:rsidRPr="00214F41">
              <w:rPr>
                <w:sz w:val="18"/>
                <w:szCs w:val="18"/>
              </w:rPr>
              <w:t>2/116</w:t>
            </w:r>
          </w:p>
        </w:tc>
        <w:tc>
          <w:tcPr>
            <w:tcW w:w="278" w:type="pct"/>
            <w:tcBorders>
              <w:top w:val="nil"/>
              <w:left w:val="nil"/>
              <w:bottom w:val="single" w:sz="4" w:space="0" w:color="auto"/>
              <w:right w:val="single" w:sz="4" w:space="0" w:color="auto"/>
            </w:tcBorders>
            <w:shd w:val="clear" w:color="000000" w:fill="FFFFFF"/>
            <w:vAlign w:val="center"/>
            <w:hideMark/>
          </w:tcPr>
          <w:p w14:paraId="7A082BA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67FFFA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77ED2D4" w14:textId="77777777" w:rsidR="005A043A" w:rsidRPr="00214F41" w:rsidRDefault="005A043A" w:rsidP="00286762">
            <w:pPr>
              <w:jc w:val="center"/>
              <w:rPr>
                <w:sz w:val="18"/>
                <w:szCs w:val="18"/>
              </w:rPr>
            </w:pPr>
            <w:r w:rsidRPr="00214F41">
              <w:rPr>
                <w:sz w:val="18"/>
                <w:szCs w:val="18"/>
              </w:rPr>
              <w:t>5/117</w:t>
            </w:r>
          </w:p>
        </w:tc>
        <w:tc>
          <w:tcPr>
            <w:tcW w:w="279" w:type="pct"/>
            <w:tcBorders>
              <w:top w:val="nil"/>
              <w:left w:val="nil"/>
              <w:bottom w:val="single" w:sz="4" w:space="0" w:color="auto"/>
              <w:right w:val="single" w:sz="4" w:space="0" w:color="auto"/>
            </w:tcBorders>
            <w:shd w:val="clear" w:color="000000" w:fill="FFFFFF"/>
            <w:vAlign w:val="center"/>
            <w:hideMark/>
          </w:tcPr>
          <w:p w14:paraId="776AD4D9" w14:textId="77777777" w:rsidR="005A043A" w:rsidRPr="00214F41" w:rsidRDefault="005A043A" w:rsidP="00286762">
            <w:pPr>
              <w:jc w:val="center"/>
              <w:rPr>
                <w:sz w:val="18"/>
                <w:szCs w:val="18"/>
              </w:rPr>
            </w:pPr>
            <w:r w:rsidRPr="00214F41">
              <w:rPr>
                <w:sz w:val="18"/>
                <w:szCs w:val="18"/>
              </w:rPr>
              <w:t>2/116</w:t>
            </w:r>
          </w:p>
        </w:tc>
        <w:tc>
          <w:tcPr>
            <w:tcW w:w="279" w:type="pct"/>
            <w:tcBorders>
              <w:top w:val="nil"/>
              <w:left w:val="nil"/>
              <w:bottom w:val="single" w:sz="4" w:space="0" w:color="auto"/>
              <w:right w:val="single" w:sz="4" w:space="0" w:color="auto"/>
            </w:tcBorders>
            <w:shd w:val="clear" w:color="000000" w:fill="FFFFFF"/>
            <w:vAlign w:val="center"/>
            <w:hideMark/>
          </w:tcPr>
          <w:p w14:paraId="58746DC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05A39F1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2687F286" w14:textId="77777777" w:rsidTr="00286762">
        <w:trPr>
          <w:trHeight w:val="42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37B250DC" w14:textId="77777777" w:rsidR="005A043A" w:rsidRPr="00214F41" w:rsidRDefault="005A043A" w:rsidP="00286762">
            <w:pPr>
              <w:jc w:val="center"/>
              <w:rPr>
                <w:sz w:val="18"/>
                <w:szCs w:val="18"/>
              </w:rPr>
            </w:pPr>
            <w:r w:rsidRPr="00214F41">
              <w:rPr>
                <w:sz w:val="18"/>
                <w:szCs w:val="18"/>
              </w:rPr>
              <w:t>Fujioka et al., 2005c</w:t>
            </w:r>
          </w:p>
        </w:tc>
        <w:tc>
          <w:tcPr>
            <w:tcW w:w="318" w:type="pct"/>
            <w:tcBorders>
              <w:top w:val="nil"/>
              <w:left w:val="nil"/>
              <w:bottom w:val="single" w:sz="4" w:space="0" w:color="auto"/>
              <w:right w:val="single" w:sz="4" w:space="0" w:color="auto"/>
            </w:tcBorders>
            <w:shd w:val="clear" w:color="000000" w:fill="FFFFFF"/>
            <w:vAlign w:val="center"/>
            <w:hideMark/>
          </w:tcPr>
          <w:p w14:paraId="4ED4E402" w14:textId="77777777" w:rsidR="005A043A" w:rsidRPr="00214F41" w:rsidRDefault="005A043A" w:rsidP="00286762">
            <w:pPr>
              <w:jc w:val="center"/>
              <w:rPr>
                <w:sz w:val="18"/>
                <w:szCs w:val="18"/>
              </w:rPr>
            </w:pPr>
            <w:r w:rsidRPr="00214F41">
              <w:rPr>
                <w:sz w:val="18"/>
                <w:szCs w:val="18"/>
              </w:rPr>
              <w:t>3/120</w:t>
            </w:r>
          </w:p>
        </w:tc>
        <w:tc>
          <w:tcPr>
            <w:tcW w:w="295" w:type="pct"/>
            <w:tcBorders>
              <w:top w:val="nil"/>
              <w:left w:val="nil"/>
              <w:bottom w:val="single" w:sz="4" w:space="0" w:color="auto"/>
              <w:right w:val="single" w:sz="4" w:space="0" w:color="auto"/>
            </w:tcBorders>
            <w:shd w:val="clear" w:color="000000" w:fill="FFFFFF"/>
            <w:vAlign w:val="center"/>
            <w:hideMark/>
          </w:tcPr>
          <w:p w14:paraId="583C03A1" w14:textId="77777777" w:rsidR="005A043A" w:rsidRPr="00214F41" w:rsidRDefault="005A043A" w:rsidP="00286762">
            <w:pPr>
              <w:jc w:val="center"/>
              <w:rPr>
                <w:sz w:val="18"/>
                <w:szCs w:val="18"/>
              </w:rPr>
            </w:pPr>
            <w:r w:rsidRPr="00214F41">
              <w:rPr>
                <w:sz w:val="18"/>
                <w:szCs w:val="18"/>
              </w:rPr>
              <w:t>1/117</w:t>
            </w:r>
          </w:p>
        </w:tc>
        <w:tc>
          <w:tcPr>
            <w:tcW w:w="718" w:type="pct"/>
            <w:vMerge/>
            <w:tcBorders>
              <w:left w:val="nil"/>
              <w:right w:val="single" w:sz="4" w:space="0" w:color="auto"/>
            </w:tcBorders>
            <w:shd w:val="clear" w:color="000000" w:fill="FFFFFF"/>
            <w:vAlign w:val="center"/>
          </w:tcPr>
          <w:p w14:paraId="11642EB4"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4B60627E" w14:textId="77777777" w:rsidR="005A043A" w:rsidRPr="00214F41" w:rsidRDefault="005A043A" w:rsidP="00286762">
            <w:pPr>
              <w:jc w:val="center"/>
              <w:rPr>
                <w:sz w:val="18"/>
                <w:szCs w:val="18"/>
              </w:rPr>
            </w:pPr>
            <w:r w:rsidRPr="00214F41">
              <w:rPr>
                <w:sz w:val="18"/>
                <w:szCs w:val="18"/>
              </w:rPr>
              <w:t>7/119</w:t>
            </w:r>
          </w:p>
        </w:tc>
        <w:tc>
          <w:tcPr>
            <w:tcW w:w="282" w:type="pct"/>
            <w:tcBorders>
              <w:top w:val="nil"/>
              <w:left w:val="nil"/>
              <w:bottom w:val="single" w:sz="4" w:space="0" w:color="auto"/>
              <w:right w:val="single" w:sz="4" w:space="0" w:color="auto"/>
            </w:tcBorders>
            <w:shd w:val="clear" w:color="000000" w:fill="FFFFFF"/>
            <w:vAlign w:val="center"/>
            <w:hideMark/>
          </w:tcPr>
          <w:p w14:paraId="4BAF50F7" w14:textId="77777777" w:rsidR="005A043A" w:rsidRPr="00214F41" w:rsidRDefault="005A043A" w:rsidP="00286762">
            <w:pPr>
              <w:jc w:val="center"/>
              <w:rPr>
                <w:sz w:val="18"/>
                <w:szCs w:val="18"/>
              </w:rPr>
            </w:pPr>
            <w:r w:rsidRPr="00214F41">
              <w:rPr>
                <w:sz w:val="18"/>
                <w:szCs w:val="18"/>
              </w:rPr>
              <w:t>3/116</w:t>
            </w:r>
          </w:p>
        </w:tc>
        <w:tc>
          <w:tcPr>
            <w:tcW w:w="282" w:type="pct"/>
            <w:tcBorders>
              <w:top w:val="nil"/>
              <w:left w:val="nil"/>
              <w:bottom w:val="single" w:sz="4" w:space="0" w:color="auto"/>
              <w:right w:val="single" w:sz="4" w:space="0" w:color="auto"/>
            </w:tcBorders>
            <w:shd w:val="clear" w:color="000000" w:fill="FFFFFF"/>
            <w:vAlign w:val="center"/>
            <w:hideMark/>
          </w:tcPr>
          <w:p w14:paraId="1FC201BA" w14:textId="77777777" w:rsidR="005A043A" w:rsidRPr="00214F41" w:rsidRDefault="005A043A" w:rsidP="00286762">
            <w:pPr>
              <w:jc w:val="center"/>
              <w:rPr>
                <w:sz w:val="18"/>
                <w:szCs w:val="18"/>
              </w:rPr>
            </w:pPr>
            <w:r w:rsidRPr="00214F41">
              <w:rPr>
                <w:sz w:val="18"/>
                <w:szCs w:val="18"/>
              </w:rPr>
              <w:t>15/119</w:t>
            </w:r>
          </w:p>
        </w:tc>
        <w:tc>
          <w:tcPr>
            <w:tcW w:w="282" w:type="pct"/>
            <w:tcBorders>
              <w:top w:val="nil"/>
              <w:left w:val="nil"/>
              <w:bottom w:val="single" w:sz="4" w:space="0" w:color="auto"/>
              <w:right w:val="single" w:sz="4" w:space="0" w:color="auto"/>
            </w:tcBorders>
            <w:shd w:val="clear" w:color="000000" w:fill="FFFFFF"/>
            <w:vAlign w:val="center"/>
            <w:hideMark/>
          </w:tcPr>
          <w:p w14:paraId="70C908EB" w14:textId="77777777" w:rsidR="005A043A" w:rsidRPr="00214F41" w:rsidRDefault="005A043A" w:rsidP="00286762">
            <w:pPr>
              <w:jc w:val="center"/>
              <w:rPr>
                <w:sz w:val="18"/>
                <w:szCs w:val="18"/>
              </w:rPr>
            </w:pPr>
            <w:r w:rsidRPr="00214F41">
              <w:rPr>
                <w:sz w:val="18"/>
                <w:szCs w:val="18"/>
              </w:rPr>
              <w:t>4/116</w:t>
            </w:r>
          </w:p>
        </w:tc>
        <w:tc>
          <w:tcPr>
            <w:tcW w:w="278" w:type="pct"/>
            <w:tcBorders>
              <w:top w:val="nil"/>
              <w:left w:val="nil"/>
              <w:bottom w:val="single" w:sz="4" w:space="0" w:color="auto"/>
              <w:right w:val="single" w:sz="4" w:space="0" w:color="auto"/>
            </w:tcBorders>
            <w:shd w:val="clear" w:color="000000" w:fill="FFFFFF"/>
            <w:vAlign w:val="center"/>
            <w:hideMark/>
          </w:tcPr>
          <w:p w14:paraId="6B682318" w14:textId="77777777" w:rsidR="005A043A" w:rsidRPr="00214F41" w:rsidRDefault="005A043A" w:rsidP="00286762">
            <w:pPr>
              <w:jc w:val="center"/>
              <w:rPr>
                <w:sz w:val="18"/>
                <w:szCs w:val="18"/>
              </w:rPr>
            </w:pPr>
            <w:r w:rsidRPr="00214F41">
              <w:rPr>
                <w:sz w:val="18"/>
                <w:szCs w:val="18"/>
              </w:rPr>
              <w:t>11/119</w:t>
            </w:r>
          </w:p>
        </w:tc>
        <w:tc>
          <w:tcPr>
            <w:tcW w:w="280" w:type="pct"/>
            <w:tcBorders>
              <w:top w:val="nil"/>
              <w:left w:val="nil"/>
              <w:bottom w:val="single" w:sz="4" w:space="0" w:color="auto"/>
              <w:right w:val="single" w:sz="4" w:space="0" w:color="auto"/>
            </w:tcBorders>
            <w:shd w:val="clear" w:color="000000" w:fill="FFFFFF"/>
            <w:vAlign w:val="center"/>
            <w:hideMark/>
          </w:tcPr>
          <w:p w14:paraId="15173626" w14:textId="77777777" w:rsidR="005A043A" w:rsidRPr="00214F41" w:rsidRDefault="005A043A" w:rsidP="00286762">
            <w:pPr>
              <w:jc w:val="center"/>
              <w:rPr>
                <w:sz w:val="18"/>
                <w:szCs w:val="18"/>
              </w:rPr>
            </w:pPr>
            <w:r w:rsidRPr="00214F41">
              <w:rPr>
                <w:sz w:val="18"/>
                <w:szCs w:val="18"/>
              </w:rPr>
              <w:t>2/116</w:t>
            </w:r>
          </w:p>
        </w:tc>
        <w:tc>
          <w:tcPr>
            <w:tcW w:w="278" w:type="pct"/>
            <w:tcBorders>
              <w:top w:val="nil"/>
              <w:left w:val="nil"/>
              <w:bottom w:val="single" w:sz="4" w:space="0" w:color="auto"/>
              <w:right w:val="single" w:sz="4" w:space="0" w:color="auto"/>
            </w:tcBorders>
            <w:shd w:val="clear" w:color="000000" w:fill="FFFFFF"/>
            <w:vAlign w:val="center"/>
            <w:hideMark/>
          </w:tcPr>
          <w:p w14:paraId="36850EF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99C1EA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550CF59" w14:textId="77777777" w:rsidR="005A043A" w:rsidRPr="00214F41" w:rsidRDefault="005A043A" w:rsidP="00286762">
            <w:pPr>
              <w:jc w:val="center"/>
              <w:rPr>
                <w:sz w:val="18"/>
                <w:szCs w:val="18"/>
              </w:rPr>
            </w:pPr>
            <w:r w:rsidRPr="00214F41">
              <w:rPr>
                <w:sz w:val="18"/>
                <w:szCs w:val="18"/>
              </w:rPr>
              <w:t>11/119</w:t>
            </w:r>
          </w:p>
        </w:tc>
        <w:tc>
          <w:tcPr>
            <w:tcW w:w="279" w:type="pct"/>
            <w:tcBorders>
              <w:top w:val="nil"/>
              <w:left w:val="nil"/>
              <w:bottom w:val="single" w:sz="4" w:space="0" w:color="auto"/>
              <w:right w:val="single" w:sz="4" w:space="0" w:color="auto"/>
            </w:tcBorders>
            <w:shd w:val="clear" w:color="000000" w:fill="FFFFFF"/>
            <w:vAlign w:val="center"/>
            <w:hideMark/>
          </w:tcPr>
          <w:p w14:paraId="682F6BA3" w14:textId="77777777" w:rsidR="005A043A" w:rsidRPr="00214F41" w:rsidRDefault="005A043A" w:rsidP="00286762">
            <w:pPr>
              <w:jc w:val="center"/>
              <w:rPr>
                <w:sz w:val="18"/>
                <w:szCs w:val="18"/>
              </w:rPr>
            </w:pPr>
            <w:r w:rsidRPr="00214F41">
              <w:rPr>
                <w:sz w:val="18"/>
                <w:szCs w:val="18"/>
              </w:rPr>
              <w:t>2/116</w:t>
            </w:r>
          </w:p>
        </w:tc>
        <w:tc>
          <w:tcPr>
            <w:tcW w:w="279" w:type="pct"/>
            <w:tcBorders>
              <w:top w:val="nil"/>
              <w:left w:val="nil"/>
              <w:bottom w:val="single" w:sz="4" w:space="0" w:color="auto"/>
              <w:right w:val="single" w:sz="4" w:space="0" w:color="auto"/>
            </w:tcBorders>
            <w:shd w:val="clear" w:color="000000" w:fill="FFFFFF"/>
            <w:vAlign w:val="center"/>
            <w:hideMark/>
          </w:tcPr>
          <w:p w14:paraId="7E41320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629A41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568D1E6C" w14:textId="77777777" w:rsidTr="00286762">
        <w:trPr>
          <w:trHeight w:val="26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86FCA0F" w14:textId="77777777" w:rsidR="005A043A" w:rsidRPr="00214F41" w:rsidRDefault="005A043A" w:rsidP="00286762">
            <w:pPr>
              <w:jc w:val="center"/>
              <w:rPr>
                <w:sz w:val="18"/>
                <w:szCs w:val="18"/>
              </w:rPr>
            </w:pPr>
            <w:r w:rsidRPr="00214F41">
              <w:rPr>
                <w:sz w:val="18"/>
                <w:szCs w:val="18"/>
              </w:rPr>
              <w:t>Fujioka et al., 2005d</w:t>
            </w:r>
          </w:p>
        </w:tc>
        <w:tc>
          <w:tcPr>
            <w:tcW w:w="318" w:type="pct"/>
            <w:tcBorders>
              <w:top w:val="nil"/>
              <w:left w:val="nil"/>
              <w:bottom w:val="single" w:sz="4" w:space="0" w:color="auto"/>
              <w:right w:val="single" w:sz="4" w:space="0" w:color="auto"/>
            </w:tcBorders>
            <w:shd w:val="clear" w:color="000000" w:fill="FFFFFF"/>
            <w:vAlign w:val="center"/>
            <w:hideMark/>
          </w:tcPr>
          <w:p w14:paraId="03A770F4" w14:textId="77777777" w:rsidR="005A043A" w:rsidRPr="00214F41" w:rsidRDefault="005A043A" w:rsidP="00286762">
            <w:pPr>
              <w:jc w:val="center"/>
              <w:rPr>
                <w:sz w:val="18"/>
                <w:szCs w:val="18"/>
              </w:rPr>
            </w:pPr>
            <w:r w:rsidRPr="00214F41">
              <w:rPr>
                <w:sz w:val="18"/>
                <w:szCs w:val="18"/>
              </w:rPr>
              <w:t>5/120</w:t>
            </w:r>
          </w:p>
        </w:tc>
        <w:tc>
          <w:tcPr>
            <w:tcW w:w="295" w:type="pct"/>
            <w:tcBorders>
              <w:top w:val="nil"/>
              <w:left w:val="nil"/>
              <w:bottom w:val="single" w:sz="4" w:space="0" w:color="auto"/>
              <w:right w:val="single" w:sz="4" w:space="0" w:color="auto"/>
            </w:tcBorders>
            <w:shd w:val="clear" w:color="000000" w:fill="FFFFFF"/>
            <w:vAlign w:val="center"/>
            <w:hideMark/>
          </w:tcPr>
          <w:p w14:paraId="49A4E967" w14:textId="77777777" w:rsidR="005A043A" w:rsidRPr="00214F41" w:rsidRDefault="005A043A" w:rsidP="00286762">
            <w:pPr>
              <w:jc w:val="center"/>
              <w:rPr>
                <w:sz w:val="18"/>
                <w:szCs w:val="18"/>
              </w:rPr>
            </w:pPr>
            <w:r w:rsidRPr="00214F41">
              <w:rPr>
                <w:sz w:val="18"/>
                <w:szCs w:val="18"/>
              </w:rPr>
              <w:t>1/117</w:t>
            </w:r>
          </w:p>
        </w:tc>
        <w:tc>
          <w:tcPr>
            <w:tcW w:w="718" w:type="pct"/>
            <w:vMerge/>
            <w:tcBorders>
              <w:left w:val="nil"/>
              <w:right w:val="single" w:sz="4" w:space="0" w:color="auto"/>
            </w:tcBorders>
            <w:shd w:val="clear" w:color="000000" w:fill="FFFFFF"/>
            <w:vAlign w:val="center"/>
          </w:tcPr>
          <w:p w14:paraId="569AE710"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0F9F3811" w14:textId="77777777" w:rsidR="005A043A" w:rsidRPr="00214F41" w:rsidRDefault="005A043A" w:rsidP="00286762">
            <w:pPr>
              <w:jc w:val="center"/>
              <w:rPr>
                <w:sz w:val="18"/>
                <w:szCs w:val="18"/>
              </w:rPr>
            </w:pPr>
            <w:r w:rsidRPr="00214F41">
              <w:rPr>
                <w:sz w:val="18"/>
                <w:szCs w:val="18"/>
              </w:rPr>
              <w:t>6/120</w:t>
            </w:r>
          </w:p>
        </w:tc>
        <w:tc>
          <w:tcPr>
            <w:tcW w:w="282" w:type="pct"/>
            <w:tcBorders>
              <w:top w:val="nil"/>
              <w:left w:val="nil"/>
              <w:bottom w:val="single" w:sz="4" w:space="0" w:color="auto"/>
              <w:right w:val="single" w:sz="4" w:space="0" w:color="auto"/>
            </w:tcBorders>
            <w:shd w:val="clear" w:color="000000" w:fill="FFFFFF"/>
            <w:vAlign w:val="center"/>
            <w:hideMark/>
          </w:tcPr>
          <w:p w14:paraId="6A36A330" w14:textId="77777777" w:rsidR="005A043A" w:rsidRPr="00214F41" w:rsidRDefault="005A043A" w:rsidP="00286762">
            <w:pPr>
              <w:jc w:val="center"/>
              <w:rPr>
                <w:sz w:val="18"/>
                <w:szCs w:val="18"/>
              </w:rPr>
            </w:pPr>
            <w:r w:rsidRPr="00214F41">
              <w:rPr>
                <w:sz w:val="18"/>
                <w:szCs w:val="18"/>
              </w:rPr>
              <w:t>3/116</w:t>
            </w:r>
          </w:p>
        </w:tc>
        <w:tc>
          <w:tcPr>
            <w:tcW w:w="282" w:type="pct"/>
            <w:tcBorders>
              <w:top w:val="nil"/>
              <w:left w:val="nil"/>
              <w:bottom w:val="single" w:sz="4" w:space="0" w:color="auto"/>
              <w:right w:val="single" w:sz="4" w:space="0" w:color="auto"/>
            </w:tcBorders>
            <w:shd w:val="clear" w:color="000000" w:fill="FFFFFF"/>
            <w:vAlign w:val="center"/>
            <w:hideMark/>
          </w:tcPr>
          <w:p w14:paraId="4D1F5F6C" w14:textId="77777777" w:rsidR="005A043A" w:rsidRPr="00214F41" w:rsidRDefault="005A043A" w:rsidP="00286762">
            <w:pPr>
              <w:jc w:val="center"/>
              <w:rPr>
                <w:sz w:val="18"/>
                <w:szCs w:val="18"/>
              </w:rPr>
            </w:pPr>
            <w:r w:rsidRPr="00214F41">
              <w:rPr>
                <w:sz w:val="18"/>
                <w:szCs w:val="18"/>
              </w:rPr>
              <w:t>22/120</w:t>
            </w:r>
          </w:p>
        </w:tc>
        <w:tc>
          <w:tcPr>
            <w:tcW w:w="282" w:type="pct"/>
            <w:tcBorders>
              <w:top w:val="nil"/>
              <w:left w:val="nil"/>
              <w:bottom w:val="single" w:sz="4" w:space="0" w:color="auto"/>
              <w:right w:val="single" w:sz="4" w:space="0" w:color="auto"/>
            </w:tcBorders>
            <w:shd w:val="clear" w:color="000000" w:fill="FFFFFF"/>
            <w:vAlign w:val="center"/>
            <w:hideMark/>
          </w:tcPr>
          <w:p w14:paraId="479C9D28" w14:textId="77777777" w:rsidR="005A043A" w:rsidRPr="00214F41" w:rsidRDefault="005A043A" w:rsidP="00286762">
            <w:pPr>
              <w:jc w:val="center"/>
              <w:rPr>
                <w:sz w:val="18"/>
                <w:szCs w:val="18"/>
              </w:rPr>
            </w:pPr>
            <w:r w:rsidRPr="00214F41">
              <w:rPr>
                <w:sz w:val="18"/>
                <w:szCs w:val="18"/>
              </w:rPr>
              <w:t>4/116</w:t>
            </w:r>
          </w:p>
        </w:tc>
        <w:tc>
          <w:tcPr>
            <w:tcW w:w="278" w:type="pct"/>
            <w:tcBorders>
              <w:top w:val="nil"/>
              <w:left w:val="nil"/>
              <w:bottom w:val="single" w:sz="4" w:space="0" w:color="auto"/>
              <w:right w:val="single" w:sz="4" w:space="0" w:color="auto"/>
            </w:tcBorders>
            <w:shd w:val="clear" w:color="000000" w:fill="FFFFFF"/>
            <w:vAlign w:val="center"/>
            <w:hideMark/>
          </w:tcPr>
          <w:p w14:paraId="5E45E916" w14:textId="77777777" w:rsidR="005A043A" w:rsidRPr="00214F41" w:rsidRDefault="005A043A" w:rsidP="00286762">
            <w:pPr>
              <w:jc w:val="center"/>
              <w:rPr>
                <w:sz w:val="18"/>
                <w:szCs w:val="18"/>
              </w:rPr>
            </w:pPr>
            <w:r w:rsidRPr="00214F41">
              <w:rPr>
                <w:sz w:val="18"/>
                <w:szCs w:val="18"/>
              </w:rPr>
              <w:t>14/120</w:t>
            </w:r>
          </w:p>
        </w:tc>
        <w:tc>
          <w:tcPr>
            <w:tcW w:w="280" w:type="pct"/>
            <w:tcBorders>
              <w:top w:val="nil"/>
              <w:left w:val="nil"/>
              <w:bottom w:val="single" w:sz="4" w:space="0" w:color="auto"/>
              <w:right w:val="single" w:sz="4" w:space="0" w:color="auto"/>
            </w:tcBorders>
            <w:shd w:val="clear" w:color="000000" w:fill="FFFFFF"/>
            <w:vAlign w:val="center"/>
            <w:hideMark/>
          </w:tcPr>
          <w:p w14:paraId="3B0BDDDD" w14:textId="77777777" w:rsidR="005A043A" w:rsidRPr="00214F41" w:rsidRDefault="005A043A" w:rsidP="00286762">
            <w:pPr>
              <w:jc w:val="center"/>
              <w:rPr>
                <w:sz w:val="18"/>
                <w:szCs w:val="18"/>
              </w:rPr>
            </w:pPr>
            <w:r w:rsidRPr="00214F41">
              <w:rPr>
                <w:sz w:val="18"/>
                <w:szCs w:val="18"/>
              </w:rPr>
              <w:t>2/116</w:t>
            </w:r>
          </w:p>
        </w:tc>
        <w:tc>
          <w:tcPr>
            <w:tcW w:w="278" w:type="pct"/>
            <w:tcBorders>
              <w:top w:val="nil"/>
              <w:left w:val="nil"/>
              <w:bottom w:val="single" w:sz="4" w:space="0" w:color="auto"/>
              <w:right w:val="single" w:sz="4" w:space="0" w:color="auto"/>
            </w:tcBorders>
            <w:shd w:val="clear" w:color="000000" w:fill="FFFFFF"/>
            <w:vAlign w:val="center"/>
            <w:hideMark/>
          </w:tcPr>
          <w:p w14:paraId="514B3E3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4E9E1F5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3252D44" w14:textId="77777777" w:rsidR="005A043A" w:rsidRPr="00214F41" w:rsidRDefault="005A043A" w:rsidP="00286762">
            <w:pPr>
              <w:jc w:val="center"/>
              <w:rPr>
                <w:sz w:val="18"/>
                <w:szCs w:val="18"/>
              </w:rPr>
            </w:pPr>
            <w:r w:rsidRPr="00214F41">
              <w:rPr>
                <w:sz w:val="18"/>
                <w:szCs w:val="18"/>
              </w:rPr>
              <w:t>14/120</w:t>
            </w:r>
          </w:p>
        </w:tc>
        <w:tc>
          <w:tcPr>
            <w:tcW w:w="279" w:type="pct"/>
            <w:tcBorders>
              <w:top w:val="nil"/>
              <w:left w:val="nil"/>
              <w:bottom w:val="single" w:sz="4" w:space="0" w:color="auto"/>
              <w:right w:val="single" w:sz="4" w:space="0" w:color="auto"/>
            </w:tcBorders>
            <w:shd w:val="clear" w:color="000000" w:fill="FFFFFF"/>
            <w:vAlign w:val="center"/>
            <w:hideMark/>
          </w:tcPr>
          <w:p w14:paraId="64464951" w14:textId="77777777" w:rsidR="005A043A" w:rsidRPr="00214F41" w:rsidRDefault="005A043A" w:rsidP="00286762">
            <w:pPr>
              <w:jc w:val="center"/>
              <w:rPr>
                <w:sz w:val="18"/>
                <w:szCs w:val="18"/>
              </w:rPr>
            </w:pPr>
            <w:r w:rsidRPr="00214F41">
              <w:rPr>
                <w:sz w:val="18"/>
                <w:szCs w:val="18"/>
              </w:rPr>
              <w:t>2/116</w:t>
            </w:r>
          </w:p>
        </w:tc>
        <w:tc>
          <w:tcPr>
            <w:tcW w:w="279" w:type="pct"/>
            <w:tcBorders>
              <w:top w:val="nil"/>
              <w:left w:val="nil"/>
              <w:bottom w:val="single" w:sz="4" w:space="0" w:color="auto"/>
              <w:right w:val="single" w:sz="4" w:space="0" w:color="auto"/>
            </w:tcBorders>
            <w:shd w:val="clear" w:color="000000" w:fill="FFFFFF"/>
            <w:vAlign w:val="center"/>
            <w:hideMark/>
          </w:tcPr>
          <w:p w14:paraId="77778A6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40068E4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20A71B3F" w14:textId="77777777" w:rsidTr="00286762">
        <w:trPr>
          <w:trHeight w:val="41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ED4ECE6" w14:textId="77777777" w:rsidR="005A043A" w:rsidRPr="00214F41" w:rsidRDefault="005A043A" w:rsidP="00286762">
            <w:pPr>
              <w:jc w:val="center"/>
              <w:rPr>
                <w:sz w:val="18"/>
                <w:szCs w:val="18"/>
              </w:rPr>
            </w:pPr>
            <w:r w:rsidRPr="00214F41">
              <w:rPr>
                <w:sz w:val="18"/>
                <w:szCs w:val="18"/>
              </w:rPr>
              <w:t>Fujioka et al., 2005e</w:t>
            </w:r>
          </w:p>
        </w:tc>
        <w:tc>
          <w:tcPr>
            <w:tcW w:w="318" w:type="pct"/>
            <w:tcBorders>
              <w:top w:val="nil"/>
              <w:left w:val="nil"/>
              <w:bottom w:val="single" w:sz="4" w:space="0" w:color="auto"/>
              <w:right w:val="single" w:sz="4" w:space="0" w:color="auto"/>
            </w:tcBorders>
            <w:shd w:val="clear" w:color="000000" w:fill="FFFFFF"/>
            <w:vAlign w:val="center"/>
            <w:hideMark/>
          </w:tcPr>
          <w:p w14:paraId="49912153" w14:textId="77777777" w:rsidR="005A043A" w:rsidRPr="00214F41" w:rsidRDefault="005A043A" w:rsidP="00286762">
            <w:pPr>
              <w:jc w:val="center"/>
              <w:rPr>
                <w:sz w:val="18"/>
                <w:szCs w:val="18"/>
              </w:rPr>
            </w:pPr>
            <w:r w:rsidRPr="00214F41">
              <w:rPr>
                <w:sz w:val="18"/>
                <w:szCs w:val="18"/>
              </w:rPr>
              <w:t>4/134</w:t>
            </w:r>
          </w:p>
        </w:tc>
        <w:tc>
          <w:tcPr>
            <w:tcW w:w="295" w:type="pct"/>
            <w:tcBorders>
              <w:top w:val="nil"/>
              <w:left w:val="nil"/>
              <w:bottom w:val="single" w:sz="4" w:space="0" w:color="auto"/>
              <w:right w:val="single" w:sz="4" w:space="0" w:color="auto"/>
            </w:tcBorders>
            <w:shd w:val="clear" w:color="000000" w:fill="FFFFFF"/>
            <w:vAlign w:val="center"/>
            <w:hideMark/>
          </w:tcPr>
          <w:p w14:paraId="5FB84B09" w14:textId="77777777" w:rsidR="005A043A" w:rsidRPr="00214F41" w:rsidRDefault="005A043A" w:rsidP="00286762">
            <w:pPr>
              <w:jc w:val="center"/>
              <w:rPr>
                <w:sz w:val="18"/>
                <w:szCs w:val="18"/>
              </w:rPr>
            </w:pPr>
            <w:r w:rsidRPr="00214F41">
              <w:rPr>
                <w:sz w:val="18"/>
                <w:szCs w:val="18"/>
              </w:rPr>
              <w:t>1/117</w:t>
            </w:r>
          </w:p>
        </w:tc>
        <w:tc>
          <w:tcPr>
            <w:tcW w:w="718" w:type="pct"/>
            <w:vMerge/>
            <w:tcBorders>
              <w:left w:val="nil"/>
              <w:right w:val="single" w:sz="4" w:space="0" w:color="auto"/>
            </w:tcBorders>
            <w:shd w:val="clear" w:color="000000" w:fill="FFFFFF"/>
            <w:vAlign w:val="center"/>
          </w:tcPr>
          <w:p w14:paraId="3C2388F6"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3A4A2666" w14:textId="77777777" w:rsidR="005A043A" w:rsidRPr="00214F41" w:rsidRDefault="005A043A" w:rsidP="00286762">
            <w:pPr>
              <w:jc w:val="center"/>
              <w:rPr>
                <w:sz w:val="18"/>
                <w:szCs w:val="18"/>
              </w:rPr>
            </w:pPr>
            <w:r w:rsidRPr="00214F41">
              <w:rPr>
                <w:sz w:val="18"/>
                <w:szCs w:val="18"/>
              </w:rPr>
              <w:t>4/133</w:t>
            </w:r>
          </w:p>
        </w:tc>
        <w:tc>
          <w:tcPr>
            <w:tcW w:w="282" w:type="pct"/>
            <w:tcBorders>
              <w:top w:val="nil"/>
              <w:left w:val="nil"/>
              <w:bottom w:val="single" w:sz="4" w:space="0" w:color="auto"/>
              <w:right w:val="single" w:sz="4" w:space="0" w:color="auto"/>
            </w:tcBorders>
            <w:shd w:val="clear" w:color="000000" w:fill="FFFFFF"/>
            <w:vAlign w:val="center"/>
            <w:hideMark/>
          </w:tcPr>
          <w:p w14:paraId="49AFF983" w14:textId="77777777" w:rsidR="005A043A" w:rsidRPr="00214F41" w:rsidRDefault="005A043A" w:rsidP="00286762">
            <w:pPr>
              <w:jc w:val="center"/>
              <w:rPr>
                <w:sz w:val="18"/>
                <w:szCs w:val="18"/>
              </w:rPr>
            </w:pPr>
            <w:r w:rsidRPr="00214F41">
              <w:rPr>
                <w:sz w:val="18"/>
                <w:szCs w:val="18"/>
              </w:rPr>
              <w:t>3/116</w:t>
            </w:r>
          </w:p>
        </w:tc>
        <w:tc>
          <w:tcPr>
            <w:tcW w:w="282" w:type="pct"/>
            <w:tcBorders>
              <w:top w:val="nil"/>
              <w:left w:val="nil"/>
              <w:bottom w:val="single" w:sz="4" w:space="0" w:color="auto"/>
              <w:right w:val="single" w:sz="4" w:space="0" w:color="auto"/>
            </w:tcBorders>
            <w:shd w:val="clear" w:color="000000" w:fill="FFFFFF"/>
            <w:vAlign w:val="center"/>
            <w:hideMark/>
          </w:tcPr>
          <w:p w14:paraId="7F03E3FD" w14:textId="77777777" w:rsidR="005A043A" w:rsidRPr="00214F41" w:rsidRDefault="005A043A" w:rsidP="00286762">
            <w:pPr>
              <w:jc w:val="center"/>
              <w:rPr>
                <w:sz w:val="18"/>
                <w:szCs w:val="18"/>
              </w:rPr>
            </w:pPr>
            <w:r w:rsidRPr="00214F41">
              <w:rPr>
                <w:sz w:val="18"/>
                <w:szCs w:val="18"/>
              </w:rPr>
              <w:t>20/133</w:t>
            </w:r>
          </w:p>
        </w:tc>
        <w:tc>
          <w:tcPr>
            <w:tcW w:w="282" w:type="pct"/>
            <w:tcBorders>
              <w:top w:val="nil"/>
              <w:left w:val="nil"/>
              <w:bottom w:val="single" w:sz="4" w:space="0" w:color="auto"/>
              <w:right w:val="single" w:sz="4" w:space="0" w:color="auto"/>
            </w:tcBorders>
            <w:shd w:val="clear" w:color="000000" w:fill="FFFFFF"/>
            <w:vAlign w:val="center"/>
            <w:hideMark/>
          </w:tcPr>
          <w:p w14:paraId="534E531A" w14:textId="77777777" w:rsidR="005A043A" w:rsidRPr="00214F41" w:rsidRDefault="005A043A" w:rsidP="00286762">
            <w:pPr>
              <w:jc w:val="center"/>
              <w:rPr>
                <w:sz w:val="18"/>
                <w:szCs w:val="18"/>
              </w:rPr>
            </w:pPr>
            <w:r w:rsidRPr="00214F41">
              <w:rPr>
                <w:sz w:val="18"/>
                <w:szCs w:val="18"/>
              </w:rPr>
              <w:t>4/116</w:t>
            </w:r>
          </w:p>
        </w:tc>
        <w:tc>
          <w:tcPr>
            <w:tcW w:w="278" w:type="pct"/>
            <w:tcBorders>
              <w:top w:val="nil"/>
              <w:left w:val="nil"/>
              <w:bottom w:val="single" w:sz="4" w:space="0" w:color="auto"/>
              <w:right w:val="single" w:sz="4" w:space="0" w:color="auto"/>
            </w:tcBorders>
            <w:shd w:val="clear" w:color="000000" w:fill="FFFFFF"/>
            <w:vAlign w:val="center"/>
            <w:hideMark/>
          </w:tcPr>
          <w:p w14:paraId="7ED6DF63" w14:textId="77777777" w:rsidR="005A043A" w:rsidRPr="00214F41" w:rsidRDefault="005A043A" w:rsidP="00286762">
            <w:pPr>
              <w:jc w:val="center"/>
              <w:rPr>
                <w:sz w:val="18"/>
                <w:szCs w:val="18"/>
              </w:rPr>
            </w:pPr>
            <w:r w:rsidRPr="00214F41">
              <w:rPr>
                <w:sz w:val="18"/>
                <w:szCs w:val="18"/>
              </w:rPr>
              <w:t>12/133</w:t>
            </w:r>
          </w:p>
        </w:tc>
        <w:tc>
          <w:tcPr>
            <w:tcW w:w="280" w:type="pct"/>
            <w:tcBorders>
              <w:top w:val="nil"/>
              <w:left w:val="nil"/>
              <w:bottom w:val="single" w:sz="4" w:space="0" w:color="auto"/>
              <w:right w:val="single" w:sz="4" w:space="0" w:color="auto"/>
            </w:tcBorders>
            <w:shd w:val="clear" w:color="000000" w:fill="FFFFFF"/>
            <w:vAlign w:val="center"/>
            <w:hideMark/>
          </w:tcPr>
          <w:p w14:paraId="1444DC18" w14:textId="77777777" w:rsidR="005A043A" w:rsidRPr="00214F41" w:rsidRDefault="005A043A" w:rsidP="00286762">
            <w:pPr>
              <w:jc w:val="center"/>
              <w:rPr>
                <w:sz w:val="18"/>
                <w:szCs w:val="18"/>
              </w:rPr>
            </w:pPr>
            <w:r w:rsidRPr="00214F41">
              <w:rPr>
                <w:sz w:val="18"/>
                <w:szCs w:val="18"/>
              </w:rPr>
              <w:t>2/116</w:t>
            </w:r>
          </w:p>
        </w:tc>
        <w:tc>
          <w:tcPr>
            <w:tcW w:w="278" w:type="pct"/>
            <w:tcBorders>
              <w:top w:val="nil"/>
              <w:left w:val="nil"/>
              <w:bottom w:val="single" w:sz="4" w:space="0" w:color="auto"/>
              <w:right w:val="single" w:sz="4" w:space="0" w:color="auto"/>
            </w:tcBorders>
            <w:shd w:val="clear" w:color="000000" w:fill="FFFFFF"/>
            <w:vAlign w:val="center"/>
            <w:hideMark/>
          </w:tcPr>
          <w:p w14:paraId="30BC336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F0CB01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4CD1D21" w14:textId="77777777" w:rsidR="005A043A" w:rsidRPr="00214F41" w:rsidRDefault="005A043A" w:rsidP="00286762">
            <w:pPr>
              <w:jc w:val="center"/>
              <w:rPr>
                <w:sz w:val="18"/>
                <w:szCs w:val="18"/>
              </w:rPr>
            </w:pPr>
            <w:r w:rsidRPr="00214F41">
              <w:rPr>
                <w:sz w:val="18"/>
                <w:szCs w:val="18"/>
              </w:rPr>
              <w:t>12/133</w:t>
            </w:r>
          </w:p>
        </w:tc>
        <w:tc>
          <w:tcPr>
            <w:tcW w:w="279" w:type="pct"/>
            <w:tcBorders>
              <w:top w:val="nil"/>
              <w:left w:val="nil"/>
              <w:bottom w:val="single" w:sz="4" w:space="0" w:color="auto"/>
              <w:right w:val="single" w:sz="4" w:space="0" w:color="auto"/>
            </w:tcBorders>
            <w:shd w:val="clear" w:color="000000" w:fill="FFFFFF"/>
            <w:vAlign w:val="center"/>
            <w:hideMark/>
          </w:tcPr>
          <w:p w14:paraId="2BE3579A" w14:textId="77777777" w:rsidR="005A043A" w:rsidRPr="00214F41" w:rsidRDefault="005A043A" w:rsidP="00286762">
            <w:pPr>
              <w:jc w:val="center"/>
              <w:rPr>
                <w:sz w:val="18"/>
                <w:szCs w:val="18"/>
              </w:rPr>
            </w:pPr>
            <w:r w:rsidRPr="00214F41">
              <w:rPr>
                <w:sz w:val="18"/>
                <w:szCs w:val="18"/>
              </w:rPr>
              <w:t>2/116</w:t>
            </w:r>
          </w:p>
        </w:tc>
        <w:tc>
          <w:tcPr>
            <w:tcW w:w="279" w:type="pct"/>
            <w:tcBorders>
              <w:top w:val="nil"/>
              <w:left w:val="nil"/>
              <w:bottom w:val="single" w:sz="4" w:space="0" w:color="auto"/>
              <w:right w:val="single" w:sz="4" w:space="0" w:color="auto"/>
            </w:tcBorders>
            <w:shd w:val="clear" w:color="000000" w:fill="FFFFFF"/>
            <w:vAlign w:val="center"/>
            <w:hideMark/>
          </w:tcPr>
          <w:p w14:paraId="4BA475E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F4BF94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0F2B1756" w14:textId="77777777" w:rsidTr="00286762">
        <w:trPr>
          <w:trHeight w:val="44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5CCFC81" w14:textId="77777777" w:rsidR="005A043A" w:rsidRPr="00214F41" w:rsidRDefault="005A043A" w:rsidP="00286762">
            <w:pPr>
              <w:jc w:val="center"/>
              <w:rPr>
                <w:sz w:val="18"/>
                <w:szCs w:val="18"/>
              </w:rPr>
            </w:pPr>
            <w:r w:rsidRPr="00214F41">
              <w:rPr>
                <w:sz w:val="18"/>
                <w:szCs w:val="18"/>
              </w:rPr>
              <w:t>Fujioka et al., 2005f</w:t>
            </w:r>
          </w:p>
        </w:tc>
        <w:tc>
          <w:tcPr>
            <w:tcW w:w="318" w:type="pct"/>
            <w:tcBorders>
              <w:top w:val="nil"/>
              <w:left w:val="nil"/>
              <w:bottom w:val="single" w:sz="4" w:space="0" w:color="auto"/>
              <w:right w:val="single" w:sz="4" w:space="0" w:color="auto"/>
            </w:tcBorders>
            <w:shd w:val="clear" w:color="000000" w:fill="FFFFFF"/>
            <w:vAlign w:val="center"/>
            <w:hideMark/>
          </w:tcPr>
          <w:p w14:paraId="63FFB8AD" w14:textId="77777777" w:rsidR="005A043A" w:rsidRPr="00214F41" w:rsidRDefault="005A043A" w:rsidP="00286762">
            <w:pPr>
              <w:jc w:val="center"/>
              <w:rPr>
                <w:sz w:val="18"/>
                <w:szCs w:val="18"/>
              </w:rPr>
            </w:pPr>
            <w:r w:rsidRPr="00214F41">
              <w:rPr>
                <w:sz w:val="18"/>
                <w:szCs w:val="18"/>
              </w:rPr>
              <w:t>1/123</w:t>
            </w:r>
          </w:p>
        </w:tc>
        <w:tc>
          <w:tcPr>
            <w:tcW w:w="295" w:type="pct"/>
            <w:tcBorders>
              <w:top w:val="nil"/>
              <w:left w:val="nil"/>
              <w:bottom w:val="single" w:sz="4" w:space="0" w:color="auto"/>
              <w:right w:val="single" w:sz="4" w:space="0" w:color="auto"/>
            </w:tcBorders>
            <w:shd w:val="clear" w:color="000000" w:fill="FFFFFF"/>
            <w:vAlign w:val="center"/>
            <w:hideMark/>
          </w:tcPr>
          <w:p w14:paraId="645CC08D" w14:textId="77777777" w:rsidR="005A043A" w:rsidRPr="00214F41" w:rsidRDefault="005A043A" w:rsidP="00286762">
            <w:pPr>
              <w:jc w:val="center"/>
              <w:rPr>
                <w:sz w:val="18"/>
                <w:szCs w:val="18"/>
              </w:rPr>
            </w:pPr>
            <w:r w:rsidRPr="00214F41">
              <w:rPr>
                <w:sz w:val="18"/>
                <w:szCs w:val="18"/>
              </w:rPr>
              <w:t>1/117</w:t>
            </w:r>
          </w:p>
        </w:tc>
        <w:tc>
          <w:tcPr>
            <w:tcW w:w="718" w:type="pct"/>
            <w:vMerge/>
            <w:tcBorders>
              <w:left w:val="nil"/>
              <w:bottom w:val="single" w:sz="4" w:space="0" w:color="auto"/>
              <w:right w:val="single" w:sz="4" w:space="0" w:color="auto"/>
            </w:tcBorders>
            <w:shd w:val="clear" w:color="000000" w:fill="FFFFFF"/>
            <w:vAlign w:val="center"/>
            <w:hideMark/>
          </w:tcPr>
          <w:p w14:paraId="5553DD27"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0D580BA5" w14:textId="77777777" w:rsidR="005A043A" w:rsidRPr="00214F41" w:rsidRDefault="005A043A" w:rsidP="00286762">
            <w:pPr>
              <w:jc w:val="center"/>
              <w:rPr>
                <w:sz w:val="18"/>
                <w:szCs w:val="18"/>
              </w:rPr>
            </w:pPr>
            <w:r w:rsidRPr="00214F41">
              <w:rPr>
                <w:sz w:val="18"/>
                <w:szCs w:val="18"/>
              </w:rPr>
              <w:t>8/133</w:t>
            </w:r>
          </w:p>
        </w:tc>
        <w:tc>
          <w:tcPr>
            <w:tcW w:w="282" w:type="pct"/>
            <w:tcBorders>
              <w:top w:val="nil"/>
              <w:left w:val="nil"/>
              <w:bottom w:val="single" w:sz="4" w:space="0" w:color="auto"/>
              <w:right w:val="single" w:sz="4" w:space="0" w:color="auto"/>
            </w:tcBorders>
            <w:shd w:val="clear" w:color="000000" w:fill="FFFFFF"/>
            <w:vAlign w:val="center"/>
            <w:hideMark/>
          </w:tcPr>
          <w:p w14:paraId="05C370B1" w14:textId="77777777" w:rsidR="005A043A" w:rsidRPr="00214F41" w:rsidRDefault="005A043A" w:rsidP="00286762">
            <w:pPr>
              <w:jc w:val="center"/>
              <w:rPr>
                <w:sz w:val="18"/>
                <w:szCs w:val="18"/>
              </w:rPr>
            </w:pPr>
            <w:r w:rsidRPr="00214F41">
              <w:rPr>
                <w:sz w:val="18"/>
                <w:szCs w:val="18"/>
              </w:rPr>
              <w:t>3/116</w:t>
            </w:r>
          </w:p>
        </w:tc>
        <w:tc>
          <w:tcPr>
            <w:tcW w:w="282" w:type="pct"/>
            <w:tcBorders>
              <w:top w:val="nil"/>
              <w:left w:val="nil"/>
              <w:bottom w:val="single" w:sz="4" w:space="0" w:color="auto"/>
              <w:right w:val="single" w:sz="4" w:space="0" w:color="auto"/>
            </w:tcBorders>
            <w:shd w:val="clear" w:color="000000" w:fill="FFFFFF"/>
            <w:vAlign w:val="center"/>
            <w:hideMark/>
          </w:tcPr>
          <w:p w14:paraId="35C6EF2C" w14:textId="77777777" w:rsidR="005A043A" w:rsidRPr="00214F41" w:rsidRDefault="005A043A" w:rsidP="00286762">
            <w:pPr>
              <w:jc w:val="center"/>
              <w:rPr>
                <w:sz w:val="18"/>
                <w:szCs w:val="18"/>
              </w:rPr>
            </w:pPr>
            <w:r w:rsidRPr="00214F41">
              <w:rPr>
                <w:sz w:val="18"/>
                <w:szCs w:val="18"/>
              </w:rPr>
              <w:t>17/133</w:t>
            </w:r>
          </w:p>
        </w:tc>
        <w:tc>
          <w:tcPr>
            <w:tcW w:w="282" w:type="pct"/>
            <w:tcBorders>
              <w:top w:val="nil"/>
              <w:left w:val="nil"/>
              <w:bottom w:val="single" w:sz="4" w:space="0" w:color="auto"/>
              <w:right w:val="single" w:sz="4" w:space="0" w:color="auto"/>
            </w:tcBorders>
            <w:shd w:val="clear" w:color="000000" w:fill="FFFFFF"/>
            <w:vAlign w:val="center"/>
            <w:hideMark/>
          </w:tcPr>
          <w:p w14:paraId="2BD23FA8" w14:textId="77777777" w:rsidR="005A043A" w:rsidRPr="00214F41" w:rsidRDefault="005A043A" w:rsidP="00286762">
            <w:pPr>
              <w:jc w:val="center"/>
              <w:rPr>
                <w:sz w:val="18"/>
                <w:szCs w:val="18"/>
              </w:rPr>
            </w:pPr>
            <w:r w:rsidRPr="00214F41">
              <w:rPr>
                <w:sz w:val="18"/>
                <w:szCs w:val="18"/>
              </w:rPr>
              <w:t>4/116</w:t>
            </w:r>
          </w:p>
        </w:tc>
        <w:tc>
          <w:tcPr>
            <w:tcW w:w="278" w:type="pct"/>
            <w:tcBorders>
              <w:top w:val="nil"/>
              <w:left w:val="nil"/>
              <w:bottom w:val="single" w:sz="4" w:space="0" w:color="auto"/>
              <w:right w:val="single" w:sz="4" w:space="0" w:color="auto"/>
            </w:tcBorders>
            <w:shd w:val="clear" w:color="000000" w:fill="FFFFFF"/>
            <w:vAlign w:val="center"/>
            <w:hideMark/>
          </w:tcPr>
          <w:p w14:paraId="3BE0CD40" w14:textId="77777777" w:rsidR="005A043A" w:rsidRPr="00214F41" w:rsidRDefault="005A043A" w:rsidP="00286762">
            <w:pPr>
              <w:jc w:val="center"/>
              <w:rPr>
                <w:sz w:val="18"/>
                <w:szCs w:val="18"/>
              </w:rPr>
            </w:pPr>
            <w:r w:rsidRPr="00214F41">
              <w:rPr>
                <w:sz w:val="18"/>
                <w:szCs w:val="18"/>
              </w:rPr>
              <w:t>9/133</w:t>
            </w:r>
          </w:p>
        </w:tc>
        <w:tc>
          <w:tcPr>
            <w:tcW w:w="280" w:type="pct"/>
            <w:tcBorders>
              <w:top w:val="nil"/>
              <w:left w:val="nil"/>
              <w:bottom w:val="single" w:sz="4" w:space="0" w:color="auto"/>
              <w:right w:val="single" w:sz="4" w:space="0" w:color="auto"/>
            </w:tcBorders>
            <w:shd w:val="clear" w:color="000000" w:fill="FFFFFF"/>
            <w:vAlign w:val="center"/>
            <w:hideMark/>
          </w:tcPr>
          <w:p w14:paraId="3A2ED316" w14:textId="77777777" w:rsidR="005A043A" w:rsidRPr="00214F41" w:rsidRDefault="005A043A" w:rsidP="00286762">
            <w:pPr>
              <w:jc w:val="center"/>
              <w:rPr>
                <w:sz w:val="18"/>
                <w:szCs w:val="18"/>
              </w:rPr>
            </w:pPr>
            <w:r w:rsidRPr="00214F41">
              <w:rPr>
                <w:sz w:val="18"/>
                <w:szCs w:val="18"/>
              </w:rPr>
              <w:t>2/116</w:t>
            </w:r>
          </w:p>
        </w:tc>
        <w:tc>
          <w:tcPr>
            <w:tcW w:w="278" w:type="pct"/>
            <w:tcBorders>
              <w:top w:val="nil"/>
              <w:left w:val="nil"/>
              <w:bottom w:val="single" w:sz="4" w:space="0" w:color="auto"/>
              <w:right w:val="single" w:sz="4" w:space="0" w:color="auto"/>
            </w:tcBorders>
            <w:shd w:val="clear" w:color="000000" w:fill="FFFFFF"/>
            <w:vAlign w:val="center"/>
            <w:hideMark/>
          </w:tcPr>
          <w:p w14:paraId="3164CDB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335578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06A97CD" w14:textId="77777777" w:rsidR="005A043A" w:rsidRPr="00214F41" w:rsidRDefault="005A043A" w:rsidP="00286762">
            <w:pPr>
              <w:jc w:val="center"/>
              <w:rPr>
                <w:sz w:val="18"/>
                <w:szCs w:val="18"/>
              </w:rPr>
            </w:pPr>
            <w:r w:rsidRPr="00214F41">
              <w:rPr>
                <w:sz w:val="18"/>
                <w:szCs w:val="18"/>
              </w:rPr>
              <w:t>9/133</w:t>
            </w:r>
          </w:p>
        </w:tc>
        <w:tc>
          <w:tcPr>
            <w:tcW w:w="279" w:type="pct"/>
            <w:tcBorders>
              <w:top w:val="nil"/>
              <w:left w:val="nil"/>
              <w:bottom w:val="single" w:sz="4" w:space="0" w:color="auto"/>
              <w:right w:val="single" w:sz="4" w:space="0" w:color="auto"/>
            </w:tcBorders>
            <w:shd w:val="clear" w:color="000000" w:fill="FFFFFF"/>
            <w:vAlign w:val="center"/>
            <w:hideMark/>
          </w:tcPr>
          <w:p w14:paraId="044E6633" w14:textId="77777777" w:rsidR="005A043A" w:rsidRPr="00214F41" w:rsidRDefault="005A043A" w:rsidP="00286762">
            <w:pPr>
              <w:jc w:val="center"/>
              <w:rPr>
                <w:sz w:val="18"/>
                <w:szCs w:val="18"/>
              </w:rPr>
            </w:pPr>
            <w:r w:rsidRPr="00214F41">
              <w:rPr>
                <w:sz w:val="18"/>
                <w:szCs w:val="18"/>
              </w:rPr>
              <w:t>2/116</w:t>
            </w:r>
          </w:p>
        </w:tc>
        <w:tc>
          <w:tcPr>
            <w:tcW w:w="279" w:type="pct"/>
            <w:tcBorders>
              <w:top w:val="nil"/>
              <w:left w:val="nil"/>
              <w:bottom w:val="single" w:sz="4" w:space="0" w:color="auto"/>
              <w:right w:val="single" w:sz="4" w:space="0" w:color="auto"/>
            </w:tcBorders>
            <w:shd w:val="clear" w:color="000000" w:fill="FFFFFF"/>
            <w:vAlign w:val="center"/>
            <w:hideMark/>
          </w:tcPr>
          <w:p w14:paraId="4EB36B0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41D9D5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2C5FBAF2"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032AFF36" w14:textId="77777777" w:rsidR="005A043A" w:rsidRPr="00214F41" w:rsidRDefault="005A043A" w:rsidP="00286762">
            <w:pPr>
              <w:jc w:val="center"/>
              <w:rPr>
                <w:sz w:val="18"/>
                <w:szCs w:val="18"/>
              </w:rPr>
            </w:pPr>
            <w:r w:rsidRPr="00214F41">
              <w:rPr>
                <w:sz w:val="18"/>
                <w:szCs w:val="18"/>
              </w:rPr>
              <w:t>Fujioka et al., 2003a</w:t>
            </w:r>
          </w:p>
        </w:tc>
        <w:tc>
          <w:tcPr>
            <w:tcW w:w="318" w:type="pct"/>
            <w:tcBorders>
              <w:top w:val="nil"/>
              <w:left w:val="nil"/>
              <w:bottom w:val="single" w:sz="4" w:space="0" w:color="auto"/>
              <w:right w:val="single" w:sz="4" w:space="0" w:color="auto"/>
            </w:tcBorders>
            <w:shd w:val="clear" w:color="000000" w:fill="FFFFFF"/>
            <w:vAlign w:val="center"/>
            <w:hideMark/>
          </w:tcPr>
          <w:p w14:paraId="238D5A3D" w14:textId="77777777" w:rsidR="005A043A" w:rsidRPr="00214F41" w:rsidRDefault="005A043A" w:rsidP="00286762">
            <w:pPr>
              <w:jc w:val="center"/>
              <w:rPr>
                <w:sz w:val="18"/>
                <w:szCs w:val="18"/>
              </w:rPr>
            </w:pPr>
            <w:r w:rsidRPr="00214F41">
              <w:rPr>
                <w:sz w:val="18"/>
                <w:szCs w:val="18"/>
              </w:rPr>
              <w:t>6|75</w:t>
            </w:r>
          </w:p>
        </w:tc>
        <w:tc>
          <w:tcPr>
            <w:tcW w:w="295" w:type="pct"/>
            <w:tcBorders>
              <w:top w:val="nil"/>
              <w:left w:val="nil"/>
              <w:bottom w:val="single" w:sz="4" w:space="0" w:color="auto"/>
              <w:right w:val="single" w:sz="4" w:space="0" w:color="auto"/>
            </w:tcBorders>
            <w:shd w:val="clear" w:color="000000" w:fill="FFFFFF"/>
            <w:vAlign w:val="center"/>
            <w:hideMark/>
          </w:tcPr>
          <w:p w14:paraId="00CBA2AB" w14:textId="77777777" w:rsidR="005A043A" w:rsidRPr="00214F41" w:rsidRDefault="005A043A" w:rsidP="00286762">
            <w:pPr>
              <w:jc w:val="center"/>
              <w:rPr>
                <w:sz w:val="18"/>
                <w:szCs w:val="18"/>
              </w:rPr>
            </w:pPr>
            <w:r w:rsidRPr="00214F41">
              <w:rPr>
                <w:sz w:val="18"/>
                <w:szCs w:val="18"/>
              </w:rPr>
              <w:t>1|71</w:t>
            </w:r>
          </w:p>
        </w:tc>
        <w:tc>
          <w:tcPr>
            <w:tcW w:w="718" w:type="pct"/>
            <w:tcBorders>
              <w:top w:val="nil"/>
              <w:left w:val="nil"/>
              <w:bottom w:val="single" w:sz="4" w:space="0" w:color="auto"/>
              <w:right w:val="single" w:sz="4" w:space="0" w:color="auto"/>
            </w:tcBorders>
            <w:shd w:val="clear" w:color="000000" w:fill="FFFFFF"/>
            <w:vAlign w:val="center"/>
            <w:hideMark/>
          </w:tcPr>
          <w:p w14:paraId="1F2C2FB2" w14:textId="77777777" w:rsidR="005A043A" w:rsidRPr="00214F41" w:rsidRDefault="005A043A" w:rsidP="00286762">
            <w:pPr>
              <w:jc w:val="center"/>
              <w:rPr>
                <w:sz w:val="18"/>
                <w:szCs w:val="18"/>
                <w:lang w:val="en-GB"/>
              </w:rPr>
            </w:pPr>
            <w:r w:rsidRPr="00214F41">
              <w:rPr>
                <w:sz w:val="18"/>
                <w:szCs w:val="18"/>
                <w:lang w:val="en-GB"/>
              </w:rPr>
              <w:t>Three due to GI disorders</w:t>
            </w:r>
          </w:p>
        </w:tc>
        <w:tc>
          <w:tcPr>
            <w:tcW w:w="282" w:type="pct"/>
            <w:tcBorders>
              <w:top w:val="nil"/>
              <w:left w:val="nil"/>
              <w:bottom w:val="single" w:sz="4" w:space="0" w:color="auto"/>
              <w:right w:val="single" w:sz="4" w:space="0" w:color="auto"/>
            </w:tcBorders>
            <w:shd w:val="clear" w:color="000000" w:fill="FFFFFF"/>
            <w:vAlign w:val="center"/>
            <w:hideMark/>
          </w:tcPr>
          <w:p w14:paraId="7D2E94A1" w14:textId="77777777" w:rsidR="005A043A" w:rsidRPr="00214F41" w:rsidRDefault="005A043A" w:rsidP="00286762">
            <w:pPr>
              <w:jc w:val="center"/>
              <w:rPr>
                <w:sz w:val="18"/>
                <w:szCs w:val="18"/>
              </w:rPr>
            </w:pPr>
            <w:r w:rsidRPr="00214F41">
              <w:rPr>
                <w:sz w:val="18"/>
                <w:szCs w:val="18"/>
              </w:rPr>
              <w:t>3|75</w:t>
            </w:r>
          </w:p>
        </w:tc>
        <w:tc>
          <w:tcPr>
            <w:tcW w:w="282" w:type="pct"/>
            <w:tcBorders>
              <w:top w:val="nil"/>
              <w:left w:val="nil"/>
              <w:bottom w:val="single" w:sz="4" w:space="0" w:color="auto"/>
              <w:right w:val="single" w:sz="4" w:space="0" w:color="auto"/>
            </w:tcBorders>
            <w:shd w:val="clear" w:color="000000" w:fill="FFFFFF"/>
            <w:vAlign w:val="center"/>
            <w:hideMark/>
          </w:tcPr>
          <w:p w14:paraId="7F08EF70" w14:textId="77777777" w:rsidR="005A043A" w:rsidRPr="00214F41" w:rsidRDefault="005A043A" w:rsidP="00286762">
            <w:pPr>
              <w:jc w:val="center"/>
              <w:rPr>
                <w:sz w:val="18"/>
                <w:szCs w:val="18"/>
              </w:rPr>
            </w:pPr>
            <w:r w:rsidRPr="00214F41">
              <w:rPr>
                <w:sz w:val="18"/>
                <w:szCs w:val="18"/>
              </w:rPr>
              <w:t>1|71</w:t>
            </w:r>
          </w:p>
        </w:tc>
        <w:tc>
          <w:tcPr>
            <w:tcW w:w="282" w:type="pct"/>
            <w:tcBorders>
              <w:top w:val="nil"/>
              <w:left w:val="nil"/>
              <w:bottom w:val="single" w:sz="4" w:space="0" w:color="auto"/>
              <w:right w:val="single" w:sz="4" w:space="0" w:color="auto"/>
            </w:tcBorders>
            <w:shd w:val="clear" w:color="000000" w:fill="FFFFFF"/>
            <w:vAlign w:val="center"/>
            <w:hideMark/>
          </w:tcPr>
          <w:p w14:paraId="14D6A988" w14:textId="77777777" w:rsidR="005A043A" w:rsidRPr="00214F41" w:rsidRDefault="005A043A" w:rsidP="00286762">
            <w:pPr>
              <w:jc w:val="center"/>
              <w:rPr>
                <w:sz w:val="18"/>
                <w:szCs w:val="18"/>
              </w:rPr>
            </w:pPr>
            <w:r w:rsidRPr="00214F41">
              <w:rPr>
                <w:sz w:val="18"/>
                <w:szCs w:val="18"/>
              </w:rPr>
              <w:t>4|75</w:t>
            </w:r>
          </w:p>
        </w:tc>
        <w:tc>
          <w:tcPr>
            <w:tcW w:w="282" w:type="pct"/>
            <w:tcBorders>
              <w:top w:val="nil"/>
              <w:left w:val="nil"/>
              <w:bottom w:val="single" w:sz="4" w:space="0" w:color="auto"/>
              <w:right w:val="single" w:sz="4" w:space="0" w:color="auto"/>
            </w:tcBorders>
            <w:shd w:val="clear" w:color="000000" w:fill="FFFFFF"/>
            <w:vAlign w:val="center"/>
            <w:hideMark/>
          </w:tcPr>
          <w:p w14:paraId="0A32740B" w14:textId="77777777" w:rsidR="005A043A" w:rsidRPr="00214F41" w:rsidRDefault="005A043A" w:rsidP="00286762">
            <w:pPr>
              <w:jc w:val="center"/>
              <w:rPr>
                <w:sz w:val="18"/>
                <w:szCs w:val="18"/>
              </w:rPr>
            </w:pPr>
            <w:r w:rsidRPr="00214F41">
              <w:rPr>
                <w:sz w:val="18"/>
                <w:szCs w:val="18"/>
              </w:rPr>
              <w:t>2|71</w:t>
            </w:r>
          </w:p>
        </w:tc>
        <w:tc>
          <w:tcPr>
            <w:tcW w:w="278" w:type="pct"/>
            <w:tcBorders>
              <w:top w:val="nil"/>
              <w:left w:val="nil"/>
              <w:bottom w:val="single" w:sz="4" w:space="0" w:color="auto"/>
              <w:right w:val="single" w:sz="4" w:space="0" w:color="auto"/>
            </w:tcBorders>
            <w:shd w:val="clear" w:color="000000" w:fill="FFFFFF"/>
            <w:vAlign w:val="center"/>
            <w:hideMark/>
          </w:tcPr>
          <w:p w14:paraId="4C9A6EDC" w14:textId="77777777" w:rsidR="005A043A" w:rsidRPr="00214F41" w:rsidRDefault="005A043A" w:rsidP="00286762">
            <w:pPr>
              <w:jc w:val="center"/>
              <w:rPr>
                <w:sz w:val="18"/>
                <w:szCs w:val="18"/>
              </w:rPr>
            </w:pPr>
            <w:r w:rsidRPr="00214F41">
              <w:rPr>
                <w:sz w:val="18"/>
                <w:szCs w:val="18"/>
              </w:rPr>
              <w:t>2|75</w:t>
            </w:r>
          </w:p>
        </w:tc>
        <w:tc>
          <w:tcPr>
            <w:tcW w:w="280" w:type="pct"/>
            <w:tcBorders>
              <w:top w:val="nil"/>
              <w:left w:val="nil"/>
              <w:bottom w:val="single" w:sz="4" w:space="0" w:color="auto"/>
              <w:right w:val="single" w:sz="4" w:space="0" w:color="auto"/>
            </w:tcBorders>
            <w:shd w:val="clear" w:color="000000" w:fill="FFFFFF"/>
            <w:vAlign w:val="center"/>
            <w:hideMark/>
          </w:tcPr>
          <w:p w14:paraId="5B9BD5D9" w14:textId="77777777" w:rsidR="005A043A" w:rsidRPr="00214F41" w:rsidRDefault="005A043A" w:rsidP="00286762">
            <w:pPr>
              <w:jc w:val="center"/>
              <w:rPr>
                <w:sz w:val="18"/>
                <w:szCs w:val="18"/>
              </w:rPr>
            </w:pPr>
            <w:r w:rsidRPr="00214F41">
              <w:rPr>
                <w:sz w:val="18"/>
                <w:szCs w:val="18"/>
              </w:rPr>
              <w:t>3|71</w:t>
            </w:r>
          </w:p>
        </w:tc>
        <w:tc>
          <w:tcPr>
            <w:tcW w:w="278" w:type="pct"/>
            <w:tcBorders>
              <w:top w:val="nil"/>
              <w:left w:val="nil"/>
              <w:bottom w:val="single" w:sz="4" w:space="0" w:color="auto"/>
              <w:right w:val="single" w:sz="4" w:space="0" w:color="auto"/>
            </w:tcBorders>
            <w:shd w:val="clear" w:color="000000" w:fill="FFFFFF"/>
            <w:vAlign w:val="center"/>
            <w:hideMark/>
          </w:tcPr>
          <w:p w14:paraId="0467BD34" w14:textId="77777777" w:rsidR="005A043A" w:rsidRPr="00214F41" w:rsidRDefault="005A043A" w:rsidP="00286762">
            <w:pPr>
              <w:jc w:val="center"/>
              <w:rPr>
                <w:sz w:val="18"/>
                <w:szCs w:val="18"/>
              </w:rPr>
            </w:pPr>
            <w:r w:rsidRPr="00214F41">
              <w:rPr>
                <w:sz w:val="18"/>
                <w:szCs w:val="18"/>
              </w:rPr>
              <w:t>3|75</w:t>
            </w:r>
          </w:p>
        </w:tc>
        <w:tc>
          <w:tcPr>
            <w:tcW w:w="280" w:type="pct"/>
            <w:tcBorders>
              <w:top w:val="nil"/>
              <w:left w:val="nil"/>
              <w:bottom w:val="single" w:sz="4" w:space="0" w:color="auto"/>
              <w:right w:val="single" w:sz="4" w:space="0" w:color="auto"/>
            </w:tcBorders>
            <w:shd w:val="clear" w:color="000000" w:fill="FFFFFF"/>
            <w:vAlign w:val="center"/>
            <w:hideMark/>
          </w:tcPr>
          <w:p w14:paraId="1AD21F6D" w14:textId="77777777" w:rsidR="005A043A" w:rsidRPr="00214F41" w:rsidRDefault="005A043A" w:rsidP="00286762">
            <w:pPr>
              <w:jc w:val="center"/>
              <w:rPr>
                <w:sz w:val="18"/>
                <w:szCs w:val="18"/>
              </w:rPr>
            </w:pPr>
            <w:r w:rsidRPr="00214F41">
              <w:rPr>
                <w:sz w:val="18"/>
                <w:szCs w:val="18"/>
              </w:rPr>
              <w:t>1|71</w:t>
            </w:r>
          </w:p>
        </w:tc>
        <w:tc>
          <w:tcPr>
            <w:tcW w:w="282" w:type="pct"/>
            <w:tcBorders>
              <w:top w:val="nil"/>
              <w:left w:val="nil"/>
              <w:bottom w:val="single" w:sz="4" w:space="0" w:color="auto"/>
              <w:right w:val="single" w:sz="4" w:space="0" w:color="auto"/>
            </w:tcBorders>
            <w:shd w:val="clear" w:color="000000" w:fill="FFFFFF"/>
            <w:vAlign w:val="center"/>
            <w:hideMark/>
          </w:tcPr>
          <w:p w14:paraId="0A0C6088" w14:textId="77777777" w:rsidR="005A043A" w:rsidRPr="00214F41" w:rsidRDefault="005A043A" w:rsidP="00286762">
            <w:pPr>
              <w:jc w:val="center"/>
              <w:rPr>
                <w:sz w:val="18"/>
                <w:szCs w:val="18"/>
              </w:rPr>
            </w:pPr>
            <w:r w:rsidRPr="00214F41">
              <w:rPr>
                <w:sz w:val="18"/>
                <w:szCs w:val="18"/>
              </w:rPr>
              <w:t>2|75</w:t>
            </w:r>
          </w:p>
        </w:tc>
        <w:tc>
          <w:tcPr>
            <w:tcW w:w="279" w:type="pct"/>
            <w:tcBorders>
              <w:top w:val="nil"/>
              <w:left w:val="nil"/>
              <w:bottom w:val="single" w:sz="4" w:space="0" w:color="auto"/>
              <w:right w:val="single" w:sz="4" w:space="0" w:color="auto"/>
            </w:tcBorders>
            <w:shd w:val="clear" w:color="000000" w:fill="FFFFFF"/>
            <w:vAlign w:val="center"/>
            <w:hideMark/>
          </w:tcPr>
          <w:p w14:paraId="17E00345" w14:textId="77777777" w:rsidR="005A043A" w:rsidRPr="00214F41" w:rsidRDefault="005A043A" w:rsidP="00286762">
            <w:pPr>
              <w:jc w:val="center"/>
              <w:rPr>
                <w:sz w:val="18"/>
                <w:szCs w:val="18"/>
              </w:rPr>
            </w:pPr>
            <w:r w:rsidRPr="00214F41">
              <w:rPr>
                <w:sz w:val="18"/>
                <w:szCs w:val="18"/>
              </w:rPr>
              <w:t>3|71</w:t>
            </w:r>
          </w:p>
        </w:tc>
        <w:tc>
          <w:tcPr>
            <w:tcW w:w="279" w:type="pct"/>
            <w:tcBorders>
              <w:top w:val="nil"/>
              <w:left w:val="nil"/>
              <w:bottom w:val="single" w:sz="4" w:space="0" w:color="auto"/>
              <w:right w:val="single" w:sz="4" w:space="0" w:color="auto"/>
            </w:tcBorders>
            <w:shd w:val="clear" w:color="000000" w:fill="FFFFFF"/>
            <w:vAlign w:val="center"/>
            <w:hideMark/>
          </w:tcPr>
          <w:p w14:paraId="07EA3AF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FE4175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457ED675" w14:textId="77777777" w:rsidTr="00286762">
        <w:trPr>
          <w:trHeight w:val="56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F93B00D" w14:textId="77777777" w:rsidR="005A043A" w:rsidRPr="00214F41" w:rsidRDefault="005A043A" w:rsidP="00286762">
            <w:pPr>
              <w:jc w:val="center"/>
              <w:rPr>
                <w:sz w:val="18"/>
                <w:szCs w:val="18"/>
              </w:rPr>
            </w:pPr>
            <w:r w:rsidRPr="00214F41">
              <w:rPr>
                <w:sz w:val="18"/>
                <w:szCs w:val="18"/>
              </w:rPr>
              <w:t>Fujioka et al., 2003b</w:t>
            </w:r>
          </w:p>
        </w:tc>
        <w:tc>
          <w:tcPr>
            <w:tcW w:w="318" w:type="pct"/>
            <w:tcBorders>
              <w:top w:val="nil"/>
              <w:left w:val="nil"/>
              <w:bottom w:val="single" w:sz="4" w:space="0" w:color="auto"/>
              <w:right w:val="single" w:sz="4" w:space="0" w:color="auto"/>
            </w:tcBorders>
            <w:shd w:val="clear" w:color="000000" w:fill="FFFFFF"/>
            <w:vAlign w:val="center"/>
            <w:hideMark/>
          </w:tcPr>
          <w:p w14:paraId="0FD5D045" w14:textId="77777777" w:rsidR="005A043A" w:rsidRPr="00214F41" w:rsidRDefault="005A043A" w:rsidP="00286762">
            <w:pPr>
              <w:jc w:val="center"/>
              <w:rPr>
                <w:sz w:val="18"/>
                <w:szCs w:val="18"/>
              </w:rPr>
            </w:pPr>
            <w:r w:rsidRPr="00214F41">
              <w:rPr>
                <w:sz w:val="18"/>
                <w:szCs w:val="18"/>
              </w:rPr>
              <w:t>1|71</w:t>
            </w:r>
          </w:p>
        </w:tc>
        <w:tc>
          <w:tcPr>
            <w:tcW w:w="295" w:type="pct"/>
            <w:tcBorders>
              <w:top w:val="nil"/>
              <w:left w:val="nil"/>
              <w:bottom w:val="single" w:sz="4" w:space="0" w:color="auto"/>
              <w:right w:val="single" w:sz="4" w:space="0" w:color="auto"/>
            </w:tcBorders>
            <w:shd w:val="clear" w:color="000000" w:fill="FFFFFF"/>
            <w:vAlign w:val="center"/>
            <w:hideMark/>
          </w:tcPr>
          <w:p w14:paraId="18A3B020" w14:textId="77777777" w:rsidR="005A043A" w:rsidRPr="00214F41" w:rsidRDefault="005A043A" w:rsidP="00286762">
            <w:pPr>
              <w:jc w:val="center"/>
              <w:rPr>
                <w:sz w:val="18"/>
                <w:szCs w:val="18"/>
              </w:rPr>
            </w:pPr>
            <w:r w:rsidRPr="00214F41">
              <w:rPr>
                <w:sz w:val="18"/>
                <w:szCs w:val="18"/>
              </w:rPr>
              <w:t>1|71</w:t>
            </w:r>
          </w:p>
        </w:tc>
        <w:tc>
          <w:tcPr>
            <w:tcW w:w="718" w:type="pct"/>
            <w:tcBorders>
              <w:top w:val="nil"/>
              <w:left w:val="nil"/>
              <w:bottom w:val="single" w:sz="4" w:space="0" w:color="auto"/>
              <w:right w:val="single" w:sz="4" w:space="0" w:color="auto"/>
            </w:tcBorders>
            <w:shd w:val="clear" w:color="000000" w:fill="FFFFFF"/>
            <w:vAlign w:val="center"/>
            <w:hideMark/>
          </w:tcPr>
          <w:p w14:paraId="5AA872EC" w14:textId="77777777" w:rsidR="005A043A" w:rsidRPr="00214F41" w:rsidRDefault="005A043A" w:rsidP="00286762">
            <w:pPr>
              <w:jc w:val="center"/>
              <w:rPr>
                <w:sz w:val="18"/>
                <w:szCs w:val="18"/>
              </w:rPr>
            </w:pPr>
            <w:r w:rsidRPr="00214F41">
              <w:rPr>
                <w:sz w:val="18"/>
                <w:szCs w:val="18"/>
              </w:rPr>
              <w:t>diarrhea</w:t>
            </w:r>
          </w:p>
        </w:tc>
        <w:tc>
          <w:tcPr>
            <w:tcW w:w="282" w:type="pct"/>
            <w:tcBorders>
              <w:top w:val="nil"/>
              <w:left w:val="nil"/>
              <w:bottom w:val="single" w:sz="4" w:space="0" w:color="auto"/>
              <w:right w:val="single" w:sz="4" w:space="0" w:color="auto"/>
            </w:tcBorders>
            <w:shd w:val="clear" w:color="000000" w:fill="FFFFFF"/>
            <w:vAlign w:val="center"/>
            <w:hideMark/>
          </w:tcPr>
          <w:p w14:paraId="0B4DA386" w14:textId="77777777" w:rsidR="005A043A" w:rsidRPr="00214F41" w:rsidRDefault="005A043A" w:rsidP="00286762">
            <w:pPr>
              <w:jc w:val="center"/>
              <w:rPr>
                <w:sz w:val="18"/>
                <w:szCs w:val="18"/>
              </w:rPr>
            </w:pPr>
            <w:r w:rsidRPr="00214F41">
              <w:rPr>
                <w:sz w:val="18"/>
                <w:szCs w:val="18"/>
              </w:rPr>
              <w:t>1|71</w:t>
            </w:r>
          </w:p>
        </w:tc>
        <w:tc>
          <w:tcPr>
            <w:tcW w:w="282" w:type="pct"/>
            <w:tcBorders>
              <w:top w:val="nil"/>
              <w:left w:val="nil"/>
              <w:bottom w:val="single" w:sz="4" w:space="0" w:color="auto"/>
              <w:right w:val="single" w:sz="4" w:space="0" w:color="auto"/>
            </w:tcBorders>
            <w:shd w:val="clear" w:color="000000" w:fill="FFFFFF"/>
            <w:vAlign w:val="center"/>
            <w:hideMark/>
          </w:tcPr>
          <w:p w14:paraId="3C8712B6" w14:textId="77777777" w:rsidR="005A043A" w:rsidRPr="00214F41" w:rsidRDefault="005A043A" w:rsidP="00286762">
            <w:pPr>
              <w:jc w:val="center"/>
              <w:rPr>
                <w:sz w:val="18"/>
                <w:szCs w:val="18"/>
              </w:rPr>
            </w:pPr>
            <w:r w:rsidRPr="00214F41">
              <w:rPr>
                <w:sz w:val="18"/>
                <w:szCs w:val="18"/>
              </w:rPr>
              <w:t>1|71</w:t>
            </w:r>
          </w:p>
        </w:tc>
        <w:tc>
          <w:tcPr>
            <w:tcW w:w="282" w:type="pct"/>
            <w:tcBorders>
              <w:top w:val="nil"/>
              <w:left w:val="nil"/>
              <w:bottom w:val="single" w:sz="4" w:space="0" w:color="auto"/>
              <w:right w:val="single" w:sz="4" w:space="0" w:color="auto"/>
            </w:tcBorders>
            <w:shd w:val="clear" w:color="000000" w:fill="FFFFFF"/>
            <w:vAlign w:val="center"/>
            <w:hideMark/>
          </w:tcPr>
          <w:p w14:paraId="24E5B173" w14:textId="77777777" w:rsidR="005A043A" w:rsidRPr="00214F41" w:rsidRDefault="005A043A" w:rsidP="00286762">
            <w:pPr>
              <w:jc w:val="center"/>
              <w:rPr>
                <w:sz w:val="18"/>
                <w:szCs w:val="18"/>
              </w:rPr>
            </w:pPr>
            <w:r w:rsidRPr="00214F41">
              <w:rPr>
                <w:sz w:val="18"/>
                <w:szCs w:val="18"/>
              </w:rPr>
              <w:t>11|71</w:t>
            </w:r>
          </w:p>
        </w:tc>
        <w:tc>
          <w:tcPr>
            <w:tcW w:w="282" w:type="pct"/>
            <w:tcBorders>
              <w:top w:val="nil"/>
              <w:left w:val="nil"/>
              <w:bottom w:val="single" w:sz="4" w:space="0" w:color="auto"/>
              <w:right w:val="single" w:sz="4" w:space="0" w:color="auto"/>
            </w:tcBorders>
            <w:shd w:val="clear" w:color="000000" w:fill="FFFFFF"/>
            <w:vAlign w:val="center"/>
            <w:hideMark/>
          </w:tcPr>
          <w:p w14:paraId="1AD560BF" w14:textId="77777777" w:rsidR="005A043A" w:rsidRPr="00214F41" w:rsidRDefault="005A043A" w:rsidP="00286762">
            <w:pPr>
              <w:jc w:val="center"/>
              <w:rPr>
                <w:sz w:val="18"/>
                <w:szCs w:val="18"/>
              </w:rPr>
            </w:pPr>
            <w:r w:rsidRPr="00214F41">
              <w:rPr>
                <w:sz w:val="18"/>
                <w:szCs w:val="18"/>
              </w:rPr>
              <w:t>2|71</w:t>
            </w:r>
          </w:p>
        </w:tc>
        <w:tc>
          <w:tcPr>
            <w:tcW w:w="278" w:type="pct"/>
            <w:tcBorders>
              <w:top w:val="nil"/>
              <w:left w:val="nil"/>
              <w:bottom w:val="single" w:sz="4" w:space="0" w:color="auto"/>
              <w:right w:val="single" w:sz="4" w:space="0" w:color="auto"/>
            </w:tcBorders>
            <w:shd w:val="clear" w:color="000000" w:fill="FFFFFF"/>
            <w:vAlign w:val="center"/>
            <w:hideMark/>
          </w:tcPr>
          <w:p w14:paraId="06ED3C4F" w14:textId="77777777" w:rsidR="005A043A" w:rsidRPr="00214F41" w:rsidRDefault="005A043A" w:rsidP="00286762">
            <w:pPr>
              <w:jc w:val="center"/>
              <w:rPr>
                <w:sz w:val="18"/>
                <w:szCs w:val="18"/>
              </w:rPr>
            </w:pPr>
            <w:r w:rsidRPr="00214F41">
              <w:rPr>
                <w:sz w:val="18"/>
                <w:szCs w:val="18"/>
              </w:rPr>
              <w:t>2|71</w:t>
            </w:r>
          </w:p>
        </w:tc>
        <w:tc>
          <w:tcPr>
            <w:tcW w:w="280" w:type="pct"/>
            <w:tcBorders>
              <w:top w:val="nil"/>
              <w:left w:val="nil"/>
              <w:bottom w:val="single" w:sz="4" w:space="0" w:color="auto"/>
              <w:right w:val="single" w:sz="4" w:space="0" w:color="auto"/>
            </w:tcBorders>
            <w:shd w:val="clear" w:color="000000" w:fill="FFFFFF"/>
            <w:vAlign w:val="center"/>
            <w:hideMark/>
          </w:tcPr>
          <w:p w14:paraId="562F49A9" w14:textId="77777777" w:rsidR="005A043A" w:rsidRPr="00214F41" w:rsidRDefault="005A043A" w:rsidP="00286762">
            <w:pPr>
              <w:jc w:val="center"/>
              <w:rPr>
                <w:sz w:val="18"/>
                <w:szCs w:val="18"/>
              </w:rPr>
            </w:pPr>
            <w:r w:rsidRPr="00214F41">
              <w:rPr>
                <w:sz w:val="18"/>
                <w:szCs w:val="18"/>
              </w:rPr>
              <w:t>3|71</w:t>
            </w:r>
          </w:p>
        </w:tc>
        <w:tc>
          <w:tcPr>
            <w:tcW w:w="278" w:type="pct"/>
            <w:tcBorders>
              <w:top w:val="nil"/>
              <w:left w:val="nil"/>
              <w:bottom w:val="single" w:sz="4" w:space="0" w:color="auto"/>
              <w:right w:val="single" w:sz="4" w:space="0" w:color="auto"/>
            </w:tcBorders>
            <w:shd w:val="clear" w:color="000000" w:fill="FFFFFF"/>
            <w:vAlign w:val="center"/>
            <w:hideMark/>
          </w:tcPr>
          <w:p w14:paraId="6F29C39D" w14:textId="77777777" w:rsidR="005A043A" w:rsidRPr="00214F41" w:rsidRDefault="005A043A" w:rsidP="00286762">
            <w:pPr>
              <w:jc w:val="center"/>
              <w:rPr>
                <w:sz w:val="18"/>
                <w:szCs w:val="18"/>
              </w:rPr>
            </w:pPr>
            <w:r w:rsidRPr="00214F41">
              <w:rPr>
                <w:sz w:val="18"/>
                <w:szCs w:val="18"/>
              </w:rPr>
              <w:t>2|71</w:t>
            </w:r>
          </w:p>
        </w:tc>
        <w:tc>
          <w:tcPr>
            <w:tcW w:w="280" w:type="pct"/>
            <w:tcBorders>
              <w:top w:val="nil"/>
              <w:left w:val="nil"/>
              <w:bottom w:val="single" w:sz="4" w:space="0" w:color="auto"/>
              <w:right w:val="single" w:sz="4" w:space="0" w:color="auto"/>
            </w:tcBorders>
            <w:shd w:val="clear" w:color="000000" w:fill="FFFFFF"/>
            <w:vAlign w:val="center"/>
            <w:hideMark/>
          </w:tcPr>
          <w:p w14:paraId="30425B77" w14:textId="77777777" w:rsidR="005A043A" w:rsidRPr="00214F41" w:rsidRDefault="005A043A" w:rsidP="00286762">
            <w:pPr>
              <w:jc w:val="center"/>
              <w:rPr>
                <w:sz w:val="18"/>
                <w:szCs w:val="18"/>
              </w:rPr>
            </w:pPr>
            <w:r w:rsidRPr="00214F41">
              <w:rPr>
                <w:sz w:val="18"/>
                <w:szCs w:val="18"/>
              </w:rPr>
              <w:t>1|71</w:t>
            </w:r>
          </w:p>
        </w:tc>
        <w:tc>
          <w:tcPr>
            <w:tcW w:w="282" w:type="pct"/>
            <w:tcBorders>
              <w:top w:val="nil"/>
              <w:left w:val="nil"/>
              <w:bottom w:val="single" w:sz="4" w:space="0" w:color="auto"/>
              <w:right w:val="single" w:sz="4" w:space="0" w:color="auto"/>
            </w:tcBorders>
            <w:shd w:val="clear" w:color="000000" w:fill="FFFFFF"/>
            <w:vAlign w:val="center"/>
            <w:hideMark/>
          </w:tcPr>
          <w:p w14:paraId="7CBBC0C3" w14:textId="77777777" w:rsidR="005A043A" w:rsidRPr="00214F41" w:rsidRDefault="005A043A" w:rsidP="00286762">
            <w:pPr>
              <w:jc w:val="center"/>
              <w:rPr>
                <w:sz w:val="18"/>
                <w:szCs w:val="18"/>
              </w:rPr>
            </w:pPr>
            <w:r w:rsidRPr="00214F41">
              <w:rPr>
                <w:sz w:val="18"/>
                <w:szCs w:val="18"/>
              </w:rPr>
              <w:t>2|71</w:t>
            </w:r>
          </w:p>
        </w:tc>
        <w:tc>
          <w:tcPr>
            <w:tcW w:w="279" w:type="pct"/>
            <w:tcBorders>
              <w:top w:val="nil"/>
              <w:left w:val="nil"/>
              <w:bottom w:val="single" w:sz="4" w:space="0" w:color="auto"/>
              <w:right w:val="single" w:sz="4" w:space="0" w:color="auto"/>
            </w:tcBorders>
            <w:shd w:val="clear" w:color="000000" w:fill="FFFFFF"/>
            <w:vAlign w:val="center"/>
            <w:hideMark/>
          </w:tcPr>
          <w:p w14:paraId="49DF058E" w14:textId="77777777" w:rsidR="005A043A" w:rsidRPr="00214F41" w:rsidRDefault="005A043A" w:rsidP="00286762">
            <w:pPr>
              <w:jc w:val="center"/>
              <w:rPr>
                <w:sz w:val="18"/>
                <w:szCs w:val="18"/>
              </w:rPr>
            </w:pPr>
            <w:r w:rsidRPr="00214F41">
              <w:rPr>
                <w:sz w:val="18"/>
                <w:szCs w:val="18"/>
              </w:rPr>
              <w:t>3|71</w:t>
            </w:r>
          </w:p>
        </w:tc>
        <w:tc>
          <w:tcPr>
            <w:tcW w:w="279" w:type="pct"/>
            <w:tcBorders>
              <w:top w:val="nil"/>
              <w:left w:val="nil"/>
              <w:bottom w:val="single" w:sz="4" w:space="0" w:color="auto"/>
              <w:right w:val="single" w:sz="4" w:space="0" w:color="auto"/>
            </w:tcBorders>
            <w:shd w:val="clear" w:color="000000" w:fill="FFFFFF"/>
            <w:vAlign w:val="center"/>
            <w:hideMark/>
          </w:tcPr>
          <w:p w14:paraId="0BE4F73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69ED08F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4E2B00F7" w14:textId="77777777" w:rsidTr="00286762">
        <w:trPr>
          <w:trHeight w:val="417"/>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2DF62CB5" w14:textId="77777777" w:rsidR="005A043A" w:rsidRPr="00214F41" w:rsidRDefault="005A043A" w:rsidP="00286762">
            <w:pPr>
              <w:jc w:val="center"/>
              <w:rPr>
                <w:sz w:val="18"/>
                <w:szCs w:val="18"/>
              </w:rPr>
            </w:pPr>
            <w:r w:rsidRPr="00214F41">
              <w:rPr>
                <w:sz w:val="18"/>
                <w:szCs w:val="18"/>
              </w:rPr>
              <w:lastRenderedPageBreak/>
              <w:t>Gao et al., 2008</w:t>
            </w:r>
          </w:p>
        </w:tc>
        <w:tc>
          <w:tcPr>
            <w:tcW w:w="318" w:type="pct"/>
            <w:tcBorders>
              <w:top w:val="nil"/>
              <w:left w:val="nil"/>
              <w:bottom w:val="single" w:sz="4" w:space="0" w:color="auto"/>
              <w:right w:val="single" w:sz="4" w:space="0" w:color="auto"/>
            </w:tcBorders>
            <w:shd w:val="clear" w:color="000000" w:fill="FFFFFF"/>
            <w:vAlign w:val="center"/>
            <w:hideMark/>
          </w:tcPr>
          <w:p w14:paraId="581DEC4D" w14:textId="77777777" w:rsidR="005A043A" w:rsidRPr="00214F41" w:rsidRDefault="005A043A" w:rsidP="00286762">
            <w:pPr>
              <w:jc w:val="center"/>
              <w:rPr>
                <w:sz w:val="18"/>
                <w:szCs w:val="18"/>
              </w:rPr>
            </w:pPr>
            <w:r w:rsidRPr="00214F41">
              <w:rPr>
                <w:sz w:val="18"/>
                <w:szCs w:val="18"/>
              </w:rPr>
              <w:t>0/75</w:t>
            </w:r>
          </w:p>
        </w:tc>
        <w:tc>
          <w:tcPr>
            <w:tcW w:w="295" w:type="pct"/>
            <w:tcBorders>
              <w:top w:val="nil"/>
              <w:left w:val="nil"/>
              <w:bottom w:val="single" w:sz="4" w:space="0" w:color="auto"/>
              <w:right w:val="single" w:sz="4" w:space="0" w:color="auto"/>
            </w:tcBorders>
            <w:shd w:val="clear" w:color="000000" w:fill="FFFFFF"/>
            <w:vAlign w:val="center"/>
            <w:hideMark/>
          </w:tcPr>
          <w:p w14:paraId="0EFF29EE" w14:textId="77777777" w:rsidR="005A043A" w:rsidRPr="00214F41" w:rsidRDefault="005A043A" w:rsidP="00286762">
            <w:pPr>
              <w:jc w:val="center"/>
              <w:rPr>
                <w:sz w:val="18"/>
                <w:szCs w:val="18"/>
              </w:rPr>
            </w:pPr>
            <w:r w:rsidRPr="00214F41">
              <w:rPr>
                <w:sz w:val="18"/>
                <w:szCs w:val="18"/>
              </w:rPr>
              <w:t>0/75</w:t>
            </w:r>
          </w:p>
        </w:tc>
        <w:tc>
          <w:tcPr>
            <w:tcW w:w="718" w:type="pct"/>
            <w:tcBorders>
              <w:top w:val="nil"/>
              <w:left w:val="nil"/>
              <w:bottom w:val="single" w:sz="4" w:space="0" w:color="auto"/>
              <w:right w:val="single" w:sz="4" w:space="0" w:color="auto"/>
            </w:tcBorders>
            <w:shd w:val="clear" w:color="000000" w:fill="FFFFFF"/>
            <w:vAlign w:val="center"/>
            <w:hideMark/>
          </w:tcPr>
          <w:p w14:paraId="6DF84EC6"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9F2EE6C" w14:textId="77777777" w:rsidR="005A043A" w:rsidRPr="00214F41" w:rsidRDefault="005A043A" w:rsidP="00286762">
            <w:pPr>
              <w:jc w:val="center"/>
              <w:rPr>
                <w:sz w:val="18"/>
                <w:szCs w:val="18"/>
              </w:rPr>
            </w:pPr>
            <w:r w:rsidRPr="00214F41">
              <w:rPr>
                <w:sz w:val="18"/>
                <w:szCs w:val="18"/>
              </w:rPr>
              <w:t>2|69</w:t>
            </w:r>
          </w:p>
        </w:tc>
        <w:tc>
          <w:tcPr>
            <w:tcW w:w="282" w:type="pct"/>
            <w:tcBorders>
              <w:top w:val="nil"/>
              <w:left w:val="nil"/>
              <w:bottom w:val="single" w:sz="4" w:space="0" w:color="auto"/>
              <w:right w:val="single" w:sz="4" w:space="0" w:color="auto"/>
            </w:tcBorders>
            <w:shd w:val="clear" w:color="000000" w:fill="FFFFFF"/>
            <w:vAlign w:val="center"/>
            <w:hideMark/>
          </w:tcPr>
          <w:p w14:paraId="27B1A60A" w14:textId="77777777" w:rsidR="005A043A" w:rsidRPr="00214F41" w:rsidRDefault="005A043A" w:rsidP="00286762">
            <w:pPr>
              <w:jc w:val="center"/>
              <w:rPr>
                <w:sz w:val="18"/>
                <w:szCs w:val="18"/>
              </w:rPr>
            </w:pPr>
            <w:r w:rsidRPr="00214F41">
              <w:rPr>
                <w:sz w:val="18"/>
                <w:szCs w:val="18"/>
              </w:rPr>
              <w:t>2|71</w:t>
            </w:r>
          </w:p>
        </w:tc>
        <w:tc>
          <w:tcPr>
            <w:tcW w:w="282" w:type="pct"/>
            <w:tcBorders>
              <w:top w:val="nil"/>
              <w:left w:val="nil"/>
              <w:bottom w:val="single" w:sz="4" w:space="0" w:color="auto"/>
              <w:right w:val="single" w:sz="4" w:space="0" w:color="auto"/>
            </w:tcBorders>
            <w:shd w:val="clear" w:color="000000" w:fill="FFFFFF"/>
            <w:vAlign w:val="center"/>
            <w:hideMark/>
          </w:tcPr>
          <w:p w14:paraId="653B8A53" w14:textId="77777777" w:rsidR="005A043A" w:rsidRPr="00214F41" w:rsidRDefault="005A043A" w:rsidP="00286762">
            <w:pPr>
              <w:jc w:val="center"/>
              <w:rPr>
                <w:sz w:val="18"/>
                <w:szCs w:val="18"/>
              </w:rPr>
            </w:pPr>
            <w:r w:rsidRPr="00214F41">
              <w:rPr>
                <w:sz w:val="18"/>
                <w:szCs w:val="18"/>
              </w:rPr>
              <w:t>0/69</w:t>
            </w:r>
          </w:p>
        </w:tc>
        <w:tc>
          <w:tcPr>
            <w:tcW w:w="282" w:type="pct"/>
            <w:tcBorders>
              <w:top w:val="nil"/>
              <w:left w:val="nil"/>
              <w:bottom w:val="single" w:sz="4" w:space="0" w:color="auto"/>
              <w:right w:val="single" w:sz="4" w:space="0" w:color="auto"/>
            </w:tcBorders>
            <w:shd w:val="clear" w:color="000000" w:fill="FFFFFF"/>
            <w:vAlign w:val="center"/>
            <w:hideMark/>
          </w:tcPr>
          <w:p w14:paraId="383670F0" w14:textId="77777777" w:rsidR="005A043A" w:rsidRPr="00214F41" w:rsidRDefault="005A043A" w:rsidP="00286762">
            <w:pPr>
              <w:jc w:val="center"/>
              <w:rPr>
                <w:sz w:val="18"/>
                <w:szCs w:val="18"/>
              </w:rPr>
            </w:pPr>
            <w:r w:rsidRPr="00214F41">
              <w:rPr>
                <w:sz w:val="18"/>
                <w:szCs w:val="18"/>
              </w:rPr>
              <w:t>4|71</w:t>
            </w:r>
          </w:p>
        </w:tc>
        <w:tc>
          <w:tcPr>
            <w:tcW w:w="278" w:type="pct"/>
            <w:tcBorders>
              <w:top w:val="nil"/>
              <w:left w:val="nil"/>
              <w:bottom w:val="single" w:sz="4" w:space="0" w:color="auto"/>
              <w:right w:val="single" w:sz="4" w:space="0" w:color="auto"/>
            </w:tcBorders>
            <w:shd w:val="clear" w:color="000000" w:fill="FFFFFF"/>
            <w:vAlign w:val="center"/>
            <w:hideMark/>
          </w:tcPr>
          <w:p w14:paraId="1B97786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CF32A1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37A274F2" w14:textId="77777777" w:rsidR="005A043A" w:rsidRPr="00214F41" w:rsidRDefault="005A043A" w:rsidP="00286762">
            <w:pPr>
              <w:jc w:val="center"/>
              <w:rPr>
                <w:sz w:val="18"/>
                <w:szCs w:val="18"/>
              </w:rPr>
            </w:pPr>
            <w:r w:rsidRPr="00214F41">
              <w:rPr>
                <w:sz w:val="18"/>
                <w:szCs w:val="18"/>
              </w:rPr>
              <w:t>1|69</w:t>
            </w:r>
          </w:p>
        </w:tc>
        <w:tc>
          <w:tcPr>
            <w:tcW w:w="280" w:type="pct"/>
            <w:tcBorders>
              <w:top w:val="nil"/>
              <w:left w:val="nil"/>
              <w:bottom w:val="single" w:sz="4" w:space="0" w:color="auto"/>
              <w:right w:val="single" w:sz="4" w:space="0" w:color="auto"/>
            </w:tcBorders>
            <w:shd w:val="clear" w:color="000000" w:fill="FFFFFF"/>
            <w:vAlign w:val="center"/>
            <w:hideMark/>
          </w:tcPr>
          <w:p w14:paraId="6E6D316B" w14:textId="77777777" w:rsidR="005A043A" w:rsidRPr="00214F41" w:rsidRDefault="005A043A" w:rsidP="00286762">
            <w:pPr>
              <w:jc w:val="center"/>
              <w:rPr>
                <w:sz w:val="18"/>
                <w:szCs w:val="18"/>
              </w:rPr>
            </w:pPr>
            <w:r w:rsidRPr="00214F41">
              <w:rPr>
                <w:sz w:val="18"/>
                <w:szCs w:val="18"/>
              </w:rPr>
              <w:t>1|71</w:t>
            </w:r>
          </w:p>
        </w:tc>
        <w:tc>
          <w:tcPr>
            <w:tcW w:w="282" w:type="pct"/>
            <w:tcBorders>
              <w:top w:val="nil"/>
              <w:left w:val="nil"/>
              <w:bottom w:val="single" w:sz="4" w:space="0" w:color="auto"/>
              <w:right w:val="single" w:sz="4" w:space="0" w:color="auto"/>
            </w:tcBorders>
            <w:shd w:val="clear" w:color="000000" w:fill="FFFFFF"/>
            <w:vAlign w:val="center"/>
            <w:hideMark/>
          </w:tcPr>
          <w:p w14:paraId="6E0DB6FA" w14:textId="77777777" w:rsidR="005A043A" w:rsidRPr="00214F41" w:rsidRDefault="005A043A" w:rsidP="00286762">
            <w:pPr>
              <w:jc w:val="center"/>
              <w:rPr>
                <w:sz w:val="18"/>
                <w:szCs w:val="18"/>
              </w:rPr>
            </w:pPr>
            <w:r w:rsidRPr="00214F41">
              <w:rPr>
                <w:sz w:val="18"/>
                <w:szCs w:val="18"/>
              </w:rPr>
              <w:t>0|69</w:t>
            </w:r>
          </w:p>
        </w:tc>
        <w:tc>
          <w:tcPr>
            <w:tcW w:w="279" w:type="pct"/>
            <w:tcBorders>
              <w:top w:val="nil"/>
              <w:left w:val="nil"/>
              <w:bottom w:val="single" w:sz="4" w:space="0" w:color="auto"/>
              <w:right w:val="single" w:sz="4" w:space="0" w:color="auto"/>
            </w:tcBorders>
            <w:shd w:val="clear" w:color="000000" w:fill="FFFFFF"/>
            <w:vAlign w:val="center"/>
            <w:hideMark/>
          </w:tcPr>
          <w:p w14:paraId="1F317E3F" w14:textId="77777777" w:rsidR="005A043A" w:rsidRPr="00214F41" w:rsidRDefault="005A043A" w:rsidP="00286762">
            <w:pPr>
              <w:jc w:val="center"/>
              <w:rPr>
                <w:sz w:val="18"/>
                <w:szCs w:val="18"/>
              </w:rPr>
            </w:pPr>
            <w:r w:rsidRPr="00214F41">
              <w:rPr>
                <w:sz w:val="18"/>
                <w:szCs w:val="18"/>
              </w:rPr>
              <w:t>1|71</w:t>
            </w:r>
          </w:p>
        </w:tc>
        <w:tc>
          <w:tcPr>
            <w:tcW w:w="279" w:type="pct"/>
            <w:tcBorders>
              <w:top w:val="nil"/>
              <w:left w:val="nil"/>
              <w:bottom w:val="single" w:sz="4" w:space="0" w:color="auto"/>
              <w:right w:val="single" w:sz="4" w:space="0" w:color="auto"/>
            </w:tcBorders>
            <w:shd w:val="clear" w:color="000000" w:fill="FFFFFF"/>
            <w:vAlign w:val="center"/>
            <w:hideMark/>
          </w:tcPr>
          <w:p w14:paraId="48C5003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48A71DB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4A240A85" w14:textId="77777777" w:rsidTr="00286762">
        <w:trPr>
          <w:trHeight w:val="55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2D0F29F" w14:textId="77777777" w:rsidR="005A043A" w:rsidRPr="00214F41" w:rsidRDefault="005A043A" w:rsidP="00286762">
            <w:pPr>
              <w:jc w:val="center"/>
              <w:rPr>
                <w:sz w:val="18"/>
                <w:szCs w:val="18"/>
              </w:rPr>
            </w:pPr>
            <w:r w:rsidRPr="00214F41">
              <w:rPr>
                <w:sz w:val="18"/>
                <w:szCs w:val="18"/>
              </w:rPr>
              <w:t>Gao et al., 2020</w:t>
            </w:r>
          </w:p>
        </w:tc>
        <w:tc>
          <w:tcPr>
            <w:tcW w:w="318" w:type="pct"/>
            <w:tcBorders>
              <w:top w:val="nil"/>
              <w:left w:val="nil"/>
              <w:bottom w:val="single" w:sz="4" w:space="0" w:color="auto"/>
              <w:right w:val="single" w:sz="4" w:space="0" w:color="auto"/>
            </w:tcBorders>
            <w:shd w:val="clear" w:color="000000" w:fill="FFFFFF"/>
            <w:vAlign w:val="center"/>
            <w:hideMark/>
          </w:tcPr>
          <w:p w14:paraId="04F8B76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14:paraId="549F89C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718" w:type="pct"/>
            <w:tcBorders>
              <w:top w:val="nil"/>
              <w:left w:val="nil"/>
              <w:bottom w:val="single" w:sz="4" w:space="0" w:color="auto"/>
              <w:right w:val="single" w:sz="4" w:space="0" w:color="auto"/>
            </w:tcBorders>
            <w:shd w:val="clear" w:color="000000" w:fill="FFFFFF"/>
            <w:vAlign w:val="center"/>
            <w:hideMark/>
          </w:tcPr>
          <w:p w14:paraId="0775A86F"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7CB5795" w14:textId="77777777" w:rsidR="005A043A" w:rsidRPr="00214F41" w:rsidRDefault="005A043A" w:rsidP="00286762">
            <w:pPr>
              <w:jc w:val="center"/>
              <w:rPr>
                <w:sz w:val="18"/>
                <w:szCs w:val="18"/>
              </w:rPr>
            </w:pPr>
            <w:r w:rsidRPr="00214F41">
              <w:rPr>
                <w:sz w:val="18"/>
                <w:szCs w:val="18"/>
              </w:rPr>
              <w:t>9/100</w:t>
            </w:r>
          </w:p>
        </w:tc>
        <w:tc>
          <w:tcPr>
            <w:tcW w:w="282" w:type="pct"/>
            <w:tcBorders>
              <w:top w:val="nil"/>
              <w:left w:val="nil"/>
              <w:bottom w:val="single" w:sz="4" w:space="0" w:color="auto"/>
              <w:right w:val="single" w:sz="4" w:space="0" w:color="auto"/>
            </w:tcBorders>
            <w:shd w:val="clear" w:color="000000" w:fill="FFFFFF"/>
            <w:vAlign w:val="center"/>
            <w:hideMark/>
          </w:tcPr>
          <w:p w14:paraId="5EEBBDE1" w14:textId="77777777" w:rsidR="005A043A" w:rsidRPr="00214F41" w:rsidRDefault="005A043A" w:rsidP="00286762">
            <w:pPr>
              <w:jc w:val="center"/>
              <w:rPr>
                <w:sz w:val="18"/>
                <w:szCs w:val="18"/>
              </w:rPr>
            </w:pPr>
            <w:r w:rsidRPr="00214F41">
              <w:rPr>
                <w:sz w:val="18"/>
                <w:szCs w:val="18"/>
              </w:rPr>
              <w:t>6/100</w:t>
            </w:r>
          </w:p>
        </w:tc>
        <w:tc>
          <w:tcPr>
            <w:tcW w:w="282" w:type="pct"/>
            <w:tcBorders>
              <w:top w:val="nil"/>
              <w:left w:val="nil"/>
              <w:bottom w:val="single" w:sz="4" w:space="0" w:color="auto"/>
              <w:right w:val="single" w:sz="4" w:space="0" w:color="auto"/>
            </w:tcBorders>
            <w:shd w:val="clear" w:color="000000" w:fill="FFFFFF"/>
            <w:vAlign w:val="center"/>
            <w:hideMark/>
          </w:tcPr>
          <w:p w14:paraId="14E036E9" w14:textId="77777777" w:rsidR="005A043A" w:rsidRPr="00214F41" w:rsidRDefault="005A043A" w:rsidP="00286762">
            <w:pPr>
              <w:jc w:val="center"/>
              <w:rPr>
                <w:sz w:val="18"/>
                <w:szCs w:val="18"/>
              </w:rPr>
            </w:pPr>
            <w:r w:rsidRPr="00214F41">
              <w:rPr>
                <w:sz w:val="18"/>
                <w:szCs w:val="18"/>
              </w:rPr>
              <w:t>9/100</w:t>
            </w:r>
          </w:p>
        </w:tc>
        <w:tc>
          <w:tcPr>
            <w:tcW w:w="282" w:type="pct"/>
            <w:tcBorders>
              <w:top w:val="nil"/>
              <w:left w:val="nil"/>
              <w:bottom w:val="single" w:sz="4" w:space="0" w:color="auto"/>
              <w:right w:val="single" w:sz="4" w:space="0" w:color="auto"/>
            </w:tcBorders>
            <w:shd w:val="clear" w:color="000000" w:fill="FFFFFF"/>
            <w:vAlign w:val="center"/>
            <w:hideMark/>
          </w:tcPr>
          <w:p w14:paraId="78A737C5" w14:textId="77777777" w:rsidR="005A043A" w:rsidRPr="00214F41" w:rsidRDefault="005A043A" w:rsidP="00286762">
            <w:pPr>
              <w:jc w:val="center"/>
              <w:rPr>
                <w:sz w:val="18"/>
                <w:szCs w:val="18"/>
              </w:rPr>
            </w:pPr>
            <w:r w:rsidRPr="00214F41">
              <w:rPr>
                <w:sz w:val="18"/>
                <w:szCs w:val="18"/>
              </w:rPr>
              <w:t>6/100</w:t>
            </w:r>
          </w:p>
        </w:tc>
        <w:tc>
          <w:tcPr>
            <w:tcW w:w="278" w:type="pct"/>
            <w:tcBorders>
              <w:top w:val="nil"/>
              <w:left w:val="nil"/>
              <w:bottom w:val="single" w:sz="4" w:space="0" w:color="auto"/>
              <w:right w:val="single" w:sz="4" w:space="0" w:color="auto"/>
            </w:tcBorders>
            <w:shd w:val="clear" w:color="000000" w:fill="FFFFFF"/>
            <w:vAlign w:val="center"/>
            <w:hideMark/>
          </w:tcPr>
          <w:p w14:paraId="42138A6F" w14:textId="77777777" w:rsidR="005A043A" w:rsidRPr="00214F41" w:rsidRDefault="005A043A" w:rsidP="00286762">
            <w:pPr>
              <w:jc w:val="center"/>
              <w:rPr>
                <w:sz w:val="18"/>
                <w:szCs w:val="18"/>
              </w:rPr>
            </w:pPr>
            <w:r w:rsidRPr="00214F41">
              <w:rPr>
                <w:sz w:val="18"/>
                <w:szCs w:val="18"/>
              </w:rPr>
              <w:t>14/100</w:t>
            </w:r>
          </w:p>
        </w:tc>
        <w:tc>
          <w:tcPr>
            <w:tcW w:w="280" w:type="pct"/>
            <w:tcBorders>
              <w:top w:val="nil"/>
              <w:left w:val="nil"/>
              <w:bottom w:val="single" w:sz="4" w:space="0" w:color="auto"/>
              <w:right w:val="single" w:sz="4" w:space="0" w:color="auto"/>
            </w:tcBorders>
            <w:shd w:val="clear" w:color="000000" w:fill="FFFFFF"/>
            <w:vAlign w:val="center"/>
            <w:hideMark/>
          </w:tcPr>
          <w:p w14:paraId="02B2A68F" w14:textId="77777777" w:rsidR="005A043A" w:rsidRPr="00214F41" w:rsidRDefault="005A043A" w:rsidP="00286762">
            <w:pPr>
              <w:jc w:val="center"/>
              <w:rPr>
                <w:sz w:val="18"/>
                <w:szCs w:val="18"/>
              </w:rPr>
            </w:pPr>
            <w:r w:rsidRPr="00214F41">
              <w:rPr>
                <w:sz w:val="18"/>
                <w:szCs w:val="18"/>
              </w:rPr>
              <w:t>9/100</w:t>
            </w:r>
          </w:p>
        </w:tc>
        <w:tc>
          <w:tcPr>
            <w:tcW w:w="278" w:type="pct"/>
            <w:tcBorders>
              <w:top w:val="nil"/>
              <w:left w:val="nil"/>
              <w:bottom w:val="single" w:sz="4" w:space="0" w:color="auto"/>
              <w:right w:val="single" w:sz="4" w:space="0" w:color="auto"/>
            </w:tcBorders>
            <w:shd w:val="clear" w:color="000000" w:fill="FFFFFF"/>
            <w:vAlign w:val="center"/>
            <w:hideMark/>
          </w:tcPr>
          <w:p w14:paraId="1AAC747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4FC119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53C5022" w14:textId="77777777" w:rsidR="005A043A" w:rsidRPr="00214F41" w:rsidRDefault="005A043A" w:rsidP="00286762">
            <w:pPr>
              <w:jc w:val="center"/>
              <w:rPr>
                <w:sz w:val="18"/>
                <w:szCs w:val="18"/>
              </w:rPr>
            </w:pPr>
            <w:r w:rsidRPr="00214F41">
              <w:rPr>
                <w:sz w:val="18"/>
                <w:szCs w:val="18"/>
              </w:rPr>
              <w:t>14/100</w:t>
            </w:r>
          </w:p>
        </w:tc>
        <w:tc>
          <w:tcPr>
            <w:tcW w:w="279" w:type="pct"/>
            <w:tcBorders>
              <w:top w:val="nil"/>
              <w:left w:val="nil"/>
              <w:bottom w:val="single" w:sz="4" w:space="0" w:color="auto"/>
              <w:right w:val="single" w:sz="4" w:space="0" w:color="auto"/>
            </w:tcBorders>
            <w:shd w:val="clear" w:color="000000" w:fill="FFFFFF"/>
            <w:vAlign w:val="center"/>
            <w:hideMark/>
          </w:tcPr>
          <w:p w14:paraId="65DB069C" w14:textId="77777777" w:rsidR="005A043A" w:rsidRPr="00214F41" w:rsidRDefault="005A043A" w:rsidP="00286762">
            <w:pPr>
              <w:jc w:val="center"/>
              <w:rPr>
                <w:sz w:val="18"/>
                <w:szCs w:val="18"/>
              </w:rPr>
            </w:pPr>
            <w:r w:rsidRPr="00214F41">
              <w:rPr>
                <w:sz w:val="18"/>
                <w:szCs w:val="18"/>
              </w:rPr>
              <w:t>9/100</w:t>
            </w:r>
          </w:p>
        </w:tc>
        <w:tc>
          <w:tcPr>
            <w:tcW w:w="279" w:type="pct"/>
            <w:tcBorders>
              <w:top w:val="nil"/>
              <w:left w:val="nil"/>
              <w:bottom w:val="single" w:sz="4" w:space="0" w:color="auto"/>
              <w:right w:val="single" w:sz="4" w:space="0" w:color="auto"/>
            </w:tcBorders>
            <w:shd w:val="clear" w:color="000000" w:fill="FFFFFF"/>
            <w:vAlign w:val="center"/>
            <w:hideMark/>
          </w:tcPr>
          <w:p w14:paraId="1E997BD8" w14:textId="77777777" w:rsidR="005A043A" w:rsidRPr="00214F41" w:rsidRDefault="005A043A" w:rsidP="00286762">
            <w:pPr>
              <w:jc w:val="center"/>
              <w:rPr>
                <w:sz w:val="18"/>
                <w:szCs w:val="18"/>
              </w:rPr>
            </w:pPr>
            <w:r w:rsidRPr="00214F41">
              <w:rPr>
                <w:sz w:val="18"/>
                <w:szCs w:val="18"/>
              </w:rPr>
              <w:t>13/100</w:t>
            </w:r>
          </w:p>
        </w:tc>
        <w:tc>
          <w:tcPr>
            <w:tcW w:w="276" w:type="pct"/>
            <w:tcBorders>
              <w:top w:val="nil"/>
              <w:left w:val="nil"/>
              <w:bottom w:val="single" w:sz="4" w:space="0" w:color="auto"/>
              <w:right w:val="single" w:sz="4" w:space="0" w:color="auto"/>
            </w:tcBorders>
            <w:shd w:val="clear" w:color="000000" w:fill="FFFFFF"/>
            <w:vAlign w:val="center"/>
            <w:hideMark/>
          </w:tcPr>
          <w:p w14:paraId="0130D9E6" w14:textId="77777777" w:rsidR="005A043A" w:rsidRPr="00214F41" w:rsidRDefault="005A043A" w:rsidP="00286762">
            <w:pPr>
              <w:jc w:val="center"/>
              <w:rPr>
                <w:sz w:val="18"/>
                <w:szCs w:val="18"/>
              </w:rPr>
            </w:pPr>
            <w:r w:rsidRPr="00214F41">
              <w:rPr>
                <w:sz w:val="18"/>
                <w:szCs w:val="18"/>
              </w:rPr>
              <w:t>7/100</w:t>
            </w:r>
          </w:p>
        </w:tc>
      </w:tr>
      <w:tr w:rsidR="005A043A" w:rsidRPr="00214F41" w14:paraId="0C9ED895" w14:textId="77777777" w:rsidTr="00286762">
        <w:trPr>
          <w:trHeight w:val="4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3B47279" w14:textId="77777777" w:rsidR="005A043A" w:rsidRPr="00214F41" w:rsidRDefault="005A043A" w:rsidP="00286762">
            <w:pPr>
              <w:jc w:val="center"/>
              <w:rPr>
                <w:sz w:val="18"/>
                <w:szCs w:val="18"/>
              </w:rPr>
            </w:pPr>
            <w:r w:rsidRPr="00214F41">
              <w:rPr>
                <w:sz w:val="18"/>
                <w:szCs w:val="18"/>
              </w:rPr>
              <w:t>Garber et al., 1997a</w:t>
            </w:r>
          </w:p>
        </w:tc>
        <w:tc>
          <w:tcPr>
            <w:tcW w:w="318" w:type="pct"/>
            <w:tcBorders>
              <w:top w:val="nil"/>
              <w:left w:val="nil"/>
              <w:bottom w:val="single" w:sz="4" w:space="0" w:color="auto"/>
              <w:right w:val="single" w:sz="4" w:space="0" w:color="auto"/>
            </w:tcBorders>
            <w:shd w:val="clear" w:color="000000" w:fill="FFFFFF"/>
            <w:vAlign w:val="center"/>
            <w:hideMark/>
          </w:tcPr>
          <w:p w14:paraId="1C986F50" w14:textId="77777777" w:rsidR="005A043A" w:rsidRPr="00214F41" w:rsidRDefault="005A043A" w:rsidP="00286762">
            <w:pPr>
              <w:jc w:val="center"/>
              <w:rPr>
                <w:sz w:val="18"/>
                <w:szCs w:val="18"/>
              </w:rPr>
            </w:pPr>
            <w:r w:rsidRPr="00214F41">
              <w:rPr>
                <w:sz w:val="18"/>
                <w:szCs w:val="18"/>
              </w:rPr>
              <w:t>3|73</w:t>
            </w:r>
          </w:p>
        </w:tc>
        <w:tc>
          <w:tcPr>
            <w:tcW w:w="295" w:type="pct"/>
            <w:tcBorders>
              <w:top w:val="nil"/>
              <w:left w:val="nil"/>
              <w:bottom w:val="single" w:sz="4" w:space="0" w:color="auto"/>
              <w:right w:val="single" w:sz="4" w:space="0" w:color="auto"/>
            </w:tcBorders>
            <w:shd w:val="clear" w:color="000000" w:fill="FFFFFF"/>
            <w:vAlign w:val="center"/>
            <w:hideMark/>
          </w:tcPr>
          <w:p w14:paraId="1EF3245C" w14:textId="77777777" w:rsidR="005A043A" w:rsidRPr="00214F41" w:rsidRDefault="005A043A" w:rsidP="00286762">
            <w:pPr>
              <w:jc w:val="center"/>
              <w:rPr>
                <w:sz w:val="18"/>
                <w:szCs w:val="18"/>
              </w:rPr>
            </w:pPr>
            <w:r w:rsidRPr="00214F41">
              <w:rPr>
                <w:sz w:val="18"/>
                <w:szCs w:val="18"/>
              </w:rPr>
              <w:t>5|79</w:t>
            </w:r>
          </w:p>
        </w:tc>
        <w:tc>
          <w:tcPr>
            <w:tcW w:w="718" w:type="pct"/>
            <w:vMerge w:val="restart"/>
            <w:tcBorders>
              <w:top w:val="nil"/>
              <w:left w:val="nil"/>
              <w:right w:val="single" w:sz="4" w:space="0" w:color="auto"/>
            </w:tcBorders>
            <w:shd w:val="clear" w:color="000000" w:fill="FFFFFF"/>
            <w:vAlign w:val="center"/>
            <w:hideMark/>
          </w:tcPr>
          <w:p w14:paraId="70C69E28" w14:textId="77777777" w:rsidR="005A043A" w:rsidRPr="00214F41" w:rsidRDefault="005A043A" w:rsidP="00286762">
            <w:pPr>
              <w:jc w:val="center"/>
              <w:rPr>
                <w:sz w:val="18"/>
                <w:szCs w:val="18"/>
                <w:lang w:val="en-GB"/>
              </w:rPr>
            </w:pPr>
            <w:r w:rsidRPr="00214F41">
              <w:rPr>
                <w:sz w:val="18"/>
                <w:szCs w:val="18"/>
                <w:lang w:val="en-GB"/>
              </w:rPr>
              <w:t>usually</w:t>
            </w:r>
            <w:r w:rsidRPr="00214F41">
              <w:rPr>
                <w:sz w:val="18"/>
                <w:szCs w:val="18"/>
                <w:lang w:val="en-GB"/>
              </w:rPr>
              <w:br/>
              <w:t>digestive disturbances</w:t>
            </w:r>
          </w:p>
        </w:tc>
        <w:tc>
          <w:tcPr>
            <w:tcW w:w="282" w:type="pct"/>
            <w:tcBorders>
              <w:top w:val="nil"/>
              <w:left w:val="nil"/>
              <w:bottom w:val="single" w:sz="4" w:space="0" w:color="auto"/>
              <w:right w:val="single" w:sz="4" w:space="0" w:color="auto"/>
            </w:tcBorders>
            <w:shd w:val="clear" w:color="000000" w:fill="FFFFFF"/>
            <w:vAlign w:val="center"/>
            <w:hideMark/>
          </w:tcPr>
          <w:p w14:paraId="0EAE6257" w14:textId="77777777" w:rsidR="005A043A" w:rsidRPr="00214F41" w:rsidRDefault="005A043A" w:rsidP="00286762">
            <w:pPr>
              <w:jc w:val="center"/>
              <w:rPr>
                <w:sz w:val="18"/>
                <w:szCs w:val="18"/>
              </w:rPr>
            </w:pPr>
            <w:r w:rsidRPr="00214F41">
              <w:rPr>
                <w:sz w:val="18"/>
                <w:szCs w:val="18"/>
              </w:rPr>
              <w:t>2|73</w:t>
            </w:r>
          </w:p>
        </w:tc>
        <w:tc>
          <w:tcPr>
            <w:tcW w:w="282" w:type="pct"/>
            <w:tcBorders>
              <w:top w:val="nil"/>
              <w:left w:val="nil"/>
              <w:bottom w:val="single" w:sz="4" w:space="0" w:color="auto"/>
              <w:right w:val="single" w:sz="4" w:space="0" w:color="auto"/>
            </w:tcBorders>
            <w:shd w:val="clear" w:color="000000" w:fill="FFFFFF"/>
            <w:vAlign w:val="center"/>
            <w:hideMark/>
          </w:tcPr>
          <w:p w14:paraId="52FF562E" w14:textId="77777777" w:rsidR="005A043A" w:rsidRPr="00214F41" w:rsidRDefault="005A043A" w:rsidP="00286762">
            <w:pPr>
              <w:jc w:val="center"/>
              <w:rPr>
                <w:sz w:val="18"/>
                <w:szCs w:val="18"/>
              </w:rPr>
            </w:pPr>
            <w:r w:rsidRPr="00214F41">
              <w:rPr>
                <w:sz w:val="18"/>
                <w:szCs w:val="18"/>
              </w:rPr>
              <w:t>0/79</w:t>
            </w:r>
          </w:p>
        </w:tc>
        <w:tc>
          <w:tcPr>
            <w:tcW w:w="282" w:type="pct"/>
            <w:tcBorders>
              <w:top w:val="nil"/>
              <w:left w:val="nil"/>
              <w:bottom w:val="single" w:sz="4" w:space="0" w:color="auto"/>
              <w:right w:val="single" w:sz="4" w:space="0" w:color="auto"/>
            </w:tcBorders>
            <w:shd w:val="clear" w:color="000000" w:fill="FFFFFF"/>
            <w:vAlign w:val="center"/>
            <w:hideMark/>
          </w:tcPr>
          <w:p w14:paraId="289A13DB" w14:textId="77777777" w:rsidR="005A043A" w:rsidRPr="00214F41" w:rsidRDefault="005A043A" w:rsidP="00286762">
            <w:pPr>
              <w:jc w:val="center"/>
              <w:rPr>
                <w:sz w:val="18"/>
                <w:szCs w:val="18"/>
              </w:rPr>
            </w:pPr>
            <w:r w:rsidRPr="00214F41">
              <w:rPr>
                <w:sz w:val="18"/>
                <w:szCs w:val="18"/>
              </w:rPr>
              <w:t>6|73</w:t>
            </w:r>
          </w:p>
        </w:tc>
        <w:tc>
          <w:tcPr>
            <w:tcW w:w="282" w:type="pct"/>
            <w:tcBorders>
              <w:top w:val="nil"/>
              <w:left w:val="nil"/>
              <w:bottom w:val="single" w:sz="4" w:space="0" w:color="auto"/>
              <w:right w:val="single" w:sz="4" w:space="0" w:color="auto"/>
            </w:tcBorders>
            <w:shd w:val="clear" w:color="000000" w:fill="FFFFFF"/>
            <w:vAlign w:val="center"/>
            <w:hideMark/>
          </w:tcPr>
          <w:p w14:paraId="39F876AD" w14:textId="77777777" w:rsidR="005A043A" w:rsidRPr="00214F41" w:rsidRDefault="005A043A" w:rsidP="00286762">
            <w:pPr>
              <w:jc w:val="center"/>
              <w:rPr>
                <w:sz w:val="18"/>
                <w:szCs w:val="18"/>
              </w:rPr>
            </w:pPr>
            <w:r w:rsidRPr="00214F41">
              <w:rPr>
                <w:sz w:val="18"/>
                <w:szCs w:val="18"/>
              </w:rPr>
              <w:t>4|79</w:t>
            </w:r>
          </w:p>
        </w:tc>
        <w:tc>
          <w:tcPr>
            <w:tcW w:w="278" w:type="pct"/>
            <w:tcBorders>
              <w:top w:val="nil"/>
              <w:left w:val="nil"/>
              <w:bottom w:val="single" w:sz="4" w:space="0" w:color="auto"/>
              <w:right w:val="single" w:sz="4" w:space="0" w:color="auto"/>
            </w:tcBorders>
            <w:shd w:val="clear" w:color="000000" w:fill="FFFFFF"/>
            <w:vAlign w:val="center"/>
            <w:hideMark/>
          </w:tcPr>
          <w:p w14:paraId="0BED949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469C16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582DDC9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273977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785B20D" w14:textId="77777777" w:rsidR="005A043A" w:rsidRPr="00214F41" w:rsidRDefault="005A043A" w:rsidP="00286762">
            <w:pPr>
              <w:jc w:val="center"/>
              <w:rPr>
                <w:sz w:val="18"/>
                <w:szCs w:val="18"/>
              </w:rPr>
            </w:pPr>
            <w:r w:rsidRPr="00214F41">
              <w:rPr>
                <w:sz w:val="18"/>
                <w:szCs w:val="18"/>
              </w:rPr>
              <w:t>5|73</w:t>
            </w:r>
          </w:p>
        </w:tc>
        <w:tc>
          <w:tcPr>
            <w:tcW w:w="279" w:type="pct"/>
            <w:tcBorders>
              <w:top w:val="nil"/>
              <w:left w:val="nil"/>
              <w:bottom w:val="single" w:sz="4" w:space="0" w:color="auto"/>
              <w:right w:val="single" w:sz="4" w:space="0" w:color="auto"/>
            </w:tcBorders>
            <w:shd w:val="clear" w:color="000000" w:fill="FFFFFF"/>
            <w:vAlign w:val="center"/>
            <w:hideMark/>
          </w:tcPr>
          <w:p w14:paraId="3F0C7B0F" w14:textId="77777777" w:rsidR="005A043A" w:rsidRPr="00214F41" w:rsidRDefault="005A043A" w:rsidP="00286762">
            <w:pPr>
              <w:jc w:val="center"/>
              <w:rPr>
                <w:sz w:val="18"/>
                <w:szCs w:val="18"/>
              </w:rPr>
            </w:pPr>
            <w:r w:rsidRPr="00214F41">
              <w:rPr>
                <w:sz w:val="18"/>
                <w:szCs w:val="18"/>
              </w:rPr>
              <w:t>4|79</w:t>
            </w:r>
          </w:p>
        </w:tc>
        <w:tc>
          <w:tcPr>
            <w:tcW w:w="279" w:type="pct"/>
            <w:tcBorders>
              <w:top w:val="nil"/>
              <w:left w:val="nil"/>
              <w:bottom w:val="single" w:sz="4" w:space="0" w:color="auto"/>
              <w:right w:val="single" w:sz="4" w:space="0" w:color="auto"/>
            </w:tcBorders>
            <w:shd w:val="clear" w:color="000000" w:fill="FFFFFF"/>
            <w:vAlign w:val="center"/>
            <w:hideMark/>
          </w:tcPr>
          <w:p w14:paraId="5CD9BC3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816C56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73EA74D2" w14:textId="77777777" w:rsidTr="00286762">
        <w:trPr>
          <w:trHeight w:val="55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4E78466" w14:textId="77777777" w:rsidR="005A043A" w:rsidRPr="00214F41" w:rsidRDefault="005A043A" w:rsidP="00286762">
            <w:pPr>
              <w:jc w:val="center"/>
              <w:rPr>
                <w:sz w:val="18"/>
                <w:szCs w:val="18"/>
              </w:rPr>
            </w:pPr>
            <w:r w:rsidRPr="00214F41">
              <w:rPr>
                <w:sz w:val="18"/>
                <w:szCs w:val="18"/>
              </w:rPr>
              <w:t>Garber et al., 1997b</w:t>
            </w:r>
          </w:p>
        </w:tc>
        <w:tc>
          <w:tcPr>
            <w:tcW w:w="318" w:type="pct"/>
            <w:tcBorders>
              <w:top w:val="nil"/>
              <w:left w:val="nil"/>
              <w:bottom w:val="single" w:sz="4" w:space="0" w:color="auto"/>
              <w:right w:val="single" w:sz="4" w:space="0" w:color="auto"/>
            </w:tcBorders>
            <w:shd w:val="clear" w:color="000000" w:fill="FFFFFF"/>
            <w:vAlign w:val="center"/>
            <w:hideMark/>
          </w:tcPr>
          <w:p w14:paraId="00CF26B5" w14:textId="77777777" w:rsidR="005A043A" w:rsidRPr="00214F41" w:rsidRDefault="005A043A" w:rsidP="00286762">
            <w:pPr>
              <w:jc w:val="center"/>
              <w:rPr>
                <w:sz w:val="18"/>
                <w:szCs w:val="18"/>
              </w:rPr>
            </w:pPr>
            <w:r w:rsidRPr="00214F41">
              <w:rPr>
                <w:sz w:val="18"/>
                <w:szCs w:val="18"/>
              </w:rPr>
              <w:t>4|73</w:t>
            </w:r>
          </w:p>
        </w:tc>
        <w:tc>
          <w:tcPr>
            <w:tcW w:w="295" w:type="pct"/>
            <w:tcBorders>
              <w:top w:val="nil"/>
              <w:left w:val="nil"/>
              <w:bottom w:val="single" w:sz="4" w:space="0" w:color="auto"/>
              <w:right w:val="single" w:sz="4" w:space="0" w:color="auto"/>
            </w:tcBorders>
            <w:shd w:val="clear" w:color="000000" w:fill="FFFFFF"/>
            <w:vAlign w:val="center"/>
            <w:hideMark/>
          </w:tcPr>
          <w:p w14:paraId="260CA594" w14:textId="77777777" w:rsidR="005A043A" w:rsidRPr="00214F41" w:rsidRDefault="005A043A" w:rsidP="00286762">
            <w:pPr>
              <w:jc w:val="center"/>
              <w:rPr>
                <w:sz w:val="18"/>
                <w:szCs w:val="18"/>
              </w:rPr>
            </w:pPr>
            <w:r w:rsidRPr="00214F41">
              <w:rPr>
                <w:sz w:val="18"/>
                <w:szCs w:val="18"/>
              </w:rPr>
              <w:t>5|79</w:t>
            </w:r>
          </w:p>
        </w:tc>
        <w:tc>
          <w:tcPr>
            <w:tcW w:w="718" w:type="pct"/>
            <w:vMerge/>
            <w:tcBorders>
              <w:left w:val="nil"/>
              <w:right w:val="single" w:sz="4" w:space="0" w:color="auto"/>
            </w:tcBorders>
            <w:shd w:val="clear" w:color="000000" w:fill="FFFFFF"/>
            <w:vAlign w:val="center"/>
          </w:tcPr>
          <w:p w14:paraId="4E38DE9B"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76C0BC5B" w14:textId="77777777" w:rsidR="005A043A" w:rsidRPr="00214F41" w:rsidRDefault="005A043A" w:rsidP="00286762">
            <w:pPr>
              <w:jc w:val="center"/>
              <w:rPr>
                <w:sz w:val="18"/>
                <w:szCs w:val="18"/>
              </w:rPr>
            </w:pPr>
            <w:r w:rsidRPr="00214F41">
              <w:rPr>
                <w:sz w:val="18"/>
                <w:szCs w:val="18"/>
              </w:rPr>
              <w:t>1|73</w:t>
            </w:r>
          </w:p>
        </w:tc>
        <w:tc>
          <w:tcPr>
            <w:tcW w:w="282" w:type="pct"/>
            <w:tcBorders>
              <w:top w:val="nil"/>
              <w:left w:val="nil"/>
              <w:bottom w:val="single" w:sz="4" w:space="0" w:color="auto"/>
              <w:right w:val="single" w:sz="4" w:space="0" w:color="auto"/>
            </w:tcBorders>
            <w:shd w:val="clear" w:color="000000" w:fill="FFFFFF"/>
            <w:vAlign w:val="center"/>
            <w:hideMark/>
          </w:tcPr>
          <w:p w14:paraId="5B06E1B3" w14:textId="77777777" w:rsidR="005A043A" w:rsidRPr="00214F41" w:rsidRDefault="005A043A" w:rsidP="00286762">
            <w:pPr>
              <w:jc w:val="center"/>
              <w:rPr>
                <w:sz w:val="18"/>
                <w:szCs w:val="18"/>
              </w:rPr>
            </w:pPr>
            <w:r w:rsidRPr="00214F41">
              <w:rPr>
                <w:sz w:val="18"/>
                <w:szCs w:val="18"/>
              </w:rPr>
              <w:t>0/79</w:t>
            </w:r>
          </w:p>
        </w:tc>
        <w:tc>
          <w:tcPr>
            <w:tcW w:w="282" w:type="pct"/>
            <w:tcBorders>
              <w:top w:val="nil"/>
              <w:left w:val="nil"/>
              <w:bottom w:val="single" w:sz="4" w:space="0" w:color="auto"/>
              <w:right w:val="single" w:sz="4" w:space="0" w:color="auto"/>
            </w:tcBorders>
            <w:shd w:val="clear" w:color="000000" w:fill="FFFFFF"/>
            <w:vAlign w:val="center"/>
            <w:hideMark/>
          </w:tcPr>
          <w:p w14:paraId="320D6692" w14:textId="77777777" w:rsidR="005A043A" w:rsidRPr="00214F41" w:rsidRDefault="005A043A" w:rsidP="00286762">
            <w:pPr>
              <w:jc w:val="center"/>
              <w:rPr>
                <w:sz w:val="18"/>
                <w:szCs w:val="18"/>
              </w:rPr>
            </w:pPr>
            <w:r w:rsidRPr="00214F41">
              <w:rPr>
                <w:sz w:val="18"/>
                <w:szCs w:val="18"/>
              </w:rPr>
              <w:t>15/73</w:t>
            </w:r>
          </w:p>
        </w:tc>
        <w:tc>
          <w:tcPr>
            <w:tcW w:w="282" w:type="pct"/>
            <w:tcBorders>
              <w:top w:val="nil"/>
              <w:left w:val="nil"/>
              <w:bottom w:val="single" w:sz="4" w:space="0" w:color="auto"/>
              <w:right w:val="single" w:sz="4" w:space="0" w:color="auto"/>
            </w:tcBorders>
            <w:shd w:val="clear" w:color="000000" w:fill="FFFFFF"/>
            <w:vAlign w:val="center"/>
            <w:hideMark/>
          </w:tcPr>
          <w:p w14:paraId="4724C103" w14:textId="77777777" w:rsidR="005A043A" w:rsidRPr="00214F41" w:rsidRDefault="005A043A" w:rsidP="00286762">
            <w:pPr>
              <w:jc w:val="center"/>
              <w:rPr>
                <w:sz w:val="18"/>
                <w:szCs w:val="18"/>
              </w:rPr>
            </w:pPr>
            <w:r w:rsidRPr="00214F41">
              <w:rPr>
                <w:sz w:val="18"/>
                <w:szCs w:val="18"/>
              </w:rPr>
              <w:t>4|79</w:t>
            </w:r>
          </w:p>
        </w:tc>
        <w:tc>
          <w:tcPr>
            <w:tcW w:w="278" w:type="pct"/>
            <w:tcBorders>
              <w:top w:val="nil"/>
              <w:left w:val="nil"/>
              <w:bottom w:val="single" w:sz="4" w:space="0" w:color="auto"/>
              <w:right w:val="single" w:sz="4" w:space="0" w:color="auto"/>
            </w:tcBorders>
            <w:shd w:val="clear" w:color="000000" w:fill="FFFFFF"/>
            <w:vAlign w:val="center"/>
            <w:hideMark/>
          </w:tcPr>
          <w:p w14:paraId="680D5EF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401F40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39FB0AB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ED67FA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5EBB821" w14:textId="77777777" w:rsidR="005A043A" w:rsidRPr="00214F41" w:rsidRDefault="005A043A" w:rsidP="00286762">
            <w:pPr>
              <w:jc w:val="center"/>
              <w:rPr>
                <w:sz w:val="18"/>
                <w:szCs w:val="18"/>
              </w:rPr>
            </w:pPr>
            <w:r w:rsidRPr="00214F41">
              <w:rPr>
                <w:sz w:val="18"/>
                <w:szCs w:val="18"/>
              </w:rPr>
              <w:t>7|73</w:t>
            </w:r>
          </w:p>
        </w:tc>
        <w:tc>
          <w:tcPr>
            <w:tcW w:w="279" w:type="pct"/>
            <w:tcBorders>
              <w:top w:val="nil"/>
              <w:left w:val="nil"/>
              <w:bottom w:val="single" w:sz="4" w:space="0" w:color="auto"/>
              <w:right w:val="single" w:sz="4" w:space="0" w:color="auto"/>
            </w:tcBorders>
            <w:shd w:val="clear" w:color="000000" w:fill="FFFFFF"/>
            <w:vAlign w:val="center"/>
            <w:hideMark/>
          </w:tcPr>
          <w:p w14:paraId="2F03A614" w14:textId="77777777" w:rsidR="005A043A" w:rsidRPr="00214F41" w:rsidRDefault="005A043A" w:rsidP="00286762">
            <w:pPr>
              <w:jc w:val="center"/>
              <w:rPr>
                <w:sz w:val="18"/>
                <w:szCs w:val="18"/>
              </w:rPr>
            </w:pPr>
            <w:r w:rsidRPr="00214F41">
              <w:rPr>
                <w:sz w:val="18"/>
                <w:szCs w:val="18"/>
              </w:rPr>
              <w:t>4|79</w:t>
            </w:r>
          </w:p>
        </w:tc>
        <w:tc>
          <w:tcPr>
            <w:tcW w:w="279" w:type="pct"/>
            <w:tcBorders>
              <w:top w:val="nil"/>
              <w:left w:val="nil"/>
              <w:bottom w:val="single" w:sz="4" w:space="0" w:color="auto"/>
              <w:right w:val="single" w:sz="4" w:space="0" w:color="auto"/>
            </w:tcBorders>
            <w:shd w:val="clear" w:color="000000" w:fill="FFFFFF"/>
            <w:vAlign w:val="center"/>
            <w:hideMark/>
          </w:tcPr>
          <w:p w14:paraId="3A0709C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B101B0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5840A6F4" w14:textId="77777777" w:rsidTr="00286762">
        <w:trPr>
          <w:trHeight w:val="41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049097DA" w14:textId="77777777" w:rsidR="005A043A" w:rsidRPr="00214F41" w:rsidRDefault="005A043A" w:rsidP="00286762">
            <w:pPr>
              <w:jc w:val="center"/>
              <w:rPr>
                <w:sz w:val="18"/>
                <w:szCs w:val="18"/>
              </w:rPr>
            </w:pPr>
            <w:r w:rsidRPr="00214F41">
              <w:rPr>
                <w:sz w:val="18"/>
                <w:szCs w:val="18"/>
              </w:rPr>
              <w:t>Garber et al., 1997c</w:t>
            </w:r>
          </w:p>
        </w:tc>
        <w:tc>
          <w:tcPr>
            <w:tcW w:w="318" w:type="pct"/>
            <w:tcBorders>
              <w:top w:val="nil"/>
              <w:left w:val="nil"/>
              <w:bottom w:val="single" w:sz="4" w:space="0" w:color="auto"/>
              <w:right w:val="single" w:sz="4" w:space="0" w:color="auto"/>
            </w:tcBorders>
            <w:shd w:val="clear" w:color="000000" w:fill="FFFFFF"/>
            <w:vAlign w:val="center"/>
            <w:hideMark/>
          </w:tcPr>
          <w:p w14:paraId="3A1E278A" w14:textId="77777777" w:rsidR="005A043A" w:rsidRPr="00214F41" w:rsidRDefault="005A043A" w:rsidP="00286762">
            <w:pPr>
              <w:jc w:val="center"/>
              <w:rPr>
                <w:sz w:val="18"/>
                <w:szCs w:val="18"/>
              </w:rPr>
            </w:pPr>
            <w:r w:rsidRPr="00214F41">
              <w:rPr>
                <w:sz w:val="18"/>
                <w:szCs w:val="18"/>
              </w:rPr>
              <w:t>5|76</w:t>
            </w:r>
          </w:p>
        </w:tc>
        <w:tc>
          <w:tcPr>
            <w:tcW w:w="295" w:type="pct"/>
            <w:tcBorders>
              <w:top w:val="nil"/>
              <w:left w:val="nil"/>
              <w:bottom w:val="single" w:sz="4" w:space="0" w:color="auto"/>
              <w:right w:val="single" w:sz="4" w:space="0" w:color="auto"/>
            </w:tcBorders>
            <w:shd w:val="clear" w:color="000000" w:fill="FFFFFF"/>
            <w:vAlign w:val="center"/>
            <w:hideMark/>
          </w:tcPr>
          <w:p w14:paraId="31DFAC74" w14:textId="77777777" w:rsidR="005A043A" w:rsidRPr="00214F41" w:rsidRDefault="005A043A" w:rsidP="00286762">
            <w:pPr>
              <w:jc w:val="center"/>
              <w:rPr>
                <w:sz w:val="18"/>
                <w:szCs w:val="18"/>
              </w:rPr>
            </w:pPr>
            <w:r w:rsidRPr="00214F41">
              <w:rPr>
                <w:sz w:val="18"/>
                <w:szCs w:val="18"/>
              </w:rPr>
              <w:t>5\79</w:t>
            </w:r>
          </w:p>
        </w:tc>
        <w:tc>
          <w:tcPr>
            <w:tcW w:w="718" w:type="pct"/>
            <w:vMerge/>
            <w:tcBorders>
              <w:left w:val="nil"/>
              <w:right w:val="single" w:sz="4" w:space="0" w:color="auto"/>
            </w:tcBorders>
            <w:shd w:val="clear" w:color="000000" w:fill="FFFFFF"/>
            <w:vAlign w:val="center"/>
          </w:tcPr>
          <w:p w14:paraId="6CE7B761"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1072EAE5" w14:textId="77777777" w:rsidR="005A043A" w:rsidRPr="00214F41" w:rsidRDefault="005A043A" w:rsidP="00286762">
            <w:pPr>
              <w:jc w:val="center"/>
              <w:rPr>
                <w:sz w:val="18"/>
                <w:szCs w:val="18"/>
              </w:rPr>
            </w:pPr>
            <w:r w:rsidRPr="00214F41">
              <w:rPr>
                <w:sz w:val="18"/>
                <w:szCs w:val="18"/>
              </w:rPr>
              <w:t>3|76</w:t>
            </w:r>
          </w:p>
        </w:tc>
        <w:tc>
          <w:tcPr>
            <w:tcW w:w="282" w:type="pct"/>
            <w:tcBorders>
              <w:top w:val="nil"/>
              <w:left w:val="nil"/>
              <w:bottom w:val="single" w:sz="4" w:space="0" w:color="auto"/>
              <w:right w:val="single" w:sz="4" w:space="0" w:color="auto"/>
            </w:tcBorders>
            <w:shd w:val="clear" w:color="000000" w:fill="FFFFFF"/>
            <w:vAlign w:val="center"/>
            <w:hideMark/>
          </w:tcPr>
          <w:p w14:paraId="23AA00FA" w14:textId="77777777" w:rsidR="005A043A" w:rsidRPr="00214F41" w:rsidRDefault="005A043A" w:rsidP="00286762">
            <w:pPr>
              <w:jc w:val="center"/>
              <w:rPr>
                <w:sz w:val="18"/>
                <w:szCs w:val="18"/>
              </w:rPr>
            </w:pPr>
            <w:r w:rsidRPr="00214F41">
              <w:rPr>
                <w:sz w:val="18"/>
                <w:szCs w:val="18"/>
              </w:rPr>
              <w:t>0/79</w:t>
            </w:r>
          </w:p>
        </w:tc>
        <w:tc>
          <w:tcPr>
            <w:tcW w:w="282" w:type="pct"/>
            <w:tcBorders>
              <w:top w:val="nil"/>
              <w:left w:val="nil"/>
              <w:bottom w:val="single" w:sz="4" w:space="0" w:color="auto"/>
              <w:right w:val="single" w:sz="4" w:space="0" w:color="auto"/>
            </w:tcBorders>
            <w:shd w:val="clear" w:color="000000" w:fill="FFFFFF"/>
            <w:vAlign w:val="center"/>
            <w:hideMark/>
          </w:tcPr>
          <w:p w14:paraId="4BF4299F" w14:textId="77777777" w:rsidR="005A043A" w:rsidRPr="00214F41" w:rsidRDefault="005A043A" w:rsidP="00286762">
            <w:pPr>
              <w:jc w:val="center"/>
              <w:rPr>
                <w:sz w:val="18"/>
                <w:szCs w:val="18"/>
              </w:rPr>
            </w:pPr>
            <w:r w:rsidRPr="00214F41">
              <w:rPr>
                <w:sz w:val="18"/>
                <w:szCs w:val="18"/>
              </w:rPr>
              <w:t>9|76</w:t>
            </w:r>
          </w:p>
        </w:tc>
        <w:tc>
          <w:tcPr>
            <w:tcW w:w="282" w:type="pct"/>
            <w:tcBorders>
              <w:top w:val="nil"/>
              <w:left w:val="nil"/>
              <w:bottom w:val="single" w:sz="4" w:space="0" w:color="auto"/>
              <w:right w:val="single" w:sz="4" w:space="0" w:color="auto"/>
            </w:tcBorders>
            <w:shd w:val="clear" w:color="000000" w:fill="FFFFFF"/>
            <w:vAlign w:val="center"/>
            <w:hideMark/>
          </w:tcPr>
          <w:p w14:paraId="70ED9871" w14:textId="77777777" w:rsidR="005A043A" w:rsidRPr="00214F41" w:rsidRDefault="005A043A" w:rsidP="00286762">
            <w:pPr>
              <w:jc w:val="center"/>
              <w:rPr>
                <w:sz w:val="18"/>
                <w:szCs w:val="18"/>
              </w:rPr>
            </w:pPr>
            <w:r w:rsidRPr="00214F41">
              <w:rPr>
                <w:sz w:val="18"/>
                <w:szCs w:val="18"/>
              </w:rPr>
              <w:t>4|79</w:t>
            </w:r>
          </w:p>
        </w:tc>
        <w:tc>
          <w:tcPr>
            <w:tcW w:w="278" w:type="pct"/>
            <w:tcBorders>
              <w:top w:val="nil"/>
              <w:left w:val="nil"/>
              <w:bottom w:val="single" w:sz="4" w:space="0" w:color="auto"/>
              <w:right w:val="single" w:sz="4" w:space="0" w:color="auto"/>
            </w:tcBorders>
            <w:shd w:val="clear" w:color="000000" w:fill="FFFFFF"/>
            <w:vAlign w:val="center"/>
            <w:hideMark/>
          </w:tcPr>
          <w:p w14:paraId="65FE258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1F29D4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3387D86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D86933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ECA2847" w14:textId="77777777" w:rsidR="005A043A" w:rsidRPr="00214F41" w:rsidRDefault="005A043A" w:rsidP="00286762">
            <w:pPr>
              <w:jc w:val="center"/>
              <w:rPr>
                <w:sz w:val="18"/>
                <w:szCs w:val="18"/>
              </w:rPr>
            </w:pPr>
            <w:r w:rsidRPr="00214F41">
              <w:rPr>
                <w:sz w:val="18"/>
                <w:szCs w:val="18"/>
              </w:rPr>
              <w:t>6|76</w:t>
            </w:r>
          </w:p>
        </w:tc>
        <w:tc>
          <w:tcPr>
            <w:tcW w:w="279" w:type="pct"/>
            <w:tcBorders>
              <w:top w:val="nil"/>
              <w:left w:val="nil"/>
              <w:bottom w:val="single" w:sz="4" w:space="0" w:color="auto"/>
              <w:right w:val="single" w:sz="4" w:space="0" w:color="auto"/>
            </w:tcBorders>
            <w:shd w:val="clear" w:color="000000" w:fill="FFFFFF"/>
            <w:vAlign w:val="center"/>
            <w:hideMark/>
          </w:tcPr>
          <w:p w14:paraId="1C780556" w14:textId="77777777" w:rsidR="005A043A" w:rsidRPr="00214F41" w:rsidRDefault="005A043A" w:rsidP="00286762">
            <w:pPr>
              <w:jc w:val="center"/>
              <w:rPr>
                <w:sz w:val="18"/>
                <w:szCs w:val="18"/>
              </w:rPr>
            </w:pPr>
            <w:r w:rsidRPr="00214F41">
              <w:rPr>
                <w:sz w:val="18"/>
                <w:szCs w:val="18"/>
              </w:rPr>
              <w:t>4|79</w:t>
            </w:r>
          </w:p>
        </w:tc>
        <w:tc>
          <w:tcPr>
            <w:tcW w:w="279" w:type="pct"/>
            <w:tcBorders>
              <w:top w:val="nil"/>
              <w:left w:val="nil"/>
              <w:bottom w:val="single" w:sz="4" w:space="0" w:color="auto"/>
              <w:right w:val="single" w:sz="4" w:space="0" w:color="auto"/>
            </w:tcBorders>
            <w:shd w:val="clear" w:color="000000" w:fill="FFFFFF"/>
            <w:vAlign w:val="center"/>
            <w:hideMark/>
          </w:tcPr>
          <w:p w14:paraId="43716A0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0FDEB8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1385BFD8" w14:textId="77777777" w:rsidTr="00286762">
        <w:trPr>
          <w:trHeight w:val="563"/>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351B87B" w14:textId="77777777" w:rsidR="005A043A" w:rsidRPr="00214F41" w:rsidRDefault="005A043A" w:rsidP="00286762">
            <w:pPr>
              <w:jc w:val="center"/>
              <w:rPr>
                <w:sz w:val="18"/>
                <w:szCs w:val="18"/>
              </w:rPr>
            </w:pPr>
            <w:r w:rsidRPr="00214F41">
              <w:rPr>
                <w:sz w:val="18"/>
                <w:szCs w:val="18"/>
              </w:rPr>
              <w:t>Garber et al., 1997d</w:t>
            </w:r>
          </w:p>
        </w:tc>
        <w:tc>
          <w:tcPr>
            <w:tcW w:w="318" w:type="pct"/>
            <w:tcBorders>
              <w:top w:val="nil"/>
              <w:left w:val="nil"/>
              <w:bottom w:val="single" w:sz="4" w:space="0" w:color="auto"/>
              <w:right w:val="single" w:sz="4" w:space="0" w:color="auto"/>
            </w:tcBorders>
            <w:shd w:val="clear" w:color="000000" w:fill="FFFFFF"/>
            <w:vAlign w:val="center"/>
            <w:hideMark/>
          </w:tcPr>
          <w:p w14:paraId="311F185B" w14:textId="77777777" w:rsidR="005A043A" w:rsidRPr="00214F41" w:rsidRDefault="005A043A" w:rsidP="00286762">
            <w:pPr>
              <w:jc w:val="center"/>
              <w:rPr>
                <w:sz w:val="18"/>
                <w:szCs w:val="18"/>
              </w:rPr>
            </w:pPr>
            <w:r w:rsidRPr="00214F41">
              <w:rPr>
                <w:sz w:val="18"/>
                <w:szCs w:val="18"/>
              </w:rPr>
              <w:t>5|73</w:t>
            </w:r>
          </w:p>
        </w:tc>
        <w:tc>
          <w:tcPr>
            <w:tcW w:w="295" w:type="pct"/>
            <w:tcBorders>
              <w:top w:val="nil"/>
              <w:left w:val="nil"/>
              <w:bottom w:val="single" w:sz="4" w:space="0" w:color="auto"/>
              <w:right w:val="single" w:sz="4" w:space="0" w:color="auto"/>
            </w:tcBorders>
            <w:shd w:val="clear" w:color="000000" w:fill="FFFFFF"/>
            <w:vAlign w:val="center"/>
            <w:hideMark/>
          </w:tcPr>
          <w:p w14:paraId="10F63474" w14:textId="77777777" w:rsidR="005A043A" w:rsidRPr="00214F41" w:rsidRDefault="005A043A" w:rsidP="00286762">
            <w:pPr>
              <w:jc w:val="center"/>
              <w:rPr>
                <w:sz w:val="18"/>
                <w:szCs w:val="18"/>
              </w:rPr>
            </w:pPr>
            <w:r w:rsidRPr="00214F41">
              <w:rPr>
                <w:sz w:val="18"/>
                <w:szCs w:val="18"/>
              </w:rPr>
              <w:t>5|79</w:t>
            </w:r>
          </w:p>
        </w:tc>
        <w:tc>
          <w:tcPr>
            <w:tcW w:w="718" w:type="pct"/>
            <w:vMerge/>
            <w:tcBorders>
              <w:left w:val="nil"/>
              <w:right w:val="single" w:sz="4" w:space="0" w:color="auto"/>
            </w:tcBorders>
            <w:shd w:val="clear" w:color="000000" w:fill="FFFFFF"/>
            <w:vAlign w:val="center"/>
          </w:tcPr>
          <w:p w14:paraId="5046EE00"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4C25681E" w14:textId="77777777" w:rsidR="005A043A" w:rsidRPr="00214F41" w:rsidRDefault="005A043A" w:rsidP="00286762">
            <w:pPr>
              <w:jc w:val="center"/>
              <w:rPr>
                <w:sz w:val="18"/>
                <w:szCs w:val="18"/>
              </w:rPr>
            </w:pPr>
            <w:r w:rsidRPr="00214F41">
              <w:rPr>
                <w:sz w:val="18"/>
                <w:szCs w:val="18"/>
              </w:rPr>
              <w:t>0|73</w:t>
            </w:r>
          </w:p>
        </w:tc>
        <w:tc>
          <w:tcPr>
            <w:tcW w:w="282" w:type="pct"/>
            <w:tcBorders>
              <w:top w:val="nil"/>
              <w:left w:val="nil"/>
              <w:bottom w:val="single" w:sz="4" w:space="0" w:color="auto"/>
              <w:right w:val="single" w:sz="4" w:space="0" w:color="auto"/>
            </w:tcBorders>
            <w:shd w:val="clear" w:color="000000" w:fill="FFFFFF"/>
            <w:vAlign w:val="center"/>
            <w:hideMark/>
          </w:tcPr>
          <w:p w14:paraId="521812E0" w14:textId="77777777" w:rsidR="005A043A" w:rsidRPr="00214F41" w:rsidRDefault="005A043A" w:rsidP="00286762">
            <w:pPr>
              <w:jc w:val="center"/>
              <w:rPr>
                <w:sz w:val="18"/>
                <w:szCs w:val="18"/>
              </w:rPr>
            </w:pPr>
            <w:r w:rsidRPr="00214F41">
              <w:rPr>
                <w:sz w:val="18"/>
                <w:szCs w:val="18"/>
              </w:rPr>
              <w:t>0/79</w:t>
            </w:r>
          </w:p>
        </w:tc>
        <w:tc>
          <w:tcPr>
            <w:tcW w:w="282" w:type="pct"/>
            <w:tcBorders>
              <w:top w:val="nil"/>
              <w:left w:val="nil"/>
              <w:bottom w:val="single" w:sz="4" w:space="0" w:color="auto"/>
              <w:right w:val="single" w:sz="4" w:space="0" w:color="auto"/>
            </w:tcBorders>
            <w:shd w:val="clear" w:color="000000" w:fill="FFFFFF"/>
            <w:vAlign w:val="center"/>
            <w:hideMark/>
          </w:tcPr>
          <w:p w14:paraId="0098FC43" w14:textId="77777777" w:rsidR="005A043A" w:rsidRPr="00214F41" w:rsidRDefault="005A043A" w:rsidP="00286762">
            <w:pPr>
              <w:jc w:val="center"/>
              <w:rPr>
                <w:sz w:val="18"/>
                <w:szCs w:val="18"/>
              </w:rPr>
            </w:pPr>
            <w:r w:rsidRPr="00214F41">
              <w:rPr>
                <w:sz w:val="18"/>
                <w:szCs w:val="18"/>
              </w:rPr>
              <w:t>14/73</w:t>
            </w:r>
          </w:p>
        </w:tc>
        <w:tc>
          <w:tcPr>
            <w:tcW w:w="282" w:type="pct"/>
            <w:tcBorders>
              <w:top w:val="nil"/>
              <w:left w:val="nil"/>
              <w:bottom w:val="single" w:sz="4" w:space="0" w:color="auto"/>
              <w:right w:val="single" w:sz="4" w:space="0" w:color="auto"/>
            </w:tcBorders>
            <w:shd w:val="clear" w:color="000000" w:fill="FFFFFF"/>
            <w:vAlign w:val="center"/>
            <w:hideMark/>
          </w:tcPr>
          <w:p w14:paraId="08124480" w14:textId="77777777" w:rsidR="005A043A" w:rsidRPr="00214F41" w:rsidRDefault="005A043A" w:rsidP="00286762">
            <w:pPr>
              <w:jc w:val="center"/>
              <w:rPr>
                <w:sz w:val="18"/>
                <w:szCs w:val="18"/>
              </w:rPr>
            </w:pPr>
            <w:r w:rsidRPr="00214F41">
              <w:rPr>
                <w:sz w:val="18"/>
                <w:szCs w:val="18"/>
              </w:rPr>
              <w:t>4|79</w:t>
            </w:r>
          </w:p>
        </w:tc>
        <w:tc>
          <w:tcPr>
            <w:tcW w:w="278" w:type="pct"/>
            <w:tcBorders>
              <w:top w:val="nil"/>
              <w:left w:val="nil"/>
              <w:bottom w:val="single" w:sz="4" w:space="0" w:color="auto"/>
              <w:right w:val="single" w:sz="4" w:space="0" w:color="auto"/>
            </w:tcBorders>
            <w:shd w:val="clear" w:color="000000" w:fill="FFFFFF"/>
            <w:vAlign w:val="center"/>
            <w:hideMark/>
          </w:tcPr>
          <w:p w14:paraId="3FDA91C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F177C3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0305F26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630FC6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0501B51" w14:textId="77777777" w:rsidR="005A043A" w:rsidRPr="00214F41" w:rsidRDefault="005A043A" w:rsidP="00286762">
            <w:pPr>
              <w:jc w:val="center"/>
              <w:rPr>
                <w:sz w:val="18"/>
                <w:szCs w:val="18"/>
              </w:rPr>
            </w:pPr>
            <w:r w:rsidRPr="00214F41">
              <w:rPr>
                <w:sz w:val="18"/>
                <w:szCs w:val="18"/>
              </w:rPr>
              <w:t>1|73</w:t>
            </w:r>
          </w:p>
        </w:tc>
        <w:tc>
          <w:tcPr>
            <w:tcW w:w="279" w:type="pct"/>
            <w:tcBorders>
              <w:top w:val="nil"/>
              <w:left w:val="nil"/>
              <w:bottom w:val="single" w:sz="4" w:space="0" w:color="auto"/>
              <w:right w:val="single" w:sz="4" w:space="0" w:color="auto"/>
            </w:tcBorders>
            <w:shd w:val="clear" w:color="000000" w:fill="FFFFFF"/>
            <w:vAlign w:val="center"/>
            <w:hideMark/>
          </w:tcPr>
          <w:p w14:paraId="4C34D4BB" w14:textId="77777777" w:rsidR="005A043A" w:rsidRPr="00214F41" w:rsidRDefault="005A043A" w:rsidP="00286762">
            <w:pPr>
              <w:jc w:val="center"/>
              <w:rPr>
                <w:sz w:val="18"/>
                <w:szCs w:val="18"/>
              </w:rPr>
            </w:pPr>
            <w:r w:rsidRPr="00214F41">
              <w:rPr>
                <w:sz w:val="18"/>
                <w:szCs w:val="18"/>
              </w:rPr>
              <w:t>4|79</w:t>
            </w:r>
          </w:p>
        </w:tc>
        <w:tc>
          <w:tcPr>
            <w:tcW w:w="279" w:type="pct"/>
            <w:tcBorders>
              <w:top w:val="nil"/>
              <w:left w:val="nil"/>
              <w:bottom w:val="single" w:sz="4" w:space="0" w:color="auto"/>
              <w:right w:val="single" w:sz="4" w:space="0" w:color="auto"/>
            </w:tcBorders>
            <w:shd w:val="clear" w:color="000000" w:fill="FFFFFF"/>
            <w:vAlign w:val="center"/>
            <w:hideMark/>
          </w:tcPr>
          <w:p w14:paraId="21D1EFC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0DE7DFE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7DA1B2CC" w14:textId="77777777" w:rsidTr="00286762">
        <w:trPr>
          <w:trHeight w:val="401"/>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0D1D7EEA" w14:textId="77777777" w:rsidR="005A043A" w:rsidRPr="00214F41" w:rsidRDefault="005A043A" w:rsidP="00286762">
            <w:pPr>
              <w:jc w:val="center"/>
              <w:rPr>
                <w:sz w:val="18"/>
                <w:szCs w:val="18"/>
              </w:rPr>
            </w:pPr>
            <w:r w:rsidRPr="00214F41">
              <w:rPr>
                <w:sz w:val="18"/>
                <w:szCs w:val="18"/>
              </w:rPr>
              <w:t>Garber et al., 1997e</w:t>
            </w:r>
          </w:p>
        </w:tc>
        <w:tc>
          <w:tcPr>
            <w:tcW w:w="318" w:type="pct"/>
            <w:tcBorders>
              <w:top w:val="nil"/>
              <w:left w:val="nil"/>
              <w:bottom w:val="single" w:sz="4" w:space="0" w:color="auto"/>
              <w:right w:val="single" w:sz="4" w:space="0" w:color="auto"/>
            </w:tcBorders>
            <w:shd w:val="clear" w:color="000000" w:fill="FFFFFF"/>
            <w:vAlign w:val="center"/>
            <w:hideMark/>
          </w:tcPr>
          <w:p w14:paraId="3F9A8863" w14:textId="77777777" w:rsidR="005A043A" w:rsidRPr="00214F41" w:rsidRDefault="005A043A" w:rsidP="00286762">
            <w:pPr>
              <w:jc w:val="center"/>
              <w:rPr>
                <w:sz w:val="18"/>
                <w:szCs w:val="18"/>
              </w:rPr>
            </w:pPr>
            <w:r w:rsidRPr="00214F41">
              <w:rPr>
                <w:sz w:val="18"/>
                <w:szCs w:val="18"/>
              </w:rPr>
              <w:t>11|77</w:t>
            </w:r>
          </w:p>
        </w:tc>
        <w:tc>
          <w:tcPr>
            <w:tcW w:w="295" w:type="pct"/>
            <w:tcBorders>
              <w:top w:val="nil"/>
              <w:left w:val="nil"/>
              <w:bottom w:val="single" w:sz="4" w:space="0" w:color="auto"/>
              <w:right w:val="single" w:sz="4" w:space="0" w:color="auto"/>
            </w:tcBorders>
            <w:shd w:val="clear" w:color="000000" w:fill="FFFFFF"/>
            <w:vAlign w:val="center"/>
            <w:hideMark/>
          </w:tcPr>
          <w:p w14:paraId="266F0C57" w14:textId="77777777" w:rsidR="005A043A" w:rsidRPr="00214F41" w:rsidRDefault="005A043A" w:rsidP="00286762">
            <w:pPr>
              <w:jc w:val="center"/>
              <w:rPr>
                <w:sz w:val="18"/>
                <w:szCs w:val="18"/>
              </w:rPr>
            </w:pPr>
            <w:r w:rsidRPr="00214F41">
              <w:rPr>
                <w:sz w:val="18"/>
                <w:szCs w:val="18"/>
              </w:rPr>
              <w:t>5|79</w:t>
            </w:r>
          </w:p>
        </w:tc>
        <w:tc>
          <w:tcPr>
            <w:tcW w:w="718" w:type="pct"/>
            <w:vMerge/>
            <w:tcBorders>
              <w:left w:val="nil"/>
              <w:bottom w:val="single" w:sz="4" w:space="0" w:color="auto"/>
              <w:right w:val="single" w:sz="4" w:space="0" w:color="auto"/>
            </w:tcBorders>
            <w:shd w:val="clear" w:color="000000" w:fill="FFFFFF"/>
            <w:vAlign w:val="center"/>
          </w:tcPr>
          <w:p w14:paraId="0D393F4C"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683E0A58" w14:textId="77777777" w:rsidR="005A043A" w:rsidRPr="00214F41" w:rsidRDefault="005A043A" w:rsidP="00286762">
            <w:pPr>
              <w:jc w:val="center"/>
              <w:rPr>
                <w:sz w:val="18"/>
                <w:szCs w:val="18"/>
              </w:rPr>
            </w:pPr>
            <w:r w:rsidRPr="00214F41">
              <w:rPr>
                <w:sz w:val="18"/>
                <w:szCs w:val="18"/>
              </w:rPr>
              <w:t>2|77</w:t>
            </w:r>
          </w:p>
        </w:tc>
        <w:tc>
          <w:tcPr>
            <w:tcW w:w="282" w:type="pct"/>
            <w:tcBorders>
              <w:top w:val="nil"/>
              <w:left w:val="nil"/>
              <w:bottom w:val="single" w:sz="4" w:space="0" w:color="auto"/>
              <w:right w:val="single" w:sz="4" w:space="0" w:color="auto"/>
            </w:tcBorders>
            <w:shd w:val="clear" w:color="000000" w:fill="FFFFFF"/>
            <w:vAlign w:val="center"/>
            <w:hideMark/>
          </w:tcPr>
          <w:p w14:paraId="2F1FB39A" w14:textId="77777777" w:rsidR="005A043A" w:rsidRPr="00214F41" w:rsidRDefault="005A043A" w:rsidP="00286762">
            <w:pPr>
              <w:jc w:val="center"/>
              <w:rPr>
                <w:sz w:val="18"/>
                <w:szCs w:val="18"/>
              </w:rPr>
            </w:pPr>
            <w:r w:rsidRPr="00214F41">
              <w:rPr>
                <w:sz w:val="18"/>
                <w:szCs w:val="18"/>
              </w:rPr>
              <w:t>0/79</w:t>
            </w:r>
          </w:p>
        </w:tc>
        <w:tc>
          <w:tcPr>
            <w:tcW w:w="282" w:type="pct"/>
            <w:tcBorders>
              <w:top w:val="nil"/>
              <w:left w:val="nil"/>
              <w:bottom w:val="single" w:sz="4" w:space="0" w:color="auto"/>
              <w:right w:val="single" w:sz="4" w:space="0" w:color="auto"/>
            </w:tcBorders>
            <w:shd w:val="clear" w:color="000000" w:fill="FFFFFF"/>
            <w:vAlign w:val="center"/>
            <w:hideMark/>
          </w:tcPr>
          <w:p w14:paraId="6E39E86B" w14:textId="77777777" w:rsidR="005A043A" w:rsidRPr="00214F41" w:rsidRDefault="005A043A" w:rsidP="00286762">
            <w:pPr>
              <w:jc w:val="center"/>
              <w:rPr>
                <w:sz w:val="18"/>
                <w:szCs w:val="18"/>
              </w:rPr>
            </w:pPr>
            <w:r w:rsidRPr="00214F41">
              <w:rPr>
                <w:sz w:val="18"/>
                <w:szCs w:val="18"/>
              </w:rPr>
              <w:t>11|77</w:t>
            </w:r>
          </w:p>
        </w:tc>
        <w:tc>
          <w:tcPr>
            <w:tcW w:w="282" w:type="pct"/>
            <w:tcBorders>
              <w:top w:val="nil"/>
              <w:left w:val="nil"/>
              <w:bottom w:val="single" w:sz="4" w:space="0" w:color="auto"/>
              <w:right w:val="single" w:sz="4" w:space="0" w:color="auto"/>
            </w:tcBorders>
            <w:shd w:val="clear" w:color="000000" w:fill="FFFFFF"/>
            <w:vAlign w:val="center"/>
            <w:hideMark/>
          </w:tcPr>
          <w:p w14:paraId="3E964A08" w14:textId="77777777" w:rsidR="005A043A" w:rsidRPr="00214F41" w:rsidRDefault="005A043A" w:rsidP="00286762">
            <w:pPr>
              <w:jc w:val="center"/>
              <w:rPr>
                <w:sz w:val="18"/>
                <w:szCs w:val="18"/>
              </w:rPr>
            </w:pPr>
            <w:r w:rsidRPr="00214F41">
              <w:rPr>
                <w:sz w:val="18"/>
                <w:szCs w:val="18"/>
              </w:rPr>
              <w:t>4|79</w:t>
            </w:r>
          </w:p>
        </w:tc>
        <w:tc>
          <w:tcPr>
            <w:tcW w:w="278" w:type="pct"/>
            <w:tcBorders>
              <w:top w:val="nil"/>
              <w:left w:val="nil"/>
              <w:bottom w:val="single" w:sz="4" w:space="0" w:color="auto"/>
              <w:right w:val="single" w:sz="4" w:space="0" w:color="auto"/>
            </w:tcBorders>
            <w:shd w:val="clear" w:color="000000" w:fill="FFFFFF"/>
            <w:vAlign w:val="center"/>
            <w:hideMark/>
          </w:tcPr>
          <w:p w14:paraId="26A2E3C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520A39F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6D5D9FC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BC85FB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10D3DE9" w14:textId="77777777" w:rsidR="005A043A" w:rsidRPr="00214F41" w:rsidRDefault="005A043A" w:rsidP="00286762">
            <w:pPr>
              <w:jc w:val="center"/>
              <w:rPr>
                <w:sz w:val="18"/>
                <w:szCs w:val="18"/>
              </w:rPr>
            </w:pPr>
            <w:r w:rsidRPr="00214F41">
              <w:rPr>
                <w:sz w:val="18"/>
                <w:szCs w:val="18"/>
              </w:rPr>
              <w:t>9|77</w:t>
            </w:r>
          </w:p>
        </w:tc>
        <w:tc>
          <w:tcPr>
            <w:tcW w:w="279" w:type="pct"/>
            <w:tcBorders>
              <w:top w:val="nil"/>
              <w:left w:val="nil"/>
              <w:bottom w:val="single" w:sz="4" w:space="0" w:color="auto"/>
              <w:right w:val="single" w:sz="4" w:space="0" w:color="auto"/>
            </w:tcBorders>
            <w:shd w:val="clear" w:color="000000" w:fill="FFFFFF"/>
            <w:vAlign w:val="center"/>
            <w:hideMark/>
          </w:tcPr>
          <w:p w14:paraId="440CD73B" w14:textId="77777777" w:rsidR="005A043A" w:rsidRPr="00214F41" w:rsidRDefault="005A043A" w:rsidP="00286762">
            <w:pPr>
              <w:jc w:val="center"/>
              <w:rPr>
                <w:sz w:val="18"/>
                <w:szCs w:val="18"/>
              </w:rPr>
            </w:pPr>
            <w:r w:rsidRPr="00214F41">
              <w:rPr>
                <w:sz w:val="18"/>
                <w:szCs w:val="18"/>
              </w:rPr>
              <w:t>4|79</w:t>
            </w:r>
          </w:p>
        </w:tc>
        <w:tc>
          <w:tcPr>
            <w:tcW w:w="279" w:type="pct"/>
            <w:tcBorders>
              <w:top w:val="nil"/>
              <w:left w:val="nil"/>
              <w:bottom w:val="single" w:sz="4" w:space="0" w:color="auto"/>
              <w:right w:val="single" w:sz="4" w:space="0" w:color="auto"/>
            </w:tcBorders>
            <w:shd w:val="clear" w:color="000000" w:fill="FFFFFF"/>
            <w:vAlign w:val="center"/>
            <w:hideMark/>
          </w:tcPr>
          <w:p w14:paraId="3BA9C62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B22B5B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E884616" w14:textId="77777777" w:rsidTr="00286762">
        <w:trPr>
          <w:trHeight w:val="705"/>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3F55386A" w14:textId="77777777" w:rsidR="005A043A" w:rsidRPr="00214F41" w:rsidRDefault="005A043A" w:rsidP="00286762">
            <w:pPr>
              <w:jc w:val="center"/>
              <w:rPr>
                <w:sz w:val="18"/>
                <w:szCs w:val="18"/>
              </w:rPr>
            </w:pPr>
            <w:r w:rsidRPr="00214F41">
              <w:rPr>
                <w:sz w:val="18"/>
                <w:szCs w:val="18"/>
              </w:rPr>
              <w:t>Garber et al., 2003</w:t>
            </w:r>
          </w:p>
        </w:tc>
        <w:tc>
          <w:tcPr>
            <w:tcW w:w="318" w:type="pct"/>
            <w:tcBorders>
              <w:top w:val="nil"/>
              <w:left w:val="nil"/>
              <w:bottom w:val="single" w:sz="4" w:space="0" w:color="auto"/>
              <w:right w:val="single" w:sz="4" w:space="0" w:color="auto"/>
            </w:tcBorders>
            <w:shd w:val="clear" w:color="000000" w:fill="FFFFFF"/>
            <w:vAlign w:val="center"/>
            <w:hideMark/>
          </w:tcPr>
          <w:p w14:paraId="4362218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14:paraId="26AD553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718" w:type="pct"/>
            <w:tcBorders>
              <w:top w:val="nil"/>
              <w:left w:val="nil"/>
              <w:bottom w:val="single" w:sz="4" w:space="0" w:color="auto"/>
              <w:right w:val="single" w:sz="4" w:space="0" w:color="auto"/>
            </w:tcBorders>
            <w:shd w:val="clear" w:color="000000" w:fill="FFFFFF"/>
            <w:vAlign w:val="center"/>
            <w:hideMark/>
          </w:tcPr>
          <w:p w14:paraId="62AC0882" w14:textId="77777777" w:rsidR="005A043A" w:rsidRPr="00214F41" w:rsidRDefault="005A043A" w:rsidP="00286762">
            <w:pPr>
              <w:jc w:val="center"/>
              <w:rPr>
                <w:sz w:val="18"/>
                <w:szCs w:val="18"/>
                <w:lang w:val="en-GB"/>
              </w:rPr>
            </w:pPr>
            <w:r w:rsidRPr="00214F41">
              <w:rPr>
                <w:sz w:val="18"/>
                <w:szCs w:val="18"/>
                <w:lang w:val="en-GB"/>
              </w:rPr>
              <w:t xml:space="preserve">The most common reasons for discontinuation was adverse events other than </w:t>
            </w:r>
            <w:proofErr w:type="spellStart"/>
            <w:r w:rsidRPr="00214F41">
              <w:rPr>
                <w:sz w:val="18"/>
                <w:szCs w:val="18"/>
                <w:lang w:val="en-GB"/>
              </w:rPr>
              <w:t>hypoglycemia</w:t>
            </w:r>
            <w:proofErr w:type="spellEnd"/>
            <w:r w:rsidRPr="00214F41">
              <w:rPr>
                <w:sz w:val="18"/>
                <w:szCs w:val="18"/>
                <w:lang w:val="en-GB"/>
              </w:rPr>
              <w:t xml:space="preserve"> (3.5%). </w:t>
            </w:r>
          </w:p>
        </w:tc>
        <w:tc>
          <w:tcPr>
            <w:tcW w:w="282" w:type="pct"/>
            <w:tcBorders>
              <w:top w:val="nil"/>
              <w:left w:val="nil"/>
              <w:bottom w:val="single" w:sz="4" w:space="0" w:color="auto"/>
              <w:right w:val="single" w:sz="4" w:space="0" w:color="auto"/>
            </w:tcBorders>
            <w:shd w:val="clear" w:color="000000" w:fill="FFFFFF"/>
            <w:vAlign w:val="center"/>
            <w:hideMark/>
          </w:tcPr>
          <w:p w14:paraId="7CCF4D0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7CACB4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9E6270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D734FF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1BD09C3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D05B4C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4EF45AF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F5232B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F7125F2" w14:textId="77777777" w:rsidR="005A043A" w:rsidRPr="00214F41" w:rsidRDefault="005A043A" w:rsidP="00286762">
            <w:pPr>
              <w:jc w:val="center"/>
              <w:rPr>
                <w:sz w:val="18"/>
                <w:szCs w:val="18"/>
              </w:rPr>
            </w:pPr>
            <w:r w:rsidRPr="00214F41">
              <w:rPr>
                <w:sz w:val="18"/>
                <w:szCs w:val="18"/>
              </w:rPr>
              <w:t>17/164</w:t>
            </w:r>
          </w:p>
        </w:tc>
        <w:tc>
          <w:tcPr>
            <w:tcW w:w="279" w:type="pct"/>
            <w:tcBorders>
              <w:top w:val="nil"/>
              <w:left w:val="nil"/>
              <w:bottom w:val="single" w:sz="4" w:space="0" w:color="auto"/>
              <w:right w:val="single" w:sz="4" w:space="0" w:color="auto"/>
            </w:tcBorders>
            <w:shd w:val="clear" w:color="000000" w:fill="FFFFFF"/>
            <w:vAlign w:val="center"/>
            <w:hideMark/>
          </w:tcPr>
          <w:p w14:paraId="12C991FA" w14:textId="77777777" w:rsidR="005A043A" w:rsidRPr="00214F41" w:rsidRDefault="005A043A" w:rsidP="00286762">
            <w:pPr>
              <w:jc w:val="center"/>
              <w:rPr>
                <w:sz w:val="18"/>
                <w:szCs w:val="18"/>
              </w:rPr>
            </w:pPr>
            <w:r w:rsidRPr="00214F41">
              <w:rPr>
                <w:sz w:val="18"/>
                <w:szCs w:val="18"/>
              </w:rPr>
              <w:t>10/151</w:t>
            </w:r>
          </w:p>
        </w:tc>
        <w:tc>
          <w:tcPr>
            <w:tcW w:w="279" w:type="pct"/>
            <w:tcBorders>
              <w:top w:val="nil"/>
              <w:left w:val="nil"/>
              <w:bottom w:val="single" w:sz="4" w:space="0" w:color="auto"/>
              <w:right w:val="single" w:sz="4" w:space="0" w:color="auto"/>
            </w:tcBorders>
            <w:shd w:val="clear" w:color="000000" w:fill="FFFFFF"/>
            <w:vAlign w:val="center"/>
            <w:hideMark/>
          </w:tcPr>
          <w:p w14:paraId="59F1EE3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14CE8B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7EC5679F" w14:textId="77777777" w:rsidTr="00286762">
        <w:trPr>
          <w:trHeight w:val="47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CF5AE21" w14:textId="77777777" w:rsidR="005A043A" w:rsidRPr="00214F41" w:rsidRDefault="005A043A" w:rsidP="00286762">
            <w:pPr>
              <w:jc w:val="center"/>
              <w:rPr>
                <w:sz w:val="18"/>
                <w:szCs w:val="18"/>
              </w:rPr>
            </w:pPr>
            <w:r w:rsidRPr="00214F41">
              <w:rPr>
                <w:sz w:val="18"/>
                <w:szCs w:val="18"/>
              </w:rPr>
              <w:t>Ghosh et al., 2014</w:t>
            </w:r>
          </w:p>
        </w:tc>
        <w:tc>
          <w:tcPr>
            <w:tcW w:w="318" w:type="pct"/>
            <w:tcBorders>
              <w:top w:val="nil"/>
              <w:left w:val="nil"/>
              <w:bottom w:val="single" w:sz="4" w:space="0" w:color="auto"/>
              <w:right w:val="single" w:sz="4" w:space="0" w:color="auto"/>
            </w:tcBorders>
            <w:shd w:val="clear" w:color="000000" w:fill="FFFFFF"/>
            <w:vAlign w:val="center"/>
            <w:hideMark/>
          </w:tcPr>
          <w:p w14:paraId="782616CE" w14:textId="77777777" w:rsidR="005A043A" w:rsidRPr="00214F41" w:rsidRDefault="005A043A" w:rsidP="00286762">
            <w:pPr>
              <w:jc w:val="center"/>
              <w:rPr>
                <w:sz w:val="18"/>
                <w:szCs w:val="18"/>
              </w:rPr>
            </w:pPr>
            <w:r w:rsidRPr="00214F41">
              <w:rPr>
                <w:sz w:val="18"/>
                <w:szCs w:val="18"/>
              </w:rPr>
              <w:t>0/23</w:t>
            </w:r>
          </w:p>
        </w:tc>
        <w:tc>
          <w:tcPr>
            <w:tcW w:w="295" w:type="pct"/>
            <w:tcBorders>
              <w:top w:val="nil"/>
              <w:left w:val="nil"/>
              <w:bottom w:val="single" w:sz="4" w:space="0" w:color="auto"/>
              <w:right w:val="single" w:sz="4" w:space="0" w:color="auto"/>
            </w:tcBorders>
            <w:shd w:val="clear" w:color="000000" w:fill="FFFFFF"/>
            <w:vAlign w:val="center"/>
            <w:hideMark/>
          </w:tcPr>
          <w:p w14:paraId="6845CF8D" w14:textId="77777777" w:rsidR="005A043A" w:rsidRPr="00214F41" w:rsidRDefault="005A043A" w:rsidP="00286762">
            <w:pPr>
              <w:jc w:val="center"/>
              <w:rPr>
                <w:sz w:val="18"/>
                <w:szCs w:val="18"/>
              </w:rPr>
            </w:pPr>
            <w:r w:rsidRPr="00214F41">
              <w:rPr>
                <w:sz w:val="18"/>
                <w:szCs w:val="18"/>
              </w:rPr>
              <w:t>2|25</w:t>
            </w:r>
          </w:p>
        </w:tc>
        <w:tc>
          <w:tcPr>
            <w:tcW w:w="718" w:type="pct"/>
            <w:tcBorders>
              <w:top w:val="nil"/>
              <w:left w:val="nil"/>
              <w:bottom w:val="single" w:sz="4" w:space="0" w:color="auto"/>
              <w:right w:val="single" w:sz="4" w:space="0" w:color="auto"/>
            </w:tcBorders>
            <w:shd w:val="clear" w:color="000000" w:fill="FFFFFF"/>
            <w:vAlign w:val="center"/>
            <w:hideMark/>
          </w:tcPr>
          <w:p w14:paraId="593831A8"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BD5E74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816623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DC1ABA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9E2BB7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2A3EE554" w14:textId="77777777" w:rsidR="005A043A" w:rsidRPr="00214F41" w:rsidRDefault="005A043A" w:rsidP="00286762">
            <w:pPr>
              <w:jc w:val="center"/>
              <w:rPr>
                <w:sz w:val="18"/>
                <w:szCs w:val="18"/>
              </w:rPr>
            </w:pPr>
            <w:r w:rsidRPr="00214F41">
              <w:rPr>
                <w:sz w:val="18"/>
                <w:szCs w:val="18"/>
              </w:rPr>
              <w:t>0/23</w:t>
            </w:r>
          </w:p>
        </w:tc>
        <w:tc>
          <w:tcPr>
            <w:tcW w:w="280" w:type="pct"/>
            <w:tcBorders>
              <w:top w:val="nil"/>
              <w:left w:val="nil"/>
              <w:bottom w:val="single" w:sz="4" w:space="0" w:color="auto"/>
              <w:right w:val="single" w:sz="4" w:space="0" w:color="auto"/>
            </w:tcBorders>
            <w:shd w:val="clear" w:color="000000" w:fill="FFFFFF"/>
            <w:vAlign w:val="center"/>
            <w:hideMark/>
          </w:tcPr>
          <w:p w14:paraId="49F08F39" w14:textId="77777777" w:rsidR="005A043A" w:rsidRPr="00214F41" w:rsidRDefault="005A043A" w:rsidP="00286762">
            <w:pPr>
              <w:jc w:val="center"/>
              <w:rPr>
                <w:sz w:val="18"/>
                <w:szCs w:val="18"/>
              </w:rPr>
            </w:pPr>
            <w:r w:rsidRPr="00214F41">
              <w:rPr>
                <w:sz w:val="18"/>
                <w:szCs w:val="18"/>
              </w:rPr>
              <w:t>3|25</w:t>
            </w:r>
          </w:p>
        </w:tc>
        <w:tc>
          <w:tcPr>
            <w:tcW w:w="278" w:type="pct"/>
            <w:tcBorders>
              <w:top w:val="nil"/>
              <w:left w:val="nil"/>
              <w:bottom w:val="single" w:sz="4" w:space="0" w:color="auto"/>
              <w:right w:val="single" w:sz="4" w:space="0" w:color="auto"/>
            </w:tcBorders>
            <w:shd w:val="clear" w:color="000000" w:fill="FFFFFF"/>
            <w:vAlign w:val="center"/>
            <w:hideMark/>
          </w:tcPr>
          <w:p w14:paraId="2CB3510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63852C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9CCA94E" w14:textId="77777777" w:rsidR="005A043A" w:rsidRPr="00214F41" w:rsidRDefault="005A043A" w:rsidP="00286762">
            <w:pPr>
              <w:jc w:val="center"/>
              <w:rPr>
                <w:sz w:val="18"/>
                <w:szCs w:val="18"/>
              </w:rPr>
            </w:pPr>
            <w:r w:rsidRPr="00214F41">
              <w:rPr>
                <w:sz w:val="18"/>
                <w:szCs w:val="18"/>
              </w:rPr>
              <w:t>0/23</w:t>
            </w:r>
          </w:p>
        </w:tc>
        <w:tc>
          <w:tcPr>
            <w:tcW w:w="279" w:type="pct"/>
            <w:tcBorders>
              <w:top w:val="nil"/>
              <w:left w:val="nil"/>
              <w:bottom w:val="single" w:sz="4" w:space="0" w:color="auto"/>
              <w:right w:val="single" w:sz="4" w:space="0" w:color="auto"/>
            </w:tcBorders>
            <w:shd w:val="clear" w:color="000000" w:fill="FFFFFF"/>
            <w:vAlign w:val="center"/>
            <w:hideMark/>
          </w:tcPr>
          <w:p w14:paraId="6B880FD7" w14:textId="77777777" w:rsidR="005A043A" w:rsidRPr="00214F41" w:rsidRDefault="005A043A" w:rsidP="00286762">
            <w:pPr>
              <w:jc w:val="center"/>
              <w:rPr>
                <w:sz w:val="18"/>
                <w:szCs w:val="18"/>
              </w:rPr>
            </w:pPr>
            <w:r w:rsidRPr="00214F41">
              <w:rPr>
                <w:sz w:val="18"/>
                <w:szCs w:val="18"/>
              </w:rPr>
              <w:t>3|25</w:t>
            </w:r>
          </w:p>
        </w:tc>
        <w:tc>
          <w:tcPr>
            <w:tcW w:w="279" w:type="pct"/>
            <w:tcBorders>
              <w:top w:val="nil"/>
              <w:left w:val="nil"/>
              <w:bottom w:val="single" w:sz="4" w:space="0" w:color="auto"/>
              <w:right w:val="single" w:sz="4" w:space="0" w:color="auto"/>
            </w:tcBorders>
            <w:shd w:val="clear" w:color="000000" w:fill="FFFFFF"/>
            <w:vAlign w:val="center"/>
            <w:hideMark/>
          </w:tcPr>
          <w:p w14:paraId="5DD4AAA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42A2E8A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50DA6383" w14:textId="77777777" w:rsidTr="00286762">
        <w:trPr>
          <w:trHeight w:val="609"/>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254E19" w14:textId="77777777" w:rsidR="005A043A" w:rsidRPr="00214F41" w:rsidRDefault="005A043A" w:rsidP="00286762">
            <w:pPr>
              <w:jc w:val="center"/>
              <w:rPr>
                <w:sz w:val="18"/>
                <w:szCs w:val="18"/>
              </w:rPr>
            </w:pPr>
            <w:proofErr w:type="spellStart"/>
            <w:r w:rsidRPr="00214F41">
              <w:rPr>
                <w:sz w:val="18"/>
                <w:szCs w:val="18"/>
              </w:rPr>
              <w:t>Goke</w:t>
            </w:r>
            <w:proofErr w:type="spellEnd"/>
            <w:r w:rsidRPr="00214F41">
              <w:rPr>
                <w:sz w:val="18"/>
                <w:szCs w:val="18"/>
              </w:rPr>
              <w:t xml:space="preserve"> et al., 2008</w:t>
            </w:r>
          </w:p>
        </w:tc>
        <w:tc>
          <w:tcPr>
            <w:tcW w:w="318" w:type="pct"/>
            <w:tcBorders>
              <w:top w:val="nil"/>
              <w:left w:val="nil"/>
              <w:bottom w:val="single" w:sz="4" w:space="0" w:color="auto"/>
              <w:right w:val="single" w:sz="4" w:space="0" w:color="auto"/>
            </w:tcBorders>
            <w:shd w:val="clear" w:color="000000" w:fill="FFFFFF"/>
            <w:vAlign w:val="center"/>
            <w:hideMark/>
          </w:tcPr>
          <w:p w14:paraId="1032015B" w14:textId="77777777" w:rsidR="005A043A" w:rsidRPr="00214F41" w:rsidRDefault="005A043A" w:rsidP="00286762">
            <w:pPr>
              <w:jc w:val="center"/>
              <w:rPr>
                <w:sz w:val="18"/>
                <w:szCs w:val="18"/>
              </w:rPr>
            </w:pPr>
            <w:r w:rsidRPr="00214F41">
              <w:rPr>
                <w:sz w:val="18"/>
                <w:szCs w:val="18"/>
              </w:rPr>
              <w:t>3/158</w:t>
            </w:r>
          </w:p>
        </w:tc>
        <w:tc>
          <w:tcPr>
            <w:tcW w:w="295" w:type="pct"/>
            <w:tcBorders>
              <w:top w:val="nil"/>
              <w:left w:val="nil"/>
              <w:bottom w:val="single" w:sz="4" w:space="0" w:color="auto"/>
              <w:right w:val="single" w:sz="4" w:space="0" w:color="auto"/>
            </w:tcBorders>
            <w:shd w:val="clear" w:color="000000" w:fill="FFFFFF"/>
            <w:vAlign w:val="center"/>
            <w:hideMark/>
          </w:tcPr>
          <w:p w14:paraId="696AC5AA" w14:textId="77777777" w:rsidR="005A043A" w:rsidRPr="00214F41" w:rsidRDefault="005A043A" w:rsidP="00286762">
            <w:pPr>
              <w:jc w:val="center"/>
              <w:rPr>
                <w:sz w:val="18"/>
                <w:szCs w:val="18"/>
              </w:rPr>
            </w:pPr>
            <w:r w:rsidRPr="00214F41">
              <w:rPr>
                <w:sz w:val="18"/>
                <w:szCs w:val="18"/>
              </w:rPr>
              <w:t>5/304</w:t>
            </w:r>
          </w:p>
        </w:tc>
        <w:tc>
          <w:tcPr>
            <w:tcW w:w="718" w:type="pct"/>
            <w:tcBorders>
              <w:top w:val="nil"/>
              <w:left w:val="nil"/>
              <w:bottom w:val="single" w:sz="4" w:space="0" w:color="auto"/>
              <w:right w:val="single" w:sz="4" w:space="0" w:color="auto"/>
            </w:tcBorders>
            <w:shd w:val="clear" w:color="000000" w:fill="FFFFFF"/>
            <w:vAlign w:val="center"/>
            <w:hideMark/>
          </w:tcPr>
          <w:p w14:paraId="402E0125"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FEEC1FB" w14:textId="77777777" w:rsidR="005A043A" w:rsidRPr="00214F41" w:rsidRDefault="005A043A" w:rsidP="00286762">
            <w:pPr>
              <w:jc w:val="center"/>
              <w:rPr>
                <w:sz w:val="18"/>
                <w:szCs w:val="18"/>
              </w:rPr>
            </w:pPr>
            <w:r w:rsidRPr="00214F41">
              <w:rPr>
                <w:sz w:val="18"/>
                <w:szCs w:val="18"/>
              </w:rPr>
              <w:t>11/158</w:t>
            </w:r>
          </w:p>
        </w:tc>
        <w:tc>
          <w:tcPr>
            <w:tcW w:w="282" w:type="pct"/>
            <w:tcBorders>
              <w:top w:val="nil"/>
              <w:left w:val="nil"/>
              <w:bottom w:val="single" w:sz="4" w:space="0" w:color="auto"/>
              <w:right w:val="single" w:sz="4" w:space="0" w:color="auto"/>
            </w:tcBorders>
            <w:shd w:val="clear" w:color="000000" w:fill="FFFFFF"/>
            <w:vAlign w:val="center"/>
            <w:hideMark/>
          </w:tcPr>
          <w:p w14:paraId="45949658" w14:textId="77777777" w:rsidR="005A043A" w:rsidRPr="00214F41" w:rsidRDefault="005A043A" w:rsidP="00286762">
            <w:pPr>
              <w:jc w:val="center"/>
              <w:rPr>
                <w:sz w:val="18"/>
                <w:szCs w:val="18"/>
              </w:rPr>
            </w:pPr>
            <w:r w:rsidRPr="00214F41">
              <w:rPr>
                <w:sz w:val="18"/>
                <w:szCs w:val="18"/>
              </w:rPr>
              <w:t>7/304</w:t>
            </w:r>
          </w:p>
        </w:tc>
        <w:tc>
          <w:tcPr>
            <w:tcW w:w="282" w:type="pct"/>
            <w:tcBorders>
              <w:top w:val="nil"/>
              <w:left w:val="nil"/>
              <w:bottom w:val="single" w:sz="4" w:space="0" w:color="auto"/>
              <w:right w:val="single" w:sz="4" w:space="0" w:color="auto"/>
            </w:tcBorders>
            <w:shd w:val="clear" w:color="000000" w:fill="FFFFFF"/>
            <w:vAlign w:val="center"/>
            <w:hideMark/>
          </w:tcPr>
          <w:p w14:paraId="705897D7" w14:textId="77777777" w:rsidR="005A043A" w:rsidRPr="00214F41" w:rsidRDefault="005A043A" w:rsidP="00286762">
            <w:pPr>
              <w:jc w:val="center"/>
              <w:rPr>
                <w:sz w:val="18"/>
                <w:szCs w:val="18"/>
              </w:rPr>
            </w:pPr>
            <w:r w:rsidRPr="00214F41">
              <w:rPr>
                <w:sz w:val="18"/>
                <w:szCs w:val="18"/>
              </w:rPr>
              <w:t>45/158</w:t>
            </w:r>
          </w:p>
        </w:tc>
        <w:tc>
          <w:tcPr>
            <w:tcW w:w="282" w:type="pct"/>
            <w:tcBorders>
              <w:top w:val="nil"/>
              <w:left w:val="nil"/>
              <w:bottom w:val="single" w:sz="4" w:space="0" w:color="auto"/>
              <w:right w:val="single" w:sz="4" w:space="0" w:color="auto"/>
            </w:tcBorders>
            <w:shd w:val="clear" w:color="000000" w:fill="FFFFFF"/>
            <w:vAlign w:val="center"/>
            <w:hideMark/>
          </w:tcPr>
          <w:p w14:paraId="11C60633" w14:textId="77777777" w:rsidR="005A043A" w:rsidRPr="00214F41" w:rsidRDefault="005A043A" w:rsidP="00286762">
            <w:pPr>
              <w:jc w:val="center"/>
              <w:rPr>
                <w:sz w:val="18"/>
                <w:szCs w:val="18"/>
              </w:rPr>
            </w:pPr>
            <w:r w:rsidRPr="00214F41">
              <w:rPr>
                <w:sz w:val="18"/>
                <w:szCs w:val="18"/>
              </w:rPr>
              <w:t>19/304</w:t>
            </w:r>
          </w:p>
        </w:tc>
        <w:tc>
          <w:tcPr>
            <w:tcW w:w="278" w:type="pct"/>
            <w:tcBorders>
              <w:top w:val="nil"/>
              <w:left w:val="nil"/>
              <w:bottom w:val="single" w:sz="4" w:space="0" w:color="auto"/>
              <w:right w:val="single" w:sz="4" w:space="0" w:color="auto"/>
            </w:tcBorders>
            <w:shd w:val="clear" w:color="000000" w:fill="FFFFFF"/>
            <w:vAlign w:val="center"/>
            <w:hideMark/>
          </w:tcPr>
          <w:p w14:paraId="74E8860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769A60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4B1380CF" w14:textId="77777777" w:rsidR="005A043A" w:rsidRPr="00214F41" w:rsidRDefault="005A043A" w:rsidP="00286762">
            <w:pPr>
              <w:jc w:val="center"/>
              <w:rPr>
                <w:sz w:val="18"/>
                <w:szCs w:val="18"/>
              </w:rPr>
            </w:pPr>
            <w:r w:rsidRPr="00214F41">
              <w:rPr>
                <w:sz w:val="18"/>
                <w:szCs w:val="18"/>
              </w:rPr>
              <w:t>8/158</w:t>
            </w:r>
          </w:p>
        </w:tc>
        <w:tc>
          <w:tcPr>
            <w:tcW w:w="280" w:type="pct"/>
            <w:tcBorders>
              <w:top w:val="nil"/>
              <w:left w:val="nil"/>
              <w:bottom w:val="single" w:sz="4" w:space="0" w:color="auto"/>
              <w:right w:val="single" w:sz="4" w:space="0" w:color="auto"/>
            </w:tcBorders>
            <w:shd w:val="clear" w:color="000000" w:fill="FFFFFF"/>
            <w:vAlign w:val="center"/>
            <w:hideMark/>
          </w:tcPr>
          <w:p w14:paraId="4641615C" w14:textId="77777777" w:rsidR="005A043A" w:rsidRPr="00214F41" w:rsidRDefault="005A043A" w:rsidP="00286762">
            <w:pPr>
              <w:jc w:val="center"/>
              <w:rPr>
                <w:sz w:val="18"/>
                <w:szCs w:val="18"/>
              </w:rPr>
            </w:pPr>
            <w:r w:rsidRPr="00214F41">
              <w:rPr>
                <w:sz w:val="18"/>
                <w:szCs w:val="18"/>
              </w:rPr>
              <w:t>3/304</w:t>
            </w:r>
          </w:p>
        </w:tc>
        <w:tc>
          <w:tcPr>
            <w:tcW w:w="282" w:type="pct"/>
            <w:tcBorders>
              <w:top w:val="nil"/>
              <w:left w:val="nil"/>
              <w:bottom w:val="single" w:sz="4" w:space="0" w:color="auto"/>
              <w:right w:val="single" w:sz="4" w:space="0" w:color="auto"/>
            </w:tcBorders>
            <w:shd w:val="clear" w:color="000000" w:fill="FFFFFF"/>
            <w:vAlign w:val="center"/>
            <w:hideMark/>
          </w:tcPr>
          <w:p w14:paraId="5540F04B" w14:textId="77777777" w:rsidR="005A043A" w:rsidRPr="00214F41" w:rsidRDefault="005A043A" w:rsidP="00286762">
            <w:pPr>
              <w:jc w:val="center"/>
              <w:rPr>
                <w:sz w:val="18"/>
                <w:szCs w:val="18"/>
              </w:rPr>
            </w:pPr>
            <w:r w:rsidRPr="00214F41">
              <w:rPr>
                <w:sz w:val="18"/>
                <w:szCs w:val="18"/>
              </w:rPr>
              <w:t>15/158</w:t>
            </w:r>
          </w:p>
        </w:tc>
        <w:tc>
          <w:tcPr>
            <w:tcW w:w="279" w:type="pct"/>
            <w:tcBorders>
              <w:top w:val="nil"/>
              <w:left w:val="nil"/>
              <w:bottom w:val="single" w:sz="4" w:space="0" w:color="auto"/>
              <w:right w:val="single" w:sz="4" w:space="0" w:color="auto"/>
            </w:tcBorders>
            <w:shd w:val="clear" w:color="000000" w:fill="FFFFFF"/>
            <w:vAlign w:val="center"/>
            <w:hideMark/>
          </w:tcPr>
          <w:p w14:paraId="374F6056" w14:textId="77777777" w:rsidR="005A043A" w:rsidRPr="00214F41" w:rsidRDefault="005A043A" w:rsidP="00286762">
            <w:pPr>
              <w:jc w:val="center"/>
              <w:rPr>
                <w:sz w:val="18"/>
                <w:szCs w:val="18"/>
              </w:rPr>
            </w:pPr>
            <w:r w:rsidRPr="00214F41">
              <w:rPr>
                <w:sz w:val="18"/>
                <w:szCs w:val="18"/>
              </w:rPr>
              <w:t>9/304</w:t>
            </w:r>
          </w:p>
        </w:tc>
        <w:tc>
          <w:tcPr>
            <w:tcW w:w="279" w:type="pct"/>
            <w:tcBorders>
              <w:top w:val="nil"/>
              <w:left w:val="nil"/>
              <w:bottom w:val="single" w:sz="4" w:space="0" w:color="auto"/>
              <w:right w:val="single" w:sz="4" w:space="0" w:color="auto"/>
            </w:tcBorders>
            <w:shd w:val="clear" w:color="000000" w:fill="FFFFFF"/>
            <w:vAlign w:val="center"/>
            <w:hideMark/>
          </w:tcPr>
          <w:p w14:paraId="7B2F9D1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6CAA004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F704A0F"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52874D3" w14:textId="77777777" w:rsidR="005A043A" w:rsidRPr="00214F41" w:rsidRDefault="005A043A" w:rsidP="00286762">
            <w:pPr>
              <w:jc w:val="center"/>
              <w:rPr>
                <w:sz w:val="18"/>
                <w:szCs w:val="18"/>
              </w:rPr>
            </w:pPr>
            <w:r w:rsidRPr="00214F41">
              <w:rPr>
                <w:sz w:val="18"/>
                <w:szCs w:val="18"/>
              </w:rPr>
              <w:lastRenderedPageBreak/>
              <w:t>Goldstein et al., 2003</w:t>
            </w:r>
          </w:p>
        </w:tc>
        <w:tc>
          <w:tcPr>
            <w:tcW w:w="318" w:type="pct"/>
            <w:tcBorders>
              <w:top w:val="nil"/>
              <w:left w:val="nil"/>
              <w:bottom w:val="single" w:sz="4" w:space="0" w:color="auto"/>
              <w:right w:val="single" w:sz="4" w:space="0" w:color="auto"/>
            </w:tcBorders>
            <w:shd w:val="clear" w:color="000000" w:fill="FFFFFF"/>
            <w:vAlign w:val="center"/>
            <w:hideMark/>
          </w:tcPr>
          <w:p w14:paraId="5C16B37E" w14:textId="77777777" w:rsidR="005A043A" w:rsidRPr="00214F41" w:rsidRDefault="005A043A" w:rsidP="00286762">
            <w:pPr>
              <w:jc w:val="center"/>
              <w:rPr>
                <w:sz w:val="18"/>
                <w:szCs w:val="18"/>
              </w:rPr>
            </w:pPr>
            <w:r w:rsidRPr="00214F41">
              <w:rPr>
                <w:sz w:val="18"/>
                <w:szCs w:val="18"/>
              </w:rPr>
              <w:t>1|75</w:t>
            </w:r>
          </w:p>
        </w:tc>
        <w:tc>
          <w:tcPr>
            <w:tcW w:w="295" w:type="pct"/>
            <w:tcBorders>
              <w:top w:val="nil"/>
              <w:left w:val="nil"/>
              <w:bottom w:val="single" w:sz="4" w:space="0" w:color="auto"/>
              <w:right w:val="single" w:sz="4" w:space="0" w:color="auto"/>
            </w:tcBorders>
            <w:shd w:val="clear" w:color="000000" w:fill="FFFFFF"/>
            <w:vAlign w:val="center"/>
            <w:hideMark/>
          </w:tcPr>
          <w:p w14:paraId="6DF0D7BD" w14:textId="77777777" w:rsidR="005A043A" w:rsidRPr="00214F41" w:rsidRDefault="005A043A" w:rsidP="00286762">
            <w:pPr>
              <w:jc w:val="center"/>
              <w:rPr>
                <w:sz w:val="18"/>
                <w:szCs w:val="18"/>
              </w:rPr>
            </w:pPr>
            <w:r w:rsidRPr="00214F41">
              <w:rPr>
                <w:sz w:val="18"/>
                <w:szCs w:val="18"/>
              </w:rPr>
              <w:t>3|84</w:t>
            </w:r>
          </w:p>
        </w:tc>
        <w:tc>
          <w:tcPr>
            <w:tcW w:w="718" w:type="pct"/>
            <w:tcBorders>
              <w:top w:val="nil"/>
              <w:left w:val="nil"/>
              <w:bottom w:val="single" w:sz="4" w:space="0" w:color="auto"/>
              <w:right w:val="single" w:sz="4" w:space="0" w:color="auto"/>
            </w:tcBorders>
            <w:shd w:val="clear" w:color="000000" w:fill="FFFFFF"/>
            <w:vAlign w:val="center"/>
            <w:hideMark/>
          </w:tcPr>
          <w:p w14:paraId="4B916E3D" w14:textId="77777777" w:rsidR="005A043A" w:rsidRPr="00214F41" w:rsidRDefault="005A043A" w:rsidP="00286762">
            <w:pPr>
              <w:jc w:val="center"/>
              <w:rPr>
                <w:sz w:val="18"/>
                <w:szCs w:val="18"/>
                <w:lang w:val="en-GB"/>
              </w:rPr>
            </w:pPr>
            <w:r w:rsidRPr="00214F41">
              <w:rPr>
                <w:sz w:val="18"/>
                <w:szCs w:val="18"/>
                <w:lang w:val="en-GB"/>
              </w:rPr>
              <w:t>only GI disorders</w:t>
            </w:r>
          </w:p>
        </w:tc>
        <w:tc>
          <w:tcPr>
            <w:tcW w:w="282" w:type="pct"/>
            <w:tcBorders>
              <w:top w:val="nil"/>
              <w:left w:val="nil"/>
              <w:bottom w:val="single" w:sz="4" w:space="0" w:color="auto"/>
              <w:right w:val="single" w:sz="4" w:space="0" w:color="auto"/>
            </w:tcBorders>
            <w:shd w:val="clear" w:color="000000" w:fill="FFFFFF"/>
            <w:vAlign w:val="center"/>
            <w:hideMark/>
          </w:tcPr>
          <w:p w14:paraId="253EE850" w14:textId="77777777" w:rsidR="005A043A" w:rsidRPr="00214F41" w:rsidRDefault="005A043A" w:rsidP="00286762">
            <w:pPr>
              <w:jc w:val="center"/>
              <w:rPr>
                <w:sz w:val="18"/>
                <w:szCs w:val="18"/>
              </w:rPr>
            </w:pPr>
            <w:r w:rsidRPr="00214F41">
              <w:rPr>
                <w:sz w:val="18"/>
                <w:szCs w:val="18"/>
              </w:rPr>
              <w:t>5|75</w:t>
            </w:r>
          </w:p>
        </w:tc>
        <w:tc>
          <w:tcPr>
            <w:tcW w:w="282" w:type="pct"/>
            <w:tcBorders>
              <w:top w:val="nil"/>
              <w:left w:val="nil"/>
              <w:bottom w:val="single" w:sz="4" w:space="0" w:color="auto"/>
              <w:right w:val="single" w:sz="4" w:space="0" w:color="auto"/>
            </w:tcBorders>
            <w:shd w:val="clear" w:color="000000" w:fill="FFFFFF"/>
            <w:vAlign w:val="center"/>
            <w:hideMark/>
          </w:tcPr>
          <w:p w14:paraId="796309D8" w14:textId="77777777" w:rsidR="005A043A" w:rsidRPr="00214F41" w:rsidRDefault="005A043A" w:rsidP="00286762">
            <w:pPr>
              <w:jc w:val="center"/>
              <w:rPr>
                <w:sz w:val="18"/>
                <w:szCs w:val="18"/>
              </w:rPr>
            </w:pPr>
            <w:r w:rsidRPr="00214F41">
              <w:rPr>
                <w:sz w:val="18"/>
                <w:szCs w:val="18"/>
              </w:rPr>
              <w:t>7|84</w:t>
            </w:r>
          </w:p>
        </w:tc>
        <w:tc>
          <w:tcPr>
            <w:tcW w:w="282" w:type="pct"/>
            <w:tcBorders>
              <w:top w:val="nil"/>
              <w:left w:val="nil"/>
              <w:bottom w:val="single" w:sz="4" w:space="0" w:color="auto"/>
              <w:right w:val="single" w:sz="4" w:space="0" w:color="auto"/>
            </w:tcBorders>
            <w:shd w:val="clear" w:color="000000" w:fill="FFFFFF"/>
            <w:vAlign w:val="center"/>
            <w:hideMark/>
          </w:tcPr>
          <w:p w14:paraId="677D99EE" w14:textId="77777777" w:rsidR="005A043A" w:rsidRPr="00214F41" w:rsidRDefault="005A043A" w:rsidP="00286762">
            <w:pPr>
              <w:jc w:val="center"/>
              <w:rPr>
                <w:sz w:val="18"/>
                <w:szCs w:val="18"/>
              </w:rPr>
            </w:pPr>
            <w:r w:rsidRPr="00214F41">
              <w:rPr>
                <w:sz w:val="18"/>
                <w:szCs w:val="18"/>
              </w:rPr>
              <w:t>13|75</w:t>
            </w:r>
          </w:p>
        </w:tc>
        <w:tc>
          <w:tcPr>
            <w:tcW w:w="282" w:type="pct"/>
            <w:tcBorders>
              <w:top w:val="nil"/>
              <w:left w:val="nil"/>
              <w:bottom w:val="single" w:sz="4" w:space="0" w:color="auto"/>
              <w:right w:val="single" w:sz="4" w:space="0" w:color="auto"/>
            </w:tcBorders>
            <w:shd w:val="clear" w:color="000000" w:fill="FFFFFF"/>
            <w:vAlign w:val="center"/>
            <w:hideMark/>
          </w:tcPr>
          <w:p w14:paraId="5887200B" w14:textId="77777777" w:rsidR="005A043A" w:rsidRPr="00214F41" w:rsidRDefault="005A043A" w:rsidP="00286762">
            <w:pPr>
              <w:jc w:val="center"/>
              <w:rPr>
                <w:sz w:val="18"/>
                <w:szCs w:val="18"/>
              </w:rPr>
            </w:pPr>
            <w:r w:rsidRPr="00214F41">
              <w:rPr>
                <w:sz w:val="18"/>
                <w:szCs w:val="18"/>
              </w:rPr>
              <w:t>11|84</w:t>
            </w:r>
          </w:p>
        </w:tc>
        <w:tc>
          <w:tcPr>
            <w:tcW w:w="278" w:type="pct"/>
            <w:tcBorders>
              <w:top w:val="nil"/>
              <w:left w:val="nil"/>
              <w:bottom w:val="single" w:sz="4" w:space="0" w:color="auto"/>
              <w:right w:val="single" w:sz="4" w:space="0" w:color="auto"/>
            </w:tcBorders>
            <w:shd w:val="clear" w:color="000000" w:fill="FFFFFF"/>
            <w:vAlign w:val="center"/>
            <w:hideMark/>
          </w:tcPr>
          <w:p w14:paraId="52E52501" w14:textId="77777777" w:rsidR="005A043A" w:rsidRPr="00214F41" w:rsidRDefault="005A043A" w:rsidP="00286762">
            <w:pPr>
              <w:jc w:val="center"/>
              <w:rPr>
                <w:sz w:val="18"/>
                <w:szCs w:val="18"/>
              </w:rPr>
            </w:pPr>
            <w:r w:rsidRPr="00214F41">
              <w:rPr>
                <w:sz w:val="18"/>
                <w:szCs w:val="18"/>
              </w:rPr>
              <w:t>6|75</w:t>
            </w:r>
          </w:p>
        </w:tc>
        <w:tc>
          <w:tcPr>
            <w:tcW w:w="280" w:type="pct"/>
            <w:tcBorders>
              <w:top w:val="nil"/>
              <w:left w:val="nil"/>
              <w:bottom w:val="single" w:sz="4" w:space="0" w:color="auto"/>
              <w:right w:val="single" w:sz="4" w:space="0" w:color="auto"/>
            </w:tcBorders>
            <w:shd w:val="clear" w:color="000000" w:fill="FFFFFF"/>
            <w:vAlign w:val="center"/>
            <w:hideMark/>
          </w:tcPr>
          <w:p w14:paraId="3BC97D7E" w14:textId="77777777" w:rsidR="005A043A" w:rsidRPr="00214F41" w:rsidRDefault="005A043A" w:rsidP="00286762">
            <w:pPr>
              <w:jc w:val="center"/>
              <w:rPr>
                <w:sz w:val="18"/>
                <w:szCs w:val="18"/>
              </w:rPr>
            </w:pPr>
            <w:r w:rsidRPr="00214F41">
              <w:rPr>
                <w:sz w:val="18"/>
                <w:szCs w:val="18"/>
              </w:rPr>
              <w:t>5|84</w:t>
            </w:r>
          </w:p>
        </w:tc>
        <w:tc>
          <w:tcPr>
            <w:tcW w:w="278" w:type="pct"/>
            <w:tcBorders>
              <w:top w:val="nil"/>
              <w:left w:val="nil"/>
              <w:bottom w:val="single" w:sz="4" w:space="0" w:color="auto"/>
              <w:right w:val="single" w:sz="4" w:space="0" w:color="auto"/>
            </w:tcBorders>
            <w:shd w:val="clear" w:color="000000" w:fill="FFFFFF"/>
            <w:vAlign w:val="center"/>
            <w:hideMark/>
          </w:tcPr>
          <w:p w14:paraId="3BE0145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E79A8C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C4C72DF" w14:textId="77777777" w:rsidR="005A043A" w:rsidRPr="00214F41" w:rsidRDefault="005A043A" w:rsidP="00286762">
            <w:pPr>
              <w:jc w:val="center"/>
              <w:rPr>
                <w:sz w:val="18"/>
                <w:szCs w:val="18"/>
              </w:rPr>
            </w:pPr>
            <w:r w:rsidRPr="00214F41">
              <w:rPr>
                <w:sz w:val="18"/>
                <w:szCs w:val="18"/>
              </w:rPr>
              <w:t>6|75</w:t>
            </w:r>
          </w:p>
        </w:tc>
        <w:tc>
          <w:tcPr>
            <w:tcW w:w="279" w:type="pct"/>
            <w:tcBorders>
              <w:top w:val="nil"/>
              <w:left w:val="nil"/>
              <w:bottom w:val="single" w:sz="4" w:space="0" w:color="auto"/>
              <w:right w:val="single" w:sz="4" w:space="0" w:color="auto"/>
            </w:tcBorders>
            <w:shd w:val="clear" w:color="000000" w:fill="FFFFFF"/>
            <w:vAlign w:val="center"/>
            <w:hideMark/>
          </w:tcPr>
          <w:p w14:paraId="5BDF9EAA" w14:textId="77777777" w:rsidR="005A043A" w:rsidRPr="00214F41" w:rsidRDefault="005A043A" w:rsidP="00286762">
            <w:pPr>
              <w:jc w:val="center"/>
              <w:rPr>
                <w:sz w:val="18"/>
                <w:szCs w:val="18"/>
              </w:rPr>
            </w:pPr>
            <w:r w:rsidRPr="00214F41">
              <w:rPr>
                <w:sz w:val="18"/>
                <w:szCs w:val="18"/>
              </w:rPr>
              <w:t>5|84</w:t>
            </w:r>
          </w:p>
        </w:tc>
        <w:tc>
          <w:tcPr>
            <w:tcW w:w="279" w:type="pct"/>
            <w:tcBorders>
              <w:top w:val="nil"/>
              <w:left w:val="nil"/>
              <w:bottom w:val="single" w:sz="4" w:space="0" w:color="auto"/>
              <w:right w:val="single" w:sz="4" w:space="0" w:color="auto"/>
            </w:tcBorders>
            <w:shd w:val="clear" w:color="000000" w:fill="FFFFFF"/>
            <w:vAlign w:val="center"/>
            <w:hideMark/>
          </w:tcPr>
          <w:p w14:paraId="2CD6CEC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47C86FA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4662768A" w14:textId="77777777" w:rsidTr="00286762">
        <w:trPr>
          <w:trHeight w:val="34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1D60CF9" w14:textId="77777777" w:rsidR="005A043A" w:rsidRPr="00214F41" w:rsidRDefault="005A043A" w:rsidP="00286762">
            <w:pPr>
              <w:jc w:val="center"/>
              <w:rPr>
                <w:sz w:val="18"/>
                <w:szCs w:val="18"/>
              </w:rPr>
            </w:pPr>
            <w:r w:rsidRPr="00214F41">
              <w:rPr>
                <w:sz w:val="18"/>
                <w:szCs w:val="18"/>
              </w:rPr>
              <w:t>Gottschalk et al., 2007</w:t>
            </w:r>
          </w:p>
        </w:tc>
        <w:tc>
          <w:tcPr>
            <w:tcW w:w="318" w:type="pct"/>
            <w:tcBorders>
              <w:top w:val="nil"/>
              <w:left w:val="nil"/>
              <w:bottom w:val="single" w:sz="4" w:space="0" w:color="auto"/>
              <w:right w:val="single" w:sz="4" w:space="0" w:color="auto"/>
            </w:tcBorders>
            <w:shd w:val="clear" w:color="000000" w:fill="FFFFFF"/>
            <w:vAlign w:val="center"/>
            <w:hideMark/>
          </w:tcPr>
          <w:p w14:paraId="4BBC791C" w14:textId="77777777" w:rsidR="005A043A" w:rsidRPr="00214F41" w:rsidRDefault="005A043A" w:rsidP="00286762">
            <w:pPr>
              <w:jc w:val="center"/>
              <w:rPr>
                <w:sz w:val="18"/>
                <w:szCs w:val="18"/>
              </w:rPr>
            </w:pPr>
            <w:r w:rsidRPr="00214F41">
              <w:rPr>
                <w:sz w:val="18"/>
                <w:szCs w:val="18"/>
              </w:rPr>
              <w:t>1/142</w:t>
            </w:r>
          </w:p>
        </w:tc>
        <w:tc>
          <w:tcPr>
            <w:tcW w:w="295" w:type="pct"/>
            <w:tcBorders>
              <w:top w:val="nil"/>
              <w:left w:val="nil"/>
              <w:bottom w:val="single" w:sz="4" w:space="0" w:color="auto"/>
              <w:right w:val="single" w:sz="4" w:space="0" w:color="auto"/>
            </w:tcBorders>
            <w:shd w:val="clear" w:color="000000" w:fill="FFFFFF"/>
            <w:vAlign w:val="center"/>
            <w:hideMark/>
          </w:tcPr>
          <w:p w14:paraId="187EFA0C" w14:textId="77777777" w:rsidR="005A043A" w:rsidRPr="00214F41" w:rsidRDefault="005A043A" w:rsidP="00286762">
            <w:pPr>
              <w:jc w:val="center"/>
              <w:rPr>
                <w:sz w:val="18"/>
                <w:szCs w:val="18"/>
              </w:rPr>
            </w:pPr>
            <w:r w:rsidRPr="00214F41">
              <w:rPr>
                <w:sz w:val="18"/>
                <w:szCs w:val="18"/>
              </w:rPr>
              <w:t>1/142</w:t>
            </w:r>
          </w:p>
        </w:tc>
        <w:tc>
          <w:tcPr>
            <w:tcW w:w="718" w:type="pct"/>
            <w:tcBorders>
              <w:top w:val="nil"/>
              <w:left w:val="nil"/>
              <w:bottom w:val="single" w:sz="4" w:space="0" w:color="auto"/>
              <w:right w:val="single" w:sz="4" w:space="0" w:color="auto"/>
            </w:tcBorders>
            <w:shd w:val="clear" w:color="000000" w:fill="FFFFFF"/>
            <w:vAlign w:val="center"/>
            <w:hideMark/>
          </w:tcPr>
          <w:p w14:paraId="5A4B4DCA"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5F41767" w14:textId="77777777" w:rsidR="005A043A" w:rsidRPr="00214F41" w:rsidRDefault="005A043A" w:rsidP="00286762">
            <w:pPr>
              <w:jc w:val="center"/>
              <w:rPr>
                <w:sz w:val="18"/>
                <w:szCs w:val="18"/>
              </w:rPr>
            </w:pPr>
            <w:r w:rsidRPr="00214F41">
              <w:rPr>
                <w:sz w:val="18"/>
                <w:szCs w:val="18"/>
              </w:rPr>
              <w:t>2/131</w:t>
            </w:r>
          </w:p>
        </w:tc>
        <w:tc>
          <w:tcPr>
            <w:tcW w:w="282" w:type="pct"/>
            <w:tcBorders>
              <w:top w:val="nil"/>
              <w:left w:val="nil"/>
              <w:bottom w:val="single" w:sz="4" w:space="0" w:color="auto"/>
              <w:right w:val="single" w:sz="4" w:space="0" w:color="auto"/>
            </w:tcBorders>
            <w:shd w:val="clear" w:color="000000" w:fill="FFFFFF"/>
            <w:vAlign w:val="center"/>
            <w:hideMark/>
          </w:tcPr>
          <w:p w14:paraId="503275CD" w14:textId="77777777" w:rsidR="005A043A" w:rsidRPr="00214F41" w:rsidRDefault="005A043A" w:rsidP="00286762">
            <w:pPr>
              <w:jc w:val="center"/>
              <w:rPr>
                <w:sz w:val="18"/>
                <w:szCs w:val="18"/>
              </w:rPr>
            </w:pPr>
            <w:r w:rsidRPr="00214F41">
              <w:rPr>
                <w:sz w:val="18"/>
                <w:szCs w:val="18"/>
              </w:rPr>
              <w:t>2/132</w:t>
            </w:r>
          </w:p>
        </w:tc>
        <w:tc>
          <w:tcPr>
            <w:tcW w:w="282" w:type="pct"/>
            <w:tcBorders>
              <w:top w:val="nil"/>
              <w:left w:val="nil"/>
              <w:bottom w:val="single" w:sz="4" w:space="0" w:color="auto"/>
              <w:right w:val="single" w:sz="4" w:space="0" w:color="auto"/>
            </w:tcBorders>
            <w:shd w:val="clear" w:color="000000" w:fill="FFFFFF"/>
            <w:vAlign w:val="center"/>
            <w:hideMark/>
          </w:tcPr>
          <w:p w14:paraId="3ADE19D5" w14:textId="77777777" w:rsidR="005A043A" w:rsidRPr="00214F41" w:rsidRDefault="005A043A" w:rsidP="00286762">
            <w:pPr>
              <w:jc w:val="center"/>
              <w:rPr>
                <w:sz w:val="18"/>
                <w:szCs w:val="18"/>
              </w:rPr>
            </w:pPr>
            <w:r w:rsidRPr="00214F41">
              <w:rPr>
                <w:sz w:val="18"/>
                <w:szCs w:val="18"/>
              </w:rPr>
              <w:t>6/131</w:t>
            </w:r>
          </w:p>
        </w:tc>
        <w:tc>
          <w:tcPr>
            <w:tcW w:w="282" w:type="pct"/>
            <w:tcBorders>
              <w:top w:val="nil"/>
              <w:left w:val="nil"/>
              <w:bottom w:val="single" w:sz="4" w:space="0" w:color="auto"/>
              <w:right w:val="single" w:sz="4" w:space="0" w:color="auto"/>
            </w:tcBorders>
            <w:shd w:val="clear" w:color="000000" w:fill="FFFFFF"/>
            <w:vAlign w:val="center"/>
            <w:hideMark/>
          </w:tcPr>
          <w:p w14:paraId="7591CA7B" w14:textId="77777777" w:rsidR="005A043A" w:rsidRPr="00214F41" w:rsidRDefault="005A043A" w:rsidP="00286762">
            <w:pPr>
              <w:jc w:val="center"/>
              <w:rPr>
                <w:sz w:val="18"/>
                <w:szCs w:val="18"/>
              </w:rPr>
            </w:pPr>
            <w:r w:rsidRPr="00214F41">
              <w:rPr>
                <w:sz w:val="18"/>
                <w:szCs w:val="18"/>
              </w:rPr>
              <w:t>1/132</w:t>
            </w:r>
          </w:p>
        </w:tc>
        <w:tc>
          <w:tcPr>
            <w:tcW w:w="278" w:type="pct"/>
            <w:tcBorders>
              <w:top w:val="nil"/>
              <w:left w:val="nil"/>
              <w:bottom w:val="single" w:sz="4" w:space="0" w:color="auto"/>
              <w:right w:val="single" w:sz="4" w:space="0" w:color="auto"/>
            </w:tcBorders>
            <w:shd w:val="clear" w:color="000000" w:fill="FFFFFF"/>
            <w:vAlign w:val="center"/>
            <w:hideMark/>
          </w:tcPr>
          <w:p w14:paraId="7511C32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45795DC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5C10743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E4632C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617A262" w14:textId="77777777" w:rsidR="005A043A" w:rsidRPr="00214F41" w:rsidRDefault="005A043A" w:rsidP="00286762">
            <w:pPr>
              <w:jc w:val="center"/>
              <w:rPr>
                <w:sz w:val="18"/>
                <w:szCs w:val="18"/>
              </w:rPr>
            </w:pPr>
            <w:r w:rsidRPr="00214F41">
              <w:rPr>
                <w:sz w:val="18"/>
                <w:szCs w:val="18"/>
              </w:rPr>
              <w:t>4/131</w:t>
            </w:r>
          </w:p>
        </w:tc>
        <w:tc>
          <w:tcPr>
            <w:tcW w:w="279" w:type="pct"/>
            <w:tcBorders>
              <w:top w:val="nil"/>
              <w:left w:val="nil"/>
              <w:bottom w:val="single" w:sz="4" w:space="0" w:color="auto"/>
              <w:right w:val="single" w:sz="4" w:space="0" w:color="auto"/>
            </w:tcBorders>
            <w:shd w:val="clear" w:color="000000" w:fill="FFFFFF"/>
            <w:vAlign w:val="center"/>
            <w:hideMark/>
          </w:tcPr>
          <w:p w14:paraId="33BD878F" w14:textId="77777777" w:rsidR="005A043A" w:rsidRPr="00214F41" w:rsidRDefault="005A043A" w:rsidP="00286762">
            <w:pPr>
              <w:jc w:val="center"/>
              <w:rPr>
                <w:sz w:val="18"/>
                <w:szCs w:val="18"/>
              </w:rPr>
            </w:pPr>
            <w:r w:rsidRPr="00214F41">
              <w:rPr>
                <w:sz w:val="18"/>
                <w:szCs w:val="18"/>
              </w:rPr>
              <w:t>1/132</w:t>
            </w:r>
          </w:p>
        </w:tc>
        <w:tc>
          <w:tcPr>
            <w:tcW w:w="279" w:type="pct"/>
            <w:tcBorders>
              <w:top w:val="nil"/>
              <w:left w:val="nil"/>
              <w:bottom w:val="single" w:sz="4" w:space="0" w:color="auto"/>
              <w:right w:val="single" w:sz="4" w:space="0" w:color="auto"/>
            </w:tcBorders>
            <w:shd w:val="clear" w:color="000000" w:fill="FFFFFF"/>
            <w:vAlign w:val="center"/>
            <w:hideMark/>
          </w:tcPr>
          <w:p w14:paraId="0906396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4ED46CE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735CA134" w14:textId="77777777" w:rsidTr="00286762">
        <w:trPr>
          <w:trHeight w:val="68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A6A74CF" w14:textId="77777777" w:rsidR="005A043A" w:rsidRPr="00214F41" w:rsidRDefault="005A043A" w:rsidP="00286762">
            <w:pPr>
              <w:jc w:val="center"/>
              <w:rPr>
                <w:sz w:val="18"/>
                <w:szCs w:val="18"/>
              </w:rPr>
            </w:pPr>
            <w:proofErr w:type="spellStart"/>
            <w:r w:rsidRPr="00214F41">
              <w:rPr>
                <w:sz w:val="18"/>
                <w:szCs w:val="18"/>
              </w:rPr>
              <w:t>Haak</w:t>
            </w:r>
            <w:proofErr w:type="spellEnd"/>
            <w:r w:rsidRPr="00214F41">
              <w:rPr>
                <w:sz w:val="18"/>
                <w:szCs w:val="18"/>
              </w:rPr>
              <w:t xml:space="preserve"> et al., 2012a</w:t>
            </w:r>
          </w:p>
        </w:tc>
        <w:tc>
          <w:tcPr>
            <w:tcW w:w="318" w:type="pct"/>
            <w:tcBorders>
              <w:top w:val="nil"/>
              <w:left w:val="nil"/>
              <w:bottom w:val="single" w:sz="4" w:space="0" w:color="auto"/>
              <w:right w:val="single" w:sz="4" w:space="0" w:color="auto"/>
            </w:tcBorders>
            <w:shd w:val="clear" w:color="000000" w:fill="FFFFFF"/>
            <w:vAlign w:val="center"/>
            <w:hideMark/>
          </w:tcPr>
          <w:p w14:paraId="710FF985" w14:textId="77777777" w:rsidR="005A043A" w:rsidRPr="00214F41" w:rsidRDefault="005A043A" w:rsidP="00286762">
            <w:pPr>
              <w:jc w:val="center"/>
              <w:rPr>
                <w:sz w:val="18"/>
                <w:szCs w:val="18"/>
              </w:rPr>
            </w:pPr>
            <w:r w:rsidRPr="00214F41">
              <w:rPr>
                <w:sz w:val="18"/>
                <w:szCs w:val="18"/>
              </w:rPr>
              <w:t>3/144</w:t>
            </w:r>
          </w:p>
        </w:tc>
        <w:tc>
          <w:tcPr>
            <w:tcW w:w="295" w:type="pct"/>
            <w:tcBorders>
              <w:top w:val="nil"/>
              <w:left w:val="nil"/>
              <w:bottom w:val="single" w:sz="4" w:space="0" w:color="auto"/>
              <w:right w:val="single" w:sz="4" w:space="0" w:color="auto"/>
            </w:tcBorders>
            <w:shd w:val="clear" w:color="000000" w:fill="FFFFFF"/>
            <w:vAlign w:val="center"/>
            <w:hideMark/>
          </w:tcPr>
          <w:p w14:paraId="0CE458BC" w14:textId="77777777" w:rsidR="005A043A" w:rsidRPr="00214F41" w:rsidRDefault="005A043A" w:rsidP="00286762">
            <w:pPr>
              <w:jc w:val="center"/>
              <w:rPr>
                <w:sz w:val="18"/>
                <w:szCs w:val="18"/>
              </w:rPr>
            </w:pPr>
            <w:r w:rsidRPr="00214F41">
              <w:rPr>
                <w:sz w:val="18"/>
                <w:szCs w:val="18"/>
              </w:rPr>
              <w:t>5|72</w:t>
            </w:r>
          </w:p>
        </w:tc>
        <w:tc>
          <w:tcPr>
            <w:tcW w:w="718" w:type="pct"/>
            <w:vMerge w:val="restart"/>
            <w:tcBorders>
              <w:top w:val="nil"/>
              <w:left w:val="nil"/>
              <w:right w:val="single" w:sz="4" w:space="0" w:color="auto"/>
            </w:tcBorders>
            <w:shd w:val="clear" w:color="000000" w:fill="FFFFFF"/>
            <w:vAlign w:val="center"/>
            <w:hideMark/>
          </w:tcPr>
          <w:p w14:paraId="2F2CC9B0"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44230E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A5B61E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EC73C58" w14:textId="77777777" w:rsidR="005A043A" w:rsidRPr="00214F41" w:rsidRDefault="005A043A" w:rsidP="00286762">
            <w:pPr>
              <w:jc w:val="center"/>
              <w:rPr>
                <w:sz w:val="18"/>
                <w:szCs w:val="18"/>
              </w:rPr>
            </w:pPr>
            <w:r w:rsidRPr="00214F41">
              <w:rPr>
                <w:sz w:val="18"/>
                <w:szCs w:val="18"/>
              </w:rPr>
              <w:t>3/144</w:t>
            </w:r>
          </w:p>
        </w:tc>
        <w:tc>
          <w:tcPr>
            <w:tcW w:w="282" w:type="pct"/>
            <w:tcBorders>
              <w:top w:val="nil"/>
              <w:left w:val="nil"/>
              <w:bottom w:val="single" w:sz="4" w:space="0" w:color="auto"/>
              <w:right w:val="single" w:sz="4" w:space="0" w:color="auto"/>
            </w:tcBorders>
            <w:shd w:val="clear" w:color="000000" w:fill="FFFFFF"/>
            <w:vAlign w:val="center"/>
            <w:hideMark/>
          </w:tcPr>
          <w:p w14:paraId="3C62F7FA" w14:textId="77777777" w:rsidR="005A043A" w:rsidRPr="00214F41" w:rsidRDefault="005A043A" w:rsidP="00286762">
            <w:pPr>
              <w:jc w:val="center"/>
              <w:rPr>
                <w:sz w:val="18"/>
                <w:szCs w:val="18"/>
              </w:rPr>
            </w:pPr>
            <w:r w:rsidRPr="00214F41">
              <w:rPr>
                <w:sz w:val="18"/>
                <w:szCs w:val="18"/>
              </w:rPr>
              <w:t>2|72</w:t>
            </w:r>
          </w:p>
        </w:tc>
        <w:tc>
          <w:tcPr>
            <w:tcW w:w="278" w:type="pct"/>
            <w:tcBorders>
              <w:top w:val="nil"/>
              <w:left w:val="nil"/>
              <w:bottom w:val="single" w:sz="4" w:space="0" w:color="auto"/>
              <w:right w:val="single" w:sz="4" w:space="0" w:color="auto"/>
            </w:tcBorders>
            <w:shd w:val="clear" w:color="000000" w:fill="FFFFFF"/>
            <w:vAlign w:val="center"/>
            <w:hideMark/>
          </w:tcPr>
          <w:p w14:paraId="3BCFFCF9" w14:textId="77777777" w:rsidR="005A043A" w:rsidRPr="00214F41" w:rsidRDefault="005A043A" w:rsidP="00286762">
            <w:pPr>
              <w:jc w:val="center"/>
              <w:rPr>
                <w:sz w:val="18"/>
                <w:szCs w:val="18"/>
              </w:rPr>
            </w:pPr>
            <w:r w:rsidRPr="00214F41">
              <w:rPr>
                <w:sz w:val="18"/>
                <w:szCs w:val="18"/>
              </w:rPr>
              <w:t>0/144</w:t>
            </w:r>
          </w:p>
        </w:tc>
        <w:tc>
          <w:tcPr>
            <w:tcW w:w="280" w:type="pct"/>
            <w:tcBorders>
              <w:top w:val="nil"/>
              <w:left w:val="nil"/>
              <w:bottom w:val="single" w:sz="4" w:space="0" w:color="auto"/>
              <w:right w:val="single" w:sz="4" w:space="0" w:color="auto"/>
            </w:tcBorders>
            <w:shd w:val="clear" w:color="000000" w:fill="FFFFFF"/>
            <w:vAlign w:val="center"/>
            <w:hideMark/>
          </w:tcPr>
          <w:p w14:paraId="3528BD6A" w14:textId="77777777" w:rsidR="005A043A" w:rsidRPr="00214F41" w:rsidRDefault="005A043A" w:rsidP="00286762">
            <w:pPr>
              <w:jc w:val="center"/>
              <w:rPr>
                <w:sz w:val="18"/>
                <w:szCs w:val="18"/>
              </w:rPr>
            </w:pPr>
            <w:r w:rsidRPr="00214F41">
              <w:rPr>
                <w:sz w:val="18"/>
                <w:szCs w:val="18"/>
              </w:rPr>
              <w:t>1|72</w:t>
            </w:r>
          </w:p>
        </w:tc>
        <w:tc>
          <w:tcPr>
            <w:tcW w:w="278" w:type="pct"/>
            <w:tcBorders>
              <w:top w:val="nil"/>
              <w:left w:val="nil"/>
              <w:bottom w:val="single" w:sz="4" w:space="0" w:color="auto"/>
              <w:right w:val="single" w:sz="4" w:space="0" w:color="auto"/>
            </w:tcBorders>
            <w:shd w:val="clear" w:color="000000" w:fill="FFFFFF"/>
            <w:vAlign w:val="center"/>
            <w:hideMark/>
          </w:tcPr>
          <w:p w14:paraId="76F766F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C37162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859EE59" w14:textId="77777777" w:rsidR="005A043A" w:rsidRPr="00214F41" w:rsidRDefault="005A043A" w:rsidP="00286762">
            <w:pPr>
              <w:jc w:val="center"/>
              <w:rPr>
                <w:sz w:val="18"/>
                <w:szCs w:val="18"/>
              </w:rPr>
            </w:pPr>
            <w:r w:rsidRPr="00214F41">
              <w:rPr>
                <w:sz w:val="18"/>
                <w:szCs w:val="18"/>
              </w:rPr>
              <w:t>0/144</w:t>
            </w:r>
          </w:p>
        </w:tc>
        <w:tc>
          <w:tcPr>
            <w:tcW w:w="279" w:type="pct"/>
            <w:tcBorders>
              <w:top w:val="nil"/>
              <w:left w:val="nil"/>
              <w:bottom w:val="single" w:sz="4" w:space="0" w:color="auto"/>
              <w:right w:val="single" w:sz="4" w:space="0" w:color="auto"/>
            </w:tcBorders>
            <w:shd w:val="clear" w:color="000000" w:fill="FFFFFF"/>
            <w:vAlign w:val="center"/>
            <w:hideMark/>
          </w:tcPr>
          <w:p w14:paraId="6D19A2CC" w14:textId="77777777" w:rsidR="005A043A" w:rsidRPr="00214F41" w:rsidRDefault="005A043A" w:rsidP="00286762">
            <w:pPr>
              <w:jc w:val="center"/>
              <w:rPr>
                <w:sz w:val="18"/>
                <w:szCs w:val="18"/>
              </w:rPr>
            </w:pPr>
            <w:r w:rsidRPr="00214F41">
              <w:rPr>
                <w:sz w:val="18"/>
                <w:szCs w:val="18"/>
              </w:rPr>
              <w:t>0/72</w:t>
            </w:r>
          </w:p>
        </w:tc>
        <w:tc>
          <w:tcPr>
            <w:tcW w:w="279" w:type="pct"/>
            <w:tcBorders>
              <w:top w:val="nil"/>
              <w:left w:val="nil"/>
              <w:bottom w:val="single" w:sz="4" w:space="0" w:color="auto"/>
              <w:right w:val="single" w:sz="4" w:space="0" w:color="auto"/>
            </w:tcBorders>
            <w:shd w:val="clear" w:color="000000" w:fill="FFFFFF"/>
            <w:vAlign w:val="center"/>
            <w:hideMark/>
          </w:tcPr>
          <w:p w14:paraId="0B875D7B" w14:textId="77777777" w:rsidR="005A043A" w:rsidRPr="00214F41" w:rsidRDefault="005A043A" w:rsidP="00286762">
            <w:pPr>
              <w:jc w:val="center"/>
              <w:rPr>
                <w:sz w:val="18"/>
                <w:szCs w:val="18"/>
              </w:rPr>
            </w:pPr>
            <w:r w:rsidRPr="00214F41">
              <w:rPr>
                <w:sz w:val="18"/>
                <w:szCs w:val="18"/>
              </w:rPr>
              <w:t>3/144</w:t>
            </w:r>
          </w:p>
        </w:tc>
        <w:tc>
          <w:tcPr>
            <w:tcW w:w="276" w:type="pct"/>
            <w:tcBorders>
              <w:top w:val="nil"/>
              <w:left w:val="nil"/>
              <w:bottom w:val="single" w:sz="4" w:space="0" w:color="auto"/>
              <w:right w:val="single" w:sz="4" w:space="0" w:color="auto"/>
            </w:tcBorders>
            <w:shd w:val="clear" w:color="000000" w:fill="FFFFFF"/>
            <w:vAlign w:val="center"/>
            <w:hideMark/>
          </w:tcPr>
          <w:p w14:paraId="6319E46A" w14:textId="77777777" w:rsidR="005A043A" w:rsidRPr="00214F41" w:rsidRDefault="005A043A" w:rsidP="00286762">
            <w:pPr>
              <w:jc w:val="center"/>
              <w:rPr>
                <w:sz w:val="18"/>
                <w:szCs w:val="18"/>
              </w:rPr>
            </w:pPr>
            <w:r w:rsidRPr="00214F41">
              <w:rPr>
                <w:sz w:val="18"/>
                <w:szCs w:val="18"/>
              </w:rPr>
              <w:t>1|72</w:t>
            </w:r>
          </w:p>
        </w:tc>
      </w:tr>
      <w:tr w:rsidR="005A043A" w:rsidRPr="00214F41" w14:paraId="51D0D3D7" w14:textId="77777777" w:rsidTr="00286762">
        <w:trPr>
          <w:trHeight w:val="54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3A13AE8" w14:textId="77777777" w:rsidR="005A043A" w:rsidRPr="00214F41" w:rsidRDefault="005A043A" w:rsidP="00286762">
            <w:pPr>
              <w:jc w:val="center"/>
              <w:rPr>
                <w:sz w:val="18"/>
                <w:szCs w:val="18"/>
              </w:rPr>
            </w:pPr>
            <w:proofErr w:type="spellStart"/>
            <w:r w:rsidRPr="00214F41">
              <w:rPr>
                <w:sz w:val="18"/>
                <w:szCs w:val="18"/>
              </w:rPr>
              <w:t>Haak</w:t>
            </w:r>
            <w:proofErr w:type="spellEnd"/>
            <w:r w:rsidRPr="00214F41">
              <w:rPr>
                <w:sz w:val="18"/>
                <w:szCs w:val="18"/>
              </w:rPr>
              <w:t xml:space="preserve"> et al., 2012b</w:t>
            </w:r>
          </w:p>
        </w:tc>
        <w:tc>
          <w:tcPr>
            <w:tcW w:w="318" w:type="pct"/>
            <w:tcBorders>
              <w:top w:val="nil"/>
              <w:left w:val="nil"/>
              <w:bottom w:val="single" w:sz="4" w:space="0" w:color="auto"/>
              <w:right w:val="single" w:sz="4" w:space="0" w:color="auto"/>
            </w:tcBorders>
            <w:shd w:val="clear" w:color="000000" w:fill="FFFFFF"/>
            <w:vAlign w:val="center"/>
            <w:hideMark/>
          </w:tcPr>
          <w:p w14:paraId="1B5DA93B" w14:textId="77777777" w:rsidR="005A043A" w:rsidRPr="00214F41" w:rsidRDefault="005A043A" w:rsidP="00286762">
            <w:pPr>
              <w:jc w:val="center"/>
              <w:rPr>
                <w:sz w:val="18"/>
                <w:szCs w:val="18"/>
              </w:rPr>
            </w:pPr>
            <w:r w:rsidRPr="00214F41">
              <w:rPr>
                <w:sz w:val="18"/>
                <w:szCs w:val="18"/>
              </w:rPr>
              <w:t>6/147</w:t>
            </w:r>
          </w:p>
        </w:tc>
        <w:tc>
          <w:tcPr>
            <w:tcW w:w="295" w:type="pct"/>
            <w:tcBorders>
              <w:top w:val="nil"/>
              <w:left w:val="nil"/>
              <w:bottom w:val="single" w:sz="4" w:space="0" w:color="auto"/>
              <w:right w:val="single" w:sz="4" w:space="0" w:color="auto"/>
            </w:tcBorders>
            <w:shd w:val="clear" w:color="000000" w:fill="FFFFFF"/>
            <w:vAlign w:val="center"/>
            <w:hideMark/>
          </w:tcPr>
          <w:p w14:paraId="7331F2D4" w14:textId="77777777" w:rsidR="005A043A" w:rsidRPr="00214F41" w:rsidRDefault="005A043A" w:rsidP="00286762">
            <w:pPr>
              <w:jc w:val="center"/>
              <w:rPr>
                <w:sz w:val="18"/>
                <w:szCs w:val="18"/>
              </w:rPr>
            </w:pPr>
            <w:r w:rsidRPr="00214F41">
              <w:rPr>
                <w:sz w:val="18"/>
                <w:szCs w:val="18"/>
              </w:rPr>
              <w:t>5|72</w:t>
            </w:r>
          </w:p>
        </w:tc>
        <w:tc>
          <w:tcPr>
            <w:tcW w:w="718" w:type="pct"/>
            <w:vMerge/>
            <w:tcBorders>
              <w:left w:val="nil"/>
              <w:bottom w:val="single" w:sz="4" w:space="0" w:color="auto"/>
              <w:right w:val="single" w:sz="4" w:space="0" w:color="auto"/>
            </w:tcBorders>
            <w:shd w:val="clear" w:color="000000" w:fill="FFFFFF"/>
            <w:vAlign w:val="center"/>
            <w:hideMark/>
          </w:tcPr>
          <w:p w14:paraId="5E3DAA45"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7EBA119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3430AE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E072433" w14:textId="77777777" w:rsidR="005A043A" w:rsidRPr="00214F41" w:rsidRDefault="005A043A" w:rsidP="00286762">
            <w:pPr>
              <w:jc w:val="center"/>
              <w:rPr>
                <w:sz w:val="18"/>
                <w:szCs w:val="18"/>
              </w:rPr>
            </w:pPr>
            <w:r w:rsidRPr="00214F41">
              <w:rPr>
                <w:sz w:val="18"/>
                <w:szCs w:val="18"/>
              </w:rPr>
              <w:t>8/147</w:t>
            </w:r>
          </w:p>
        </w:tc>
        <w:tc>
          <w:tcPr>
            <w:tcW w:w="282" w:type="pct"/>
            <w:tcBorders>
              <w:top w:val="nil"/>
              <w:left w:val="nil"/>
              <w:bottom w:val="single" w:sz="4" w:space="0" w:color="auto"/>
              <w:right w:val="single" w:sz="4" w:space="0" w:color="auto"/>
            </w:tcBorders>
            <w:shd w:val="clear" w:color="000000" w:fill="FFFFFF"/>
            <w:vAlign w:val="center"/>
            <w:hideMark/>
          </w:tcPr>
          <w:p w14:paraId="7304AD43" w14:textId="77777777" w:rsidR="005A043A" w:rsidRPr="00214F41" w:rsidRDefault="005A043A" w:rsidP="00286762">
            <w:pPr>
              <w:jc w:val="center"/>
              <w:rPr>
                <w:sz w:val="18"/>
                <w:szCs w:val="18"/>
              </w:rPr>
            </w:pPr>
            <w:r w:rsidRPr="00214F41">
              <w:rPr>
                <w:sz w:val="18"/>
                <w:szCs w:val="18"/>
              </w:rPr>
              <w:t>2|72</w:t>
            </w:r>
          </w:p>
        </w:tc>
        <w:tc>
          <w:tcPr>
            <w:tcW w:w="278" w:type="pct"/>
            <w:tcBorders>
              <w:top w:val="nil"/>
              <w:left w:val="nil"/>
              <w:bottom w:val="single" w:sz="4" w:space="0" w:color="auto"/>
              <w:right w:val="single" w:sz="4" w:space="0" w:color="auto"/>
            </w:tcBorders>
            <w:shd w:val="clear" w:color="000000" w:fill="FFFFFF"/>
            <w:vAlign w:val="center"/>
            <w:hideMark/>
          </w:tcPr>
          <w:p w14:paraId="1577E38C" w14:textId="77777777" w:rsidR="005A043A" w:rsidRPr="00214F41" w:rsidRDefault="005A043A" w:rsidP="00286762">
            <w:pPr>
              <w:jc w:val="center"/>
              <w:rPr>
                <w:sz w:val="18"/>
                <w:szCs w:val="18"/>
              </w:rPr>
            </w:pPr>
            <w:r w:rsidRPr="00214F41">
              <w:rPr>
                <w:sz w:val="18"/>
                <w:szCs w:val="18"/>
              </w:rPr>
              <w:t>1/147</w:t>
            </w:r>
          </w:p>
        </w:tc>
        <w:tc>
          <w:tcPr>
            <w:tcW w:w="280" w:type="pct"/>
            <w:tcBorders>
              <w:top w:val="nil"/>
              <w:left w:val="nil"/>
              <w:bottom w:val="single" w:sz="4" w:space="0" w:color="auto"/>
              <w:right w:val="single" w:sz="4" w:space="0" w:color="auto"/>
            </w:tcBorders>
            <w:shd w:val="clear" w:color="000000" w:fill="FFFFFF"/>
            <w:vAlign w:val="center"/>
            <w:hideMark/>
          </w:tcPr>
          <w:p w14:paraId="33611D3E" w14:textId="77777777" w:rsidR="005A043A" w:rsidRPr="00214F41" w:rsidRDefault="005A043A" w:rsidP="00286762">
            <w:pPr>
              <w:jc w:val="center"/>
              <w:rPr>
                <w:sz w:val="18"/>
                <w:szCs w:val="18"/>
              </w:rPr>
            </w:pPr>
            <w:r w:rsidRPr="00214F41">
              <w:rPr>
                <w:sz w:val="18"/>
                <w:szCs w:val="18"/>
              </w:rPr>
              <w:t>1|72</w:t>
            </w:r>
          </w:p>
        </w:tc>
        <w:tc>
          <w:tcPr>
            <w:tcW w:w="278" w:type="pct"/>
            <w:tcBorders>
              <w:top w:val="nil"/>
              <w:left w:val="nil"/>
              <w:bottom w:val="single" w:sz="4" w:space="0" w:color="auto"/>
              <w:right w:val="single" w:sz="4" w:space="0" w:color="auto"/>
            </w:tcBorders>
            <w:shd w:val="clear" w:color="000000" w:fill="FFFFFF"/>
            <w:vAlign w:val="center"/>
            <w:hideMark/>
          </w:tcPr>
          <w:p w14:paraId="2FABB3E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920AF3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5EE5062" w14:textId="77777777" w:rsidR="005A043A" w:rsidRPr="00214F41" w:rsidRDefault="005A043A" w:rsidP="00286762">
            <w:pPr>
              <w:jc w:val="center"/>
              <w:rPr>
                <w:sz w:val="18"/>
                <w:szCs w:val="18"/>
              </w:rPr>
            </w:pPr>
            <w:r w:rsidRPr="00214F41">
              <w:rPr>
                <w:sz w:val="18"/>
                <w:szCs w:val="18"/>
              </w:rPr>
              <w:t>5/147</w:t>
            </w:r>
          </w:p>
        </w:tc>
        <w:tc>
          <w:tcPr>
            <w:tcW w:w="279" w:type="pct"/>
            <w:tcBorders>
              <w:top w:val="nil"/>
              <w:left w:val="nil"/>
              <w:bottom w:val="single" w:sz="4" w:space="0" w:color="auto"/>
              <w:right w:val="single" w:sz="4" w:space="0" w:color="auto"/>
            </w:tcBorders>
            <w:shd w:val="clear" w:color="000000" w:fill="FFFFFF"/>
            <w:vAlign w:val="center"/>
            <w:hideMark/>
          </w:tcPr>
          <w:p w14:paraId="428E880F" w14:textId="77777777" w:rsidR="005A043A" w:rsidRPr="00214F41" w:rsidRDefault="005A043A" w:rsidP="00286762">
            <w:pPr>
              <w:jc w:val="center"/>
              <w:rPr>
                <w:sz w:val="18"/>
                <w:szCs w:val="18"/>
              </w:rPr>
            </w:pPr>
            <w:r w:rsidRPr="00214F41">
              <w:rPr>
                <w:sz w:val="18"/>
                <w:szCs w:val="18"/>
              </w:rPr>
              <w:t>0|72</w:t>
            </w:r>
          </w:p>
        </w:tc>
        <w:tc>
          <w:tcPr>
            <w:tcW w:w="279" w:type="pct"/>
            <w:tcBorders>
              <w:top w:val="nil"/>
              <w:left w:val="nil"/>
              <w:bottom w:val="single" w:sz="4" w:space="0" w:color="auto"/>
              <w:right w:val="single" w:sz="4" w:space="0" w:color="auto"/>
            </w:tcBorders>
            <w:shd w:val="clear" w:color="000000" w:fill="FFFFFF"/>
            <w:vAlign w:val="center"/>
            <w:hideMark/>
          </w:tcPr>
          <w:p w14:paraId="710673B9" w14:textId="77777777" w:rsidR="005A043A" w:rsidRPr="00214F41" w:rsidRDefault="005A043A" w:rsidP="00286762">
            <w:pPr>
              <w:jc w:val="center"/>
              <w:rPr>
                <w:sz w:val="18"/>
                <w:szCs w:val="18"/>
              </w:rPr>
            </w:pPr>
            <w:r w:rsidRPr="00214F41">
              <w:rPr>
                <w:sz w:val="18"/>
                <w:szCs w:val="18"/>
              </w:rPr>
              <w:t>0/147</w:t>
            </w:r>
          </w:p>
        </w:tc>
        <w:tc>
          <w:tcPr>
            <w:tcW w:w="276" w:type="pct"/>
            <w:tcBorders>
              <w:top w:val="nil"/>
              <w:left w:val="nil"/>
              <w:bottom w:val="single" w:sz="4" w:space="0" w:color="auto"/>
              <w:right w:val="single" w:sz="4" w:space="0" w:color="auto"/>
            </w:tcBorders>
            <w:shd w:val="clear" w:color="000000" w:fill="FFFFFF"/>
            <w:vAlign w:val="center"/>
            <w:hideMark/>
          </w:tcPr>
          <w:p w14:paraId="1F927CF7" w14:textId="77777777" w:rsidR="005A043A" w:rsidRPr="00214F41" w:rsidRDefault="005A043A" w:rsidP="00286762">
            <w:pPr>
              <w:jc w:val="center"/>
              <w:rPr>
                <w:sz w:val="18"/>
                <w:szCs w:val="18"/>
              </w:rPr>
            </w:pPr>
            <w:r w:rsidRPr="00214F41">
              <w:rPr>
                <w:sz w:val="18"/>
                <w:szCs w:val="18"/>
              </w:rPr>
              <w:t>1|72</w:t>
            </w:r>
          </w:p>
        </w:tc>
      </w:tr>
      <w:tr w:rsidR="005A043A" w:rsidRPr="00214F41" w14:paraId="5F28DECC" w14:textId="77777777" w:rsidTr="00286762">
        <w:trPr>
          <w:trHeight w:val="42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535BBD37" w14:textId="77777777" w:rsidR="005A043A" w:rsidRPr="00214F41" w:rsidRDefault="005A043A" w:rsidP="00286762">
            <w:pPr>
              <w:jc w:val="center"/>
              <w:rPr>
                <w:sz w:val="18"/>
                <w:szCs w:val="18"/>
              </w:rPr>
            </w:pPr>
            <w:r w:rsidRPr="00214F41">
              <w:rPr>
                <w:sz w:val="18"/>
                <w:szCs w:val="18"/>
              </w:rPr>
              <w:t>Henry et al., 2012a</w:t>
            </w:r>
          </w:p>
        </w:tc>
        <w:tc>
          <w:tcPr>
            <w:tcW w:w="318" w:type="pct"/>
            <w:tcBorders>
              <w:top w:val="nil"/>
              <w:left w:val="nil"/>
              <w:bottom w:val="single" w:sz="4" w:space="0" w:color="auto"/>
              <w:right w:val="single" w:sz="4" w:space="0" w:color="auto"/>
            </w:tcBorders>
            <w:shd w:val="clear" w:color="000000" w:fill="FFFFFF"/>
            <w:vAlign w:val="center"/>
            <w:hideMark/>
          </w:tcPr>
          <w:p w14:paraId="0176C638" w14:textId="77777777" w:rsidR="005A043A" w:rsidRPr="00214F41" w:rsidRDefault="005A043A" w:rsidP="00286762">
            <w:pPr>
              <w:jc w:val="center"/>
              <w:rPr>
                <w:sz w:val="18"/>
                <w:szCs w:val="18"/>
              </w:rPr>
            </w:pPr>
            <w:r w:rsidRPr="00214F41">
              <w:rPr>
                <w:sz w:val="18"/>
                <w:szCs w:val="18"/>
              </w:rPr>
              <w:t>6/201</w:t>
            </w:r>
          </w:p>
        </w:tc>
        <w:tc>
          <w:tcPr>
            <w:tcW w:w="295" w:type="pct"/>
            <w:tcBorders>
              <w:top w:val="nil"/>
              <w:left w:val="nil"/>
              <w:bottom w:val="single" w:sz="4" w:space="0" w:color="auto"/>
              <w:right w:val="single" w:sz="4" w:space="0" w:color="auto"/>
            </w:tcBorders>
            <w:shd w:val="clear" w:color="000000" w:fill="FFFFFF"/>
            <w:vAlign w:val="center"/>
            <w:hideMark/>
          </w:tcPr>
          <w:p w14:paraId="449F00A6" w14:textId="77777777" w:rsidR="005A043A" w:rsidRPr="00214F41" w:rsidRDefault="005A043A" w:rsidP="00286762">
            <w:pPr>
              <w:jc w:val="center"/>
              <w:rPr>
                <w:sz w:val="18"/>
                <w:szCs w:val="18"/>
              </w:rPr>
            </w:pPr>
            <w:r w:rsidRPr="00214F41">
              <w:rPr>
                <w:sz w:val="18"/>
                <w:szCs w:val="18"/>
              </w:rPr>
              <w:t>5/203</w:t>
            </w:r>
          </w:p>
        </w:tc>
        <w:tc>
          <w:tcPr>
            <w:tcW w:w="718" w:type="pct"/>
            <w:vMerge w:val="restart"/>
            <w:tcBorders>
              <w:top w:val="nil"/>
              <w:left w:val="nil"/>
              <w:right w:val="single" w:sz="4" w:space="0" w:color="auto"/>
            </w:tcBorders>
            <w:shd w:val="clear" w:color="000000" w:fill="FFFFFF"/>
            <w:vAlign w:val="center"/>
          </w:tcPr>
          <w:p w14:paraId="22E8C3E3"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6AFA9C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C1096E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37AC9F5" w14:textId="77777777" w:rsidR="005A043A" w:rsidRPr="00214F41" w:rsidRDefault="005A043A" w:rsidP="00286762">
            <w:pPr>
              <w:jc w:val="center"/>
              <w:rPr>
                <w:sz w:val="18"/>
                <w:szCs w:val="18"/>
              </w:rPr>
            </w:pPr>
            <w:r w:rsidRPr="00214F41">
              <w:rPr>
                <w:sz w:val="18"/>
                <w:szCs w:val="18"/>
              </w:rPr>
              <w:t>14/201</w:t>
            </w:r>
          </w:p>
        </w:tc>
        <w:tc>
          <w:tcPr>
            <w:tcW w:w="282" w:type="pct"/>
            <w:tcBorders>
              <w:top w:val="nil"/>
              <w:left w:val="nil"/>
              <w:bottom w:val="single" w:sz="4" w:space="0" w:color="auto"/>
              <w:right w:val="single" w:sz="4" w:space="0" w:color="auto"/>
            </w:tcBorders>
            <w:shd w:val="clear" w:color="000000" w:fill="FFFFFF"/>
            <w:vAlign w:val="center"/>
            <w:hideMark/>
          </w:tcPr>
          <w:p w14:paraId="68A276E5" w14:textId="77777777" w:rsidR="005A043A" w:rsidRPr="00214F41" w:rsidRDefault="005A043A" w:rsidP="00286762">
            <w:pPr>
              <w:jc w:val="center"/>
              <w:rPr>
                <w:sz w:val="18"/>
                <w:szCs w:val="18"/>
              </w:rPr>
            </w:pPr>
            <w:r w:rsidRPr="00214F41">
              <w:rPr>
                <w:sz w:val="18"/>
                <w:szCs w:val="18"/>
              </w:rPr>
              <w:t>8/203</w:t>
            </w:r>
          </w:p>
        </w:tc>
        <w:tc>
          <w:tcPr>
            <w:tcW w:w="278" w:type="pct"/>
            <w:tcBorders>
              <w:top w:val="nil"/>
              <w:left w:val="nil"/>
              <w:bottom w:val="single" w:sz="4" w:space="0" w:color="auto"/>
              <w:right w:val="single" w:sz="4" w:space="0" w:color="auto"/>
            </w:tcBorders>
            <w:shd w:val="clear" w:color="000000" w:fill="FFFFFF"/>
            <w:vAlign w:val="center"/>
            <w:hideMark/>
          </w:tcPr>
          <w:p w14:paraId="3BB8268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2ABD6A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3555851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CDF18A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5C15D9E" w14:textId="77777777" w:rsidR="005A043A" w:rsidRPr="00214F41" w:rsidRDefault="005A043A" w:rsidP="00286762">
            <w:pPr>
              <w:jc w:val="center"/>
              <w:rPr>
                <w:sz w:val="18"/>
                <w:szCs w:val="18"/>
              </w:rPr>
            </w:pPr>
            <w:r w:rsidRPr="00214F41">
              <w:rPr>
                <w:sz w:val="18"/>
                <w:szCs w:val="18"/>
              </w:rPr>
              <w:t>8/201</w:t>
            </w:r>
          </w:p>
        </w:tc>
        <w:tc>
          <w:tcPr>
            <w:tcW w:w="279" w:type="pct"/>
            <w:tcBorders>
              <w:top w:val="nil"/>
              <w:left w:val="nil"/>
              <w:bottom w:val="single" w:sz="4" w:space="0" w:color="auto"/>
              <w:right w:val="single" w:sz="4" w:space="0" w:color="auto"/>
            </w:tcBorders>
            <w:shd w:val="clear" w:color="000000" w:fill="FFFFFF"/>
            <w:vAlign w:val="center"/>
            <w:hideMark/>
          </w:tcPr>
          <w:p w14:paraId="66312A8C" w14:textId="77777777" w:rsidR="005A043A" w:rsidRPr="00214F41" w:rsidRDefault="005A043A" w:rsidP="00286762">
            <w:pPr>
              <w:jc w:val="center"/>
              <w:rPr>
                <w:sz w:val="18"/>
                <w:szCs w:val="18"/>
              </w:rPr>
            </w:pPr>
            <w:r w:rsidRPr="00214F41">
              <w:rPr>
                <w:sz w:val="18"/>
                <w:szCs w:val="18"/>
              </w:rPr>
              <w:t>4/203</w:t>
            </w:r>
          </w:p>
        </w:tc>
        <w:tc>
          <w:tcPr>
            <w:tcW w:w="279" w:type="pct"/>
            <w:tcBorders>
              <w:top w:val="nil"/>
              <w:left w:val="nil"/>
              <w:bottom w:val="single" w:sz="4" w:space="0" w:color="auto"/>
              <w:right w:val="single" w:sz="4" w:space="0" w:color="auto"/>
            </w:tcBorders>
            <w:shd w:val="clear" w:color="000000" w:fill="FFFFFF"/>
            <w:vAlign w:val="center"/>
            <w:hideMark/>
          </w:tcPr>
          <w:p w14:paraId="073A26E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CF286C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2DA6F599" w14:textId="77777777" w:rsidTr="00286762">
        <w:trPr>
          <w:trHeight w:val="423"/>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3DF830E5" w14:textId="77777777" w:rsidR="005A043A" w:rsidRPr="00214F41" w:rsidRDefault="005A043A" w:rsidP="00286762">
            <w:pPr>
              <w:jc w:val="center"/>
              <w:rPr>
                <w:sz w:val="18"/>
                <w:szCs w:val="18"/>
              </w:rPr>
            </w:pPr>
            <w:r w:rsidRPr="00214F41">
              <w:rPr>
                <w:sz w:val="18"/>
                <w:szCs w:val="18"/>
              </w:rPr>
              <w:t>Henry et al., 2012b</w:t>
            </w:r>
          </w:p>
        </w:tc>
        <w:tc>
          <w:tcPr>
            <w:tcW w:w="318" w:type="pct"/>
            <w:tcBorders>
              <w:top w:val="nil"/>
              <w:left w:val="nil"/>
              <w:bottom w:val="single" w:sz="4" w:space="0" w:color="auto"/>
              <w:right w:val="single" w:sz="4" w:space="0" w:color="auto"/>
            </w:tcBorders>
            <w:shd w:val="clear" w:color="000000" w:fill="FFFFFF"/>
            <w:vAlign w:val="center"/>
            <w:hideMark/>
          </w:tcPr>
          <w:p w14:paraId="75789389" w14:textId="77777777" w:rsidR="005A043A" w:rsidRPr="00214F41" w:rsidRDefault="005A043A" w:rsidP="00286762">
            <w:pPr>
              <w:jc w:val="center"/>
              <w:rPr>
                <w:sz w:val="18"/>
                <w:szCs w:val="18"/>
              </w:rPr>
            </w:pPr>
            <w:r w:rsidRPr="00214F41">
              <w:rPr>
                <w:sz w:val="18"/>
                <w:szCs w:val="18"/>
              </w:rPr>
              <w:t>8/208</w:t>
            </w:r>
          </w:p>
        </w:tc>
        <w:tc>
          <w:tcPr>
            <w:tcW w:w="295" w:type="pct"/>
            <w:tcBorders>
              <w:top w:val="nil"/>
              <w:left w:val="nil"/>
              <w:bottom w:val="single" w:sz="4" w:space="0" w:color="auto"/>
              <w:right w:val="single" w:sz="4" w:space="0" w:color="auto"/>
            </w:tcBorders>
            <w:shd w:val="clear" w:color="000000" w:fill="FFFFFF"/>
            <w:vAlign w:val="center"/>
            <w:hideMark/>
          </w:tcPr>
          <w:p w14:paraId="2DC0E083" w14:textId="77777777" w:rsidR="005A043A" w:rsidRPr="00214F41" w:rsidRDefault="005A043A" w:rsidP="00286762">
            <w:pPr>
              <w:jc w:val="center"/>
              <w:rPr>
                <w:sz w:val="18"/>
                <w:szCs w:val="18"/>
              </w:rPr>
            </w:pPr>
            <w:r w:rsidRPr="00214F41">
              <w:rPr>
                <w:sz w:val="18"/>
                <w:szCs w:val="18"/>
              </w:rPr>
              <w:t>9/219</w:t>
            </w:r>
          </w:p>
        </w:tc>
        <w:tc>
          <w:tcPr>
            <w:tcW w:w="718" w:type="pct"/>
            <w:vMerge/>
            <w:tcBorders>
              <w:left w:val="nil"/>
              <w:bottom w:val="single" w:sz="4" w:space="0" w:color="auto"/>
              <w:right w:val="single" w:sz="4" w:space="0" w:color="auto"/>
            </w:tcBorders>
            <w:shd w:val="clear" w:color="000000" w:fill="FFFFFF"/>
            <w:vAlign w:val="center"/>
          </w:tcPr>
          <w:p w14:paraId="5B71D13D"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3874EE3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8E3CB1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5F3D92C" w14:textId="77777777" w:rsidR="005A043A" w:rsidRPr="00214F41" w:rsidRDefault="005A043A" w:rsidP="00286762">
            <w:pPr>
              <w:jc w:val="center"/>
              <w:rPr>
                <w:sz w:val="18"/>
                <w:szCs w:val="18"/>
              </w:rPr>
            </w:pPr>
            <w:r w:rsidRPr="00214F41">
              <w:rPr>
                <w:sz w:val="18"/>
                <w:szCs w:val="18"/>
              </w:rPr>
              <w:t>20/208</w:t>
            </w:r>
          </w:p>
        </w:tc>
        <w:tc>
          <w:tcPr>
            <w:tcW w:w="282" w:type="pct"/>
            <w:tcBorders>
              <w:top w:val="nil"/>
              <w:left w:val="nil"/>
              <w:bottom w:val="single" w:sz="4" w:space="0" w:color="auto"/>
              <w:right w:val="single" w:sz="4" w:space="0" w:color="auto"/>
            </w:tcBorders>
            <w:shd w:val="clear" w:color="000000" w:fill="FFFFFF"/>
            <w:vAlign w:val="center"/>
            <w:hideMark/>
          </w:tcPr>
          <w:p w14:paraId="06DF4B53" w14:textId="77777777" w:rsidR="005A043A" w:rsidRPr="00214F41" w:rsidRDefault="005A043A" w:rsidP="00286762">
            <w:pPr>
              <w:jc w:val="center"/>
              <w:rPr>
                <w:sz w:val="18"/>
                <w:szCs w:val="18"/>
              </w:rPr>
            </w:pPr>
            <w:r w:rsidRPr="00214F41">
              <w:rPr>
                <w:sz w:val="18"/>
                <w:szCs w:val="18"/>
              </w:rPr>
              <w:t>6/219</w:t>
            </w:r>
          </w:p>
        </w:tc>
        <w:tc>
          <w:tcPr>
            <w:tcW w:w="278" w:type="pct"/>
            <w:tcBorders>
              <w:top w:val="nil"/>
              <w:left w:val="nil"/>
              <w:bottom w:val="single" w:sz="4" w:space="0" w:color="auto"/>
              <w:right w:val="single" w:sz="4" w:space="0" w:color="auto"/>
            </w:tcBorders>
            <w:shd w:val="clear" w:color="000000" w:fill="FFFFFF"/>
            <w:vAlign w:val="center"/>
            <w:hideMark/>
          </w:tcPr>
          <w:p w14:paraId="3F59569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15AC0F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71AA41E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BAE801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07528CE" w14:textId="77777777" w:rsidR="005A043A" w:rsidRPr="00214F41" w:rsidRDefault="005A043A" w:rsidP="00286762">
            <w:pPr>
              <w:jc w:val="center"/>
              <w:rPr>
                <w:sz w:val="18"/>
                <w:szCs w:val="18"/>
              </w:rPr>
            </w:pPr>
            <w:r w:rsidRPr="00214F41">
              <w:rPr>
                <w:sz w:val="18"/>
                <w:szCs w:val="18"/>
              </w:rPr>
              <w:t>5/208</w:t>
            </w:r>
          </w:p>
        </w:tc>
        <w:tc>
          <w:tcPr>
            <w:tcW w:w="279" w:type="pct"/>
            <w:tcBorders>
              <w:top w:val="nil"/>
              <w:left w:val="nil"/>
              <w:bottom w:val="single" w:sz="4" w:space="0" w:color="auto"/>
              <w:right w:val="single" w:sz="4" w:space="0" w:color="auto"/>
            </w:tcBorders>
            <w:shd w:val="clear" w:color="000000" w:fill="FFFFFF"/>
            <w:vAlign w:val="center"/>
            <w:hideMark/>
          </w:tcPr>
          <w:p w14:paraId="09AB4BFE" w14:textId="77777777" w:rsidR="005A043A" w:rsidRPr="00214F41" w:rsidRDefault="005A043A" w:rsidP="00286762">
            <w:pPr>
              <w:jc w:val="center"/>
              <w:rPr>
                <w:sz w:val="18"/>
                <w:szCs w:val="18"/>
              </w:rPr>
            </w:pPr>
            <w:r w:rsidRPr="00214F41">
              <w:rPr>
                <w:sz w:val="18"/>
                <w:szCs w:val="18"/>
              </w:rPr>
              <w:t>8/219</w:t>
            </w:r>
          </w:p>
        </w:tc>
        <w:tc>
          <w:tcPr>
            <w:tcW w:w="279" w:type="pct"/>
            <w:tcBorders>
              <w:top w:val="nil"/>
              <w:left w:val="nil"/>
              <w:bottom w:val="single" w:sz="4" w:space="0" w:color="auto"/>
              <w:right w:val="single" w:sz="4" w:space="0" w:color="auto"/>
            </w:tcBorders>
            <w:shd w:val="clear" w:color="000000" w:fill="FFFFFF"/>
            <w:vAlign w:val="center"/>
            <w:hideMark/>
          </w:tcPr>
          <w:p w14:paraId="0B8F0AF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09A5833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8D3A837" w14:textId="77777777" w:rsidTr="00286762">
        <w:trPr>
          <w:trHeight w:val="423"/>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928BFA7" w14:textId="77777777" w:rsidR="005A043A" w:rsidRPr="00214F41" w:rsidRDefault="005A043A" w:rsidP="00286762">
            <w:pPr>
              <w:jc w:val="center"/>
              <w:rPr>
                <w:sz w:val="18"/>
                <w:szCs w:val="18"/>
              </w:rPr>
            </w:pPr>
            <w:r w:rsidRPr="00214F41">
              <w:rPr>
                <w:sz w:val="18"/>
                <w:szCs w:val="18"/>
              </w:rPr>
              <w:t>Hemans et al., 2012</w:t>
            </w:r>
          </w:p>
        </w:tc>
        <w:tc>
          <w:tcPr>
            <w:tcW w:w="318" w:type="pct"/>
            <w:tcBorders>
              <w:top w:val="nil"/>
              <w:left w:val="nil"/>
              <w:bottom w:val="single" w:sz="4" w:space="0" w:color="auto"/>
              <w:right w:val="single" w:sz="4" w:space="0" w:color="auto"/>
            </w:tcBorders>
            <w:shd w:val="clear" w:color="000000" w:fill="FFFFFF"/>
            <w:vAlign w:val="center"/>
            <w:hideMark/>
          </w:tcPr>
          <w:p w14:paraId="2B4D580A" w14:textId="77777777" w:rsidR="005A043A" w:rsidRPr="00214F41" w:rsidRDefault="005A043A" w:rsidP="00286762">
            <w:pPr>
              <w:jc w:val="center"/>
              <w:rPr>
                <w:sz w:val="18"/>
                <w:szCs w:val="18"/>
              </w:rPr>
            </w:pPr>
            <w:r w:rsidRPr="00214F41">
              <w:rPr>
                <w:sz w:val="18"/>
                <w:szCs w:val="18"/>
              </w:rPr>
              <w:t>3/139</w:t>
            </w:r>
          </w:p>
        </w:tc>
        <w:tc>
          <w:tcPr>
            <w:tcW w:w="295" w:type="pct"/>
            <w:tcBorders>
              <w:top w:val="nil"/>
              <w:left w:val="nil"/>
              <w:bottom w:val="single" w:sz="4" w:space="0" w:color="auto"/>
              <w:right w:val="single" w:sz="4" w:space="0" w:color="auto"/>
            </w:tcBorders>
            <w:shd w:val="clear" w:color="000000" w:fill="FFFFFF"/>
            <w:vAlign w:val="center"/>
            <w:hideMark/>
          </w:tcPr>
          <w:p w14:paraId="5137408A" w14:textId="77777777" w:rsidR="005A043A" w:rsidRPr="00214F41" w:rsidRDefault="005A043A" w:rsidP="00286762">
            <w:pPr>
              <w:jc w:val="center"/>
              <w:rPr>
                <w:sz w:val="18"/>
                <w:szCs w:val="18"/>
              </w:rPr>
            </w:pPr>
            <w:r w:rsidRPr="00214F41">
              <w:rPr>
                <w:sz w:val="18"/>
                <w:szCs w:val="18"/>
              </w:rPr>
              <w:t>1/147</w:t>
            </w:r>
          </w:p>
        </w:tc>
        <w:tc>
          <w:tcPr>
            <w:tcW w:w="718" w:type="pct"/>
            <w:tcBorders>
              <w:top w:val="nil"/>
              <w:left w:val="nil"/>
              <w:bottom w:val="single" w:sz="4" w:space="0" w:color="auto"/>
              <w:right w:val="single" w:sz="4" w:space="0" w:color="auto"/>
            </w:tcBorders>
            <w:shd w:val="clear" w:color="000000" w:fill="FFFFFF"/>
            <w:vAlign w:val="center"/>
            <w:hideMark/>
          </w:tcPr>
          <w:p w14:paraId="4FB3BDDB" w14:textId="77777777" w:rsidR="005A043A" w:rsidRPr="00214F41" w:rsidRDefault="005A043A" w:rsidP="00286762">
            <w:pPr>
              <w:jc w:val="center"/>
              <w:rPr>
                <w:sz w:val="18"/>
                <w:szCs w:val="18"/>
              </w:rPr>
            </w:pPr>
            <w:r w:rsidRPr="00214F41">
              <w:rPr>
                <w:sz w:val="18"/>
                <w:szCs w:val="18"/>
              </w:rPr>
              <w:t xml:space="preserve">only GI disorders </w:t>
            </w:r>
          </w:p>
        </w:tc>
        <w:tc>
          <w:tcPr>
            <w:tcW w:w="282" w:type="pct"/>
            <w:tcBorders>
              <w:top w:val="nil"/>
              <w:left w:val="nil"/>
              <w:bottom w:val="single" w:sz="4" w:space="0" w:color="auto"/>
              <w:right w:val="single" w:sz="4" w:space="0" w:color="auto"/>
            </w:tcBorders>
            <w:shd w:val="clear" w:color="000000" w:fill="FFFFFF"/>
            <w:vAlign w:val="center"/>
            <w:hideMark/>
          </w:tcPr>
          <w:p w14:paraId="3D875E97" w14:textId="77777777" w:rsidR="005A043A" w:rsidRPr="00214F41" w:rsidRDefault="005A043A" w:rsidP="00286762">
            <w:pPr>
              <w:jc w:val="center"/>
              <w:rPr>
                <w:sz w:val="18"/>
                <w:szCs w:val="18"/>
              </w:rPr>
            </w:pPr>
            <w:r w:rsidRPr="00214F41">
              <w:rPr>
                <w:sz w:val="18"/>
                <w:szCs w:val="18"/>
              </w:rPr>
              <w:t>3/139</w:t>
            </w:r>
          </w:p>
        </w:tc>
        <w:tc>
          <w:tcPr>
            <w:tcW w:w="282" w:type="pct"/>
            <w:tcBorders>
              <w:top w:val="nil"/>
              <w:left w:val="nil"/>
              <w:bottom w:val="single" w:sz="4" w:space="0" w:color="auto"/>
              <w:right w:val="single" w:sz="4" w:space="0" w:color="auto"/>
            </w:tcBorders>
            <w:shd w:val="clear" w:color="000000" w:fill="FFFFFF"/>
            <w:vAlign w:val="center"/>
            <w:hideMark/>
          </w:tcPr>
          <w:p w14:paraId="0D448D24" w14:textId="77777777" w:rsidR="005A043A" w:rsidRPr="00214F41" w:rsidRDefault="005A043A" w:rsidP="00286762">
            <w:pPr>
              <w:jc w:val="center"/>
              <w:rPr>
                <w:sz w:val="18"/>
                <w:szCs w:val="18"/>
              </w:rPr>
            </w:pPr>
            <w:r w:rsidRPr="00214F41">
              <w:rPr>
                <w:sz w:val="18"/>
                <w:szCs w:val="18"/>
              </w:rPr>
              <w:t>1/147</w:t>
            </w:r>
          </w:p>
        </w:tc>
        <w:tc>
          <w:tcPr>
            <w:tcW w:w="282" w:type="pct"/>
            <w:tcBorders>
              <w:top w:val="nil"/>
              <w:left w:val="nil"/>
              <w:bottom w:val="single" w:sz="4" w:space="0" w:color="auto"/>
              <w:right w:val="single" w:sz="4" w:space="0" w:color="auto"/>
            </w:tcBorders>
            <w:shd w:val="clear" w:color="000000" w:fill="FFFFFF"/>
            <w:vAlign w:val="center"/>
            <w:hideMark/>
          </w:tcPr>
          <w:p w14:paraId="19E76018" w14:textId="77777777" w:rsidR="005A043A" w:rsidRPr="00214F41" w:rsidRDefault="005A043A" w:rsidP="00286762">
            <w:pPr>
              <w:jc w:val="center"/>
              <w:rPr>
                <w:sz w:val="18"/>
                <w:szCs w:val="18"/>
              </w:rPr>
            </w:pPr>
            <w:r w:rsidRPr="00214F41">
              <w:rPr>
                <w:sz w:val="18"/>
                <w:szCs w:val="18"/>
              </w:rPr>
              <w:t>17/139</w:t>
            </w:r>
          </w:p>
        </w:tc>
        <w:tc>
          <w:tcPr>
            <w:tcW w:w="282" w:type="pct"/>
            <w:tcBorders>
              <w:top w:val="nil"/>
              <w:left w:val="nil"/>
              <w:bottom w:val="single" w:sz="4" w:space="0" w:color="auto"/>
              <w:right w:val="single" w:sz="4" w:space="0" w:color="auto"/>
            </w:tcBorders>
            <w:shd w:val="clear" w:color="000000" w:fill="FFFFFF"/>
            <w:vAlign w:val="center"/>
            <w:hideMark/>
          </w:tcPr>
          <w:p w14:paraId="5C5E2D2B" w14:textId="77777777" w:rsidR="005A043A" w:rsidRPr="00214F41" w:rsidRDefault="005A043A" w:rsidP="00286762">
            <w:pPr>
              <w:jc w:val="center"/>
              <w:rPr>
                <w:sz w:val="18"/>
                <w:szCs w:val="18"/>
              </w:rPr>
            </w:pPr>
            <w:r w:rsidRPr="00214F41">
              <w:rPr>
                <w:sz w:val="18"/>
                <w:szCs w:val="18"/>
              </w:rPr>
              <w:t>9/147</w:t>
            </w:r>
          </w:p>
        </w:tc>
        <w:tc>
          <w:tcPr>
            <w:tcW w:w="278" w:type="pct"/>
            <w:tcBorders>
              <w:top w:val="nil"/>
              <w:left w:val="nil"/>
              <w:bottom w:val="single" w:sz="4" w:space="0" w:color="auto"/>
              <w:right w:val="single" w:sz="4" w:space="0" w:color="auto"/>
            </w:tcBorders>
            <w:shd w:val="clear" w:color="000000" w:fill="FFFFFF"/>
            <w:vAlign w:val="center"/>
            <w:hideMark/>
          </w:tcPr>
          <w:p w14:paraId="23F7AA28" w14:textId="77777777" w:rsidR="005A043A" w:rsidRPr="00214F41" w:rsidRDefault="005A043A" w:rsidP="00286762">
            <w:pPr>
              <w:jc w:val="center"/>
              <w:rPr>
                <w:sz w:val="18"/>
                <w:szCs w:val="18"/>
              </w:rPr>
            </w:pPr>
            <w:r w:rsidRPr="00214F41">
              <w:rPr>
                <w:sz w:val="18"/>
                <w:szCs w:val="18"/>
              </w:rPr>
              <w:t>3/139</w:t>
            </w:r>
          </w:p>
        </w:tc>
        <w:tc>
          <w:tcPr>
            <w:tcW w:w="280" w:type="pct"/>
            <w:tcBorders>
              <w:top w:val="nil"/>
              <w:left w:val="nil"/>
              <w:bottom w:val="single" w:sz="4" w:space="0" w:color="auto"/>
              <w:right w:val="single" w:sz="4" w:space="0" w:color="auto"/>
            </w:tcBorders>
            <w:shd w:val="clear" w:color="000000" w:fill="FFFFFF"/>
            <w:vAlign w:val="center"/>
            <w:hideMark/>
          </w:tcPr>
          <w:p w14:paraId="6F478AB5" w14:textId="77777777" w:rsidR="005A043A" w:rsidRPr="00214F41" w:rsidRDefault="005A043A" w:rsidP="00286762">
            <w:pPr>
              <w:jc w:val="center"/>
              <w:rPr>
                <w:sz w:val="18"/>
                <w:szCs w:val="18"/>
              </w:rPr>
            </w:pPr>
            <w:r w:rsidRPr="00214F41">
              <w:rPr>
                <w:sz w:val="18"/>
                <w:szCs w:val="18"/>
              </w:rPr>
              <w:t>3/147</w:t>
            </w:r>
          </w:p>
        </w:tc>
        <w:tc>
          <w:tcPr>
            <w:tcW w:w="278" w:type="pct"/>
            <w:tcBorders>
              <w:top w:val="nil"/>
              <w:left w:val="nil"/>
              <w:bottom w:val="single" w:sz="4" w:space="0" w:color="auto"/>
              <w:right w:val="single" w:sz="4" w:space="0" w:color="auto"/>
            </w:tcBorders>
            <w:shd w:val="clear" w:color="000000" w:fill="FFFFFF"/>
            <w:vAlign w:val="center"/>
            <w:hideMark/>
          </w:tcPr>
          <w:p w14:paraId="26A13B3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269716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22FDCF2" w14:textId="77777777" w:rsidR="005A043A" w:rsidRPr="00214F41" w:rsidRDefault="005A043A" w:rsidP="00286762">
            <w:pPr>
              <w:jc w:val="center"/>
              <w:rPr>
                <w:sz w:val="18"/>
                <w:szCs w:val="18"/>
              </w:rPr>
            </w:pPr>
            <w:r w:rsidRPr="00214F41">
              <w:rPr>
                <w:sz w:val="18"/>
                <w:szCs w:val="18"/>
              </w:rPr>
              <w:t>1/139</w:t>
            </w:r>
          </w:p>
        </w:tc>
        <w:tc>
          <w:tcPr>
            <w:tcW w:w="279" w:type="pct"/>
            <w:tcBorders>
              <w:top w:val="nil"/>
              <w:left w:val="nil"/>
              <w:bottom w:val="single" w:sz="4" w:space="0" w:color="auto"/>
              <w:right w:val="single" w:sz="4" w:space="0" w:color="auto"/>
            </w:tcBorders>
            <w:shd w:val="clear" w:color="000000" w:fill="FFFFFF"/>
            <w:vAlign w:val="center"/>
            <w:hideMark/>
          </w:tcPr>
          <w:p w14:paraId="313C2507" w14:textId="77777777" w:rsidR="005A043A" w:rsidRPr="00214F41" w:rsidRDefault="005A043A" w:rsidP="00286762">
            <w:pPr>
              <w:jc w:val="center"/>
              <w:rPr>
                <w:sz w:val="18"/>
                <w:szCs w:val="18"/>
              </w:rPr>
            </w:pPr>
            <w:r w:rsidRPr="00214F41">
              <w:rPr>
                <w:sz w:val="18"/>
                <w:szCs w:val="18"/>
              </w:rPr>
              <w:t>4/147</w:t>
            </w:r>
          </w:p>
        </w:tc>
        <w:tc>
          <w:tcPr>
            <w:tcW w:w="279" w:type="pct"/>
            <w:tcBorders>
              <w:top w:val="nil"/>
              <w:left w:val="nil"/>
              <w:bottom w:val="single" w:sz="4" w:space="0" w:color="auto"/>
              <w:right w:val="single" w:sz="4" w:space="0" w:color="auto"/>
            </w:tcBorders>
            <w:shd w:val="clear" w:color="000000" w:fill="FFFFFF"/>
            <w:vAlign w:val="center"/>
            <w:hideMark/>
          </w:tcPr>
          <w:p w14:paraId="6B6553C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94C227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75A28BB7" w14:textId="77777777" w:rsidTr="00286762">
        <w:trPr>
          <w:trHeight w:val="70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1AE93686" w14:textId="77777777" w:rsidR="005A043A" w:rsidRPr="00214F41" w:rsidRDefault="005A043A" w:rsidP="00286762">
            <w:pPr>
              <w:jc w:val="center"/>
              <w:rPr>
                <w:sz w:val="18"/>
                <w:szCs w:val="18"/>
              </w:rPr>
            </w:pPr>
            <w:r w:rsidRPr="00214F41">
              <w:rPr>
                <w:sz w:val="18"/>
                <w:szCs w:val="18"/>
              </w:rPr>
              <w:t>Horton et al., 2004</w:t>
            </w:r>
          </w:p>
        </w:tc>
        <w:tc>
          <w:tcPr>
            <w:tcW w:w="318" w:type="pct"/>
            <w:tcBorders>
              <w:top w:val="nil"/>
              <w:left w:val="nil"/>
              <w:bottom w:val="single" w:sz="4" w:space="0" w:color="auto"/>
              <w:right w:val="single" w:sz="4" w:space="0" w:color="auto"/>
            </w:tcBorders>
            <w:shd w:val="clear" w:color="000000" w:fill="FFFFFF"/>
            <w:vAlign w:val="center"/>
            <w:hideMark/>
          </w:tcPr>
          <w:p w14:paraId="7FDD85C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14:paraId="7061E7A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718" w:type="pct"/>
            <w:tcBorders>
              <w:top w:val="nil"/>
              <w:left w:val="nil"/>
              <w:bottom w:val="single" w:sz="4" w:space="0" w:color="auto"/>
              <w:right w:val="single" w:sz="4" w:space="0" w:color="auto"/>
            </w:tcBorders>
            <w:shd w:val="clear" w:color="000000" w:fill="FFFFFF"/>
            <w:vAlign w:val="center"/>
            <w:hideMark/>
          </w:tcPr>
          <w:p w14:paraId="76FFD823"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013B006" w14:textId="77777777" w:rsidR="005A043A" w:rsidRPr="00214F41" w:rsidRDefault="005A043A" w:rsidP="00286762">
            <w:pPr>
              <w:jc w:val="center"/>
              <w:rPr>
                <w:sz w:val="18"/>
                <w:szCs w:val="18"/>
              </w:rPr>
            </w:pPr>
            <w:r w:rsidRPr="00214F41">
              <w:rPr>
                <w:sz w:val="18"/>
                <w:szCs w:val="18"/>
              </w:rPr>
              <w:t>7/104</w:t>
            </w:r>
          </w:p>
        </w:tc>
        <w:tc>
          <w:tcPr>
            <w:tcW w:w="282" w:type="pct"/>
            <w:tcBorders>
              <w:top w:val="nil"/>
              <w:left w:val="nil"/>
              <w:bottom w:val="single" w:sz="4" w:space="0" w:color="auto"/>
              <w:right w:val="single" w:sz="4" w:space="0" w:color="auto"/>
            </w:tcBorders>
            <w:shd w:val="clear" w:color="000000" w:fill="FFFFFF"/>
            <w:vAlign w:val="center"/>
            <w:hideMark/>
          </w:tcPr>
          <w:p w14:paraId="1E54B305" w14:textId="77777777" w:rsidR="005A043A" w:rsidRPr="00214F41" w:rsidRDefault="005A043A" w:rsidP="00286762">
            <w:pPr>
              <w:jc w:val="center"/>
              <w:rPr>
                <w:sz w:val="18"/>
                <w:szCs w:val="18"/>
              </w:rPr>
            </w:pPr>
            <w:r w:rsidRPr="00214F41">
              <w:rPr>
                <w:sz w:val="18"/>
                <w:szCs w:val="18"/>
              </w:rPr>
              <w:t>5/104</w:t>
            </w:r>
          </w:p>
        </w:tc>
        <w:tc>
          <w:tcPr>
            <w:tcW w:w="282" w:type="pct"/>
            <w:tcBorders>
              <w:top w:val="nil"/>
              <w:left w:val="nil"/>
              <w:bottom w:val="single" w:sz="4" w:space="0" w:color="auto"/>
              <w:right w:val="single" w:sz="4" w:space="0" w:color="auto"/>
            </w:tcBorders>
            <w:shd w:val="clear" w:color="000000" w:fill="FFFFFF"/>
            <w:vAlign w:val="center"/>
            <w:hideMark/>
          </w:tcPr>
          <w:p w14:paraId="32647C51" w14:textId="77777777" w:rsidR="005A043A" w:rsidRPr="00214F41" w:rsidRDefault="005A043A" w:rsidP="00286762">
            <w:pPr>
              <w:jc w:val="center"/>
              <w:rPr>
                <w:sz w:val="18"/>
                <w:szCs w:val="18"/>
              </w:rPr>
            </w:pPr>
            <w:r w:rsidRPr="00214F41">
              <w:rPr>
                <w:sz w:val="18"/>
                <w:szCs w:val="18"/>
              </w:rPr>
              <w:t>21/104</w:t>
            </w:r>
          </w:p>
        </w:tc>
        <w:tc>
          <w:tcPr>
            <w:tcW w:w="282" w:type="pct"/>
            <w:tcBorders>
              <w:top w:val="nil"/>
              <w:left w:val="nil"/>
              <w:bottom w:val="single" w:sz="4" w:space="0" w:color="auto"/>
              <w:right w:val="single" w:sz="4" w:space="0" w:color="auto"/>
            </w:tcBorders>
            <w:shd w:val="clear" w:color="000000" w:fill="FFFFFF"/>
            <w:vAlign w:val="center"/>
            <w:hideMark/>
          </w:tcPr>
          <w:p w14:paraId="5401FD6D" w14:textId="77777777" w:rsidR="005A043A" w:rsidRPr="00214F41" w:rsidRDefault="005A043A" w:rsidP="00286762">
            <w:pPr>
              <w:jc w:val="center"/>
              <w:rPr>
                <w:sz w:val="18"/>
                <w:szCs w:val="18"/>
              </w:rPr>
            </w:pPr>
            <w:r w:rsidRPr="00214F41">
              <w:rPr>
                <w:sz w:val="18"/>
                <w:szCs w:val="18"/>
              </w:rPr>
              <w:t>7/104</w:t>
            </w:r>
          </w:p>
        </w:tc>
        <w:tc>
          <w:tcPr>
            <w:tcW w:w="278" w:type="pct"/>
            <w:tcBorders>
              <w:top w:val="nil"/>
              <w:left w:val="nil"/>
              <w:bottom w:val="single" w:sz="4" w:space="0" w:color="auto"/>
              <w:right w:val="single" w:sz="4" w:space="0" w:color="auto"/>
            </w:tcBorders>
            <w:shd w:val="clear" w:color="000000" w:fill="FFFFFF"/>
            <w:vAlign w:val="center"/>
            <w:hideMark/>
          </w:tcPr>
          <w:p w14:paraId="6B641BC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A8BAC8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5B6709F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AF62ED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1707780" w14:textId="77777777" w:rsidR="005A043A" w:rsidRPr="00214F41" w:rsidRDefault="005A043A" w:rsidP="00286762">
            <w:pPr>
              <w:jc w:val="center"/>
              <w:rPr>
                <w:sz w:val="18"/>
                <w:szCs w:val="18"/>
              </w:rPr>
            </w:pPr>
            <w:r w:rsidRPr="00214F41">
              <w:rPr>
                <w:sz w:val="18"/>
                <w:szCs w:val="18"/>
              </w:rPr>
              <w:t>10/104</w:t>
            </w:r>
          </w:p>
        </w:tc>
        <w:tc>
          <w:tcPr>
            <w:tcW w:w="279" w:type="pct"/>
            <w:tcBorders>
              <w:top w:val="nil"/>
              <w:left w:val="nil"/>
              <w:bottom w:val="single" w:sz="4" w:space="0" w:color="auto"/>
              <w:right w:val="single" w:sz="4" w:space="0" w:color="auto"/>
            </w:tcBorders>
            <w:shd w:val="clear" w:color="000000" w:fill="FFFFFF"/>
            <w:vAlign w:val="center"/>
            <w:hideMark/>
          </w:tcPr>
          <w:p w14:paraId="02A55194" w14:textId="77777777" w:rsidR="005A043A" w:rsidRPr="00214F41" w:rsidRDefault="005A043A" w:rsidP="00286762">
            <w:pPr>
              <w:jc w:val="center"/>
              <w:rPr>
                <w:sz w:val="18"/>
                <w:szCs w:val="18"/>
              </w:rPr>
            </w:pPr>
            <w:r w:rsidRPr="00214F41">
              <w:rPr>
                <w:sz w:val="18"/>
                <w:szCs w:val="18"/>
              </w:rPr>
              <w:t>4/104</w:t>
            </w:r>
          </w:p>
        </w:tc>
        <w:tc>
          <w:tcPr>
            <w:tcW w:w="279" w:type="pct"/>
            <w:tcBorders>
              <w:top w:val="nil"/>
              <w:left w:val="nil"/>
              <w:bottom w:val="single" w:sz="4" w:space="0" w:color="auto"/>
              <w:right w:val="single" w:sz="4" w:space="0" w:color="auto"/>
            </w:tcBorders>
            <w:shd w:val="clear" w:color="000000" w:fill="FFFFFF"/>
            <w:vAlign w:val="center"/>
            <w:hideMark/>
          </w:tcPr>
          <w:p w14:paraId="1B3759C8" w14:textId="77777777" w:rsidR="005A043A" w:rsidRPr="00214F41" w:rsidRDefault="005A043A" w:rsidP="00286762">
            <w:pPr>
              <w:jc w:val="center"/>
              <w:rPr>
                <w:sz w:val="18"/>
                <w:szCs w:val="18"/>
              </w:rPr>
            </w:pPr>
            <w:r w:rsidRPr="00214F41">
              <w:rPr>
                <w:sz w:val="18"/>
                <w:szCs w:val="18"/>
              </w:rPr>
              <w:t>6/104</w:t>
            </w:r>
          </w:p>
        </w:tc>
        <w:tc>
          <w:tcPr>
            <w:tcW w:w="276" w:type="pct"/>
            <w:tcBorders>
              <w:top w:val="nil"/>
              <w:left w:val="nil"/>
              <w:bottom w:val="single" w:sz="4" w:space="0" w:color="auto"/>
              <w:right w:val="single" w:sz="4" w:space="0" w:color="auto"/>
            </w:tcBorders>
            <w:shd w:val="clear" w:color="000000" w:fill="FFFFFF"/>
            <w:vAlign w:val="center"/>
            <w:hideMark/>
          </w:tcPr>
          <w:p w14:paraId="357C1E48" w14:textId="77777777" w:rsidR="005A043A" w:rsidRPr="00214F41" w:rsidRDefault="005A043A" w:rsidP="00286762">
            <w:pPr>
              <w:jc w:val="center"/>
              <w:rPr>
                <w:sz w:val="18"/>
                <w:szCs w:val="18"/>
              </w:rPr>
            </w:pPr>
            <w:r w:rsidRPr="00214F41">
              <w:rPr>
                <w:sz w:val="18"/>
                <w:szCs w:val="18"/>
              </w:rPr>
              <w:t>3/104</w:t>
            </w:r>
          </w:p>
        </w:tc>
      </w:tr>
      <w:tr w:rsidR="005A043A" w:rsidRPr="00214F41" w14:paraId="1BF3E2E7" w14:textId="77777777" w:rsidTr="00286762">
        <w:trPr>
          <w:trHeight w:val="419"/>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7D6EA55" w14:textId="77777777" w:rsidR="005A043A" w:rsidRPr="00214F41" w:rsidRDefault="005A043A" w:rsidP="00286762">
            <w:pPr>
              <w:jc w:val="center"/>
              <w:rPr>
                <w:sz w:val="18"/>
                <w:szCs w:val="18"/>
              </w:rPr>
            </w:pPr>
            <w:proofErr w:type="spellStart"/>
            <w:r w:rsidRPr="00214F41">
              <w:rPr>
                <w:sz w:val="18"/>
                <w:szCs w:val="18"/>
              </w:rPr>
              <w:t>Jadzinsky</w:t>
            </w:r>
            <w:proofErr w:type="spellEnd"/>
            <w:r w:rsidRPr="00214F41">
              <w:rPr>
                <w:sz w:val="18"/>
                <w:szCs w:val="18"/>
              </w:rPr>
              <w:t xml:space="preserve"> et al., 2009</w:t>
            </w:r>
          </w:p>
        </w:tc>
        <w:tc>
          <w:tcPr>
            <w:tcW w:w="318" w:type="pct"/>
            <w:tcBorders>
              <w:top w:val="nil"/>
              <w:left w:val="nil"/>
              <w:bottom w:val="single" w:sz="4" w:space="0" w:color="auto"/>
              <w:right w:val="single" w:sz="4" w:space="0" w:color="auto"/>
            </w:tcBorders>
            <w:shd w:val="clear" w:color="000000" w:fill="FFFFFF"/>
            <w:vAlign w:val="center"/>
            <w:hideMark/>
          </w:tcPr>
          <w:p w14:paraId="0AE8ACA7" w14:textId="77777777" w:rsidR="005A043A" w:rsidRPr="00214F41" w:rsidRDefault="005A043A" w:rsidP="00286762">
            <w:pPr>
              <w:jc w:val="center"/>
              <w:rPr>
                <w:sz w:val="18"/>
                <w:szCs w:val="18"/>
              </w:rPr>
            </w:pPr>
            <w:r w:rsidRPr="00214F41">
              <w:rPr>
                <w:sz w:val="18"/>
                <w:szCs w:val="18"/>
              </w:rPr>
              <w:t>11/328</w:t>
            </w:r>
          </w:p>
        </w:tc>
        <w:tc>
          <w:tcPr>
            <w:tcW w:w="295" w:type="pct"/>
            <w:tcBorders>
              <w:top w:val="nil"/>
              <w:left w:val="nil"/>
              <w:bottom w:val="single" w:sz="4" w:space="0" w:color="auto"/>
              <w:right w:val="single" w:sz="4" w:space="0" w:color="auto"/>
            </w:tcBorders>
            <w:shd w:val="clear" w:color="000000" w:fill="FFFFFF"/>
            <w:vAlign w:val="center"/>
            <w:hideMark/>
          </w:tcPr>
          <w:p w14:paraId="1B343A31" w14:textId="77777777" w:rsidR="005A043A" w:rsidRPr="00214F41" w:rsidRDefault="005A043A" w:rsidP="00286762">
            <w:pPr>
              <w:jc w:val="center"/>
              <w:rPr>
                <w:sz w:val="18"/>
                <w:szCs w:val="18"/>
              </w:rPr>
            </w:pPr>
            <w:r w:rsidRPr="00214F41">
              <w:rPr>
                <w:sz w:val="18"/>
                <w:szCs w:val="18"/>
              </w:rPr>
              <w:t>8/335</w:t>
            </w:r>
          </w:p>
        </w:tc>
        <w:tc>
          <w:tcPr>
            <w:tcW w:w="718" w:type="pct"/>
            <w:tcBorders>
              <w:top w:val="nil"/>
              <w:left w:val="nil"/>
              <w:bottom w:val="single" w:sz="4" w:space="0" w:color="auto"/>
              <w:right w:val="single" w:sz="4" w:space="0" w:color="auto"/>
            </w:tcBorders>
            <w:shd w:val="clear" w:color="000000" w:fill="FFFFFF"/>
            <w:vAlign w:val="center"/>
            <w:hideMark/>
          </w:tcPr>
          <w:p w14:paraId="3DA93421"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F41B70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7171D4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CCAD3D6" w14:textId="77777777" w:rsidR="005A043A" w:rsidRPr="00214F41" w:rsidRDefault="005A043A" w:rsidP="00286762">
            <w:pPr>
              <w:jc w:val="center"/>
              <w:rPr>
                <w:sz w:val="18"/>
                <w:szCs w:val="18"/>
              </w:rPr>
            </w:pPr>
            <w:r w:rsidRPr="00214F41">
              <w:rPr>
                <w:sz w:val="18"/>
                <w:szCs w:val="18"/>
              </w:rPr>
              <w:t>24/328</w:t>
            </w:r>
          </w:p>
        </w:tc>
        <w:tc>
          <w:tcPr>
            <w:tcW w:w="282" w:type="pct"/>
            <w:tcBorders>
              <w:top w:val="nil"/>
              <w:left w:val="nil"/>
              <w:bottom w:val="single" w:sz="4" w:space="0" w:color="auto"/>
              <w:right w:val="single" w:sz="4" w:space="0" w:color="auto"/>
            </w:tcBorders>
            <w:shd w:val="clear" w:color="000000" w:fill="FFFFFF"/>
            <w:vAlign w:val="center"/>
            <w:hideMark/>
          </w:tcPr>
          <w:p w14:paraId="5C2D5E34" w14:textId="77777777" w:rsidR="005A043A" w:rsidRPr="00214F41" w:rsidRDefault="005A043A" w:rsidP="00286762">
            <w:pPr>
              <w:jc w:val="center"/>
              <w:rPr>
                <w:sz w:val="18"/>
                <w:szCs w:val="18"/>
              </w:rPr>
            </w:pPr>
            <w:r w:rsidRPr="00214F41">
              <w:rPr>
                <w:sz w:val="18"/>
                <w:szCs w:val="18"/>
              </w:rPr>
              <w:t>10/335</w:t>
            </w:r>
          </w:p>
        </w:tc>
        <w:tc>
          <w:tcPr>
            <w:tcW w:w="278" w:type="pct"/>
            <w:tcBorders>
              <w:top w:val="nil"/>
              <w:left w:val="nil"/>
              <w:bottom w:val="single" w:sz="4" w:space="0" w:color="auto"/>
              <w:right w:val="single" w:sz="4" w:space="0" w:color="auto"/>
            </w:tcBorders>
            <w:shd w:val="clear" w:color="000000" w:fill="FFFFFF"/>
            <w:vAlign w:val="center"/>
            <w:hideMark/>
          </w:tcPr>
          <w:p w14:paraId="5383EA3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6BC834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090582C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376DE6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23F655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051FBCD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2D9C058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58CF73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05E62F91" w14:textId="77777777" w:rsidTr="00286762">
        <w:trPr>
          <w:trHeight w:val="55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54720F" w14:textId="77777777" w:rsidR="005A043A" w:rsidRPr="00214F41" w:rsidRDefault="005A043A" w:rsidP="00286762">
            <w:pPr>
              <w:jc w:val="center"/>
              <w:rPr>
                <w:sz w:val="18"/>
                <w:szCs w:val="18"/>
              </w:rPr>
            </w:pPr>
            <w:r w:rsidRPr="00214F41">
              <w:rPr>
                <w:sz w:val="18"/>
                <w:szCs w:val="18"/>
              </w:rPr>
              <w:t>Ji et al., 2016a</w:t>
            </w:r>
          </w:p>
        </w:tc>
        <w:tc>
          <w:tcPr>
            <w:tcW w:w="318" w:type="pct"/>
            <w:tcBorders>
              <w:top w:val="nil"/>
              <w:left w:val="nil"/>
              <w:bottom w:val="single" w:sz="4" w:space="0" w:color="auto"/>
              <w:right w:val="single" w:sz="4" w:space="0" w:color="auto"/>
            </w:tcBorders>
            <w:shd w:val="clear" w:color="000000" w:fill="FFFFFF"/>
            <w:vAlign w:val="center"/>
            <w:hideMark/>
          </w:tcPr>
          <w:p w14:paraId="20A8A7DB" w14:textId="77777777" w:rsidR="005A043A" w:rsidRPr="00214F41" w:rsidRDefault="005A043A" w:rsidP="00286762">
            <w:pPr>
              <w:jc w:val="center"/>
              <w:rPr>
                <w:sz w:val="18"/>
                <w:szCs w:val="18"/>
              </w:rPr>
            </w:pPr>
            <w:r w:rsidRPr="00214F41">
              <w:rPr>
                <w:sz w:val="18"/>
                <w:szCs w:val="18"/>
              </w:rPr>
              <w:t>3/126</w:t>
            </w:r>
          </w:p>
        </w:tc>
        <w:tc>
          <w:tcPr>
            <w:tcW w:w="295" w:type="pct"/>
            <w:tcBorders>
              <w:top w:val="nil"/>
              <w:left w:val="nil"/>
              <w:bottom w:val="single" w:sz="4" w:space="0" w:color="auto"/>
              <w:right w:val="single" w:sz="4" w:space="0" w:color="auto"/>
            </w:tcBorders>
            <w:shd w:val="clear" w:color="000000" w:fill="FFFFFF"/>
            <w:vAlign w:val="center"/>
            <w:hideMark/>
          </w:tcPr>
          <w:p w14:paraId="013C4086" w14:textId="77777777" w:rsidR="005A043A" w:rsidRPr="00214F41" w:rsidRDefault="005A043A" w:rsidP="00286762">
            <w:pPr>
              <w:jc w:val="center"/>
              <w:rPr>
                <w:sz w:val="18"/>
                <w:szCs w:val="18"/>
              </w:rPr>
            </w:pPr>
            <w:r w:rsidRPr="00214F41">
              <w:rPr>
                <w:sz w:val="18"/>
                <w:szCs w:val="18"/>
              </w:rPr>
              <w:t>3/126</w:t>
            </w:r>
          </w:p>
        </w:tc>
        <w:tc>
          <w:tcPr>
            <w:tcW w:w="718" w:type="pct"/>
            <w:vMerge w:val="restart"/>
            <w:tcBorders>
              <w:top w:val="nil"/>
              <w:left w:val="nil"/>
              <w:right w:val="single" w:sz="4" w:space="0" w:color="auto"/>
            </w:tcBorders>
            <w:shd w:val="clear" w:color="000000" w:fill="FFFFFF"/>
            <w:vAlign w:val="center"/>
            <w:hideMark/>
          </w:tcPr>
          <w:p w14:paraId="7F83FE7C"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5C6E8E4" w14:textId="77777777" w:rsidR="005A043A" w:rsidRPr="00214F41" w:rsidRDefault="005A043A" w:rsidP="00286762">
            <w:pPr>
              <w:jc w:val="center"/>
              <w:rPr>
                <w:sz w:val="18"/>
                <w:szCs w:val="18"/>
              </w:rPr>
            </w:pPr>
            <w:r w:rsidRPr="00214F41">
              <w:rPr>
                <w:sz w:val="18"/>
                <w:szCs w:val="18"/>
              </w:rPr>
              <w:t>4/126</w:t>
            </w:r>
          </w:p>
        </w:tc>
        <w:tc>
          <w:tcPr>
            <w:tcW w:w="282" w:type="pct"/>
            <w:tcBorders>
              <w:top w:val="nil"/>
              <w:left w:val="nil"/>
              <w:bottom w:val="single" w:sz="4" w:space="0" w:color="auto"/>
              <w:right w:val="single" w:sz="4" w:space="0" w:color="auto"/>
            </w:tcBorders>
            <w:shd w:val="clear" w:color="000000" w:fill="FFFFFF"/>
            <w:vAlign w:val="center"/>
            <w:hideMark/>
          </w:tcPr>
          <w:p w14:paraId="3AE12C00" w14:textId="77777777" w:rsidR="005A043A" w:rsidRPr="00214F41" w:rsidRDefault="005A043A" w:rsidP="00286762">
            <w:pPr>
              <w:jc w:val="center"/>
              <w:rPr>
                <w:sz w:val="18"/>
                <w:szCs w:val="18"/>
              </w:rPr>
            </w:pPr>
            <w:r w:rsidRPr="00214F41">
              <w:rPr>
                <w:sz w:val="18"/>
                <w:szCs w:val="18"/>
              </w:rPr>
              <w:t>2/126</w:t>
            </w:r>
          </w:p>
        </w:tc>
        <w:tc>
          <w:tcPr>
            <w:tcW w:w="282" w:type="pct"/>
            <w:tcBorders>
              <w:top w:val="nil"/>
              <w:left w:val="nil"/>
              <w:bottom w:val="single" w:sz="4" w:space="0" w:color="auto"/>
              <w:right w:val="single" w:sz="4" w:space="0" w:color="auto"/>
            </w:tcBorders>
            <w:shd w:val="clear" w:color="000000" w:fill="FFFFFF"/>
            <w:vAlign w:val="center"/>
            <w:hideMark/>
          </w:tcPr>
          <w:p w14:paraId="6B61C62D" w14:textId="77777777" w:rsidR="005A043A" w:rsidRPr="00214F41" w:rsidRDefault="005A043A" w:rsidP="00286762">
            <w:pPr>
              <w:jc w:val="center"/>
              <w:rPr>
                <w:sz w:val="18"/>
                <w:szCs w:val="18"/>
              </w:rPr>
            </w:pPr>
            <w:r w:rsidRPr="00214F41">
              <w:rPr>
                <w:sz w:val="18"/>
                <w:szCs w:val="18"/>
              </w:rPr>
              <w:t>4/126</w:t>
            </w:r>
          </w:p>
        </w:tc>
        <w:tc>
          <w:tcPr>
            <w:tcW w:w="282" w:type="pct"/>
            <w:tcBorders>
              <w:top w:val="nil"/>
              <w:left w:val="nil"/>
              <w:bottom w:val="single" w:sz="4" w:space="0" w:color="auto"/>
              <w:right w:val="single" w:sz="4" w:space="0" w:color="auto"/>
            </w:tcBorders>
            <w:shd w:val="clear" w:color="000000" w:fill="FFFFFF"/>
            <w:vAlign w:val="center"/>
            <w:hideMark/>
          </w:tcPr>
          <w:p w14:paraId="20FCA5CF" w14:textId="77777777" w:rsidR="005A043A" w:rsidRPr="00214F41" w:rsidRDefault="005A043A" w:rsidP="00286762">
            <w:pPr>
              <w:jc w:val="center"/>
              <w:rPr>
                <w:sz w:val="18"/>
                <w:szCs w:val="18"/>
              </w:rPr>
            </w:pPr>
            <w:r w:rsidRPr="00214F41">
              <w:rPr>
                <w:sz w:val="18"/>
                <w:szCs w:val="18"/>
              </w:rPr>
              <w:t>4/126</w:t>
            </w:r>
          </w:p>
        </w:tc>
        <w:tc>
          <w:tcPr>
            <w:tcW w:w="278" w:type="pct"/>
            <w:tcBorders>
              <w:top w:val="nil"/>
              <w:left w:val="nil"/>
              <w:bottom w:val="single" w:sz="4" w:space="0" w:color="auto"/>
              <w:right w:val="single" w:sz="4" w:space="0" w:color="auto"/>
            </w:tcBorders>
            <w:shd w:val="clear" w:color="000000" w:fill="FFFFFF"/>
            <w:vAlign w:val="center"/>
            <w:hideMark/>
          </w:tcPr>
          <w:p w14:paraId="1771BA9D" w14:textId="77777777" w:rsidR="005A043A" w:rsidRPr="00214F41" w:rsidRDefault="005A043A" w:rsidP="00286762">
            <w:pPr>
              <w:jc w:val="center"/>
              <w:rPr>
                <w:sz w:val="18"/>
                <w:szCs w:val="18"/>
              </w:rPr>
            </w:pPr>
            <w:r w:rsidRPr="00214F41">
              <w:rPr>
                <w:sz w:val="18"/>
                <w:szCs w:val="18"/>
              </w:rPr>
              <w:t>1/126</w:t>
            </w:r>
          </w:p>
        </w:tc>
        <w:tc>
          <w:tcPr>
            <w:tcW w:w="280" w:type="pct"/>
            <w:tcBorders>
              <w:top w:val="nil"/>
              <w:left w:val="nil"/>
              <w:bottom w:val="single" w:sz="4" w:space="0" w:color="auto"/>
              <w:right w:val="single" w:sz="4" w:space="0" w:color="auto"/>
            </w:tcBorders>
            <w:shd w:val="clear" w:color="000000" w:fill="FFFFFF"/>
            <w:vAlign w:val="center"/>
            <w:hideMark/>
          </w:tcPr>
          <w:p w14:paraId="0110C64C" w14:textId="77777777" w:rsidR="005A043A" w:rsidRPr="00214F41" w:rsidRDefault="005A043A" w:rsidP="00286762">
            <w:pPr>
              <w:jc w:val="center"/>
              <w:rPr>
                <w:sz w:val="18"/>
                <w:szCs w:val="18"/>
              </w:rPr>
            </w:pPr>
            <w:r w:rsidRPr="00214F41">
              <w:rPr>
                <w:sz w:val="18"/>
                <w:szCs w:val="18"/>
              </w:rPr>
              <w:t>0/126</w:t>
            </w:r>
          </w:p>
        </w:tc>
        <w:tc>
          <w:tcPr>
            <w:tcW w:w="278" w:type="pct"/>
            <w:tcBorders>
              <w:top w:val="nil"/>
              <w:left w:val="nil"/>
              <w:bottom w:val="single" w:sz="4" w:space="0" w:color="auto"/>
              <w:right w:val="single" w:sz="4" w:space="0" w:color="auto"/>
            </w:tcBorders>
            <w:shd w:val="clear" w:color="000000" w:fill="FFFFFF"/>
            <w:vAlign w:val="center"/>
            <w:hideMark/>
          </w:tcPr>
          <w:p w14:paraId="7B93F9F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6EA81C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D829CDF" w14:textId="77777777" w:rsidR="005A043A" w:rsidRPr="00214F41" w:rsidRDefault="005A043A" w:rsidP="00286762">
            <w:pPr>
              <w:jc w:val="center"/>
              <w:rPr>
                <w:sz w:val="18"/>
                <w:szCs w:val="18"/>
              </w:rPr>
            </w:pPr>
            <w:r w:rsidRPr="00214F41">
              <w:rPr>
                <w:sz w:val="18"/>
                <w:szCs w:val="18"/>
              </w:rPr>
              <w:t>1/126</w:t>
            </w:r>
          </w:p>
        </w:tc>
        <w:tc>
          <w:tcPr>
            <w:tcW w:w="279" w:type="pct"/>
            <w:tcBorders>
              <w:top w:val="nil"/>
              <w:left w:val="nil"/>
              <w:bottom w:val="single" w:sz="4" w:space="0" w:color="auto"/>
              <w:right w:val="single" w:sz="4" w:space="0" w:color="auto"/>
            </w:tcBorders>
            <w:shd w:val="clear" w:color="000000" w:fill="FFFFFF"/>
            <w:vAlign w:val="center"/>
            <w:hideMark/>
          </w:tcPr>
          <w:p w14:paraId="36C8D32E" w14:textId="77777777" w:rsidR="005A043A" w:rsidRPr="00214F41" w:rsidRDefault="005A043A" w:rsidP="00286762">
            <w:pPr>
              <w:jc w:val="center"/>
              <w:rPr>
                <w:sz w:val="18"/>
                <w:szCs w:val="18"/>
              </w:rPr>
            </w:pPr>
            <w:r w:rsidRPr="00214F41">
              <w:rPr>
                <w:sz w:val="18"/>
                <w:szCs w:val="18"/>
              </w:rPr>
              <w:t>0/126</w:t>
            </w:r>
          </w:p>
        </w:tc>
        <w:tc>
          <w:tcPr>
            <w:tcW w:w="279" w:type="pct"/>
            <w:tcBorders>
              <w:top w:val="nil"/>
              <w:left w:val="nil"/>
              <w:bottom w:val="single" w:sz="4" w:space="0" w:color="auto"/>
              <w:right w:val="single" w:sz="4" w:space="0" w:color="auto"/>
            </w:tcBorders>
            <w:shd w:val="clear" w:color="000000" w:fill="FFFFFF"/>
            <w:vAlign w:val="center"/>
            <w:hideMark/>
          </w:tcPr>
          <w:p w14:paraId="515A601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1324CD5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02C00A9" w14:textId="77777777" w:rsidTr="00286762">
        <w:trPr>
          <w:trHeight w:val="41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ABB808D" w14:textId="77777777" w:rsidR="005A043A" w:rsidRPr="00214F41" w:rsidRDefault="005A043A" w:rsidP="00286762">
            <w:pPr>
              <w:jc w:val="center"/>
              <w:rPr>
                <w:sz w:val="18"/>
                <w:szCs w:val="18"/>
              </w:rPr>
            </w:pPr>
            <w:r w:rsidRPr="00214F41">
              <w:rPr>
                <w:sz w:val="18"/>
                <w:szCs w:val="18"/>
              </w:rPr>
              <w:t>Ji et al., 2016b</w:t>
            </w:r>
          </w:p>
        </w:tc>
        <w:tc>
          <w:tcPr>
            <w:tcW w:w="318" w:type="pct"/>
            <w:tcBorders>
              <w:top w:val="nil"/>
              <w:left w:val="nil"/>
              <w:bottom w:val="single" w:sz="4" w:space="0" w:color="auto"/>
              <w:right w:val="single" w:sz="4" w:space="0" w:color="auto"/>
            </w:tcBorders>
            <w:shd w:val="clear" w:color="000000" w:fill="FFFFFF"/>
            <w:vAlign w:val="center"/>
            <w:hideMark/>
          </w:tcPr>
          <w:p w14:paraId="363F87E0" w14:textId="77777777" w:rsidR="005A043A" w:rsidRPr="00214F41" w:rsidRDefault="005A043A" w:rsidP="00286762">
            <w:pPr>
              <w:jc w:val="center"/>
              <w:rPr>
                <w:sz w:val="18"/>
                <w:szCs w:val="18"/>
              </w:rPr>
            </w:pPr>
            <w:r w:rsidRPr="00214F41">
              <w:rPr>
                <w:sz w:val="18"/>
                <w:szCs w:val="18"/>
              </w:rPr>
              <w:t>2/124</w:t>
            </w:r>
          </w:p>
        </w:tc>
        <w:tc>
          <w:tcPr>
            <w:tcW w:w="295" w:type="pct"/>
            <w:tcBorders>
              <w:top w:val="nil"/>
              <w:left w:val="nil"/>
              <w:bottom w:val="single" w:sz="4" w:space="0" w:color="auto"/>
              <w:right w:val="single" w:sz="4" w:space="0" w:color="auto"/>
            </w:tcBorders>
            <w:shd w:val="clear" w:color="000000" w:fill="FFFFFF"/>
            <w:vAlign w:val="center"/>
            <w:hideMark/>
          </w:tcPr>
          <w:p w14:paraId="3E4C705F" w14:textId="77777777" w:rsidR="005A043A" w:rsidRPr="00214F41" w:rsidRDefault="005A043A" w:rsidP="00286762">
            <w:pPr>
              <w:jc w:val="center"/>
              <w:rPr>
                <w:sz w:val="18"/>
                <w:szCs w:val="18"/>
              </w:rPr>
            </w:pPr>
            <w:r w:rsidRPr="00214F41">
              <w:rPr>
                <w:sz w:val="18"/>
                <w:szCs w:val="18"/>
              </w:rPr>
              <w:t>3/126</w:t>
            </w:r>
          </w:p>
        </w:tc>
        <w:tc>
          <w:tcPr>
            <w:tcW w:w="718" w:type="pct"/>
            <w:vMerge/>
            <w:tcBorders>
              <w:left w:val="nil"/>
              <w:bottom w:val="single" w:sz="4" w:space="0" w:color="auto"/>
              <w:right w:val="single" w:sz="4" w:space="0" w:color="auto"/>
            </w:tcBorders>
            <w:shd w:val="clear" w:color="000000" w:fill="FFFFFF"/>
            <w:vAlign w:val="center"/>
            <w:hideMark/>
          </w:tcPr>
          <w:p w14:paraId="157FB7BE"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5FB8B596" w14:textId="77777777" w:rsidR="005A043A" w:rsidRPr="00214F41" w:rsidRDefault="005A043A" w:rsidP="00286762">
            <w:pPr>
              <w:jc w:val="center"/>
              <w:rPr>
                <w:sz w:val="18"/>
                <w:szCs w:val="18"/>
              </w:rPr>
            </w:pPr>
            <w:r w:rsidRPr="00214F41">
              <w:rPr>
                <w:sz w:val="18"/>
                <w:szCs w:val="18"/>
              </w:rPr>
              <w:t>5/124</w:t>
            </w:r>
          </w:p>
        </w:tc>
        <w:tc>
          <w:tcPr>
            <w:tcW w:w="282" w:type="pct"/>
            <w:tcBorders>
              <w:top w:val="nil"/>
              <w:left w:val="nil"/>
              <w:bottom w:val="single" w:sz="4" w:space="0" w:color="auto"/>
              <w:right w:val="single" w:sz="4" w:space="0" w:color="auto"/>
            </w:tcBorders>
            <w:shd w:val="clear" w:color="000000" w:fill="FFFFFF"/>
            <w:vAlign w:val="center"/>
            <w:hideMark/>
          </w:tcPr>
          <w:p w14:paraId="4C1B12DC" w14:textId="77777777" w:rsidR="005A043A" w:rsidRPr="00214F41" w:rsidRDefault="005A043A" w:rsidP="00286762">
            <w:pPr>
              <w:jc w:val="center"/>
              <w:rPr>
                <w:sz w:val="18"/>
                <w:szCs w:val="18"/>
              </w:rPr>
            </w:pPr>
            <w:r w:rsidRPr="00214F41">
              <w:rPr>
                <w:sz w:val="18"/>
                <w:szCs w:val="18"/>
              </w:rPr>
              <w:t>2/126</w:t>
            </w:r>
          </w:p>
        </w:tc>
        <w:tc>
          <w:tcPr>
            <w:tcW w:w="282" w:type="pct"/>
            <w:tcBorders>
              <w:top w:val="nil"/>
              <w:left w:val="nil"/>
              <w:bottom w:val="single" w:sz="4" w:space="0" w:color="auto"/>
              <w:right w:val="single" w:sz="4" w:space="0" w:color="auto"/>
            </w:tcBorders>
            <w:shd w:val="clear" w:color="000000" w:fill="FFFFFF"/>
            <w:vAlign w:val="center"/>
            <w:hideMark/>
          </w:tcPr>
          <w:p w14:paraId="45AF53D2" w14:textId="77777777" w:rsidR="005A043A" w:rsidRPr="00214F41" w:rsidRDefault="005A043A" w:rsidP="00286762">
            <w:pPr>
              <w:jc w:val="center"/>
              <w:rPr>
                <w:sz w:val="18"/>
                <w:szCs w:val="18"/>
              </w:rPr>
            </w:pPr>
            <w:r w:rsidRPr="00214F41">
              <w:rPr>
                <w:sz w:val="18"/>
                <w:szCs w:val="18"/>
              </w:rPr>
              <w:t>9/124</w:t>
            </w:r>
          </w:p>
        </w:tc>
        <w:tc>
          <w:tcPr>
            <w:tcW w:w="282" w:type="pct"/>
            <w:tcBorders>
              <w:top w:val="nil"/>
              <w:left w:val="nil"/>
              <w:bottom w:val="single" w:sz="4" w:space="0" w:color="auto"/>
              <w:right w:val="single" w:sz="4" w:space="0" w:color="auto"/>
            </w:tcBorders>
            <w:shd w:val="clear" w:color="000000" w:fill="FFFFFF"/>
            <w:vAlign w:val="center"/>
            <w:hideMark/>
          </w:tcPr>
          <w:p w14:paraId="722F6738" w14:textId="77777777" w:rsidR="005A043A" w:rsidRPr="00214F41" w:rsidRDefault="005A043A" w:rsidP="00286762">
            <w:pPr>
              <w:jc w:val="center"/>
              <w:rPr>
                <w:sz w:val="18"/>
                <w:szCs w:val="18"/>
              </w:rPr>
            </w:pPr>
            <w:r w:rsidRPr="00214F41">
              <w:rPr>
                <w:sz w:val="18"/>
                <w:szCs w:val="18"/>
              </w:rPr>
              <w:t>4/126</w:t>
            </w:r>
          </w:p>
        </w:tc>
        <w:tc>
          <w:tcPr>
            <w:tcW w:w="278" w:type="pct"/>
            <w:tcBorders>
              <w:top w:val="nil"/>
              <w:left w:val="nil"/>
              <w:bottom w:val="single" w:sz="4" w:space="0" w:color="auto"/>
              <w:right w:val="single" w:sz="4" w:space="0" w:color="auto"/>
            </w:tcBorders>
            <w:shd w:val="clear" w:color="000000" w:fill="FFFFFF"/>
            <w:vAlign w:val="center"/>
            <w:hideMark/>
          </w:tcPr>
          <w:p w14:paraId="1F97B792" w14:textId="77777777" w:rsidR="005A043A" w:rsidRPr="00214F41" w:rsidRDefault="005A043A" w:rsidP="00286762">
            <w:pPr>
              <w:jc w:val="center"/>
              <w:rPr>
                <w:sz w:val="18"/>
                <w:szCs w:val="18"/>
              </w:rPr>
            </w:pPr>
            <w:r w:rsidRPr="00214F41">
              <w:rPr>
                <w:sz w:val="18"/>
                <w:szCs w:val="18"/>
              </w:rPr>
              <w:t>1/124</w:t>
            </w:r>
          </w:p>
        </w:tc>
        <w:tc>
          <w:tcPr>
            <w:tcW w:w="280" w:type="pct"/>
            <w:tcBorders>
              <w:top w:val="nil"/>
              <w:left w:val="nil"/>
              <w:bottom w:val="single" w:sz="4" w:space="0" w:color="auto"/>
              <w:right w:val="single" w:sz="4" w:space="0" w:color="auto"/>
            </w:tcBorders>
            <w:shd w:val="clear" w:color="000000" w:fill="FFFFFF"/>
            <w:vAlign w:val="center"/>
            <w:hideMark/>
          </w:tcPr>
          <w:p w14:paraId="1A6A28FE" w14:textId="77777777" w:rsidR="005A043A" w:rsidRPr="00214F41" w:rsidRDefault="005A043A" w:rsidP="00286762">
            <w:pPr>
              <w:jc w:val="center"/>
              <w:rPr>
                <w:sz w:val="18"/>
                <w:szCs w:val="18"/>
              </w:rPr>
            </w:pPr>
            <w:r w:rsidRPr="00214F41">
              <w:rPr>
                <w:sz w:val="18"/>
                <w:szCs w:val="18"/>
              </w:rPr>
              <w:t>0/126</w:t>
            </w:r>
          </w:p>
        </w:tc>
        <w:tc>
          <w:tcPr>
            <w:tcW w:w="278" w:type="pct"/>
            <w:tcBorders>
              <w:top w:val="nil"/>
              <w:left w:val="nil"/>
              <w:bottom w:val="single" w:sz="4" w:space="0" w:color="auto"/>
              <w:right w:val="single" w:sz="4" w:space="0" w:color="auto"/>
            </w:tcBorders>
            <w:shd w:val="clear" w:color="000000" w:fill="FFFFFF"/>
            <w:vAlign w:val="center"/>
            <w:hideMark/>
          </w:tcPr>
          <w:p w14:paraId="75B360A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D8FD25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1852E32" w14:textId="77777777" w:rsidR="005A043A" w:rsidRPr="00214F41" w:rsidRDefault="005A043A" w:rsidP="00286762">
            <w:pPr>
              <w:jc w:val="center"/>
              <w:rPr>
                <w:sz w:val="18"/>
                <w:szCs w:val="18"/>
              </w:rPr>
            </w:pPr>
            <w:r w:rsidRPr="00214F41">
              <w:rPr>
                <w:sz w:val="18"/>
                <w:szCs w:val="18"/>
              </w:rPr>
              <w:t>4/124</w:t>
            </w:r>
          </w:p>
        </w:tc>
        <w:tc>
          <w:tcPr>
            <w:tcW w:w="279" w:type="pct"/>
            <w:tcBorders>
              <w:top w:val="nil"/>
              <w:left w:val="nil"/>
              <w:bottom w:val="single" w:sz="4" w:space="0" w:color="auto"/>
              <w:right w:val="single" w:sz="4" w:space="0" w:color="auto"/>
            </w:tcBorders>
            <w:shd w:val="clear" w:color="000000" w:fill="FFFFFF"/>
            <w:vAlign w:val="center"/>
            <w:hideMark/>
          </w:tcPr>
          <w:p w14:paraId="3D49FEDE" w14:textId="77777777" w:rsidR="005A043A" w:rsidRPr="00214F41" w:rsidRDefault="005A043A" w:rsidP="00286762">
            <w:pPr>
              <w:jc w:val="center"/>
              <w:rPr>
                <w:sz w:val="18"/>
                <w:szCs w:val="18"/>
              </w:rPr>
            </w:pPr>
            <w:r w:rsidRPr="00214F41">
              <w:rPr>
                <w:sz w:val="18"/>
                <w:szCs w:val="18"/>
              </w:rPr>
              <w:t>0/126</w:t>
            </w:r>
          </w:p>
        </w:tc>
        <w:tc>
          <w:tcPr>
            <w:tcW w:w="279" w:type="pct"/>
            <w:tcBorders>
              <w:top w:val="nil"/>
              <w:left w:val="nil"/>
              <w:bottom w:val="single" w:sz="4" w:space="0" w:color="auto"/>
              <w:right w:val="single" w:sz="4" w:space="0" w:color="auto"/>
            </w:tcBorders>
            <w:shd w:val="clear" w:color="000000" w:fill="FFFFFF"/>
            <w:vAlign w:val="center"/>
            <w:hideMark/>
          </w:tcPr>
          <w:p w14:paraId="5AC3682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157FBAB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0B18819C" w14:textId="77777777" w:rsidTr="00286762">
        <w:trPr>
          <w:trHeight w:val="56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132233FB" w14:textId="77777777" w:rsidR="005A043A" w:rsidRPr="00214F41" w:rsidRDefault="005A043A" w:rsidP="00286762">
            <w:pPr>
              <w:jc w:val="center"/>
              <w:rPr>
                <w:sz w:val="18"/>
                <w:szCs w:val="18"/>
              </w:rPr>
            </w:pPr>
            <w:r w:rsidRPr="00214F41">
              <w:rPr>
                <w:sz w:val="18"/>
                <w:szCs w:val="18"/>
              </w:rPr>
              <w:lastRenderedPageBreak/>
              <w:t>Ji et al., 2017</w:t>
            </w:r>
          </w:p>
        </w:tc>
        <w:tc>
          <w:tcPr>
            <w:tcW w:w="318" w:type="pct"/>
            <w:tcBorders>
              <w:top w:val="nil"/>
              <w:left w:val="nil"/>
              <w:bottom w:val="single" w:sz="4" w:space="0" w:color="auto"/>
              <w:right w:val="single" w:sz="4" w:space="0" w:color="auto"/>
            </w:tcBorders>
            <w:shd w:val="clear" w:color="000000" w:fill="FFFFFF"/>
            <w:vAlign w:val="center"/>
            <w:hideMark/>
          </w:tcPr>
          <w:p w14:paraId="2230DCD5" w14:textId="77777777" w:rsidR="005A043A" w:rsidRPr="00214F41" w:rsidRDefault="005A043A" w:rsidP="00286762">
            <w:pPr>
              <w:jc w:val="center"/>
              <w:rPr>
                <w:sz w:val="18"/>
                <w:szCs w:val="18"/>
              </w:rPr>
            </w:pPr>
            <w:r w:rsidRPr="00214F41">
              <w:rPr>
                <w:sz w:val="18"/>
                <w:szCs w:val="18"/>
              </w:rPr>
              <w:t>15/265</w:t>
            </w:r>
          </w:p>
        </w:tc>
        <w:tc>
          <w:tcPr>
            <w:tcW w:w="295" w:type="pct"/>
            <w:tcBorders>
              <w:top w:val="nil"/>
              <w:left w:val="nil"/>
              <w:bottom w:val="single" w:sz="4" w:space="0" w:color="auto"/>
              <w:right w:val="single" w:sz="4" w:space="0" w:color="auto"/>
            </w:tcBorders>
            <w:shd w:val="clear" w:color="000000" w:fill="FFFFFF"/>
            <w:vAlign w:val="center"/>
            <w:hideMark/>
          </w:tcPr>
          <w:p w14:paraId="47949725" w14:textId="77777777" w:rsidR="005A043A" w:rsidRPr="00214F41" w:rsidRDefault="005A043A" w:rsidP="00286762">
            <w:pPr>
              <w:jc w:val="center"/>
              <w:rPr>
                <w:sz w:val="18"/>
                <w:szCs w:val="18"/>
              </w:rPr>
            </w:pPr>
            <w:r w:rsidRPr="00214F41">
              <w:rPr>
                <w:sz w:val="18"/>
                <w:szCs w:val="18"/>
              </w:rPr>
              <w:t>19/267</w:t>
            </w:r>
          </w:p>
        </w:tc>
        <w:tc>
          <w:tcPr>
            <w:tcW w:w="718" w:type="pct"/>
            <w:tcBorders>
              <w:top w:val="nil"/>
              <w:left w:val="nil"/>
              <w:bottom w:val="single" w:sz="4" w:space="0" w:color="auto"/>
              <w:right w:val="single" w:sz="4" w:space="0" w:color="auto"/>
            </w:tcBorders>
            <w:shd w:val="clear" w:color="000000" w:fill="FFFFFF"/>
            <w:vAlign w:val="center"/>
            <w:hideMark/>
          </w:tcPr>
          <w:p w14:paraId="2A773006" w14:textId="77777777" w:rsidR="005A043A" w:rsidRPr="00214F41" w:rsidRDefault="005A043A" w:rsidP="00286762">
            <w:pPr>
              <w:jc w:val="center"/>
              <w:rPr>
                <w:sz w:val="18"/>
                <w:szCs w:val="18"/>
                <w:lang w:val="en-GB"/>
              </w:rPr>
            </w:pPr>
            <w:r w:rsidRPr="00214F41">
              <w:rPr>
                <w:sz w:val="18"/>
                <w:szCs w:val="18"/>
                <w:lang w:val="en-GB"/>
              </w:rPr>
              <w:t xml:space="preserve"> most frequently nausea and </w:t>
            </w:r>
            <w:proofErr w:type="spellStart"/>
            <w:r w:rsidRPr="00214F41">
              <w:rPr>
                <w:sz w:val="18"/>
                <w:szCs w:val="18"/>
                <w:lang w:val="en-GB"/>
              </w:rPr>
              <w:t>diarrhea</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97A17E4" w14:textId="77777777" w:rsidR="005A043A" w:rsidRPr="00214F41" w:rsidRDefault="005A043A" w:rsidP="00286762">
            <w:pPr>
              <w:jc w:val="center"/>
              <w:rPr>
                <w:sz w:val="18"/>
                <w:szCs w:val="18"/>
              </w:rPr>
            </w:pPr>
            <w:r w:rsidRPr="00214F41">
              <w:rPr>
                <w:sz w:val="18"/>
                <w:szCs w:val="18"/>
              </w:rPr>
              <w:t>5/264</w:t>
            </w:r>
          </w:p>
        </w:tc>
        <w:tc>
          <w:tcPr>
            <w:tcW w:w="282" w:type="pct"/>
            <w:tcBorders>
              <w:top w:val="nil"/>
              <w:left w:val="nil"/>
              <w:bottom w:val="single" w:sz="4" w:space="0" w:color="auto"/>
              <w:right w:val="single" w:sz="4" w:space="0" w:color="auto"/>
            </w:tcBorders>
            <w:shd w:val="clear" w:color="000000" w:fill="FFFFFF"/>
            <w:vAlign w:val="center"/>
            <w:hideMark/>
          </w:tcPr>
          <w:p w14:paraId="1BF36B22" w14:textId="77777777" w:rsidR="005A043A" w:rsidRPr="00214F41" w:rsidRDefault="005A043A" w:rsidP="00286762">
            <w:pPr>
              <w:jc w:val="center"/>
              <w:rPr>
                <w:sz w:val="18"/>
                <w:szCs w:val="18"/>
              </w:rPr>
            </w:pPr>
            <w:r w:rsidRPr="00214F41">
              <w:rPr>
                <w:sz w:val="18"/>
                <w:szCs w:val="18"/>
              </w:rPr>
              <w:t>6/261</w:t>
            </w:r>
          </w:p>
        </w:tc>
        <w:tc>
          <w:tcPr>
            <w:tcW w:w="282" w:type="pct"/>
            <w:tcBorders>
              <w:top w:val="nil"/>
              <w:left w:val="nil"/>
              <w:bottom w:val="single" w:sz="4" w:space="0" w:color="auto"/>
              <w:right w:val="single" w:sz="4" w:space="0" w:color="auto"/>
            </w:tcBorders>
            <w:shd w:val="clear" w:color="000000" w:fill="FFFFFF"/>
            <w:vAlign w:val="center"/>
            <w:hideMark/>
          </w:tcPr>
          <w:p w14:paraId="6461C101" w14:textId="77777777" w:rsidR="005A043A" w:rsidRPr="00214F41" w:rsidRDefault="005A043A" w:rsidP="00286762">
            <w:pPr>
              <w:jc w:val="center"/>
              <w:rPr>
                <w:sz w:val="18"/>
                <w:szCs w:val="18"/>
              </w:rPr>
            </w:pPr>
            <w:r w:rsidRPr="00214F41">
              <w:rPr>
                <w:sz w:val="18"/>
                <w:szCs w:val="18"/>
              </w:rPr>
              <w:t>33/264</w:t>
            </w:r>
          </w:p>
        </w:tc>
        <w:tc>
          <w:tcPr>
            <w:tcW w:w="282" w:type="pct"/>
            <w:tcBorders>
              <w:top w:val="nil"/>
              <w:left w:val="nil"/>
              <w:bottom w:val="single" w:sz="4" w:space="0" w:color="auto"/>
              <w:right w:val="single" w:sz="4" w:space="0" w:color="auto"/>
            </w:tcBorders>
            <w:shd w:val="clear" w:color="000000" w:fill="FFFFFF"/>
            <w:vAlign w:val="center"/>
            <w:hideMark/>
          </w:tcPr>
          <w:p w14:paraId="15363269" w14:textId="77777777" w:rsidR="005A043A" w:rsidRPr="00214F41" w:rsidRDefault="005A043A" w:rsidP="00286762">
            <w:pPr>
              <w:jc w:val="center"/>
              <w:rPr>
                <w:sz w:val="18"/>
                <w:szCs w:val="18"/>
              </w:rPr>
            </w:pPr>
            <w:r w:rsidRPr="00214F41">
              <w:rPr>
                <w:sz w:val="18"/>
                <w:szCs w:val="18"/>
              </w:rPr>
              <w:t>43/261</w:t>
            </w:r>
          </w:p>
        </w:tc>
        <w:tc>
          <w:tcPr>
            <w:tcW w:w="278" w:type="pct"/>
            <w:tcBorders>
              <w:top w:val="nil"/>
              <w:left w:val="nil"/>
              <w:bottom w:val="single" w:sz="4" w:space="0" w:color="auto"/>
              <w:right w:val="single" w:sz="4" w:space="0" w:color="auto"/>
            </w:tcBorders>
            <w:shd w:val="clear" w:color="000000" w:fill="FFFFFF"/>
            <w:vAlign w:val="center"/>
            <w:hideMark/>
          </w:tcPr>
          <w:p w14:paraId="5B38A0F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683EDC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2E451700" w14:textId="77777777" w:rsidR="005A043A" w:rsidRPr="00214F41" w:rsidRDefault="005A043A" w:rsidP="00286762">
            <w:pPr>
              <w:jc w:val="center"/>
              <w:rPr>
                <w:sz w:val="18"/>
                <w:szCs w:val="18"/>
              </w:rPr>
            </w:pPr>
            <w:r w:rsidRPr="00214F41">
              <w:rPr>
                <w:sz w:val="18"/>
                <w:szCs w:val="18"/>
              </w:rPr>
              <w:t>17/264</w:t>
            </w:r>
          </w:p>
        </w:tc>
        <w:tc>
          <w:tcPr>
            <w:tcW w:w="280" w:type="pct"/>
            <w:tcBorders>
              <w:top w:val="nil"/>
              <w:left w:val="nil"/>
              <w:bottom w:val="single" w:sz="4" w:space="0" w:color="auto"/>
              <w:right w:val="single" w:sz="4" w:space="0" w:color="auto"/>
            </w:tcBorders>
            <w:shd w:val="clear" w:color="000000" w:fill="FFFFFF"/>
            <w:vAlign w:val="center"/>
            <w:hideMark/>
          </w:tcPr>
          <w:p w14:paraId="2B902794" w14:textId="77777777" w:rsidR="005A043A" w:rsidRPr="00214F41" w:rsidRDefault="005A043A" w:rsidP="00286762">
            <w:pPr>
              <w:jc w:val="center"/>
              <w:rPr>
                <w:sz w:val="18"/>
                <w:szCs w:val="18"/>
              </w:rPr>
            </w:pPr>
            <w:r w:rsidRPr="00214F41">
              <w:rPr>
                <w:sz w:val="18"/>
                <w:szCs w:val="18"/>
              </w:rPr>
              <w:t>17/261</w:t>
            </w:r>
          </w:p>
        </w:tc>
        <w:tc>
          <w:tcPr>
            <w:tcW w:w="282" w:type="pct"/>
            <w:tcBorders>
              <w:top w:val="nil"/>
              <w:left w:val="nil"/>
              <w:bottom w:val="single" w:sz="4" w:space="0" w:color="auto"/>
              <w:right w:val="single" w:sz="4" w:space="0" w:color="auto"/>
            </w:tcBorders>
            <w:shd w:val="clear" w:color="000000" w:fill="FFFFFF"/>
            <w:vAlign w:val="center"/>
            <w:hideMark/>
          </w:tcPr>
          <w:p w14:paraId="544B24AB" w14:textId="77777777" w:rsidR="005A043A" w:rsidRPr="00214F41" w:rsidRDefault="005A043A" w:rsidP="00286762">
            <w:pPr>
              <w:jc w:val="center"/>
              <w:rPr>
                <w:sz w:val="18"/>
                <w:szCs w:val="18"/>
              </w:rPr>
            </w:pPr>
            <w:r w:rsidRPr="00214F41">
              <w:rPr>
                <w:sz w:val="18"/>
                <w:szCs w:val="18"/>
              </w:rPr>
              <w:t>12/264</w:t>
            </w:r>
          </w:p>
        </w:tc>
        <w:tc>
          <w:tcPr>
            <w:tcW w:w="279" w:type="pct"/>
            <w:tcBorders>
              <w:top w:val="nil"/>
              <w:left w:val="nil"/>
              <w:bottom w:val="single" w:sz="4" w:space="0" w:color="auto"/>
              <w:right w:val="single" w:sz="4" w:space="0" w:color="auto"/>
            </w:tcBorders>
            <w:shd w:val="clear" w:color="000000" w:fill="FFFFFF"/>
            <w:vAlign w:val="center"/>
            <w:hideMark/>
          </w:tcPr>
          <w:p w14:paraId="61CA8E09" w14:textId="77777777" w:rsidR="005A043A" w:rsidRPr="00214F41" w:rsidRDefault="005A043A" w:rsidP="00286762">
            <w:pPr>
              <w:jc w:val="center"/>
              <w:rPr>
                <w:sz w:val="18"/>
                <w:szCs w:val="18"/>
              </w:rPr>
            </w:pPr>
            <w:r w:rsidRPr="00214F41">
              <w:rPr>
                <w:sz w:val="18"/>
                <w:szCs w:val="18"/>
              </w:rPr>
              <w:t>16/261</w:t>
            </w:r>
          </w:p>
        </w:tc>
        <w:tc>
          <w:tcPr>
            <w:tcW w:w="279" w:type="pct"/>
            <w:tcBorders>
              <w:top w:val="nil"/>
              <w:left w:val="nil"/>
              <w:bottom w:val="single" w:sz="4" w:space="0" w:color="auto"/>
              <w:right w:val="single" w:sz="4" w:space="0" w:color="auto"/>
            </w:tcBorders>
            <w:shd w:val="clear" w:color="000000" w:fill="FFFFFF"/>
            <w:vAlign w:val="center"/>
            <w:hideMark/>
          </w:tcPr>
          <w:p w14:paraId="32B7C7E9" w14:textId="77777777" w:rsidR="005A043A" w:rsidRPr="00214F41" w:rsidRDefault="005A043A" w:rsidP="00286762">
            <w:pPr>
              <w:jc w:val="center"/>
              <w:rPr>
                <w:sz w:val="18"/>
                <w:szCs w:val="18"/>
              </w:rPr>
            </w:pPr>
            <w:r w:rsidRPr="00214F41">
              <w:rPr>
                <w:sz w:val="18"/>
                <w:szCs w:val="18"/>
              </w:rPr>
              <w:t>5/264</w:t>
            </w:r>
          </w:p>
        </w:tc>
        <w:tc>
          <w:tcPr>
            <w:tcW w:w="276" w:type="pct"/>
            <w:tcBorders>
              <w:top w:val="nil"/>
              <w:left w:val="nil"/>
              <w:bottom w:val="single" w:sz="4" w:space="0" w:color="auto"/>
              <w:right w:val="single" w:sz="4" w:space="0" w:color="auto"/>
            </w:tcBorders>
            <w:shd w:val="clear" w:color="000000" w:fill="FFFFFF"/>
            <w:vAlign w:val="center"/>
            <w:hideMark/>
          </w:tcPr>
          <w:p w14:paraId="4F7D0AEA" w14:textId="77777777" w:rsidR="005A043A" w:rsidRPr="00214F41" w:rsidRDefault="005A043A" w:rsidP="00286762">
            <w:pPr>
              <w:jc w:val="center"/>
              <w:rPr>
                <w:sz w:val="18"/>
                <w:szCs w:val="18"/>
              </w:rPr>
            </w:pPr>
            <w:r w:rsidRPr="00214F41">
              <w:rPr>
                <w:sz w:val="18"/>
                <w:szCs w:val="18"/>
              </w:rPr>
              <w:t>2/261</w:t>
            </w:r>
          </w:p>
        </w:tc>
      </w:tr>
      <w:tr w:rsidR="005A043A" w:rsidRPr="00214F41" w14:paraId="69A613E3" w14:textId="77777777" w:rsidTr="00286762">
        <w:trPr>
          <w:trHeight w:val="40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63105E7" w14:textId="77777777" w:rsidR="005A043A" w:rsidRPr="00214F41" w:rsidRDefault="005A043A" w:rsidP="00286762">
            <w:pPr>
              <w:jc w:val="center"/>
              <w:rPr>
                <w:sz w:val="18"/>
                <w:szCs w:val="18"/>
              </w:rPr>
            </w:pPr>
            <w:r w:rsidRPr="00214F41">
              <w:rPr>
                <w:sz w:val="18"/>
                <w:szCs w:val="18"/>
              </w:rPr>
              <w:t>Ji et al., 2015</w:t>
            </w:r>
          </w:p>
        </w:tc>
        <w:tc>
          <w:tcPr>
            <w:tcW w:w="318" w:type="pct"/>
            <w:tcBorders>
              <w:top w:val="nil"/>
              <w:left w:val="nil"/>
              <w:bottom w:val="single" w:sz="4" w:space="0" w:color="auto"/>
              <w:right w:val="single" w:sz="4" w:space="0" w:color="auto"/>
            </w:tcBorders>
            <w:shd w:val="clear" w:color="000000" w:fill="FFFFFF"/>
            <w:vAlign w:val="center"/>
            <w:hideMark/>
          </w:tcPr>
          <w:p w14:paraId="61BC4CA7" w14:textId="77777777" w:rsidR="005A043A" w:rsidRPr="00214F41" w:rsidRDefault="005A043A" w:rsidP="00286762">
            <w:pPr>
              <w:jc w:val="center"/>
              <w:rPr>
                <w:sz w:val="18"/>
                <w:szCs w:val="18"/>
              </w:rPr>
            </w:pPr>
            <w:r w:rsidRPr="00214F41">
              <w:rPr>
                <w:sz w:val="18"/>
                <w:szCs w:val="18"/>
              </w:rPr>
              <w:t>3/345</w:t>
            </w:r>
          </w:p>
        </w:tc>
        <w:tc>
          <w:tcPr>
            <w:tcW w:w="295" w:type="pct"/>
            <w:tcBorders>
              <w:top w:val="nil"/>
              <w:left w:val="nil"/>
              <w:bottom w:val="single" w:sz="4" w:space="0" w:color="auto"/>
              <w:right w:val="single" w:sz="4" w:space="0" w:color="auto"/>
            </w:tcBorders>
            <w:shd w:val="clear" w:color="000000" w:fill="FFFFFF"/>
            <w:vAlign w:val="center"/>
            <w:hideMark/>
          </w:tcPr>
          <w:p w14:paraId="0FD5856D" w14:textId="77777777" w:rsidR="005A043A" w:rsidRPr="00214F41" w:rsidRDefault="005A043A" w:rsidP="00286762">
            <w:pPr>
              <w:jc w:val="center"/>
              <w:rPr>
                <w:sz w:val="18"/>
                <w:szCs w:val="18"/>
              </w:rPr>
            </w:pPr>
            <w:r w:rsidRPr="00214F41">
              <w:rPr>
                <w:sz w:val="18"/>
                <w:szCs w:val="18"/>
              </w:rPr>
              <w:t>3/</w:t>
            </w:r>
          </w:p>
        </w:tc>
        <w:tc>
          <w:tcPr>
            <w:tcW w:w="718" w:type="pct"/>
            <w:tcBorders>
              <w:top w:val="nil"/>
              <w:left w:val="nil"/>
              <w:bottom w:val="single" w:sz="4" w:space="0" w:color="auto"/>
              <w:right w:val="single" w:sz="4" w:space="0" w:color="auto"/>
            </w:tcBorders>
            <w:shd w:val="clear" w:color="000000" w:fill="FFFFFF"/>
            <w:vAlign w:val="center"/>
            <w:hideMark/>
          </w:tcPr>
          <w:p w14:paraId="0D6C6983"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31881F0" w14:textId="77777777" w:rsidR="005A043A" w:rsidRPr="00214F41" w:rsidRDefault="005A043A" w:rsidP="00286762">
            <w:pPr>
              <w:jc w:val="center"/>
              <w:rPr>
                <w:sz w:val="18"/>
                <w:szCs w:val="18"/>
              </w:rPr>
            </w:pPr>
            <w:r w:rsidRPr="00214F41">
              <w:rPr>
                <w:sz w:val="18"/>
                <w:szCs w:val="18"/>
              </w:rPr>
              <w:t>21/341</w:t>
            </w:r>
          </w:p>
        </w:tc>
        <w:tc>
          <w:tcPr>
            <w:tcW w:w="282" w:type="pct"/>
            <w:tcBorders>
              <w:top w:val="nil"/>
              <w:left w:val="nil"/>
              <w:bottom w:val="single" w:sz="4" w:space="0" w:color="auto"/>
              <w:right w:val="single" w:sz="4" w:space="0" w:color="auto"/>
            </w:tcBorders>
            <w:shd w:val="clear" w:color="000000" w:fill="FFFFFF"/>
            <w:vAlign w:val="center"/>
            <w:hideMark/>
          </w:tcPr>
          <w:p w14:paraId="2E3D8245" w14:textId="77777777" w:rsidR="005A043A" w:rsidRPr="00214F41" w:rsidRDefault="005A043A" w:rsidP="00286762">
            <w:pPr>
              <w:jc w:val="center"/>
              <w:rPr>
                <w:sz w:val="18"/>
                <w:szCs w:val="18"/>
              </w:rPr>
            </w:pPr>
            <w:r w:rsidRPr="00214F41">
              <w:rPr>
                <w:sz w:val="18"/>
                <w:szCs w:val="18"/>
              </w:rPr>
              <w:t>10/298</w:t>
            </w:r>
          </w:p>
        </w:tc>
        <w:tc>
          <w:tcPr>
            <w:tcW w:w="282" w:type="pct"/>
            <w:tcBorders>
              <w:top w:val="nil"/>
              <w:left w:val="nil"/>
              <w:bottom w:val="single" w:sz="4" w:space="0" w:color="auto"/>
              <w:right w:val="single" w:sz="4" w:space="0" w:color="auto"/>
            </w:tcBorders>
            <w:shd w:val="clear" w:color="000000" w:fill="FFFFFF"/>
            <w:vAlign w:val="center"/>
            <w:hideMark/>
          </w:tcPr>
          <w:p w14:paraId="08BB5FBF" w14:textId="77777777" w:rsidR="005A043A" w:rsidRPr="00214F41" w:rsidRDefault="005A043A" w:rsidP="00286762">
            <w:pPr>
              <w:jc w:val="center"/>
              <w:rPr>
                <w:sz w:val="18"/>
                <w:szCs w:val="18"/>
              </w:rPr>
            </w:pPr>
            <w:r w:rsidRPr="00214F41">
              <w:rPr>
                <w:sz w:val="18"/>
                <w:szCs w:val="18"/>
              </w:rPr>
              <w:t>54/341</w:t>
            </w:r>
          </w:p>
        </w:tc>
        <w:tc>
          <w:tcPr>
            <w:tcW w:w="282" w:type="pct"/>
            <w:tcBorders>
              <w:top w:val="nil"/>
              <w:left w:val="nil"/>
              <w:bottom w:val="single" w:sz="4" w:space="0" w:color="auto"/>
              <w:right w:val="single" w:sz="4" w:space="0" w:color="auto"/>
            </w:tcBorders>
            <w:shd w:val="clear" w:color="000000" w:fill="FFFFFF"/>
            <w:vAlign w:val="center"/>
            <w:hideMark/>
          </w:tcPr>
          <w:p w14:paraId="1754CB3A" w14:textId="77777777" w:rsidR="005A043A" w:rsidRPr="00214F41" w:rsidRDefault="005A043A" w:rsidP="00286762">
            <w:pPr>
              <w:jc w:val="center"/>
              <w:rPr>
                <w:sz w:val="18"/>
                <w:szCs w:val="18"/>
              </w:rPr>
            </w:pPr>
            <w:r w:rsidRPr="00214F41">
              <w:rPr>
                <w:sz w:val="18"/>
                <w:szCs w:val="18"/>
              </w:rPr>
              <w:t>36/298</w:t>
            </w:r>
          </w:p>
        </w:tc>
        <w:tc>
          <w:tcPr>
            <w:tcW w:w="278" w:type="pct"/>
            <w:tcBorders>
              <w:top w:val="nil"/>
              <w:left w:val="nil"/>
              <w:bottom w:val="single" w:sz="4" w:space="0" w:color="auto"/>
              <w:right w:val="single" w:sz="4" w:space="0" w:color="auto"/>
            </w:tcBorders>
            <w:shd w:val="clear" w:color="000000" w:fill="FFFFFF"/>
            <w:vAlign w:val="center"/>
            <w:hideMark/>
          </w:tcPr>
          <w:p w14:paraId="2B052353" w14:textId="77777777" w:rsidR="005A043A" w:rsidRPr="00214F41" w:rsidRDefault="005A043A" w:rsidP="00286762">
            <w:pPr>
              <w:jc w:val="center"/>
              <w:rPr>
                <w:sz w:val="18"/>
                <w:szCs w:val="18"/>
              </w:rPr>
            </w:pPr>
            <w:r w:rsidRPr="00214F41">
              <w:rPr>
                <w:sz w:val="18"/>
                <w:szCs w:val="18"/>
              </w:rPr>
              <w:t>6/341</w:t>
            </w:r>
          </w:p>
        </w:tc>
        <w:tc>
          <w:tcPr>
            <w:tcW w:w="280" w:type="pct"/>
            <w:tcBorders>
              <w:top w:val="nil"/>
              <w:left w:val="nil"/>
              <w:bottom w:val="single" w:sz="4" w:space="0" w:color="auto"/>
              <w:right w:val="single" w:sz="4" w:space="0" w:color="auto"/>
            </w:tcBorders>
            <w:shd w:val="clear" w:color="000000" w:fill="FFFFFF"/>
            <w:vAlign w:val="center"/>
            <w:hideMark/>
          </w:tcPr>
          <w:p w14:paraId="7F28E3EA" w14:textId="77777777" w:rsidR="005A043A" w:rsidRPr="00214F41" w:rsidRDefault="005A043A" w:rsidP="00286762">
            <w:pPr>
              <w:jc w:val="center"/>
              <w:rPr>
                <w:sz w:val="18"/>
                <w:szCs w:val="18"/>
              </w:rPr>
            </w:pPr>
            <w:r w:rsidRPr="00214F41">
              <w:rPr>
                <w:sz w:val="18"/>
                <w:szCs w:val="18"/>
              </w:rPr>
              <w:t>5/298</w:t>
            </w:r>
          </w:p>
        </w:tc>
        <w:tc>
          <w:tcPr>
            <w:tcW w:w="278" w:type="pct"/>
            <w:tcBorders>
              <w:top w:val="nil"/>
              <w:left w:val="nil"/>
              <w:bottom w:val="single" w:sz="4" w:space="0" w:color="auto"/>
              <w:right w:val="single" w:sz="4" w:space="0" w:color="auto"/>
            </w:tcBorders>
            <w:shd w:val="clear" w:color="000000" w:fill="FFFFFF"/>
            <w:vAlign w:val="center"/>
            <w:hideMark/>
          </w:tcPr>
          <w:p w14:paraId="5EBC941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38B5CE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476E1A2" w14:textId="77777777" w:rsidR="005A043A" w:rsidRPr="00214F41" w:rsidRDefault="005A043A" w:rsidP="00286762">
            <w:pPr>
              <w:jc w:val="center"/>
              <w:rPr>
                <w:sz w:val="18"/>
                <w:szCs w:val="18"/>
              </w:rPr>
            </w:pPr>
            <w:r w:rsidRPr="00214F41">
              <w:rPr>
                <w:sz w:val="18"/>
                <w:szCs w:val="18"/>
              </w:rPr>
              <w:t>16/341</w:t>
            </w:r>
          </w:p>
        </w:tc>
        <w:tc>
          <w:tcPr>
            <w:tcW w:w="279" w:type="pct"/>
            <w:tcBorders>
              <w:top w:val="nil"/>
              <w:left w:val="nil"/>
              <w:bottom w:val="single" w:sz="4" w:space="0" w:color="auto"/>
              <w:right w:val="single" w:sz="4" w:space="0" w:color="auto"/>
            </w:tcBorders>
            <w:shd w:val="clear" w:color="000000" w:fill="FFFFFF"/>
            <w:vAlign w:val="center"/>
            <w:hideMark/>
          </w:tcPr>
          <w:p w14:paraId="2FBAB8AD" w14:textId="77777777" w:rsidR="005A043A" w:rsidRPr="00214F41" w:rsidRDefault="005A043A" w:rsidP="00286762">
            <w:pPr>
              <w:jc w:val="center"/>
              <w:rPr>
                <w:sz w:val="18"/>
                <w:szCs w:val="18"/>
              </w:rPr>
            </w:pPr>
            <w:r w:rsidRPr="00214F41">
              <w:rPr>
                <w:sz w:val="18"/>
                <w:szCs w:val="18"/>
              </w:rPr>
              <w:t>13/298</w:t>
            </w:r>
          </w:p>
        </w:tc>
        <w:tc>
          <w:tcPr>
            <w:tcW w:w="279" w:type="pct"/>
            <w:tcBorders>
              <w:top w:val="nil"/>
              <w:left w:val="nil"/>
              <w:bottom w:val="single" w:sz="4" w:space="0" w:color="auto"/>
              <w:right w:val="single" w:sz="4" w:space="0" w:color="auto"/>
            </w:tcBorders>
            <w:shd w:val="clear" w:color="000000" w:fill="FFFFFF"/>
            <w:vAlign w:val="center"/>
            <w:hideMark/>
          </w:tcPr>
          <w:p w14:paraId="294BA0D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566F3D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0554D802" w14:textId="77777777" w:rsidTr="00286762">
        <w:trPr>
          <w:trHeight w:val="55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2355EAEC" w14:textId="77777777" w:rsidR="005A043A" w:rsidRPr="00214F41" w:rsidRDefault="005A043A" w:rsidP="00286762">
            <w:pPr>
              <w:jc w:val="center"/>
              <w:rPr>
                <w:sz w:val="18"/>
                <w:szCs w:val="18"/>
              </w:rPr>
            </w:pPr>
            <w:r w:rsidRPr="00214F41">
              <w:rPr>
                <w:sz w:val="18"/>
                <w:szCs w:val="18"/>
              </w:rPr>
              <w:t>Kahn et al., 2006</w:t>
            </w:r>
          </w:p>
        </w:tc>
        <w:tc>
          <w:tcPr>
            <w:tcW w:w="318" w:type="pct"/>
            <w:tcBorders>
              <w:top w:val="nil"/>
              <w:left w:val="nil"/>
              <w:bottom w:val="single" w:sz="4" w:space="0" w:color="auto"/>
              <w:right w:val="single" w:sz="4" w:space="0" w:color="auto"/>
            </w:tcBorders>
            <w:shd w:val="clear" w:color="000000" w:fill="FFFFFF"/>
            <w:vAlign w:val="center"/>
            <w:hideMark/>
          </w:tcPr>
          <w:p w14:paraId="32221216" w14:textId="77777777" w:rsidR="005A043A" w:rsidRPr="00214F41" w:rsidRDefault="005A043A" w:rsidP="00286762">
            <w:pPr>
              <w:jc w:val="center"/>
              <w:rPr>
                <w:sz w:val="18"/>
                <w:szCs w:val="18"/>
              </w:rPr>
            </w:pPr>
            <w:r w:rsidRPr="00214F41">
              <w:rPr>
                <w:sz w:val="18"/>
                <w:szCs w:val="18"/>
              </w:rPr>
              <w:t>178/1454</w:t>
            </w:r>
          </w:p>
        </w:tc>
        <w:tc>
          <w:tcPr>
            <w:tcW w:w="295" w:type="pct"/>
            <w:tcBorders>
              <w:top w:val="nil"/>
              <w:left w:val="nil"/>
              <w:bottom w:val="single" w:sz="4" w:space="0" w:color="auto"/>
              <w:right w:val="single" w:sz="4" w:space="0" w:color="auto"/>
            </w:tcBorders>
            <w:shd w:val="clear" w:color="000000" w:fill="FFFFFF"/>
            <w:vAlign w:val="center"/>
            <w:hideMark/>
          </w:tcPr>
          <w:p w14:paraId="601CB23A" w14:textId="77777777" w:rsidR="005A043A" w:rsidRPr="00214F41" w:rsidRDefault="005A043A" w:rsidP="00286762">
            <w:pPr>
              <w:jc w:val="center"/>
              <w:rPr>
                <w:sz w:val="18"/>
                <w:szCs w:val="18"/>
              </w:rPr>
            </w:pPr>
            <w:r w:rsidRPr="00214F41">
              <w:rPr>
                <w:sz w:val="18"/>
                <w:szCs w:val="18"/>
              </w:rPr>
              <w:t>215/1441</w:t>
            </w:r>
          </w:p>
        </w:tc>
        <w:tc>
          <w:tcPr>
            <w:tcW w:w="718" w:type="pct"/>
            <w:tcBorders>
              <w:top w:val="nil"/>
              <w:left w:val="nil"/>
              <w:bottom w:val="single" w:sz="4" w:space="0" w:color="auto"/>
              <w:right w:val="single" w:sz="4" w:space="0" w:color="auto"/>
            </w:tcBorders>
            <w:shd w:val="clear" w:color="000000" w:fill="FFFFFF"/>
            <w:vAlign w:val="center"/>
            <w:hideMark/>
          </w:tcPr>
          <w:p w14:paraId="47EE4BEA"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BE3189E" w14:textId="77777777" w:rsidR="005A043A" w:rsidRPr="00214F41" w:rsidRDefault="005A043A" w:rsidP="00286762">
            <w:pPr>
              <w:jc w:val="center"/>
              <w:rPr>
                <w:sz w:val="18"/>
                <w:szCs w:val="18"/>
              </w:rPr>
            </w:pPr>
            <w:r w:rsidRPr="00214F41">
              <w:rPr>
                <w:sz w:val="18"/>
                <w:szCs w:val="18"/>
              </w:rPr>
              <w:t>224/1454</w:t>
            </w:r>
          </w:p>
        </w:tc>
        <w:tc>
          <w:tcPr>
            <w:tcW w:w="282" w:type="pct"/>
            <w:tcBorders>
              <w:top w:val="nil"/>
              <w:left w:val="nil"/>
              <w:bottom w:val="single" w:sz="4" w:space="0" w:color="auto"/>
              <w:right w:val="single" w:sz="4" w:space="0" w:color="auto"/>
            </w:tcBorders>
            <w:shd w:val="clear" w:color="000000" w:fill="FFFFFF"/>
            <w:vAlign w:val="center"/>
            <w:hideMark/>
          </w:tcPr>
          <w:p w14:paraId="7234193F" w14:textId="77777777" w:rsidR="005A043A" w:rsidRPr="00214F41" w:rsidRDefault="005A043A" w:rsidP="00286762">
            <w:pPr>
              <w:jc w:val="center"/>
              <w:rPr>
                <w:sz w:val="18"/>
                <w:szCs w:val="18"/>
              </w:rPr>
            </w:pPr>
            <w:r w:rsidRPr="00214F41">
              <w:rPr>
                <w:sz w:val="18"/>
                <w:szCs w:val="18"/>
              </w:rPr>
              <w:t>163/1441</w:t>
            </w:r>
          </w:p>
        </w:tc>
        <w:tc>
          <w:tcPr>
            <w:tcW w:w="282" w:type="pct"/>
            <w:tcBorders>
              <w:top w:val="nil"/>
              <w:left w:val="nil"/>
              <w:bottom w:val="single" w:sz="4" w:space="0" w:color="auto"/>
              <w:right w:val="single" w:sz="4" w:space="0" w:color="auto"/>
            </w:tcBorders>
            <w:shd w:val="clear" w:color="000000" w:fill="FFFFFF"/>
            <w:vAlign w:val="center"/>
            <w:hideMark/>
          </w:tcPr>
          <w:p w14:paraId="53B97A66" w14:textId="77777777" w:rsidR="005A043A" w:rsidRPr="00214F41" w:rsidRDefault="005A043A" w:rsidP="00286762">
            <w:pPr>
              <w:jc w:val="center"/>
              <w:rPr>
                <w:sz w:val="18"/>
                <w:szCs w:val="18"/>
              </w:rPr>
            </w:pPr>
            <w:r w:rsidRPr="00214F41">
              <w:rPr>
                <w:sz w:val="18"/>
                <w:szCs w:val="18"/>
              </w:rPr>
              <w:t>345/1454</w:t>
            </w:r>
          </w:p>
        </w:tc>
        <w:tc>
          <w:tcPr>
            <w:tcW w:w="282" w:type="pct"/>
            <w:tcBorders>
              <w:top w:val="nil"/>
              <w:left w:val="nil"/>
              <w:bottom w:val="single" w:sz="4" w:space="0" w:color="auto"/>
              <w:right w:val="single" w:sz="4" w:space="0" w:color="auto"/>
            </w:tcBorders>
            <w:shd w:val="clear" w:color="000000" w:fill="FFFFFF"/>
            <w:vAlign w:val="center"/>
            <w:hideMark/>
          </w:tcPr>
          <w:p w14:paraId="0D998648" w14:textId="77777777" w:rsidR="005A043A" w:rsidRPr="00214F41" w:rsidRDefault="005A043A" w:rsidP="00286762">
            <w:pPr>
              <w:jc w:val="center"/>
              <w:rPr>
                <w:sz w:val="18"/>
                <w:szCs w:val="18"/>
              </w:rPr>
            </w:pPr>
            <w:r w:rsidRPr="00214F41">
              <w:rPr>
                <w:sz w:val="18"/>
                <w:szCs w:val="18"/>
              </w:rPr>
              <w:t>142/1441</w:t>
            </w:r>
          </w:p>
        </w:tc>
        <w:tc>
          <w:tcPr>
            <w:tcW w:w="278" w:type="pct"/>
            <w:tcBorders>
              <w:top w:val="nil"/>
              <w:left w:val="nil"/>
              <w:bottom w:val="single" w:sz="4" w:space="0" w:color="auto"/>
              <w:right w:val="single" w:sz="4" w:space="0" w:color="auto"/>
            </w:tcBorders>
            <w:shd w:val="clear" w:color="000000" w:fill="FFFFFF"/>
            <w:vAlign w:val="center"/>
            <w:hideMark/>
          </w:tcPr>
          <w:p w14:paraId="55C128DC" w14:textId="77777777" w:rsidR="005A043A" w:rsidRPr="00214F41" w:rsidRDefault="005A043A" w:rsidP="00286762">
            <w:pPr>
              <w:jc w:val="center"/>
              <w:rPr>
                <w:sz w:val="18"/>
                <w:szCs w:val="18"/>
              </w:rPr>
            </w:pPr>
            <w:r w:rsidRPr="00214F41">
              <w:rPr>
                <w:sz w:val="18"/>
                <w:szCs w:val="18"/>
              </w:rPr>
              <w:t>84/1454</w:t>
            </w:r>
          </w:p>
        </w:tc>
        <w:tc>
          <w:tcPr>
            <w:tcW w:w="280" w:type="pct"/>
            <w:tcBorders>
              <w:top w:val="nil"/>
              <w:left w:val="nil"/>
              <w:bottom w:val="single" w:sz="4" w:space="0" w:color="auto"/>
              <w:right w:val="single" w:sz="4" w:space="0" w:color="auto"/>
            </w:tcBorders>
            <w:shd w:val="clear" w:color="000000" w:fill="FFFFFF"/>
            <w:vAlign w:val="center"/>
            <w:hideMark/>
          </w:tcPr>
          <w:p w14:paraId="6E495C4E" w14:textId="77777777" w:rsidR="005A043A" w:rsidRPr="00214F41" w:rsidRDefault="005A043A" w:rsidP="00286762">
            <w:pPr>
              <w:jc w:val="center"/>
              <w:rPr>
                <w:sz w:val="18"/>
                <w:szCs w:val="18"/>
              </w:rPr>
            </w:pPr>
            <w:r w:rsidRPr="00214F41">
              <w:rPr>
                <w:sz w:val="18"/>
                <w:szCs w:val="18"/>
              </w:rPr>
              <w:t>45/1441</w:t>
            </w:r>
          </w:p>
        </w:tc>
        <w:tc>
          <w:tcPr>
            <w:tcW w:w="278" w:type="pct"/>
            <w:tcBorders>
              <w:top w:val="nil"/>
              <w:left w:val="nil"/>
              <w:bottom w:val="single" w:sz="4" w:space="0" w:color="auto"/>
              <w:right w:val="single" w:sz="4" w:space="0" w:color="auto"/>
            </w:tcBorders>
            <w:shd w:val="clear" w:color="000000" w:fill="FFFFFF"/>
            <w:vAlign w:val="center"/>
            <w:hideMark/>
          </w:tcPr>
          <w:p w14:paraId="0F671B1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1880E4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B97FB4D" w14:textId="77777777" w:rsidR="005A043A" w:rsidRPr="00214F41" w:rsidRDefault="005A043A" w:rsidP="00286762">
            <w:pPr>
              <w:jc w:val="center"/>
              <w:rPr>
                <w:sz w:val="18"/>
                <w:szCs w:val="18"/>
              </w:rPr>
            </w:pPr>
            <w:r w:rsidRPr="00214F41">
              <w:rPr>
                <w:sz w:val="18"/>
                <w:szCs w:val="18"/>
              </w:rPr>
              <w:t>170/1454</w:t>
            </w:r>
          </w:p>
        </w:tc>
        <w:tc>
          <w:tcPr>
            <w:tcW w:w="279" w:type="pct"/>
            <w:tcBorders>
              <w:top w:val="nil"/>
              <w:left w:val="nil"/>
              <w:bottom w:val="single" w:sz="4" w:space="0" w:color="auto"/>
              <w:right w:val="single" w:sz="4" w:space="0" w:color="auto"/>
            </w:tcBorders>
            <w:shd w:val="clear" w:color="000000" w:fill="FFFFFF"/>
            <w:vAlign w:val="center"/>
            <w:hideMark/>
          </w:tcPr>
          <w:p w14:paraId="7090A671" w14:textId="77777777" w:rsidR="005A043A" w:rsidRPr="00214F41" w:rsidRDefault="005A043A" w:rsidP="00286762">
            <w:pPr>
              <w:jc w:val="center"/>
              <w:rPr>
                <w:sz w:val="18"/>
                <w:szCs w:val="18"/>
              </w:rPr>
            </w:pPr>
            <w:r w:rsidRPr="00214F41">
              <w:rPr>
                <w:sz w:val="18"/>
                <w:szCs w:val="18"/>
              </w:rPr>
              <w:t>99/1441</w:t>
            </w:r>
          </w:p>
        </w:tc>
        <w:tc>
          <w:tcPr>
            <w:tcW w:w="279" w:type="pct"/>
            <w:tcBorders>
              <w:top w:val="nil"/>
              <w:left w:val="nil"/>
              <w:bottom w:val="single" w:sz="4" w:space="0" w:color="auto"/>
              <w:right w:val="single" w:sz="4" w:space="0" w:color="auto"/>
            </w:tcBorders>
            <w:shd w:val="clear" w:color="000000" w:fill="FFFFFF"/>
            <w:vAlign w:val="center"/>
            <w:hideMark/>
          </w:tcPr>
          <w:p w14:paraId="784E30D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6AB38DD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0C865A1D" w14:textId="77777777" w:rsidTr="00286762">
        <w:trPr>
          <w:trHeight w:val="43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22EF7DF9" w14:textId="77777777" w:rsidR="005A043A" w:rsidRPr="00214F41" w:rsidRDefault="005A043A" w:rsidP="00286762">
            <w:pPr>
              <w:jc w:val="center"/>
              <w:rPr>
                <w:sz w:val="18"/>
                <w:szCs w:val="18"/>
              </w:rPr>
            </w:pPr>
            <w:r w:rsidRPr="00214F41">
              <w:rPr>
                <w:sz w:val="18"/>
                <w:szCs w:val="18"/>
              </w:rPr>
              <w:t>Kim et al., 2014</w:t>
            </w:r>
          </w:p>
        </w:tc>
        <w:tc>
          <w:tcPr>
            <w:tcW w:w="318" w:type="pct"/>
            <w:tcBorders>
              <w:top w:val="nil"/>
              <w:left w:val="nil"/>
              <w:bottom w:val="single" w:sz="4" w:space="0" w:color="auto"/>
              <w:right w:val="single" w:sz="4" w:space="0" w:color="auto"/>
            </w:tcBorders>
            <w:shd w:val="clear" w:color="000000" w:fill="FFFFFF"/>
            <w:vAlign w:val="center"/>
            <w:hideMark/>
          </w:tcPr>
          <w:p w14:paraId="58C08A9A" w14:textId="77777777" w:rsidR="005A043A" w:rsidRPr="00214F41" w:rsidRDefault="005A043A" w:rsidP="00286762">
            <w:pPr>
              <w:jc w:val="center"/>
              <w:rPr>
                <w:sz w:val="18"/>
                <w:szCs w:val="18"/>
              </w:rPr>
            </w:pPr>
            <w:r w:rsidRPr="00214F41">
              <w:rPr>
                <w:sz w:val="18"/>
                <w:szCs w:val="18"/>
              </w:rPr>
              <w:t>3/108</w:t>
            </w:r>
          </w:p>
        </w:tc>
        <w:tc>
          <w:tcPr>
            <w:tcW w:w="295" w:type="pct"/>
            <w:tcBorders>
              <w:top w:val="nil"/>
              <w:left w:val="nil"/>
              <w:bottom w:val="single" w:sz="4" w:space="0" w:color="auto"/>
              <w:right w:val="single" w:sz="4" w:space="0" w:color="auto"/>
            </w:tcBorders>
            <w:shd w:val="clear" w:color="000000" w:fill="FFFFFF"/>
            <w:vAlign w:val="center"/>
            <w:hideMark/>
          </w:tcPr>
          <w:p w14:paraId="6D922B48" w14:textId="77777777" w:rsidR="005A043A" w:rsidRPr="00214F41" w:rsidRDefault="005A043A" w:rsidP="00286762">
            <w:pPr>
              <w:jc w:val="center"/>
              <w:rPr>
                <w:sz w:val="18"/>
                <w:szCs w:val="18"/>
              </w:rPr>
            </w:pPr>
            <w:r w:rsidRPr="00214F41">
              <w:rPr>
                <w:sz w:val="18"/>
                <w:szCs w:val="18"/>
              </w:rPr>
              <w:t>0/100</w:t>
            </w:r>
          </w:p>
        </w:tc>
        <w:tc>
          <w:tcPr>
            <w:tcW w:w="718" w:type="pct"/>
            <w:tcBorders>
              <w:top w:val="nil"/>
              <w:left w:val="nil"/>
              <w:bottom w:val="single" w:sz="4" w:space="0" w:color="auto"/>
              <w:right w:val="single" w:sz="4" w:space="0" w:color="auto"/>
            </w:tcBorders>
            <w:shd w:val="clear" w:color="000000" w:fill="FFFFFF"/>
            <w:vAlign w:val="center"/>
            <w:hideMark/>
          </w:tcPr>
          <w:p w14:paraId="1B93543B"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E1324A3" w14:textId="77777777" w:rsidR="005A043A" w:rsidRPr="00214F41" w:rsidRDefault="005A043A" w:rsidP="00286762">
            <w:pPr>
              <w:jc w:val="center"/>
              <w:rPr>
                <w:sz w:val="18"/>
                <w:szCs w:val="18"/>
              </w:rPr>
            </w:pPr>
            <w:r w:rsidRPr="00214F41">
              <w:rPr>
                <w:sz w:val="18"/>
                <w:szCs w:val="18"/>
              </w:rPr>
              <w:t>1/108</w:t>
            </w:r>
          </w:p>
        </w:tc>
        <w:tc>
          <w:tcPr>
            <w:tcW w:w="282" w:type="pct"/>
            <w:tcBorders>
              <w:top w:val="nil"/>
              <w:left w:val="nil"/>
              <w:bottom w:val="single" w:sz="4" w:space="0" w:color="auto"/>
              <w:right w:val="single" w:sz="4" w:space="0" w:color="auto"/>
            </w:tcBorders>
            <w:shd w:val="clear" w:color="000000" w:fill="FFFFFF"/>
            <w:vAlign w:val="center"/>
            <w:hideMark/>
          </w:tcPr>
          <w:p w14:paraId="3F716CD0" w14:textId="77777777" w:rsidR="005A043A" w:rsidRPr="00214F41" w:rsidRDefault="005A043A" w:rsidP="00286762">
            <w:pPr>
              <w:jc w:val="center"/>
              <w:rPr>
                <w:sz w:val="18"/>
                <w:szCs w:val="18"/>
              </w:rPr>
            </w:pPr>
            <w:r w:rsidRPr="00214F41">
              <w:rPr>
                <w:sz w:val="18"/>
                <w:szCs w:val="18"/>
              </w:rPr>
              <w:t>4/100</w:t>
            </w:r>
          </w:p>
        </w:tc>
        <w:tc>
          <w:tcPr>
            <w:tcW w:w="282" w:type="pct"/>
            <w:tcBorders>
              <w:top w:val="nil"/>
              <w:left w:val="nil"/>
              <w:bottom w:val="single" w:sz="4" w:space="0" w:color="auto"/>
              <w:right w:val="single" w:sz="4" w:space="0" w:color="auto"/>
            </w:tcBorders>
            <w:shd w:val="clear" w:color="000000" w:fill="FFFFFF"/>
            <w:vAlign w:val="center"/>
            <w:hideMark/>
          </w:tcPr>
          <w:p w14:paraId="7D683B1B" w14:textId="77777777" w:rsidR="005A043A" w:rsidRPr="00214F41" w:rsidRDefault="005A043A" w:rsidP="00286762">
            <w:pPr>
              <w:jc w:val="center"/>
              <w:rPr>
                <w:sz w:val="18"/>
                <w:szCs w:val="18"/>
              </w:rPr>
            </w:pPr>
            <w:r w:rsidRPr="00214F41">
              <w:rPr>
                <w:sz w:val="18"/>
                <w:szCs w:val="18"/>
              </w:rPr>
              <w:t>5/108</w:t>
            </w:r>
          </w:p>
        </w:tc>
        <w:tc>
          <w:tcPr>
            <w:tcW w:w="282" w:type="pct"/>
            <w:tcBorders>
              <w:top w:val="nil"/>
              <w:left w:val="nil"/>
              <w:bottom w:val="single" w:sz="4" w:space="0" w:color="auto"/>
              <w:right w:val="single" w:sz="4" w:space="0" w:color="auto"/>
            </w:tcBorders>
            <w:shd w:val="clear" w:color="000000" w:fill="FFFFFF"/>
            <w:vAlign w:val="center"/>
            <w:hideMark/>
          </w:tcPr>
          <w:p w14:paraId="22B068F5" w14:textId="77777777" w:rsidR="005A043A" w:rsidRPr="00214F41" w:rsidRDefault="005A043A" w:rsidP="00286762">
            <w:pPr>
              <w:jc w:val="center"/>
              <w:rPr>
                <w:sz w:val="18"/>
                <w:szCs w:val="18"/>
              </w:rPr>
            </w:pPr>
            <w:r w:rsidRPr="00214F41">
              <w:rPr>
                <w:sz w:val="18"/>
                <w:szCs w:val="18"/>
              </w:rPr>
              <w:t>1/100</w:t>
            </w:r>
          </w:p>
        </w:tc>
        <w:tc>
          <w:tcPr>
            <w:tcW w:w="278" w:type="pct"/>
            <w:tcBorders>
              <w:top w:val="nil"/>
              <w:left w:val="nil"/>
              <w:bottom w:val="single" w:sz="4" w:space="0" w:color="auto"/>
              <w:right w:val="single" w:sz="4" w:space="0" w:color="auto"/>
            </w:tcBorders>
            <w:shd w:val="clear" w:color="000000" w:fill="FFFFFF"/>
            <w:vAlign w:val="center"/>
            <w:hideMark/>
          </w:tcPr>
          <w:p w14:paraId="64B7331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32F695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2CE84D9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6F4D19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91ABD1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71D41C2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7147E77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6E88ADF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4F7E49CB" w14:textId="77777777" w:rsidTr="00286762">
        <w:trPr>
          <w:trHeight w:val="41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193BB060" w14:textId="77777777" w:rsidR="005A043A" w:rsidRPr="00214F41" w:rsidRDefault="005A043A" w:rsidP="00286762">
            <w:pPr>
              <w:jc w:val="center"/>
              <w:rPr>
                <w:sz w:val="18"/>
                <w:szCs w:val="18"/>
              </w:rPr>
            </w:pPr>
            <w:r w:rsidRPr="00214F41">
              <w:rPr>
                <w:sz w:val="18"/>
                <w:szCs w:val="18"/>
              </w:rPr>
              <w:t>Lim et al., 2016</w:t>
            </w:r>
          </w:p>
        </w:tc>
        <w:tc>
          <w:tcPr>
            <w:tcW w:w="318" w:type="pct"/>
            <w:tcBorders>
              <w:top w:val="nil"/>
              <w:left w:val="nil"/>
              <w:bottom w:val="single" w:sz="4" w:space="0" w:color="auto"/>
              <w:right w:val="single" w:sz="4" w:space="0" w:color="auto"/>
            </w:tcBorders>
            <w:shd w:val="clear" w:color="000000" w:fill="FFFFFF"/>
            <w:vAlign w:val="center"/>
            <w:hideMark/>
          </w:tcPr>
          <w:p w14:paraId="21EA224D" w14:textId="77777777" w:rsidR="005A043A" w:rsidRPr="00214F41" w:rsidRDefault="005A043A" w:rsidP="00286762">
            <w:pPr>
              <w:jc w:val="center"/>
              <w:rPr>
                <w:sz w:val="18"/>
                <w:szCs w:val="18"/>
              </w:rPr>
            </w:pPr>
            <w:r w:rsidRPr="00214F41">
              <w:rPr>
                <w:sz w:val="18"/>
                <w:szCs w:val="18"/>
              </w:rPr>
              <w:t>5/150</w:t>
            </w:r>
          </w:p>
        </w:tc>
        <w:tc>
          <w:tcPr>
            <w:tcW w:w="295" w:type="pct"/>
            <w:tcBorders>
              <w:top w:val="nil"/>
              <w:left w:val="nil"/>
              <w:bottom w:val="single" w:sz="4" w:space="0" w:color="auto"/>
              <w:right w:val="single" w:sz="4" w:space="0" w:color="auto"/>
            </w:tcBorders>
            <w:shd w:val="clear" w:color="000000" w:fill="FFFFFF"/>
            <w:vAlign w:val="center"/>
            <w:hideMark/>
          </w:tcPr>
          <w:p w14:paraId="2E32AC21" w14:textId="77777777" w:rsidR="005A043A" w:rsidRPr="00214F41" w:rsidRDefault="005A043A" w:rsidP="00286762">
            <w:pPr>
              <w:jc w:val="center"/>
              <w:rPr>
                <w:sz w:val="18"/>
                <w:szCs w:val="18"/>
              </w:rPr>
            </w:pPr>
            <w:r w:rsidRPr="00214F41">
              <w:rPr>
                <w:sz w:val="18"/>
                <w:szCs w:val="18"/>
              </w:rPr>
              <w:t>2/142</w:t>
            </w:r>
          </w:p>
        </w:tc>
        <w:tc>
          <w:tcPr>
            <w:tcW w:w="718" w:type="pct"/>
            <w:tcBorders>
              <w:top w:val="nil"/>
              <w:left w:val="nil"/>
              <w:bottom w:val="single" w:sz="4" w:space="0" w:color="auto"/>
              <w:right w:val="single" w:sz="4" w:space="0" w:color="auto"/>
            </w:tcBorders>
            <w:shd w:val="clear" w:color="000000" w:fill="FFFFFF"/>
            <w:vAlign w:val="center"/>
            <w:hideMark/>
          </w:tcPr>
          <w:p w14:paraId="690244C1"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71486F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98B80D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7D96A6D" w14:textId="77777777" w:rsidR="005A043A" w:rsidRPr="00214F41" w:rsidRDefault="005A043A" w:rsidP="00286762">
            <w:pPr>
              <w:jc w:val="center"/>
              <w:rPr>
                <w:sz w:val="18"/>
                <w:szCs w:val="18"/>
              </w:rPr>
            </w:pPr>
            <w:r w:rsidRPr="00214F41">
              <w:rPr>
                <w:sz w:val="18"/>
                <w:szCs w:val="18"/>
              </w:rPr>
              <w:t>11/150</w:t>
            </w:r>
          </w:p>
        </w:tc>
        <w:tc>
          <w:tcPr>
            <w:tcW w:w="282" w:type="pct"/>
            <w:tcBorders>
              <w:top w:val="nil"/>
              <w:left w:val="nil"/>
              <w:bottom w:val="single" w:sz="4" w:space="0" w:color="auto"/>
              <w:right w:val="single" w:sz="4" w:space="0" w:color="auto"/>
            </w:tcBorders>
            <w:shd w:val="clear" w:color="000000" w:fill="FFFFFF"/>
            <w:vAlign w:val="center"/>
            <w:hideMark/>
          </w:tcPr>
          <w:p w14:paraId="7AD4C0A5" w14:textId="77777777" w:rsidR="005A043A" w:rsidRPr="00214F41" w:rsidRDefault="005A043A" w:rsidP="00286762">
            <w:pPr>
              <w:jc w:val="center"/>
              <w:rPr>
                <w:sz w:val="18"/>
                <w:szCs w:val="18"/>
              </w:rPr>
            </w:pPr>
            <w:r w:rsidRPr="00214F41">
              <w:rPr>
                <w:sz w:val="18"/>
                <w:szCs w:val="18"/>
              </w:rPr>
              <w:t>0/142</w:t>
            </w:r>
          </w:p>
        </w:tc>
        <w:tc>
          <w:tcPr>
            <w:tcW w:w="278" w:type="pct"/>
            <w:tcBorders>
              <w:top w:val="nil"/>
              <w:left w:val="nil"/>
              <w:bottom w:val="single" w:sz="4" w:space="0" w:color="auto"/>
              <w:right w:val="single" w:sz="4" w:space="0" w:color="auto"/>
            </w:tcBorders>
            <w:shd w:val="clear" w:color="000000" w:fill="FFFFFF"/>
            <w:vAlign w:val="center"/>
            <w:hideMark/>
          </w:tcPr>
          <w:p w14:paraId="4EEF6D1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523985B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03CAABD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12E6CE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D15D7E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0A0892E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05F8ADE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033D4F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38CB31B5" w14:textId="77777777" w:rsidTr="00286762">
        <w:trPr>
          <w:trHeight w:val="27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3AE1DBD2" w14:textId="77777777" w:rsidR="005A043A" w:rsidRPr="00214F41" w:rsidRDefault="005A043A" w:rsidP="00286762">
            <w:pPr>
              <w:jc w:val="center"/>
              <w:rPr>
                <w:sz w:val="18"/>
                <w:szCs w:val="18"/>
              </w:rPr>
            </w:pPr>
            <w:r w:rsidRPr="00214F41">
              <w:rPr>
                <w:sz w:val="18"/>
                <w:szCs w:val="18"/>
              </w:rPr>
              <w:t>Ma et al., 2014</w:t>
            </w:r>
          </w:p>
        </w:tc>
        <w:tc>
          <w:tcPr>
            <w:tcW w:w="318" w:type="pct"/>
            <w:tcBorders>
              <w:top w:val="nil"/>
              <w:left w:val="nil"/>
              <w:bottom w:val="single" w:sz="4" w:space="0" w:color="auto"/>
              <w:right w:val="single" w:sz="4" w:space="0" w:color="auto"/>
            </w:tcBorders>
            <w:shd w:val="clear" w:color="000000" w:fill="FFFFFF"/>
            <w:vAlign w:val="center"/>
            <w:hideMark/>
          </w:tcPr>
          <w:p w14:paraId="05BAD06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14:paraId="6ADA7D7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718" w:type="pct"/>
            <w:tcBorders>
              <w:top w:val="nil"/>
              <w:left w:val="nil"/>
              <w:bottom w:val="single" w:sz="4" w:space="0" w:color="auto"/>
              <w:right w:val="single" w:sz="4" w:space="0" w:color="auto"/>
            </w:tcBorders>
            <w:shd w:val="clear" w:color="000000" w:fill="FFFFFF"/>
            <w:vAlign w:val="center"/>
            <w:hideMark/>
          </w:tcPr>
          <w:p w14:paraId="5B0D6F2A"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D6E8C2E" w14:textId="77777777" w:rsidR="005A043A" w:rsidRPr="00214F41" w:rsidRDefault="005A043A" w:rsidP="00286762">
            <w:pPr>
              <w:jc w:val="center"/>
              <w:rPr>
                <w:sz w:val="18"/>
                <w:szCs w:val="18"/>
              </w:rPr>
            </w:pPr>
            <w:r w:rsidRPr="00214F41">
              <w:rPr>
                <w:sz w:val="18"/>
                <w:szCs w:val="18"/>
              </w:rPr>
              <w:t>0/54</w:t>
            </w:r>
          </w:p>
        </w:tc>
        <w:tc>
          <w:tcPr>
            <w:tcW w:w="282" w:type="pct"/>
            <w:tcBorders>
              <w:top w:val="nil"/>
              <w:left w:val="nil"/>
              <w:bottom w:val="single" w:sz="4" w:space="0" w:color="auto"/>
              <w:right w:val="single" w:sz="4" w:space="0" w:color="auto"/>
            </w:tcBorders>
            <w:shd w:val="clear" w:color="000000" w:fill="FFFFFF"/>
            <w:vAlign w:val="center"/>
            <w:hideMark/>
          </w:tcPr>
          <w:p w14:paraId="05048619" w14:textId="77777777" w:rsidR="005A043A" w:rsidRPr="00214F41" w:rsidRDefault="005A043A" w:rsidP="00286762">
            <w:pPr>
              <w:jc w:val="center"/>
              <w:rPr>
                <w:sz w:val="18"/>
                <w:szCs w:val="18"/>
              </w:rPr>
            </w:pPr>
            <w:r w:rsidRPr="00214F41">
              <w:rPr>
                <w:sz w:val="18"/>
                <w:szCs w:val="18"/>
              </w:rPr>
              <w:t>0/53</w:t>
            </w:r>
          </w:p>
        </w:tc>
        <w:tc>
          <w:tcPr>
            <w:tcW w:w="282" w:type="pct"/>
            <w:tcBorders>
              <w:top w:val="nil"/>
              <w:left w:val="nil"/>
              <w:bottom w:val="single" w:sz="4" w:space="0" w:color="auto"/>
              <w:right w:val="single" w:sz="4" w:space="0" w:color="auto"/>
            </w:tcBorders>
            <w:shd w:val="clear" w:color="000000" w:fill="FFFFFF"/>
            <w:vAlign w:val="center"/>
            <w:hideMark/>
          </w:tcPr>
          <w:p w14:paraId="19992834" w14:textId="77777777" w:rsidR="005A043A" w:rsidRPr="00214F41" w:rsidRDefault="005A043A" w:rsidP="00286762">
            <w:pPr>
              <w:jc w:val="center"/>
              <w:rPr>
                <w:sz w:val="18"/>
                <w:szCs w:val="18"/>
              </w:rPr>
            </w:pPr>
            <w:r w:rsidRPr="00214F41">
              <w:rPr>
                <w:sz w:val="18"/>
                <w:szCs w:val="18"/>
              </w:rPr>
              <w:t>0/54</w:t>
            </w:r>
          </w:p>
        </w:tc>
        <w:tc>
          <w:tcPr>
            <w:tcW w:w="282" w:type="pct"/>
            <w:tcBorders>
              <w:top w:val="nil"/>
              <w:left w:val="nil"/>
              <w:bottom w:val="single" w:sz="4" w:space="0" w:color="auto"/>
              <w:right w:val="single" w:sz="4" w:space="0" w:color="auto"/>
            </w:tcBorders>
            <w:shd w:val="clear" w:color="000000" w:fill="FFFFFF"/>
            <w:vAlign w:val="center"/>
            <w:hideMark/>
          </w:tcPr>
          <w:p w14:paraId="23A8126F" w14:textId="77777777" w:rsidR="005A043A" w:rsidRPr="00214F41" w:rsidRDefault="005A043A" w:rsidP="00286762">
            <w:pPr>
              <w:jc w:val="center"/>
              <w:rPr>
                <w:sz w:val="18"/>
                <w:szCs w:val="18"/>
              </w:rPr>
            </w:pPr>
            <w:r w:rsidRPr="00214F41">
              <w:rPr>
                <w:sz w:val="18"/>
                <w:szCs w:val="18"/>
              </w:rPr>
              <w:t>0/53</w:t>
            </w:r>
          </w:p>
        </w:tc>
        <w:tc>
          <w:tcPr>
            <w:tcW w:w="278" w:type="pct"/>
            <w:tcBorders>
              <w:top w:val="nil"/>
              <w:left w:val="nil"/>
              <w:bottom w:val="single" w:sz="4" w:space="0" w:color="auto"/>
              <w:right w:val="single" w:sz="4" w:space="0" w:color="auto"/>
            </w:tcBorders>
            <w:shd w:val="clear" w:color="000000" w:fill="FFFFFF"/>
            <w:vAlign w:val="center"/>
            <w:hideMark/>
          </w:tcPr>
          <w:p w14:paraId="01D7E101" w14:textId="77777777" w:rsidR="005A043A" w:rsidRPr="00214F41" w:rsidRDefault="005A043A" w:rsidP="00286762">
            <w:pPr>
              <w:jc w:val="center"/>
              <w:rPr>
                <w:sz w:val="18"/>
                <w:szCs w:val="18"/>
              </w:rPr>
            </w:pPr>
            <w:r w:rsidRPr="00214F41">
              <w:rPr>
                <w:sz w:val="18"/>
                <w:szCs w:val="18"/>
              </w:rPr>
              <w:t>0/54</w:t>
            </w:r>
          </w:p>
        </w:tc>
        <w:tc>
          <w:tcPr>
            <w:tcW w:w="280" w:type="pct"/>
            <w:tcBorders>
              <w:top w:val="nil"/>
              <w:left w:val="nil"/>
              <w:bottom w:val="single" w:sz="4" w:space="0" w:color="auto"/>
              <w:right w:val="single" w:sz="4" w:space="0" w:color="auto"/>
            </w:tcBorders>
            <w:shd w:val="clear" w:color="000000" w:fill="FFFFFF"/>
            <w:vAlign w:val="center"/>
            <w:hideMark/>
          </w:tcPr>
          <w:p w14:paraId="51DF8B13" w14:textId="77777777" w:rsidR="005A043A" w:rsidRPr="00214F41" w:rsidRDefault="005A043A" w:rsidP="00286762">
            <w:pPr>
              <w:jc w:val="center"/>
              <w:rPr>
                <w:sz w:val="18"/>
                <w:szCs w:val="18"/>
              </w:rPr>
            </w:pPr>
            <w:r w:rsidRPr="00214F41">
              <w:rPr>
                <w:sz w:val="18"/>
                <w:szCs w:val="18"/>
              </w:rPr>
              <w:t>0/53</w:t>
            </w:r>
          </w:p>
        </w:tc>
        <w:tc>
          <w:tcPr>
            <w:tcW w:w="278" w:type="pct"/>
            <w:tcBorders>
              <w:top w:val="nil"/>
              <w:left w:val="nil"/>
              <w:bottom w:val="single" w:sz="4" w:space="0" w:color="auto"/>
              <w:right w:val="single" w:sz="4" w:space="0" w:color="auto"/>
            </w:tcBorders>
            <w:shd w:val="clear" w:color="000000" w:fill="FFFFFF"/>
            <w:vAlign w:val="center"/>
            <w:hideMark/>
          </w:tcPr>
          <w:p w14:paraId="07E73C16" w14:textId="77777777" w:rsidR="005A043A" w:rsidRPr="00214F41" w:rsidRDefault="005A043A" w:rsidP="00286762">
            <w:pPr>
              <w:jc w:val="center"/>
              <w:rPr>
                <w:sz w:val="18"/>
                <w:szCs w:val="18"/>
              </w:rPr>
            </w:pPr>
            <w:r w:rsidRPr="00214F41">
              <w:rPr>
                <w:sz w:val="18"/>
                <w:szCs w:val="18"/>
              </w:rPr>
              <w:t>0/54</w:t>
            </w:r>
          </w:p>
        </w:tc>
        <w:tc>
          <w:tcPr>
            <w:tcW w:w="280" w:type="pct"/>
            <w:tcBorders>
              <w:top w:val="nil"/>
              <w:left w:val="nil"/>
              <w:bottom w:val="single" w:sz="4" w:space="0" w:color="auto"/>
              <w:right w:val="single" w:sz="4" w:space="0" w:color="auto"/>
            </w:tcBorders>
            <w:shd w:val="clear" w:color="000000" w:fill="FFFFFF"/>
            <w:vAlign w:val="center"/>
            <w:hideMark/>
          </w:tcPr>
          <w:p w14:paraId="4CF8DCDA" w14:textId="77777777" w:rsidR="005A043A" w:rsidRPr="00214F41" w:rsidRDefault="005A043A" w:rsidP="00286762">
            <w:pPr>
              <w:jc w:val="center"/>
              <w:rPr>
                <w:sz w:val="18"/>
                <w:szCs w:val="18"/>
              </w:rPr>
            </w:pPr>
            <w:r w:rsidRPr="00214F41">
              <w:rPr>
                <w:sz w:val="18"/>
                <w:szCs w:val="18"/>
              </w:rPr>
              <w:t>0/53</w:t>
            </w:r>
          </w:p>
        </w:tc>
        <w:tc>
          <w:tcPr>
            <w:tcW w:w="282" w:type="pct"/>
            <w:tcBorders>
              <w:top w:val="nil"/>
              <w:left w:val="nil"/>
              <w:bottom w:val="single" w:sz="4" w:space="0" w:color="auto"/>
              <w:right w:val="single" w:sz="4" w:space="0" w:color="auto"/>
            </w:tcBorders>
            <w:shd w:val="clear" w:color="000000" w:fill="FFFFFF"/>
            <w:vAlign w:val="center"/>
            <w:hideMark/>
          </w:tcPr>
          <w:p w14:paraId="023D6E44" w14:textId="77777777" w:rsidR="005A043A" w:rsidRPr="00214F41" w:rsidRDefault="005A043A" w:rsidP="00286762">
            <w:pPr>
              <w:jc w:val="center"/>
              <w:rPr>
                <w:sz w:val="18"/>
                <w:szCs w:val="18"/>
              </w:rPr>
            </w:pPr>
            <w:r w:rsidRPr="00214F41">
              <w:rPr>
                <w:sz w:val="18"/>
                <w:szCs w:val="18"/>
              </w:rPr>
              <w:t>0/54</w:t>
            </w:r>
          </w:p>
        </w:tc>
        <w:tc>
          <w:tcPr>
            <w:tcW w:w="279" w:type="pct"/>
            <w:tcBorders>
              <w:top w:val="nil"/>
              <w:left w:val="nil"/>
              <w:bottom w:val="single" w:sz="4" w:space="0" w:color="auto"/>
              <w:right w:val="single" w:sz="4" w:space="0" w:color="auto"/>
            </w:tcBorders>
            <w:shd w:val="clear" w:color="000000" w:fill="FFFFFF"/>
            <w:vAlign w:val="center"/>
            <w:hideMark/>
          </w:tcPr>
          <w:p w14:paraId="09BBDCBB" w14:textId="77777777" w:rsidR="005A043A" w:rsidRPr="00214F41" w:rsidRDefault="005A043A" w:rsidP="00286762">
            <w:pPr>
              <w:jc w:val="center"/>
              <w:rPr>
                <w:sz w:val="18"/>
                <w:szCs w:val="18"/>
              </w:rPr>
            </w:pPr>
            <w:r w:rsidRPr="00214F41">
              <w:rPr>
                <w:sz w:val="18"/>
                <w:szCs w:val="18"/>
              </w:rPr>
              <w:t>0/53</w:t>
            </w:r>
          </w:p>
        </w:tc>
        <w:tc>
          <w:tcPr>
            <w:tcW w:w="279" w:type="pct"/>
            <w:tcBorders>
              <w:top w:val="nil"/>
              <w:left w:val="nil"/>
              <w:bottom w:val="single" w:sz="4" w:space="0" w:color="auto"/>
              <w:right w:val="single" w:sz="4" w:space="0" w:color="auto"/>
            </w:tcBorders>
            <w:shd w:val="clear" w:color="000000" w:fill="FFFFFF"/>
            <w:vAlign w:val="center"/>
            <w:hideMark/>
          </w:tcPr>
          <w:p w14:paraId="070FA3FE" w14:textId="77777777" w:rsidR="005A043A" w:rsidRPr="00214F41" w:rsidRDefault="005A043A" w:rsidP="00286762">
            <w:pPr>
              <w:jc w:val="center"/>
              <w:rPr>
                <w:sz w:val="18"/>
                <w:szCs w:val="18"/>
              </w:rPr>
            </w:pPr>
            <w:r w:rsidRPr="00214F41">
              <w:rPr>
                <w:sz w:val="18"/>
                <w:szCs w:val="18"/>
              </w:rPr>
              <w:t>0/54</w:t>
            </w:r>
          </w:p>
        </w:tc>
        <w:tc>
          <w:tcPr>
            <w:tcW w:w="276" w:type="pct"/>
            <w:tcBorders>
              <w:top w:val="nil"/>
              <w:left w:val="nil"/>
              <w:bottom w:val="single" w:sz="4" w:space="0" w:color="auto"/>
              <w:right w:val="single" w:sz="4" w:space="0" w:color="auto"/>
            </w:tcBorders>
            <w:shd w:val="clear" w:color="000000" w:fill="FFFFFF"/>
            <w:vAlign w:val="center"/>
            <w:hideMark/>
          </w:tcPr>
          <w:p w14:paraId="7E12F844" w14:textId="77777777" w:rsidR="005A043A" w:rsidRPr="00214F41" w:rsidRDefault="005A043A" w:rsidP="00286762">
            <w:pPr>
              <w:jc w:val="center"/>
              <w:rPr>
                <w:sz w:val="18"/>
                <w:szCs w:val="18"/>
              </w:rPr>
            </w:pPr>
            <w:r w:rsidRPr="00214F41">
              <w:rPr>
                <w:sz w:val="18"/>
                <w:szCs w:val="18"/>
              </w:rPr>
              <w:t>0/53</w:t>
            </w:r>
          </w:p>
        </w:tc>
      </w:tr>
      <w:tr w:rsidR="005A043A" w:rsidRPr="00214F41" w14:paraId="14DAD24B" w14:textId="77777777" w:rsidTr="00286762">
        <w:trPr>
          <w:trHeight w:val="45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63EBA01" w14:textId="77777777" w:rsidR="005A043A" w:rsidRPr="00214F41" w:rsidRDefault="005A043A" w:rsidP="00286762">
            <w:pPr>
              <w:jc w:val="center"/>
              <w:rPr>
                <w:sz w:val="18"/>
                <w:szCs w:val="18"/>
              </w:rPr>
            </w:pPr>
            <w:r w:rsidRPr="00214F41">
              <w:rPr>
                <w:sz w:val="18"/>
                <w:szCs w:val="18"/>
              </w:rPr>
              <w:t>Moses et al., 1999</w:t>
            </w:r>
          </w:p>
        </w:tc>
        <w:tc>
          <w:tcPr>
            <w:tcW w:w="318" w:type="pct"/>
            <w:tcBorders>
              <w:top w:val="nil"/>
              <w:left w:val="nil"/>
              <w:bottom w:val="single" w:sz="4" w:space="0" w:color="auto"/>
              <w:right w:val="single" w:sz="4" w:space="0" w:color="auto"/>
            </w:tcBorders>
            <w:shd w:val="clear" w:color="000000" w:fill="FFFFFF"/>
            <w:vAlign w:val="center"/>
            <w:hideMark/>
          </w:tcPr>
          <w:p w14:paraId="0F729C9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14:paraId="3AEF349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718" w:type="pct"/>
            <w:tcBorders>
              <w:top w:val="nil"/>
              <w:left w:val="nil"/>
              <w:bottom w:val="single" w:sz="4" w:space="0" w:color="auto"/>
              <w:right w:val="single" w:sz="4" w:space="0" w:color="auto"/>
            </w:tcBorders>
            <w:shd w:val="clear" w:color="000000" w:fill="FFFFFF"/>
            <w:vAlign w:val="center"/>
            <w:hideMark/>
          </w:tcPr>
          <w:p w14:paraId="05C13A82"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0EE42C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F85877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0A9D324" w14:textId="77777777" w:rsidR="005A043A" w:rsidRPr="00214F41" w:rsidRDefault="005A043A" w:rsidP="00286762">
            <w:pPr>
              <w:jc w:val="center"/>
              <w:rPr>
                <w:sz w:val="18"/>
                <w:szCs w:val="18"/>
              </w:rPr>
            </w:pPr>
            <w:r w:rsidRPr="00214F41">
              <w:rPr>
                <w:sz w:val="18"/>
                <w:szCs w:val="18"/>
              </w:rPr>
              <w:t>8|27</w:t>
            </w:r>
          </w:p>
        </w:tc>
        <w:tc>
          <w:tcPr>
            <w:tcW w:w="282" w:type="pct"/>
            <w:tcBorders>
              <w:top w:val="nil"/>
              <w:left w:val="nil"/>
              <w:bottom w:val="single" w:sz="4" w:space="0" w:color="auto"/>
              <w:right w:val="single" w:sz="4" w:space="0" w:color="auto"/>
            </w:tcBorders>
            <w:shd w:val="clear" w:color="000000" w:fill="FFFFFF"/>
            <w:vAlign w:val="center"/>
            <w:hideMark/>
          </w:tcPr>
          <w:p w14:paraId="7E15E4CA" w14:textId="77777777" w:rsidR="005A043A" w:rsidRPr="00214F41" w:rsidRDefault="005A043A" w:rsidP="00286762">
            <w:pPr>
              <w:jc w:val="center"/>
              <w:rPr>
                <w:sz w:val="18"/>
                <w:szCs w:val="18"/>
              </w:rPr>
            </w:pPr>
            <w:r w:rsidRPr="00214F41">
              <w:rPr>
                <w:sz w:val="18"/>
                <w:szCs w:val="18"/>
              </w:rPr>
              <w:t>2|28</w:t>
            </w:r>
          </w:p>
        </w:tc>
        <w:tc>
          <w:tcPr>
            <w:tcW w:w="278" w:type="pct"/>
            <w:tcBorders>
              <w:top w:val="nil"/>
              <w:left w:val="nil"/>
              <w:bottom w:val="single" w:sz="4" w:space="0" w:color="auto"/>
              <w:right w:val="single" w:sz="4" w:space="0" w:color="auto"/>
            </w:tcBorders>
            <w:shd w:val="clear" w:color="000000" w:fill="FFFFFF"/>
            <w:vAlign w:val="center"/>
            <w:hideMark/>
          </w:tcPr>
          <w:p w14:paraId="28F71BF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AF95D1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3B757E0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5705BE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282C82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4E46013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6EAAAFB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524EE6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07C39A88" w14:textId="77777777" w:rsidTr="00286762">
        <w:trPr>
          <w:trHeight w:val="42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29C237CD" w14:textId="77777777" w:rsidR="005A043A" w:rsidRPr="00214F41" w:rsidRDefault="005A043A" w:rsidP="00286762">
            <w:pPr>
              <w:jc w:val="center"/>
              <w:rPr>
                <w:sz w:val="18"/>
                <w:szCs w:val="18"/>
              </w:rPr>
            </w:pPr>
            <w:proofErr w:type="spellStart"/>
            <w:r w:rsidRPr="00214F41">
              <w:rPr>
                <w:sz w:val="18"/>
                <w:szCs w:val="18"/>
              </w:rPr>
              <w:t>Nauck</w:t>
            </w:r>
            <w:proofErr w:type="spellEnd"/>
            <w:r w:rsidRPr="00214F41">
              <w:rPr>
                <w:sz w:val="18"/>
                <w:szCs w:val="18"/>
              </w:rPr>
              <w:t xml:space="preserve"> et al., 2012</w:t>
            </w:r>
          </w:p>
        </w:tc>
        <w:tc>
          <w:tcPr>
            <w:tcW w:w="318" w:type="pct"/>
            <w:tcBorders>
              <w:top w:val="nil"/>
              <w:left w:val="nil"/>
              <w:bottom w:val="single" w:sz="4" w:space="0" w:color="auto"/>
              <w:right w:val="single" w:sz="4" w:space="0" w:color="auto"/>
            </w:tcBorders>
            <w:shd w:val="clear" w:color="000000" w:fill="FFFFFF"/>
            <w:vAlign w:val="center"/>
            <w:hideMark/>
          </w:tcPr>
          <w:p w14:paraId="1AE381ED" w14:textId="77777777" w:rsidR="005A043A" w:rsidRPr="00214F41" w:rsidRDefault="005A043A" w:rsidP="00286762">
            <w:pPr>
              <w:jc w:val="center"/>
              <w:rPr>
                <w:sz w:val="18"/>
                <w:szCs w:val="18"/>
              </w:rPr>
            </w:pPr>
            <w:r w:rsidRPr="00214F41">
              <w:rPr>
                <w:sz w:val="18"/>
                <w:szCs w:val="18"/>
              </w:rPr>
              <w:t>3/122</w:t>
            </w:r>
          </w:p>
        </w:tc>
        <w:tc>
          <w:tcPr>
            <w:tcW w:w="295" w:type="pct"/>
            <w:tcBorders>
              <w:top w:val="nil"/>
              <w:left w:val="nil"/>
              <w:bottom w:val="single" w:sz="4" w:space="0" w:color="auto"/>
              <w:right w:val="single" w:sz="4" w:space="0" w:color="auto"/>
            </w:tcBorders>
            <w:shd w:val="clear" w:color="000000" w:fill="FFFFFF"/>
            <w:vAlign w:val="center"/>
            <w:hideMark/>
          </w:tcPr>
          <w:p w14:paraId="24FC1B65" w14:textId="77777777" w:rsidR="005A043A" w:rsidRPr="00214F41" w:rsidRDefault="005A043A" w:rsidP="00286762">
            <w:pPr>
              <w:jc w:val="center"/>
              <w:rPr>
                <w:sz w:val="18"/>
                <w:szCs w:val="18"/>
              </w:rPr>
            </w:pPr>
            <w:r w:rsidRPr="00214F41">
              <w:rPr>
                <w:sz w:val="18"/>
                <w:szCs w:val="18"/>
              </w:rPr>
              <w:t>14/244</w:t>
            </w:r>
          </w:p>
        </w:tc>
        <w:tc>
          <w:tcPr>
            <w:tcW w:w="718" w:type="pct"/>
            <w:tcBorders>
              <w:top w:val="nil"/>
              <w:left w:val="nil"/>
              <w:bottom w:val="single" w:sz="4" w:space="0" w:color="auto"/>
              <w:right w:val="single" w:sz="4" w:space="0" w:color="auto"/>
            </w:tcBorders>
            <w:shd w:val="clear" w:color="000000" w:fill="FFFFFF"/>
            <w:vAlign w:val="center"/>
            <w:hideMark/>
          </w:tcPr>
          <w:p w14:paraId="76B3B14D"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6A5DF57" w14:textId="77777777" w:rsidR="005A043A" w:rsidRPr="00214F41" w:rsidRDefault="005A043A" w:rsidP="00286762">
            <w:pPr>
              <w:jc w:val="center"/>
              <w:rPr>
                <w:sz w:val="18"/>
                <w:szCs w:val="18"/>
              </w:rPr>
            </w:pPr>
            <w:r w:rsidRPr="00214F41">
              <w:rPr>
                <w:sz w:val="18"/>
                <w:szCs w:val="18"/>
              </w:rPr>
              <w:t>0/61</w:t>
            </w:r>
          </w:p>
        </w:tc>
        <w:tc>
          <w:tcPr>
            <w:tcW w:w="282" w:type="pct"/>
            <w:tcBorders>
              <w:top w:val="nil"/>
              <w:left w:val="nil"/>
              <w:bottom w:val="single" w:sz="4" w:space="0" w:color="auto"/>
              <w:right w:val="single" w:sz="4" w:space="0" w:color="auto"/>
            </w:tcBorders>
            <w:shd w:val="clear" w:color="000000" w:fill="FFFFFF"/>
            <w:vAlign w:val="center"/>
            <w:hideMark/>
          </w:tcPr>
          <w:p w14:paraId="0475FCED" w14:textId="77777777" w:rsidR="005A043A" w:rsidRPr="00214F41" w:rsidRDefault="005A043A" w:rsidP="00286762">
            <w:pPr>
              <w:jc w:val="center"/>
              <w:rPr>
                <w:sz w:val="18"/>
                <w:szCs w:val="18"/>
              </w:rPr>
            </w:pPr>
            <w:r w:rsidRPr="00214F41">
              <w:rPr>
                <w:sz w:val="18"/>
                <w:szCs w:val="18"/>
              </w:rPr>
              <w:t>4/183</w:t>
            </w:r>
          </w:p>
        </w:tc>
        <w:tc>
          <w:tcPr>
            <w:tcW w:w="282" w:type="pct"/>
            <w:tcBorders>
              <w:top w:val="nil"/>
              <w:left w:val="nil"/>
              <w:bottom w:val="single" w:sz="4" w:space="0" w:color="auto"/>
              <w:right w:val="single" w:sz="4" w:space="0" w:color="auto"/>
            </w:tcBorders>
            <w:shd w:val="clear" w:color="000000" w:fill="FFFFFF"/>
            <w:vAlign w:val="center"/>
            <w:hideMark/>
          </w:tcPr>
          <w:p w14:paraId="3D74CE4A" w14:textId="77777777" w:rsidR="005A043A" w:rsidRPr="00214F41" w:rsidRDefault="005A043A" w:rsidP="00286762">
            <w:pPr>
              <w:jc w:val="center"/>
              <w:rPr>
                <w:sz w:val="18"/>
                <w:szCs w:val="18"/>
              </w:rPr>
            </w:pPr>
            <w:r w:rsidRPr="00214F41">
              <w:rPr>
                <w:sz w:val="18"/>
                <w:szCs w:val="18"/>
              </w:rPr>
              <w:t>5/121</w:t>
            </w:r>
          </w:p>
        </w:tc>
        <w:tc>
          <w:tcPr>
            <w:tcW w:w="282" w:type="pct"/>
            <w:tcBorders>
              <w:top w:val="nil"/>
              <w:left w:val="nil"/>
              <w:bottom w:val="single" w:sz="4" w:space="0" w:color="auto"/>
              <w:right w:val="single" w:sz="4" w:space="0" w:color="auto"/>
            </w:tcBorders>
            <w:shd w:val="clear" w:color="000000" w:fill="FFFFFF"/>
            <w:vAlign w:val="center"/>
            <w:hideMark/>
          </w:tcPr>
          <w:p w14:paraId="451ABD95" w14:textId="77777777" w:rsidR="005A043A" w:rsidRPr="00214F41" w:rsidRDefault="005A043A" w:rsidP="00286762">
            <w:pPr>
              <w:jc w:val="center"/>
              <w:rPr>
                <w:sz w:val="18"/>
                <w:szCs w:val="18"/>
              </w:rPr>
            </w:pPr>
            <w:r w:rsidRPr="00214F41">
              <w:rPr>
                <w:sz w:val="18"/>
                <w:szCs w:val="18"/>
              </w:rPr>
              <w:t>14/242</w:t>
            </w:r>
          </w:p>
        </w:tc>
        <w:tc>
          <w:tcPr>
            <w:tcW w:w="278" w:type="pct"/>
            <w:tcBorders>
              <w:top w:val="nil"/>
              <w:left w:val="nil"/>
              <w:bottom w:val="single" w:sz="4" w:space="0" w:color="auto"/>
              <w:right w:val="single" w:sz="4" w:space="0" w:color="auto"/>
            </w:tcBorders>
            <w:shd w:val="clear" w:color="000000" w:fill="FFFFFF"/>
            <w:vAlign w:val="center"/>
            <w:hideMark/>
          </w:tcPr>
          <w:p w14:paraId="2DE7C8A8" w14:textId="77777777" w:rsidR="005A043A" w:rsidRPr="00214F41" w:rsidRDefault="005A043A" w:rsidP="00286762">
            <w:pPr>
              <w:jc w:val="center"/>
              <w:rPr>
                <w:sz w:val="18"/>
                <w:szCs w:val="18"/>
              </w:rPr>
            </w:pPr>
            <w:r w:rsidRPr="00214F41">
              <w:rPr>
                <w:sz w:val="18"/>
                <w:szCs w:val="18"/>
              </w:rPr>
              <w:t>0/121</w:t>
            </w:r>
          </w:p>
        </w:tc>
        <w:tc>
          <w:tcPr>
            <w:tcW w:w="280" w:type="pct"/>
            <w:tcBorders>
              <w:top w:val="nil"/>
              <w:left w:val="nil"/>
              <w:bottom w:val="single" w:sz="4" w:space="0" w:color="auto"/>
              <w:right w:val="single" w:sz="4" w:space="0" w:color="auto"/>
            </w:tcBorders>
            <w:shd w:val="clear" w:color="000000" w:fill="FFFFFF"/>
            <w:vAlign w:val="center"/>
            <w:hideMark/>
          </w:tcPr>
          <w:p w14:paraId="3009B278" w14:textId="77777777" w:rsidR="005A043A" w:rsidRPr="00214F41" w:rsidRDefault="005A043A" w:rsidP="00286762">
            <w:pPr>
              <w:jc w:val="center"/>
              <w:rPr>
                <w:sz w:val="18"/>
                <w:szCs w:val="18"/>
              </w:rPr>
            </w:pPr>
            <w:r w:rsidRPr="00214F41">
              <w:rPr>
                <w:sz w:val="18"/>
                <w:szCs w:val="18"/>
              </w:rPr>
              <w:t>1/242</w:t>
            </w:r>
          </w:p>
        </w:tc>
        <w:tc>
          <w:tcPr>
            <w:tcW w:w="278" w:type="pct"/>
            <w:tcBorders>
              <w:top w:val="nil"/>
              <w:left w:val="nil"/>
              <w:bottom w:val="single" w:sz="4" w:space="0" w:color="auto"/>
              <w:right w:val="single" w:sz="4" w:space="0" w:color="auto"/>
            </w:tcBorders>
            <w:shd w:val="clear" w:color="000000" w:fill="FFFFFF"/>
            <w:vAlign w:val="center"/>
            <w:hideMark/>
          </w:tcPr>
          <w:p w14:paraId="7F106C79" w14:textId="77777777" w:rsidR="005A043A" w:rsidRPr="00214F41" w:rsidRDefault="005A043A" w:rsidP="00286762">
            <w:pPr>
              <w:jc w:val="center"/>
              <w:rPr>
                <w:sz w:val="18"/>
                <w:szCs w:val="18"/>
              </w:rPr>
            </w:pPr>
            <w:r w:rsidRPr="00214F41">
              <w:rPr>
                <w:sz w:val="18"/>
                <w:szCs w:val="18"/>
              </w:rPr>
              <w:t>0/61</w:t>
            </w:r>
          </w:p>
        </w:tc>
        <w:tc>
          <w:tcPr>
            <w:tcW w:w="280" w:type="pct"/>
            <w:tcBorders>
              <w:top w:val="nil"/>
              <w:left w:val="nil"/>
              <w:bottom w:val="single" w:sz="4" w:space="0" w:color="auto"/>
              <w:right w:val="single" w:sz="4" w:space="0" w:color="auto"/>
            </w:tcBorders>
            <w:shd w:val="clear" w:color="000000" w:fill="FFFFFF"/>
            <w:vAlign w:val="center"/>
            <w:hideMark/>
          </w:tcPr>
          <w:p w14:paraId="341E57B7" w14:textId="77777777" w:rsidR="005A043A" w:rsidRPr="00214F41" w:rsidRDefault="005A043A" w:rsidP="00286762">
            <w:pPr>
              <w:jc w:val="center"/>
              <w:rPr>
                <w:sz w:val="18"/>
                <w:szCs w:val="18"/>
              </w:rPr>
            </w:pPr>
            <w:r w:rsidRPr="00214F41">
              <w:rPr>
                <w:sz w:val="18"/>
                <w:szCs w:val="18"/>
              </w:rPr>
              <w:t>0/183</w:t>
            </w:r>
          </w:p>
        </w:tc>
        <w:tc>
          <w:tcPr>
            <w:tcW w:w="282" w:type="pct"/>
            <w:tcBorders>
              <w:top w:val="nil"/>
              <w:left w:val="nil"/>
              <w:bottom w:val="single" w:sz="4" w:space="0" w:color="auto"/>
              <w:right w:val="single" w:sz="4" w:space="0" w:color="auto"/>
            </w:tcBorders>
            <w:shd w:val="clear" w:color="000000" w:fill="FFFFFF"/>
            <w:vAlign w:val="center"/>
            <w:hideMark/>
          </w:tcPr>
          <w:p w14:paraId="0B17E7C4" w14:textId="77777777" w:rsidR="005A043A" w:rsidRPr="00214F41" w:rsidRDefault="005A043A" w:rsidP="00286762">
            <w:pPr>
              <w:jc w:val="center"/>
              <w:rPr>
                <w:sz w:val="18"/>
                <w:szCs w:val="18"/>
              </w:rPr>
            </w:pPr>
            <w:r w:rsidRPr="00214F41">
              <w:rPr>
                <w:sz w:val="18"/>
                <w:szCs w:val="18"/>
              </w:rPr>
              <w:t>5/121</w:t>
            </w:r>
          </w:p>
        </w:tc>
        <w:tc>
          <w:tcPr>
            <w:tcW w:w="279" w:type="pct"/>
            <w:tcBorders>
              <w:top w:val="nil"/>
              <w:left w:val="nil"/>
              <w:bottom w:val="single" w:sz="4" w:space="0" w:color="auto"/>
              <w:right w:val="single" w:sz="4" w:space="0" w:color="auto"/>
            </w:tcBorders>
            <w:shd w:val="clear" w:color="000000" w:fill="FFFFFF"/>
            <w:vAlign w:val="center"/>
            <w:hideMark/>
          </w:tcPr>
          <w:p w14:paraId="2F230D57" w14:textId="77777777" w:rsidR="005A043A" w:rsidRPr="00214F41" w:rsidRDefault="005A043A" w:rsidP="00286762">
            <w:pPr>
              <w:jc w:val="center"/>
              <w:rPr>
                <w:sz w:val="18"/>
                <w:szCs w:val="18"/>
              </w:rPr>
            </w:pPr>
            <w:r w:rsidRPr="00214F41">
              <w:rPr>
                <w:sz w:val="18"/>
                <w:szCs w:val="18"/>
              </w:rPr>
              <w:t>10/242</w:t>
            </w:r>
          </w:p>
        </w:tc>
        <w:tc>
          <w:tcPr>
            <w:tcW w:w="279" w:type="pct"/>
            <w:tcBorders>
              <w:top w:val="nil"/>
              <w:left w:val="nil"/>
              <w:bottom w:val="single" w:sz="4" w:space="0" w:color="auto"/>
              <w:right w:val="single" w:sz="4" w:space="0" w:color="auto"/>
            </w:tcBorders>
            <w:shd w:val="clear" w:color="000000" w:fill="FFFFFF"/>
            <w:vAlign w:val="center"/>
            <w:hideMark/>
          </w:tcPr>
          <w:p w14:paraId="6EC392DA" w14:textId="77777777" w:rsidR="005A043A" w:rsidRPr="00214F41" w:rsidRDefault="005A043A" w:rsidP="00286762">
            <w:pPr>
              <w:jc w:val="center"/>
              <w:rPr>
                <w:sz w:val="18"/>
                <w:szCs w:val="18"/>
              </w:rPr>
            </w:pPr>
            <w:r w:rsidRPr="00214F41">
              <w:rPr>
                <w:sz w:val="18"/>
                <w:szCs w:val="18"/>
              </w:rPr>
              <w:t>lut.61</w:t>
            </w:r>
          </w:p>
        </w:tc>
        <w:tc>
          <w:tcPr>
            <w:tcW w:w="276" w:type="pct"/>
            <w:tcBorders>
              <w:top w:val="nil"/>
              <w:left w:val="nil"/>
              <w:bottom w:val="single" w:sz="4" w:space="0" w:color="auto"/>
              <w:right w:val="single" w:sz="4" w:space="0" w:color="auto"/>
            </w:tcBorders>
            <w:shd w:val="clear" w:color="000000" w:fill="FFFFFF"/>
            <w:vAlign w:val="center"/>
            <w:hideMark/>
          </w:tcPr>
          <w:p w14:paraId="5FE5A3A3" w14:textId="77777777" w:rsidR="005A043A" w:rsidRPr="00214F41" w:rsidRDefault="005A043A" w:rsidP="00286762">
            <w:pPr>
              <w:jc w:val="center"/>
              <w:rPr>
                <w:sz w:val="18"/>
                <w:szCs w:val="18"/>
              </w:rPr>
            </w:pPr>
            <w:r w:rsidRPr="00214F41">
              <w:rPr>
                <w:sz w:val="18"/>
                <w:szCs w:val="18"/>
              </w:rPr>
              <w:t>3/183</w:t>
            </w:r>
          </w:p>
        </w:tc>
      </w:tr>
      <w:tr w:rsidR="005A043A" w:rsidRPr="00214F41" w14:paraId="16A32594"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BFF9C" w14:textId="77777777" w:rsidR="005A043A" w:rsidRPr="00214F41" w:rsidRDefault="005A043A" w:rsidP="00286762">
            <w:pPr>
              <w:jc w:val="center"/>
              <w:rPr>
                <w:sz w:val="18"/>
                <w:szCs w:val="18"/>
              </w:rPr>
            </w:pPr>
            <w:proofErr w:type="spellStart"/>
            <w:r w:rsidRPr="00214F41">
              <w:rPr>
                <w:sz w:val="18"/>
                <w:szCs w:val="18"/>
              </w:rPr>
              <w:t>Nauck</w:t>
            </w:r>
            <w:proofErr w:type="spellEnd"/>
            <w:r w:rsidRPr="00214F41">
              <w:rPr>
                <w:sz w:val="18"/>
                <w:szCs w:val="18"/>
              </w:rPr>
              <w:t xml:space="preserve"> et al., 2008</w:t>
            </w:r>
          </w:p>
        </w:tc>
        <w:tc>
          <w:tcPr>
            <w:tcW w:w="318" w:type="pct"/>
            <w:tcBorders>
              <w:top w:val="nil"/>
              <w:left w:val="nil"/>
              <w:bottom w:val="single" w:sz="4" w:space="0" w:color="auto"/>
              <w:right w:val="single" w:sz="4" w:space="0" w:color="auto"/>
            </w:tcBorders>
            <w:shd w:val="clear" w:color="000000" w:fill="FFFFFF"/>
            <w:vAlign w:val="center"/>
            <w:hideMark/>
          </w:tcPr>
          <w:p w14:paraId="455A0A51" w14:textId="77777777" w:rsidR="005A043A" w:rsidRPr="00214F41" w:rsidRDefault="005A043A" w:rsidP="00286762">
            <w:pPr>
              <w:jc w:val="center"/>
              <w:rPr>
                <w:sz w:val="18"/>
                <w:szCs w:val="18"/>
              </w:rPr>
            </w:pPr>
            <w:r w:rsidRPr="00214F41">
              <w:rPr>
                <w:sz w:val="18"/>
                <w:szCs w:val="18"/>
              </w:rPr>
              <w:t>1/104</w:t>
            </w:r>
          </w:p>
        </w:tc>
        <w:tc>
          <w:tcPr>
            <w:tcW w:w="295" w:type="pct"/>
            <w:tcBorders>
              <w:top w:val="nil"/>
              <w:left w:val="nil"/>
              <w:bottom w:val="single" w:sz="4" w:space="0" w:color="auto"/>
              <w:right w:val="single" w:sz="4" w:space="0" w:color="auto"/>
            </w:tcBorders>
            <w:shd w:val="clear" w:color="000000" w:fill="FFFFFF"/>
            <w:vAlign w:val="center"/>
            <w:hideMark/>
          </w:tcPr>
          <w:p w14:paraId="2A4AAF00" w14:textId="77777777" w:rsidR="005A043A" w:rsidRPr="00214F41" w:rsidRDefault="005A043A" w:rsidP="00286762">
            <w:pPr>
              <w:jc w:val="center"/>
              <w:rPr>
                <w:sz w:val="18"/>
                <w:szCs w:val="18"/>
              </w:rPr>
            </w:pPr>
            <w:r w:rsidRPr="00214F41">
              <w:rPr>
                <w:sz w:val="18"/>
                <w:szCs w:val="18"/>
              </w:rPr>
              <w:t>7/213</w:t>
            </w:r>
          </w:p>
        </w:tc>
        <w:tc>
          <w:tcPr>
            <w:tcW w:w="718" w:type="pct"/>
            <w:tcBorders>
              <w:top w:val="nil"/>
              <w:left w:val="nil"/>
              <w:bottom w:val="single" w:sz="4" w:space="0" w:color="auto"/>
              <w:right w:val="single" w:sz="4" w:space="0" w:color="auto"/>
            </w:tcBorders>
            <w:shd w:val="clear" w:color="000000" w:fill="FFFFFF"/>
            <w:vAlign w:val="center"/>
            <w:hideMark/>
          </w:tcPr>
          <w:p w14:paraId="0E286A38" w14:textId="77777777" w:rsidR="005A043A" w:rsidRPr="00214F41" w:rsidRDefault="005A043A" w:rsidP="00286762">
            <w:pPr>
              <w:jc w:val="center"/>
              <w:rPr>
                <w:sz w:val="18"/>
                <w:szCs w:val="18"/>
                <w:lang w:val="en-GB"/>
              </w:rPr>
            </w:pPr>
            <w:r w:rsidRPr="00214F41">
              <w:rPr>
                <w:sz w:val="18"/>
                <w:szCs w:val="18"/>
                <w:lang w:val="en-GB"/>
              </w:rPr>
              <w:t xml:space="preserve">few GI disorders </w:t>
            </w:r>
          </w:p>
        </w:tc>
        <w:tc>
          <w:tcPr>
            <w:tcW w:w="282" w:type="pct"/>
            <w:tcBorders>
              <w:top w:val="nil"/>
              <w:left w:val="nil"/>
              <w:bottom w:val="single" w:sz="4" w:space="0" w:color="auto"/>
              <w:right w:val="single" w:sz="4" w:space="0" w:color="auto"/>
            </w:tcBorders>
            <w:shd w:val="clear" w:color="000000" w:fill="FFFFFF"/>
            <w:vAlign w:val="center"/>
            <w:hideMark/>
          </w:tcPr>
          <w:p w14:paraId="3F7FAA4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FB5428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7C55CB5" w14:textId="77777777" w:rsidR="005A043A" w:rsidRPr="00214F41" w:rsidRDefault="005A043A" w:rsidP="00286762">
            <w:pPr>
              <w:jc w:val="center"/>
              <w:rPr>
                <w:sz w:val="18"/>
                <w:szCs w:val="18"/>
              </w:rPr>
            </w:pPr>
            <w:r w:rsidRPr="00214F41">
              <w:rPr>
                <w:sz w:val="18"/>
                <w:szCs w:val="18"/>
              </w:rPr>
              <w:t>6/104</w:t>
            </w:r>
          </w:p>
        </w:tc>
        <w:tc>
          <w:tcPr>
            <w:tcW w:w="282" w:type="pct"/>
            <w:tcBorders>
              <w:top w:val="nil"/>
              <w:left w:val="nil"/>
              <w:bottom w:val="single" w:sz="4" w:space="0" w:color="auto"/>
              <w:right w:val="single" w:sz="4" w:space="0" w:color="auto"/>
            </w:tcBorders>
            <w:shd w:val="clear" w:color="000000" w:fill="FFFFFF"/>
            <w:vAlign w:val="center"/>
            <w:hideMark/>
          </w:tcPr>
          <w:p w14:paraId="39823950" w14:textId="77777777" w:rsidR="005A043A" w:rsidRPr="00214F41" w:rsidRDefault="005A043A" w:rsidP="00286762">
            <w:pPr>
              <w:jc w:val="center"/>
              <w:rPr>
                <w:sz w:val="18"/>
                <w:szCs w:val="18"/>
              </w:rPr>
            </w:pPr>
            <w:r w:rsidRPr="00214F41">
              <w:rPr>
                <w:sz w:val="18"/>
                <w:szCs w:val="18"/>
              </w:rPr>
              <w:t>6/213</w:t>
            </w:r>
          </w:p>
        </w:tc>
        <w:tc>
          <w:tcPr>
            <w:tcW w:w="278" w:type="pct"/>
            <w:tcBorders>
              <w:top w:val="nil"/>
              <w:left w:val="nil"/>
              <w:bottom w:val="single" w:sz="4" w:space="0" w:color="auto"/>
              <w:right w:val="single" w:sz="4" w:space="0" w:color="auto"/>
            </w:tcBorders>
            <w:shd w:val="clear" w:color="000000" w:fill="FFFFFF"/>
            <w:vAlign w:val="center"/>
            <w:hideMark/>
          </w:tcPr>
          <w:p w14:paraId="53DD765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21113D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1432CFB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C5834C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EEE0CE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6D7142B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2D18858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0C73E0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3CC7E189" w14:textId="77777777" w:rsidTr="00286762">
        <w:trPr>
          <w:trHeight w:val="46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0BE5577D" w14:textId="77777777" w:rsidR="005A043A" w:rsidRPr="00214F41" w:rsidRDefault="005A043A" w:rsidP="00286762">
            <w:pPr>
              <w:jc w:val="center"/>
              <w:rPr>
                <w:sz w:val="18"/>
                <w:szCs w:val="18"/>
              </w:rPr>
            </w:pPr>
            <w:proofErr w:type="spellStart"/>
            <w:r w:rsidRPr="00214F41">
              <w:rPr>
                <w:sz w:val="18"/>
                <w:szCs w:val="18"/>
              </w:rPr>
              <w:t>Neutel</w:t>
            </w:r>
            <w:proofErr w:type="spellEnd"/>
            <w:r w:rsidRPr="00214F41">
              <w:rPr>
                <w:sz w:val="18"/>
                <w:szCs w:val="18"/>
              </w:rPr>
              <w:t xml:space="preserve"> et al., 2013</w:t>
            </w:r>
          </w:p>
        </w:tc>
        <w:tc>
          <w:tcPr>
            <w:tcW w:w="318" w:type="pct"/>
            <w:tcBorders>
              <w:top w:val="nil"/>
              <w:left w:val="nil"/>
              <w:bottom w:val="single" w:sz="4" w:space="0" w:color="auto"/>
              <w:right w:val="single" w:sz="4" w:space="0" w:color="auto"/>
            </w:tcBorders>
            <w:shd w:val="clear" w:color="000000" w:fill="FFFFFF"/>
            <w:vAlign w:val="center"/>
            <w:hideMark/>
          </w:tcPr>
          <w:p w14:paraId="785A1D24" w14:textId="77777777" w:rsidR="005A043A" w:rsidRPr="00214F41" w:rsidRDefault="005A043A" w:rsidP="00286762">
            <w:pPr>
              <w:jc w:val="center"/>
              <w:rPr>
                <w:sz w:val="18"/>
                <w:szCs w:val="18"/>
              </w:rPr>
            </w:pPr>
            <w:r w:rsidRPr="00214F41">
              <w:rPr>
                <w:sz w:val="18"/>
                <w:szCs w:val="18"/>
              </w:rPr>
              <w:t>0/47</w:t>
            </w:r>
          </w:p>
        </w:tc>
        <w:tc>
          <w:tcPr>
            <w:tcW w:w="295" w:type="pct"/>
            <w:tcBorders>
              <w:top w:val="nil"/>
              <w:left w:val="nil"/>
              <w:bottom w:val="single" w:sz="4" w:space="0" w:color="auto"/>
              <w:right w:val="single" w:sz="4" w:space="0" w:color="auto"/>
            </w:tcBorders>
            <w:shd w:val="clear" w:color="000000" w:fill="FFFFFF"/>
            <w:vAlign w:val="center"/>
            <w:hideMark/>
          </w:tcPr>
          <w:p w14:paraId="341CD9E7" w14:textId="77777777" w:rsidR="005A043A" w:rsidRPr="00214F41" w:rsidRDefault="005A043A" w:rsidP="00286762">
            <w:pPr>
              <w:jc w:val="center"/>
              <w:rPr>
                <w:sz w:val="18"/>
                <w:szCs w:val="18"/>
              </w:rPr>
            </w:pPr>
            <w:r w:rsidRPr="00214F41">
              <w:rPr>
                <w:sz w:val="18"/>
                <w:szCs w:val="18"/>
              </w:rPr>
              <w:t>0/46</w:t>
            </w:r>
          </w:p>
        </w:tc>
        <w:tc>
          <w:tcPr>
            <w:tcW w:w="718" w:type="pct"/>
            <w:tcBorders>
              <w:top w:val="nil"/>
              <w:left w:val="nil"/>
              <w:bottom w:val="single" w:sz="4" w:space="0" w:color="auto"/>
              <w:right w:val="single" w:sz="4" w:space="0" w:color="auto"/>
            </w:tcBorders>
            <w:shd w:val="clear" w:color="000000" w:fill="FFFFFF"/>
            <w:vAlign w:val="center"/>
            <w:hideMark/>
          </w:tcPr>
          <w:p w14:paraId="51E03514"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1612904" w14:textId="77777777" w:rsidR="005A043A" w:rsidRPr="00214F41" w:rsidRDefault="005A043A" w:rsidP="00286762">
            <w:pPr>
              <w:jc w:val="center"/>
              <w:rPr>
                <w:sz w:val="18"/>
                <w:szCs w:val="18"/>
              </w:rPr>
            </w:pPr>
            <w:r w:rsidRPr="00214F41">
              <w:rPr>
                <w:sz w:val="18"/>
                <w:szCs w:val="18"/>
              </w:rPr>
              <w:t>1|47</w:t>
            </w:r>
          </w:p>
        </w:tc>
        <w:tc>
          <w:tcPr>
            <w:tcW w:w="282" w:type="pct"/>
            <w:tcBorders>
              <w:top w:val="nil"/>
              <w:left w:val="nil"/>
              <w:bottom w:val="single" w:sz="4" w:space="0" w:color="auto"/>
              <w:right w:val="single" w:sz="4" w:space="0" w:color="auto"/>
            </w:tcBorders>
            <w:shd w:val="clear" w:color="000000" w:fill="FFFFFF"/>
            <w:vAlign w:val="center"/>
            <w:hideMark/>
          </w:tcPr>
          <w:p w14:paraId="276F55BF" w14:textId="77777777" w:rsidR="005A043A" w:rsidRPr="00214F41" w:rsidRDefault="005A043A" w:rsidP="00286762">
            <w:pPr>
              <w:jc w:val="center"/>
              <w:rPr>
                <w:sz w:val="18"/>
                <w:szCs w:val="18"/>
              </w:rPr>
            </w:pPr>
            <w:r w:rsidRPr="00214F41">
              <w:rPr>
                <w:sz w:val="18"/>
                <w:szCs w:val="18"/>
              </w:rPr>
              <w:t>0/46</w:t>
            </w:r>
          </w:p>
        </w:tc>
        <w:tc>
          <w:tcPr>
            <w:tcW w:w="282" w:type="pct"/>
            <w:tcBorders>
              <w:top w:val="nil"/>
              <w:left w:val="nil"/>
              <w:bottom w:val="single" w:sz="4" w:space="0" w:color="auto"/>
              <w:right w:val="single" w:sz="4" w:space="0" w:color="auto"/>
            </w:tcBorders>
            <w:shd w:val="clear" w:color="000000" w:fill="FFFFFF"/>
            <w:vAlign w:val="center"/>
            <w:hideMark/>
          </w:tcPr>
          <w:p w14:paraId="75394B50" w14:textId="77777777" w:rsidR="005A043A" w:rsidRPr="00214F41" w:rsidRDefault="005A043A" w:rsidP="00286762">
            <w:pPr>
              <w:jc w:val="center"/>
              <w:rPr>
                <w:sz w:val="18"/>
                <w:szCs w:val="18"/>
              </w:rPr>
            </w:pPr>
            <w:r w:rsidRPr="00214F41">
              <w:rPr>
                <w:sz w:val="18"/>
                <w:szCs w:val="18"/>
              </w:rPr>
              <w:t>sty.47</w:t>
            </w:r>
          </w:p>
        </w:tc>
        <w:tc>
          <w:tcPr>
            <w:tcW w:w="282" w:type="pct"/>
            <w:tcBorders>
              <w:top w:val="nil"/>
              <w:left w:val="nil"/>
              <w:bottom w:val="single" w:sz="4" w:space="0" w:color="auto"/>
              <w:right w:val="single" w:sz="4" w:space="0" w:color="auto"/>
            </w:tcBorders>
            <w:shd w:val="clear" w:color="000000" w:fill="FFFFFF"/>
            <w:vAlign w:val="center"/>
            <w:hideMark/>
          </w:tcPr>
          <w:p w14:paraId="320B2E7B" w14:textId="77777777" w:rsidR="005A043A" w:rsidRPr="00214F41" w:rsidRDefault="005A043A" w:rsidP="00286762">
            <w:pPr>
              <w:jc w:val="center"/>
              <w:rPr>
                <w:sz w:val="18"/>
                <w:szCs w:val="18"/>
              </w:rPr>
            </w:pPr>
            <w:r w:rsidRPr="00214F41">
              <w:rPr>
                <w:sz w:val="18"/>
                <w:szCs w:val="18"/>
              </w:rPr>
              <w:t>0/46</w:t>
            </w:r>
          </w:p>
        </w:tc>
        <w:tc>
          <w:tcPr>
            <w:tcW w:w="278" w:type="pct"/>
            <w:tcBorders>
              <w:top w:val="nil"/>
              <w:left w:val="nil"/>
              <w:bottom w:val="single" w:sz="4" w:space="0" w:color="auto"/>
              <w:right w:val="single" w:sz="4" w:space="0" w:color="auto"/>
            </w:tcBorders>
            <w:shd w:val="clear" w:color="000000" w:fill="FFFFFF"/>
            <w:vAlign w:val="center"/>
            <w:hideMark/>
          </w:tcPr>
          <w:p w14:paraId="7202E63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447D64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02F34DA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4AF7225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5ED2433" w14:textId="77777777" w:rsidR="005A043A" w:rsidRPr="00214F41" w:rsidRDefault="005A043A" w:rsidP="00286762">
            <w:pPr>
              <w:jc w:val="center"/>
              <w:rPr>
                <w:sz w:val="18"/>
                <w:szCs w:val="18"/>
              </w:rPr>
            </w:pPr>
            <w:r w:rsidRPr="00214F41">
              <w:rPr>
                <w:sz w:val="18"/>
                <w:szCs w:val="18"/>
              </w:rPr>
              <w:t>1|47</w:t>
            </w:r>
          </w:p>
        </w:tc>
        <w:tc>
          <w:tcPr>
            <w:tcW w:w="279" w:type="pct"/>
            <w:tcBorders>
              <w:top w:val="nil"/>
              <w:left w:val="nil"/>
              <w:bottom w:val="single" w:sz="4" w:space="0" w:color="auto"/>
              <w:right w:val="single" w:sz="4" w:space="0" w:color="auto"/>
            </w:tcBorders>
            <w:shd w:val="clear" w:color="000000" w:fill="FFFFFF"/>
            <w:vAlign w:val="center"/>
            <w:hideMark/>
          </w:tcPr>
          <w:p w14:paraId="759272AB" w14:textId="77777777" w:rsidR="005A043A" w:rsidRPr="00214F41" w:rsidRDefault="005A043A" w:rsidP="00286762">
            <w:pPr>
              <w:jc w:val="center"/>
              <w:rPr>
                <w:sz w:val="18"/>
                <w:szCs w:val="18"/>
              </w:rPr>
            </w:pPr>
            <w:r w:rsidRPr="00214F41">
              <w:rPr>
                <w:sz w:val="18"/>
                <w:szCs w:val="18"/>
              </w:rPr>
              <w:t>0/46</w:t>
            </w:r>
          </w:p>
        </w:tc>
        <w:tc>
          <w:tcPr>
            <w:tcW w:w="279" w:type="pct"/>
            <w:tcBorders>
              <w:top w:val="nil"/>
              <w:left w:val="nil"/>
              <w:bottom w:val="single" w:sz="4" w:space="0" w:color="auto"/>
              <w:right w:val="single" w:sz="4" w:space="0" w:color="auto"/>
            </w:tcBorders>
            <w:shd w:val="clear" w:color="000000" w:fill="FFFFFF"/>
            <w:vAlign w:val="center"/>
            <w:hideMark/>
          </w:tcPr>
          <w:p w14:paraId="0E46088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FC1E70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11B19FB" w14:textId="77777777" w:rsidTr="00286762">
        <w:trPr>
          <w:trHeight w:val="56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5B242C3F" w14:textId="77777777" w:rsidR="005A043A" w:rsidRPr="00214F41" w:rsidRDefault="005A043A" w:rsidP="00286762">
            <w:pPr>
              <w:jc w:val="center"/>
              <w:rPr>
                <w:sz w:val="18"/>
                <w:szCs w:val="18"/>
              </w:rPr>
            </w:pPr>
            <w:r w:rsidRPr="00214F41">
              <w:rPr>
                <w:sz w:val="18"/>
                <w:szCs w:val="18"/>
              </w:rPr>
              <w:t>Matthews et al., 2019</w:t>
            </w:r>
          </w:p>
        </w:tc>
        <w:tc>
          <w:tcPr>
            <w:tcW w:w="318" w:type="pct"/>
            <w:tcBorders>
              <w:top w:val="nil"/>
              <w:left w:val="nil"/>
              <w:bottom w:val="single" w:sz="4" w:space="0" w:color="auto"/>
              <w:right w:val="single" w:sz="4" w:space="0" w:color="auto"/>
            </w:tcBorders>
            <w:shd w:val="clear" w:color="000000" w:fill="FFFFFF"/>
            <w:vAlign w:val="center"/>
            <w:hideMark/>
          </w:tcPr>
          <w:p w14:paraId="15C240CF" w14:textId="77777777" w:rsidR="005A043A" w:rsidRPr="00214F41" w:rsidRDefault="005A043A" w:rsidP="00286762">
            <w:pPr>
              <w:jc w:val="center"/>
              <w:rPr>
                <w:sz w:val="18"/>
                <w:szCs w:val="18"/>
              </w:rPr>
            </w:pPr>
            <w:r w:rsidRPr="00214F41">
              <w:rPr>
                <w:sz w:val="18"/>
                <w:szCs w:val="18"/>
              </w:rPr>
              <w:t>44/1003</w:t>
            </w:r>
          </w:p>
        </w:tc>
        <w:tc>
          <w:tcPr>
            <w:tcW w:w="295" w:type="pct"/>
            <w:tcBorders>
              <w:top w:val="nil"/>
              <w:left w:val="nil"/>
              <w:bottom w:val="single" w:sz="4" w:space="0" w:color="auto"/>
              <w:right w:val="single" w:sz="4" w:space="0" w:color="auto"/>
            </w:tcBorders>
            <w:shd w:val="clear" w:color="000000" w:fill="FFFFFF"/>
            <w:vAlign w:val="center"/>
            <w:hideMark/>
          </w:tcPr>
          <w:p w14:paraId="583D0975" w14:textId="77777777" w:rsidR="005A043A" w:rsidRPr="00214F41" w:rsidRDefault="005A043A" w:rsidP="00286762">
            <w:pPr>
              <w:jc w:val="center"/>
              <w:rPr>
                <w:sz w:val="18"/>
                <w:szCs w:val="18"/>
              </w:rPr>
            </w:pPr>
            <w:r w:rsidRPr="00214F41">
              <w:rPr>
                <w:sz w:val="18"/>
                <w:szCs w:val="18"/>
              </w:rPr>
              <w:t>28/998</w:t>
            </w:r>
          </w:p>
        </w:tc>
        <w:tc>
          <w:tcPr>
            <w:tcW w:w="718" w:type="pct"/>
            <w:tcBorders>
              <w:top w:val="nil"/>
              <w:left w:val="nil"/>
              <w:bottom w:val="single" w:sz="4" w:space="0" w:color="auto"/>
              <w:right w:val="single" w:sz="4" w:space="0" w:color="auto"/>
            </w:tcBorders>
            <w:shd w:val="clear" w:color="000000" w:fill="FFFFFF"/>
            <w:vAlign w:val="center"/>
            <w:hideMark/>
          </w:tcPr>
          <w:p w14:paraId="38A0B98D"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8FB2D38" w14:textId="77777777" w:rsidR="005A043A" w:rsidRPr="00214F41" w:rsidRDefault="005A043A" w:rsidP="00286762">
            <w:pPr>
              <w:jc w:val="center"/>
              <w:rPr>
                <w:sz w:val="18"/>
                <w:szCs w:val="18"/>
              </w:rPr>
            </w:pPr>
            <w:r w:rsidRPr="00214F41">
              <w:rPr>
                <w:sz w:val="18"/>
                <w:szCs w:val="18"/>
              </w:rPr>
              <w:t>31/1001</w:t>
            </w:r>
          </w:p>
        </w:tc>
        <w:tc>
          <w:tcPr>
            <w:tcW w:w="282" w:type="pct"/>
            <w:tcBorders>
              <w:top w:val="nil"/>
              <w:left w:val="nil"/>
              <w:bottom w:val="single" w:sz="4" w:space="0" w:color="auto"/>
              <w:right w:val="single" w:sz="4" w:space="0" w:color="auto"/>
            </w:tcBorders>
            <w:shd w:val="clear" w:color="000000" w:fill="FFFFFF"/>
            <w:vAlign w:val="center"/>
            <w:hideMark/>
          </w:tcPr>
          <w:p w14:paraId="27026C67" w14:textId="77777777" w:rsidR="005A043A" w:rsidRPr="00214F41" w:rsidRDefault="005A043A" w:rsidP="00286762">
            <w:pPr>
              <w:jc w:val="center"/>
              <w:rPr>
                <w:sz w:val="18"/>
                <w:szCs w:val="18"/>
              </w:rPr>
            </w:pPr>
            <w:r w:rsidRPr="00214F41">
              <w:rPr>
                <w:sz w:val="18"/>
                <w:szCs w:val="18"/>
              </w:rPr>
              <w:t>37/998</w:t>
            </w:r>
          </w:p>
        </w:tc>
        <w:tc>
          <w:tcPr>
            <w:tcW w:w="282" w:type="pct"/>
            <w:tcBorders>
              <w:top w:val="nil"/>
              <w:left w:val="nil"/>
              <w:bottom w:val="single" w:sz="4" w:space="0" w:color="auto"/>
              <w:right w:val="single" w:sz="4" w:space="0" w:color="auto"/>
            </w:tcBorders>
            <w:shd w:val="clear" w:color="000000" w:fill="FFFFFF"/>
            <w:vAlign w:val="center"/>
            <w:hideMark/>
          </w:tcPr>
          <w:p w14:paraId="23056198" w14:textId="77777777" w:rsidR="005A043A" w:rsidRPr="00214F41" w:rsidRDefault="005A043A" w:rsidP="00286762">
            <w:pPr>
              <w:jc w:val="center"/>
              <w:rPr>
                <w:sz w:val="18"/>
                <w:szCs w:val="18"/>
              </w:rPr>
            </w:pPr>
            <w:r w:rsidRPr="00214F41">
              <w:rPr>
                <w:sz w:val="18"/>
                <w:szCs w:val="18"/>
              </w:rPr>
              <w:t>104/1001</w:t>
            </w:r>
          </w:p>
        </w:tc>
        <w:tc>
          <w:tcPr>
            <w:tcW w:w="282" w:type="pct"/>
            <w:tcBorders>
              <w:top w:val="nil"/>
              <w:left w:val="nil"/>
              <w:bottom w:val="single" w:sz="4" w:space="0" w:color="auto"/>
              <w:right w:val="single" w:sz="4" w:space="0" w:color="auto"/>
            </w:tcBorders>
            <w:shd w:val="clear" w:color="000000" w:fill="FFFFFF"/>
            <w:vAlign w:val="center"/>
            <w:hideMark/>
          </w:tcPr>
          <w:p w14:paraId="207DC436" w14:textId="77777777" w:rsidR="005A043A" w:rsidRPr="00214F41" w:rsidRDefault="005A043A" w:rsidP="00286762">
            <w:pPr>
              <w:jc w:val="center"/>
              <w:rPr>
                <w:sz w:val="18"/>
                <w:szCs w:val="18"/>
              </w:rPr>
            </w:pPr>
            <w:r w:rsidRPr="00214F41">
              <w:rPr>
                <w:sz w:val="18"/>
                <w:szCs w:val="18"/>
              </w:rPr>
              <w:t>105/998</w:t>
            </w:r>
          </w:p>
        </w:tc>
        <w:tc>
          <w:tcPr>
            <w:tcW w:w="278" w:type="pct"/>
            <w:tcBorders>
              <w:top w:val="nil"/>
              <w:left w:val="nil"/>
              <w:bottom w:val="single" w:sz="4" w:space="0" w:color="auto"/>
              <w:right w:val="single" w:sz="4" w:space="0" w:color="auto"/>
            </w:tcBorders>
            <w:shd w:val="clear" w:color="000000" w:fill="FFFFFF"/>
            <w:vAlign w:val="center"/>
            <w:hideMark/>
          </w:tcPr>
          <w:p w14:paraId="13DD03BE" w14:textId="77777777" w:rsidR="005A043A" w:rsidRPr="00214F41" w:rsidRDefault="005A043A" w:rsidP="00286762">
            <w:pPr>
              <w:jc w:val="center"/>
              <w:rPr>
                <w:sz w:val="18"/>
                <w:szCs w:val="18"/>
              </w:rPr>
            </w:pPr>
            <w:r w:rsidRPr="00214F41">
              <w:rPr>
                <w:sz w:val="18"/>
                <w:szCs w:val="18"/>
              </w:rPr>
              <w:t>0/1001</w:t>
            </w:r>
          </w:p>
        </w:tc>
        <w:tc>
          <w:tcPr>
            <w:tcW w:w="280" w:type="pct"/>
            <w:tcBorders>
              <w:top w:val="nil"/>
              <w:left w:val="nil"/>
              <w:bottom w:val="single" w:sz="4" w:space="0" w:color="auto"/>
              <w:right w:val="single" w:sz="4" w:space="0" w:color="auto"/>
            </w:tcBorders>
            <w:shd w:val="clear" w:color="000000" w:fill="FFFFFF"/>
            <w:vAlign w:val="center"/>
            <w:hideMark/>
          </w:tcPr>
          <w:p w14:paraId="20E54560" w14:textId="77777777" w:rsidR="005A043A" w:rsidRPr="00214F41" w:rsidRDefault="005A043A" w:rsidP="00286762">
            <w:pPr>
              <w:jc w:val="center"/>
              <w:rPr>
                <w:sz w:val="18"/>
                <w:szCs w:val="18"/>
              </w:rPr>
            </w:pPr>
            <w:r w:rsidRPr="00214F41">
              <w:rPr>
                <w:sz w:val="18"/>
                <w:szCs w:val="18"/>
              </w:rPr>
              <w:t>1/998</w:t>
            </w:r>
          </w:p>
        </w:tc>
        <w:tc>
          <w:tcPr>
            <w:tcW w:w="278" w:type="pct"/>
            <w:tcBorders>
              <w:top w:val="nil"/>
              <w:left w:val="nil"/>
              <w:bottom w:val="single" w:sz="4" w:space="0" w:color="auto"/>
              <w:right w:val="single" w:sz="4" w:space="0" w:color="auto"/>
            </w:tcBorders>
            <w:shd w:val="clear" w:color="000000" w:fill="FFFFFF"/>
            <w:vAlign w:val="center"/>
            <w:hideMark/>
          </w:tcPr>
          <w:p w14:paraId="16A333F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E0C63A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C57622C" w14:textId="77777777" w:rsidR="005A043A" w:rsidRPr="00214F41" w:rsidRDefault="005A043A" w:rsidP="00286762">
            <w:pPr>
              <w:jc w:val="center"/>
              <w:rPr>
                <w:sz w:val="18"/>
                <w:szCs w:val="18"/>
              </w:rPr>
            </w:pPr>
            <w:r w:rsidRPr="00214F41">
              <w:rPr>
                <w:sz w:val="18"/>
                <w:szCs w:val="18"/>
              </w:rPr>
              <w:t>20/1001</w:t>
            </w:r>
          </w:p>
        </w:tc>
        <w:tc>
          <w:tcPr>
            <w:tcW w:w="279" w:type="pct"/>
            <w:tcBorders>
              <w:top w:val="nil"/>
              <w:left w:val="nil"/>
              <w:bottom w:val="single" w:sz="4" w:space="0" w:color="auto"/>
              <w:right w:val="single" w:sz="4" w:space="0" w:color="auto"/>
            </w:tcBorders>
            <w:shd w:val="clear" w:color="000000" w:fill="FFFFFF"/>
            <w:vAlign w:val="center"/>
            <w:hideMark/>
          </w:tcPr>
          <w:p w14:paraId="0F5DF26D" w14:textId="77777777" w:rsidR="005A043A" w:rsidRPr="00214F41" w:rsidRDefault="005A043A" w:rsidP="00286762">
            <w:pPr>
              <w:jc w:val="center"/>
              <w:rPr>
                <w:sz w:val="18"/>
                <w:szCs w:val="18"/>
              </w:rPr>
            </w:pPr>
            <w:r w:rsidRPr="00214F41">
              <w:rPr>
                <w:sz w:val="18"/>
                <w:szCs w:val="18"/>
              </w:rPr>
              <w:t>30/998</w:t>
            </w:r>
          </w:p>
        </w:tc>
        <w:tc>
          <w:tcPr>
            <w:tcW w:w="279" w:type="pct"/>
            <w:tcBorders>
              <w:top w:val="nil"/>
              <w:left w:val="nil"/>
              <w:bottom w:val="single" w:sz="4" w:space="0" w:color="auto"/>
              <w:right w:val="single" w:sz="4" w:space="0" w:color="auto"/>
            </w:tcBorders>
            <w:shd w:val="clear" w:color="000000" w:fill="FFFFFF"/>
            <w:vAlign w:val="center"/>
            <w:hideMark/>
          </w:tcPr>
          <w:p w14:paraId="2229FB2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F95639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B0FEA9D" w14:textId="77777777" w:rsidTr="00286762">
        <w:trPr>
          <w:trHeight w:val="40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7C0A8DE" w14:textId="77777777" w:rsidR="005A043A" w:rsidRPr="00214F41" w:rsidRDefault="005A043A" w:rsidP="00286762">
            <w:pPr>
              <w:jc w:val="center"/>
              <w:rPr>
                <w:sz w:val="18"/>
                <w:szCs w:val="18"/>
              </w:rPr>
            </w:pPr>
            <w:r w:rsidRPr="00214F41">
              <w:rPr>
                <w:sz w:val="18"/>
                <w:szCs w:val="18"/>
              </w:rPr>
              <w:lastRenderedPageBreak/>
              <w:t>Oh et al., 2019</w:t>
            </w:r>
          </w:p>
        </w:tc>
        <w:tc>
          <w:tcPr>
            <w:tcW w:w="318" w:type="pct"/>
            <w:tcBorders>
              <w:top w:val="nil"/>
              <w:left w:val="nil"/>
              <w:bottom w:val="single" w:sz="4" w:space="0" w:color="auto"/>
              <w:right w:val="single" w:sz="4" w:space="0" w:color="auto"/>
            </w:tcBorders>
            <w:shd w:val="clear" w:color="000000" w:fill="FFFFFF"/>
            <w:vAlign w:val="center"/>
            <w:hideMark/>
          </w:tcPr>
          <w:p w14:paraId="651B420F" w14:textId="77777777" w:rsidR="005A043A" w:rsidRPr="00214F41" w:rsidRDefault="005A043A" w:rsidP="00286762">
            <w:pPr>
              <w:jc w:val="center"/>
              <w:rPr>
                <w:sz w:val="18"/>
                <w:szCs w:val="18"/>
              </w:rPr>
            </w:pPr>
            <w:r w:rsidRPr="00214F41">
              <w:rPr>
                <w:sz w:val="18"/>
                <w:szCs w:val="18"/>
              </w:rPr>
              <w:t>mar.92</w:t>
            </w:r>
          </w:p>
        </w:tc>
        <w:tc>
          <w:tcPr>
            <w:tcW w:w="295" w:type="pct"/>
            <w:tcBorders>
              <w:top w:val="nil"/>
              <w:left w:val="nil"/>
              <w:bottom w:val="single" w:sz="4" w:space="0" w:color="auto"/>
              <w:right w:val="single" w:sz="4" w:space="0" w:color="auto"/>
            </w:tcBorders>
            <w:shd w:val="clear" w:color="000000" w:fill="FFFFFF"/>
            <w:vAlign w:val="center"/>
            <w:hideMark/>
          </w:tcPr>
          <w:p w14:paraId="61C22B7D" w14:textId="77777777" w:rsidR="005A043A" w:rsidRPr="00214F41" w:rsidRDefault="005A043A" w:rsidP="00286762">
            <w:pPr>
              <w:jc w:val="center"/>
              <w:rPr>
                <w:sz w:val="18"/>
                <w:szCs w:val="18"/>
              </w:rPr>
            </w:pPr>
            <w:r w:rsidRPr="00214F41">
              <w:rPr>
                <w:sz w:val="18"/>
                <w:szCs w:val="18"/>
              </w:rPr>
              <w:t>4|95</w:t>
            </w:r>
          </w:p>
        </w:tc>
        <w:tc>
          <w:tcPr>
            <w:tcW w:w="718" w:type="pct"/>
            <w:tcBorders>
              <w:top w:val="nil"/>
              <w:left w:val="nil"/>
              <w:bottom w:val="single" w:sz="4" w:space="0" w:color="auto"/>
              <w:right w:val="single" w:sz="4" w:space="0" w:color="auto"/>
            </w:tcBorders>
            <w:shd w:val="clear" w:color="000000" w:fill="FFFFFF"/>
            <w:vAlign w:val="center"/>
            <w:hideMark/>
          </w:tcPr>
          <w:p w14:paraId="710B45C8"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880EEA9" w14:textId="77777777" w:rsidR="005A043A" w:rsidRPr="00214F41" w:rsidRDefault="005A043A" w:rsidP="00286762">
            <w:pPr>
              <w:jc w:val="center"/>
              <w:rPr>
                <w:sz w:val="18"/>
                <w:szCs w:val="18"/>
              </w:rPr>
            </w:pPr>
            <w:r w:rsidRPr="00214F41">
              <w:rPr>
                <w:sz w:val="18"/>
                <w:szCs w:val="18"/>
              </w:rPr>
              <w:t>6|84</w:t>
            </w:r>
          </w:p>
        </w:tc>
        <w:tc>
          <w:tcPr>
            <w:tcW w:w="282" w:type="pct"/>
            <w:tcBorders>
              <w:top w:val="nil"/>
              <w:left w:val="nil"/>
              <w:bottom w:val="single" w:sz="4" w:space="0" w:color="auto"/>
              <w:right w:val="single" w:sz="4" w:space="0" w:color="auto"/>
            </w:tcBorders>
            <w:shd w:val="clear" w:color="000000" w:fill="FFFFFF"/>
            <w:vAlign w:val="center"/>
            <w:hideMark/>
          </w:tcPr>
          <w:p w14:paraId="65509D89" w14:textId="77777777" w:rsidR="005A043A" w:rsidRPr="00214F41" w:rsidRDefault="005A043A" w:rsidP="00286762">
            <w:pPr>
              <w:jc w:val="center"/>
              <w:rPr>
                <w:sz w:val="18"/>
                <w:szCs w:val="18"/>
              </w:rPr>
            </w:pPr>
            <w:r w:rsidRPr="00214F41">
              <w:rPr>
                <w:sz w:val="18"/>
                <w:szCs w:val="18"/>
              </w:rPr>
              <w:t>3|88</w:t>
            </w:r>
          </w:p>
        </w:tc>
        <w:tc>
          <w:tcPr>
            <w:tcW w:w="282" w:type="pct"/>
            <w:tcBorders>
              <w:top w:val="nil"/>
              <w:left w:val="nil"/>
              <w:bottom w:val="single" w:sz="4" w:space="0" w:color="auto"/>
              <w:right w:val="single" w:sz="4" w:space="0" w:color="auto"/>
            </w:tcBorders>
            <w:shd w:val="clear" w:color="000000" w:fill="FFFFFF"/>
            <w:vAlign w:val="center"/>
            <w:hideMark/>
          </w:tcPr>
          <w:p w14:paraId="60B8904C" w14:textId="77777777" w:rsidR="005A043A" w:rsidRPr="00214F41" w:rsidRDefault="005A043A" w:rsidP="00286762">
            <w:pPr>
              <w:jc w:val="center"/>
              <w:rPr>
                <w:sz w:val="18"/>
                <w:szCs w:val="18"/>
              </w:rPr>
            </w:pPr>
            <w:r w:rsidRPr="00214F41">
              <w:rPr>
                <w:sz w:val="18"/>
                <w:szCs w:val="18"/>
              </w:rPr>
              <w:t>37/84</w:t>
            </w:r>
          </w:p>
        </w:tc>
        <w:tc>
          <w:tcPr>
            <w:tcW w:w="282" w:type="pct"/>
            <w:tcBorders>
              <w:top w:val="nil"/>
              <w:left w:val="nil"/>
              <w:bottom w:val="single" w:sz="4" w:space="0" w:color="auto"/>
              <w:right w:val="single" w:sz="4" w:space="0" w:color="auto"/>
            </w:tcBorders>
            <w:shd w:val="clear" w:color="000000" w:fill="FFFFFF"/>
            <w:vAlign w:val="center"/>
            <w:hideMark/>
          </w:tcPr>
          <w:p w14:paraId="2384934B" w14:textId="77777777" w:rsidR="005A043A" w:rsidRPr="00214F41" w:rsidRDefault="005A043A" w:rsidP="00286762">
            <w:pPr>
              <w:jc w:val="center"/>
              <w:rPr>
                <w:sz w:val="18"/>
                <w:szCs w:val="18"/>
              </w:rPr>
            </w:pPr>
            <w:r w:rsidRPr="00214F41">
              <w:rPr>
                <w:sz w:val="18"/>
                <w:szCs w:val="18"/>
              </w:rPr>
              <w:t>17/88</w:t>
            </w:r>
          </w:p>
        </w:tc>
        <w:tc>
          <w:tcPr>
            <w:tcW w:w="278" w:type="pct"/>
            <w:tcBorders>
              <w:top w:val="nil"/>
              <w:left w:val="nil"/>
              <w:bottom w:val="single" w:sz="4" w:space="0" w:color="auto"/>
              <w:right w:val="single" w:sz="4" w:space="0" w:color="auto"/>
            </w:tcBorders>
            <w:shd w:val="clear" w:color="000000" w:fill="FFFFFF"/>
            <w:vAlign w:val="center"/>
            <w:hideMark/>
          </w:tcPr>
          <w:p w14:paraId="30137C5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696C6A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114F46AA" w14:textId="77777777" w:rsidR="005A043A" w:rsidRPr="00214F41" w:rsidRDefault="005A043A" w:rsidP="00286762">
            <w:pPr>
              <w:jc w:val="center"/>
              <w:rPr>
                <w:sz w:val="18"/>
                <w:szCs w:val="18"/>
              </w:rPr>
            </w:pPr>
            <w:r w:rsidRPr="00214F41">
              <w:rPr>
                <w:sz w:val="18"/>
                <w:szCs w:val="18"/>
              </w:rPr>
              <w:t>0/84</w:t>
            </w:r>
          </w:p>
        </w:tc>
        <w:tc>
          <w:tcPr>
            <w:tcW w:w="280" w:type="pct"/>
            <w:tcBorders>
              <w:top w:val="nil"/>
              <w:left w:val="nil"/>
              <w:bottom w:val="single" w:sz="4" w:space="0" w:color="auto"/>
              <w:right w:val="single" w:sz="4" w:space="0" w:color="auto"/>
            </w:tcBorders>
            <w:shd w:val="clear" w:color="000000" w:fill="FFFFFF"/>
            <w:vAlign w:val="center"/>
            <w:hideMark/>
          </w:tcPr>
          <w:p w14:paraId="2956AD85" w14:textId="77777777" w:rsidR="005A043A" w:rsidRPr="00214F41" w:rsidRDefault="005A043A" w:rsidP="00286762">
            <w:pPr>
              <w:jc w:val="center"/>
              <w:rPr>
                <w:sz w:val="18"/>
                <w:szCs w:val="18"/>
              </w:rPr>
            </w:pPr>
            <w:r w:rsidRPr="00214F41">
              <w:rPr>
                <w:sz w:val="18"/>
                <w:szCs w:val="18"/>
              </w:rPr>
              <w:t>1|88</w:t>
            </w:r>
          </w:p>
        </w:tc>
        <w:tc>
          <w:tcPr>
            <w:tcW w:w="282" w:type="pct"/>
            <w:tcBorders>
              <w:top w:val="nil"/>
              <w:left w:val="nil"/>
              <w:bottom w:val="single" w:sz="4" w:space="0" w:color="auto"/>
              <w:right w:val="single" w:sz="4" w:space="0" w:color="auto"/>
            </w:tcBorders>
            <w:shd w:val="clear" w:color="000000" w:fill="FFFFFF"/>
            <w:vAlign w:val="center"/>
            <w:hideMark/>
          </w:tcPr>
          <w:p w14:paraId="7D4B7EE9" w14:textId="77777777" w:rsidR="005A043A" w:rsidRPr="00214F41" w:rsidRDefault="005A043A" w:rsidP="00286762">
            <w:pPr>
              <w:jc w:val="center"/>
              <w:rPr>
                <w:sz w:val="18"/>
                <w:szCs w:val="18"/>
              </w:rPr>
            </w:pPr>
            <w:r w:rsidRPr="00214F41">
              <w:rPr>
                <w:sz w:val="18"/>
                <w:szCs w:val="18"/>
              </w:rPr>
              <w:t>14/84</w:t>
            </w:r>
          </w:p>
        </w:tc>
        <w:tc>
          <w:tcPr>
            <w:tcW w:w="279" w:type="pct"/>
            <w:tcBorders>
              <w:top w:val="nil"/>
              <w:left w:val="nil"/>
              <w:bottom w:val="single" w:sz="4" w:space="0" w:color="auto"/>
              <w:right w:val="single" w:sz="4" w:space="0" w:color="auto"/>
            </w:tcBorders>
            <w:shd w:val="clear" w:color="000000" w:fill="FFFFFF"/>
            <w:vAlign w:val="center"/>
            <w:hideMark/>
          </w:tcPr>
          <w:p w14:paraId="5450A84E" w14:textId="77777777" w:rsidR="005A043A" w:rsidRPr="00214F41" w:rsidRDefault="005A043A" w:rsidP="00286762">
            <w:pPr>
              <w:jc w:val="center"/>
              <w:rPr>
                <w:sz w:val="18"/>
                <w:szCs w:val="18"/>
              </w:rPr>
            </w:pPr>
            <w:r w:rsidRPr="00214F41">
              <w:rPr>
                <w:sz w:val="18"/>
                <w:szCs w:val="18"/>
              </w:rPr>
              <w:t>9|88</w:t>
            </w:r>
          </w:p>
        </w:tc>
        <w:tc>
          <w:tcPr>
            <w:tcW w:w="279" w:type="pct"/>
            <w:tcBorders>
              <w:top w:val="nil"/>
              <w:left w:val="nil"/>
              <w:bottom w:val="single" w:sz="4" w:space="0" w:color="auto"/>
              <w:right w:val="single" w:sz="4" w:space="0" w:color="auto"/>
            </w:tcBorders>
            <w:shd w:val="clear" w:color="000000" w:fill="FFFFFF"/>
            <w:vAlign w:val="center"/>
            <w:hideMark/>
          </w:tcPr>
          <w:p w14:paraId="35559553" w14:textId="77777777" w:rsidR="005A043A" w:rsidRPr="00214F41" w:rsidRDefault="005A043A" w:rsidP="00286762">
            <w:pPr>
              <w:jc w:val="center"/>
              <w:rPr>
                <w:sz w:val="18"/>
                <w:szCs w:val="18"/>
              </w:rPr>
            </w:pPr>
            <w:r w:rsidRPr="00214F41">
              <w:rPr>
                <w:sz w:val="18"/>
                <w:szCs w:val="18"/>
              </w:rPr>
              <w:t>4|84</w:t>
            </w:r>
          </w:p>
        </w:tc>
        <w:tc>
          <w:tcPr>
            <w:tcW w:w="276" w:type="pct"/>
            <w:tcBorders>
              <w:top w:val="nil"/>
              <w:left w:val="nil"/>
              <w:bottom w:val="single" w:sz="4" w:space="0" w:color="auto"/>
              <w:right w:val="single" w:sz="4" w:space="0" w:color="auto"/>
            </w:tcBorders>
            <w:shd w:val="clear" w:color="000000" w:fill="FFFFFF"/>
            <w:vAlign w:val="center"/>
            <w:hideMark/>
          </w:tcPr>
          <w:p w14:paraId="2F4E5497" w14:textId="77777777" w:rsidR="005A043A" w:rsidRPr="00214F41" w:rsidRDefault="005A043A" w:rsidP="00286762">
            <w:pPr>
              <w:jc w:val="center"/>
              <w:rPr>
                <w:sz w:val="18"/>
                <w:szCs w:val="18"/>
              </w:rPr>
            </w:pPr>
            <w:r w:rsidRPr="00214F41">
              <w:rPr>
                <w:sz w:val="18"/>
                <w:szCs w:val="18"/>
              </w:rPr>
              <w:t>5|88</w:t>
            </w:r>
          </w:p>
        </w:tc>
      </w:tr>
      <w:tr w:rsidR="005A043A" w:rsidRPr="00214F41" w14:paraId="3EB89B51" w14:textId="77777777" w:rsidTr="00286762">
        <w:trPr>
          <w:trHeight w:val="41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5CA866FE" w14:textId="77777777" w:rsidR="005A043A" w:rsidRPr="00214F41" w:rsidRDefault="005A043A" w:rsidP="00286762">
            <w:pPr>
              <w:jc w:val="center"/>
              <w:rPr>
                <w:sz w:val="18"/>
                <w:szCs w:val="18"/>
              </w:rPr>
            </w:pPr>
            <w:proofErr w:type="spellStart"/>
            <w:r w:rsidRPr="00214F41">
              <w:rPr>
                <w:sz w:val="18"/>
                <w:szCs w:val="18"/>
              </w:rPr>
              <w:t>Pavo</w:t>
            </w:r>
            <w:proofErr w:type="spellEnd"/>
            <w:r w:rsidRPr="00214F41">
              <w:rPr>
                <w:sz w:val="18"/>
                <w:szCs w:val="18"/>
              </w:rPr>
              <w:t xml:space="preserve"> et al., 2003</w:t>
            </w:r>
          </w:p>
        </w:tc>
        <w:tc>
          <w:tcPr>
            <w:tcW w:w="318" w:type="pct"/>
            <w:tcBorders>
              <w:top w:val="nil"/>
              <w:left w:val="nil"/>
              <w:bottom w:val="single" w:sz="4" w:space="0" w:color="auto"/>
              <w:right w:val="single" w:sz="4" w:space="0" w:color="auto"/>
            </w:tcBorders>
            <w:shd w:val="clear" w:color="000000" w:fill="FFFFFF"/>
            <w:vAlign w:val="center"/>
            <w:hideMark/>
          </w:tcPr>
          <w:p w14:paraId="43841615" w14:textId="77777777" w:rsidR="005A043A" w:rsidRPr="00214F41" w:rsidRDefault="005A043A" w:rsidP="00286762">
            <w:pPr>
              <w:jc w:val="center"/>
              <w:rPr>
                <w:sz w:val="18"/>
                <w:szCs w:val="18"/>
              </w:rPr>
            </w:pPr>
            <w:r w:rsidRPr="00214F41">
              <w:rPr>
                <w:sz w:val="18"/>
                <w:szCs w:val="18"/>
              </w:rPr>
              <w:t>0/100</w:t>
            </w:r>
          </w:p>
        </w:tc>
        <w:tc>
          <w:tcPr>
            <w:tcW w:w="295" w:type="pct"/>
            <w:tcBorders>
              <w:top w:val="nil"/>
              <w:left w:val="nil"/>
              <w:bottom w:val="single" w:sz="4" w:space="0" w:color="auto"/>
              <w:right w:val="single" w:sz="4" w:space="0" w:color="auto"/>
            </w:tcBorders>
            <w:shd w:val="clear" w:color="000000" w:fill="FFFFFF"/>
            <w:vAlign w:val="center"/>
            <w:hideMark/>
          </w:tcPr>
          <w:p w14:paraId="3D500E7A" w14:textId="77777777" w:rsidR="005A043A" w:rsidRPr="00214F41" w:rsidRDefault="005A043A" w:rsidP="00286762">
            <w:pPr>
              <w:jc w:val="center"/>
              <w:rPr>
                <w:sz w:val="18"/>
                <w:szCs w:val="18"/>
              </w:rPr>
            </w:pPr>
            <w:r w:rsidRPr="00214F41">
              <w:rPr>
                <w:sz w:val="18"/>
                <w:szCs w:val="18"/>
              </w:rPr>
              <w:t>2/105</w:t>
            </w:r>
          </w:p>
        </w:tc>
        <w:tc>
          <w:tcPr>
            <w:tcW w:w="718" w:type="pct"/>
            <w:tcBorders>
              <w:top w:val="nil"/>
              <w:left w:val="nil"/>
              <w:bottom w:val="single" w:sz="4" w:space="0" w:color="auto"/>
              <w:right w:val="single" w:sz="4" w:space="0" w:color="auto"/>
            </w:tcBorders>
            <w:shd w:val="clear" w:color="000000" w:fill="FFFFFF"/>
            <w:vAlign w:val="center"/>
            <w:hideMark/>
          </w:tcPr>
          <w:p w14:paraId="434838E9"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4BC0D4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D560CF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93C7E6D" w14:textId="77777777" w:rsidR="005A043A" w:rsidRPr="00214F41" w:rsidRDefault="005A043A" w:rsidP="00286762">
            <w:pPr>
              <w:jc w:val="center"/>
              <w:rPr>
                <w:sz w:val="18"/>
                <w:szCs w:val="18"/>
              </w:rPr>
            </w:pPr>
            <w:r w:rsidRPr="00214F41">
              <w:rPr>
                <w:sz w:val="18"/>
                <w:szCs w:val="18"/>
              </w:rPr>
              <w:t>16/100</w:t>
            </w:r>
          </w:p>
        </w:tc>
        <w:tc>
          <w:tcPr>
            <w:tcW w:w="282" w:type="pct"/>
            <w:tcBorders>
              <w:top w:val="nil"/>
              <w:left w:val="nil"/>
              <w:bottom w:val="single" w:sz="4" w:space="0" w:color="auto"/>
              <w:right w:val="single" w:sz="4" w:space="0" w:color="auto"/>
            </w:tcBorders>
            <w:shd w:val="clear" w:color="000000" w:fill="FFFFFF"/>
            <w:vAlign w:val="center"/>
            <w:hideMark/>
          </w:tcPr>
          <w:p w14:paraId="50CB1102" w14:textId="77777777" w:rsidR="005A043A" w:rsidRPr="00214F41" w:rsidRDefault="005A043A" w:rsidP="00286762">
            <w:pPr>
              <w:jc w:val="center"/>
              <w:rPr>
                <w:sz w:val="18"/>
                <w:szCs w:val="18"/>
              </w:rPr>
            </w:pPr>
            <w:r w:rsidRPr="00214F41">
              <w:rPr>
                <w:sz w:val="18"/>
                <w:szCs w:val="18"/>
              </w:rPr>
              <w:t>3/105</w:t>
            </w:r>
          </w:p>
        </w:tc>
        <w:tc>
          <w:tcPr>
            <w:tcW w:w="278" w:type="pct"/>
            <w:tcBorders>
              <w:top w:val="nil"/>
              <w:left w:val="nil"/>
              <w:bottom w:val="single" w:sz="4" w:space="0" w:color="auto"/>
              <w:right w:val="single" w:sz="4" w:space="0" w:color="auto"/>
            </w:tcBorders>
            <w:shd w:val="clear" w:color="000000" w:fill="FFFFFF"/>
            <w:vAlign w:val="center"/>
            <w:hideMark/>
          </w:tcPr>
          <w:p w14:paraId="19586BC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02B299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42E6D16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BFC56E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A9F9B4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2814390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2ADC734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663FF57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2E6A2A7B"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B2B3809" w14:textId="77777777" w:rsidR="005A043A" w:rsidRPr="00214F41" w:rsidRDefault="005A043A" w:rsidP="00286762">
            <w:pPr>
              <w:jc w:val="center"/>
              <w:rPr>
                <w:sz w:val="18"/>
                <w:szCs w:val="18"/>
              </w:rPr>
            </w:pPr>
            <w:r w:rsidRPr="00214F41">
              <w:rPr>
                <w:sz w:val="18"/>
                <w:szCs w:val="18"/>
              </w:rPr>
              <w:t>Perez et al., 2009</w:t>
            </w:r>
          </w:p>
        </w:tc>
        <w:tc>
          <w:tcPr>
            <w:tcW w:w="318" w:type="pct"/>
            <w:tcBorders>
              <w:top w:val="nil"/>
              <w:left w:val="nil"/>
              <w:bottom w:val="single" w:sz="4" w:space="0" w:color="auto"/>
              <w:right w:val="single" w:sz="4" w:space="0" w:color="auto"/>
            </w:tcBorders>
            <w:shd w:val="clear" w:color="000000" w:fill="FFFFFF"/>
            <w:vAlign w:val="center"/>
            <w:hideMark/>
          </w:tcPr>
          <w:p w14:paraId="5411814B" w14:textId="77777777" w:rsidR="005A043A" w:rsidRPr="00214F41" w:rsidRDefault="005A043A" w:rsidP="00286762">
            <w:pPr>
              <w:jc w:val="center"/>
              <w:rPr>
                <w:sz w:val="18"/>
                <w:szCs w:val="18"/>
              </w:rPr>
            </w:pPr>
            <w:r w:rsidRPr="00214F41">
              <w:rPr>
                <w:sz w:val="18"/>
                <w:szCs w:val="18"/>
              </w:rPr>
              <w:t>15/209</w:t>
            </w:r>
          </w:p>
        </w:tc>
        <w:tc>
          <w:tcPr>
            <w:tcW w:w="295" w:type="pct"/>
            <w:tcBorders>
              <w:top w:val="nil"/>
              <w:left w:val="nil"/>
              <w:bottom w:val="single" w:sz="4" w:space="0" w:color="auto"/>
              <w:right w:val="single" w:sz="4" w:space="0" w:color="auto"/>
            </w:tcBorders>
            <w:shd w:val="clear" w:color="000000" w:fill="FFFFFF"/>
            <w:vAlign w:val="center"/>
            <w:hideMark/>
          </w:tcPr>
          <w:p w14:paraId="3E99F3C9" w14:textId="77777777" w:rsidR="005A043A" w:rsidRPr="00214F41" w:rsidRDefault="005A043A" w:rsidP="00286762">
            <w:pPr>
              <w:jc w:val="center"/>
              <w:rPr>
                <w:sz w:val="18"/>
                <w:szCs w:val="18"/>
              </w:rPr>
            </w:pPr>
            <w:r w:rsidRPr="00214F41">
              <w:rPr>
                <w:sz w:val="18"/>
                <w:szCs w:val="18"/>
              </w:rPr>
              <w:t>15/190</w:t>
            </w:r>
          </w:p>
        </w:tc>
        <w:tc>
          <w:tcPr>
            <w:tcW w:w="718" w:type="pct"/>
            <w:tcBorders>
              <w:top w:val="nil"/>
              <w:left w:val="nil"/>
              <w:bottom w:val="single" w:sz="4" w:space="0" w:color="auto"/>
              <w:right w:val="single" w:sz="4" w:space="0" w:color="auto"/>
            </w:tcBorders>
            <w:shd w:val="clear" w:color="000000" w:fill="FFFFFF"/>
            <w:vAlign w:val="center"/>
            <w:hideMark/>
          </w:tcPr>
          <w:p w14:paraId="332A422F"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739C895" w14:textId="77777777" w:rsidR="005A043A" w:rsidRPr="00214F41" w:rsidRDefault="005A043A" w:rsidP="00286762">
            <w:pPr>
              <w:jc w:val="center"/>
              <w:rPr>
                <w:sz w:val="18"/>
                <w:szCs w:val="18"/>
              </w:rPr>
            </w:pPr>
            <w:r w:rsidRPr="00214F41">
              <w:rPr>
                <w:sz w:val="18"/>
                <w:szCs w:val="18"/>
              </w:rPr>
              <w:t>7/209</w:t>
            </w:r>
          </w:p>
        </w:tc>
        <w:tc>
          <w:tcPr>
            <w:tcW w:w="282" w:type="pct"/>
            <w:tcBorders>
              <w:top w:val="nil"/>
              <w:left w:val="nil"/>
              <w:bottom w:val="single" w:sz="4" w:space="0" w:color="auto"/>
              <w:right w:val="single" w:sz="4" w:space="0" w:color="auto"/>
            </w:tcBorders>
            <w:shd w:val="clear" w:color="000000" w:fill="FFFFFF"/>
            <w:vAlign w:val="center"/>
            <w:hideMark/>
          </w:tcPr>
          <w:p w14:paraId="7ED0EF37" w14:textId="77777777" w:rsidR="005A043A" w:rsidRPr="00214F41" w:rsidRDefault="005A043A" w:rsidP="00286762">
            <w:pPr>
              <w:jc w:val="center"/>
              <w:rPr>
                <w:sz w:val="18"/>
                <w:szCs w:val="18"/>
              </w:rPr>
            </w:pPr>
            <w:r w:rsidRPr="00214F41">
              <w:rPr>
                <w:sz w:val="18"/>
                <w:szCs w:val="18"/>
              </w:rPr>
              <w:t>3/190</w:t>
            </w:r>
          </w:p>
        </w:tc>
        <w:tc>
          <w:tcPr>
            <w:tcW w:w="282" w:type="pct"/>
            <w:tcBorders>
              <w:top w:val="nil"/>
              <w:left w:val="nil"/>
              <w:bottom w:val="single" w:sz="4" w:space="0" w:color="auto"/>
              <w:right w:val="single" w:sz="4" w:space="0" w:color="auto"/>
            </w:tcBorders>
            <w:shd w:val="clear" w:color="000000" w:fill="FFFFFF"/>
            <w:vAlign w:val="center"/>
            <w:hideMark/>
          </w:tcPr>
          <w:p w14:paraId="3076112F" w14:textId="77777777" w:rsidR="005A043A" w:rsidRPr="00214F41" w:rsidRDefault="005A043A" w:rsidP="00286762">
            <w:pPr>
              <w:jc w:val="center"/>
              <w:rPr>
                <w:sz w:val="18"/>
                <w:szCs w:val="18"/>
              </w:rPr>
            </w:pPr>
            <w:r w:rsidRPr="00214F41">
              <w:rPr>
                <w:sz w:val="18"/>
                <w:szCs w:val="18"/>
              </w:rPr>
              <w:t>32/209</w:t>
            </w:r>
          </w:p>
        </w:tc>
        <w:tc>
          <w:tcPr>
            <w:tcW w:w="282" w:type="pct"/>
            <w:tcBorders>
              <w:top w:val="nil"/>
              <w:left w:val="nil"/>
              <w:bottom w:val="single" w:sz="4" w:space="0" w:color="auto"/>
              <w:right w:val="single" w:sz="4" w:space="0" w:color="auto"/>
            </w:tcBorders>
            <w:shd w:val="clear" w:color="000000" w:fill="FFFFFF"/>
            <w:vAlign w:val="center"/>
            <w:hideMark/>
          </w:tcPr>
          <w:p w14:paraId="3C7E09D2" w14:textId="77777777" w:rsidR="005A043A" w:rsidRPr="00214F41" w:rsidRDefault="005A043A" w:rsidP="00286762">
            <w:pPr>
              <w:jc w:val="center"/>
              <w:rPr>
                <w:sz w:val="18"/>
                <w:szCs w:val="18"/>
              </w:rPr>
            </w:pPr>
            <w:r w:rsidRPr="00214F41">
              <w:rPr>
                <w:sz w:val="18"/>
                <w:szCs w:val="18"/>
              </w:rPr>
              <w:t>5/190</w:t>
            </w:r>
          </w:p>
        </w:tc>
        <w:tc>
          <w:tcPr>
            <w:tcW w:w="278" w:type="pct"/>
            <w:tcBorders>
              <w:top w:val="nil"/>
              <w:left w:val="nil"/>
              <w:bottom w:val="single" w:sz="4" w:space="0" w:color="auto"/>
              <w:right w:val="single" w:sz="4" w:space="0" w:color="auto"/>
            </w:tcBorders>
            <w:shd w:val="clear" w:color="000000" w:fill="FFFFFF"/>
            <w:vAlign w:val="center"/>
            <w:hideMark/>
          </w:tcPr>
          <w:p w14:paraId="4A4B9DA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51EBB36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5A4E8F4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2DB38E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F2228B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5C81D76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7C31E7F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19D664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312BC62C"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39EC855A" w14:textId="77777777" w:rsidR="005A043A" w:rsidRPr="00214F41" w:rsidRDefault="005A043A" w:rsidP="00286762">
            <w:pPr>
              <w:jc w:val="center"/>
              <w:rPr>
                <w:sz w:val="18"/>
                <w:szCs w:val="18"/>
              </w:rPr>
            </w:pPr>
            <w:r w:rsidRPr="00214F41">
              <w:rPr>
                <w:sz w:val="18"/>
                <w:szCs w:val="18"/>
              </w:rPr>
              <w:t>Pratley et al., 2014a</w:t>
            </w:r>
          </w:p>
        </w:tc>
        <w:tc>
          <w:tcPr>
            <w:tcW w:w="318" w:type="pct"/>
            <w:tcBorders>
              <w:top w:val="nil"/>
              <w:left w:val="nil"/>
              <w:bottom w:val="single" w:sz="4" w:space="0" w:color="auto"/>
              <w:right w:val="single" w:sz="4" w:space="0" w:color="auto"/>
            </w:tcBorders>
            <w:shd w:val="clear" w:color="000000" w:fill="FFFFFF"/>
            <w:vAlign w:val="center"/>
            <w:hideMark/>
          </w:tcPr>
          <w:p w14:paraId="41C4B146" w14:textId="77777777" w:rsidR="005A043A" w:rsidRPr="00214F41" w:rsidRDefault="005A043A" w:rsidP="00286762">
            <w:pPr>
              <w:jc w:val="center"/>
              <w:rPr>
                <w:sz w:val="18"/>
                <w:szCs w:val="18"/>
              </w:rPr>
            </w:pPr>
            <w:r w:rsidRPr="00214F41">
              <w:rPr>
                <w:sz w:val="18"/>
                <w:szCs w:val="18"/>
              </w:rPr>
              <w:t>3/114</w:t>
            </w:r>
          </w:p>
        </w:tc>
        <w:tc>
          <w:tcPr>
            <w:tcW w:w="295" w:type="pct"/>
            <w:tcBorders>
              <w:top w:val="nil"/>
              <w:left w:val="nil"/>
              <w:bottom w:val="single" w:sz="4" w:space="0" w:color="auto"/>
              <w:right w:val="single" w:sz="4" w:space="0" w:color="auto"/>
            </w:tcBorders>
            <w:shd w:val="clear" w:color="000000" w:fill="FFFFFF"/>
            <w:vAlign w:val="center"/>
            <w:hideMark/>
          </w:tcPr>
          <w:p w14:paraId="31D1B3A1" w14:textId="77777777" w:rsidR="005A043A" w:rsidRPr="00214F41" w:rsidRDefault="005A043A" w:rsidP="00286762">
            <w:pPr>
              <w:jc w:val="center"/>
              <w:rPr>
                <w:sz w:val="18"/>
                <w:szCs w:val="18"/>
              </w:rPr>
            </w:pPr>
            <w:r w:rsidRPr="00214F41">
              <w:rPr>
                <w:sz w:val="18"/>
                <w:szCs w:val="18"/>
              </w:rPr>
              <w:t>4/109</w:t>
            </w:r>
          </w:p>
        </w:tc>
        <w:tc>
          <w:tcPr>
            <w:tcW w:w="718" w:type="pct"/>
            <w:tcBorders>
              <w:top w:val="nil"/>
              <w:left w:val="nil"/>
              <w:bottom w:val="single" w:sz="4" w:space="0" w:color="auto"/>
              <w:right w:val="single" w:sz="4" w:space="0" w:color="auto"/>
            </w:tcBorders>
            <w:shd w:val="clear" w:color="000000" w:fill="FFFFFF"/>
            <w:vAlign w:val="center"/>
            <w:hideMark/>
          </w:tcPr>
          <w:p w14:paraId="54E5023A" w14:textId="77777777" w:rsidR="005A043A" w:rsidRPr="00214F41" w:rsidRDefault="005A043A" w:rsidP="00286762">
            <w:pPr>
              <w:jc w:val="center"/>
              <w:rPr>
                <w:sz w:val="18"/>
                <w:szCs w:val="18"/>
                <w:lang w:val="en-GB"/>
              </w:rPr>
            </w:pPr>
            <w:r w:rsidRPr="00214F41">
              <w:rPr>
                <w:sz w:val="18"/>
                <w:szCs w:val="18"/>
                <w:lang w:val="en-GB"/>
              </w:rPr>
              <w:t>most frequently GI disorders</w:t>
            </w:r>
          </w:p>
        </w:tc>
        <w:tc>
          <w:tcPr>
            <w:tcW w:w="282" w:type="pct"/>
            <w:tcBorders>
              <w:top w:val="nil"/>
              <w:left w:val="nil"/>
              <w:bottom w:val="single" w:sz="4" w:space="0" w:color="auto"/>
              <w:right w:val="single" w:sz="4" w:space="0" w:color="auto"/>
            </w:tcBorders>
            <w:shd w:val="clear" w:color="000000" w:fill="FFFFFF"/>
            <w:vAlign w:val="center"/>
            <w:hideMark/>
          </w:tcPr>
          <w:p w14:paraId="709343A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C96928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77FA4C0" w14:textId="77777777" w:rsidR="005A043A" w:rsidRPr="00214F41" w:rsidRDefault="005A043A" w:rsidP="00286762">
            <w:pPr>
              <w:jc w:val="center"/>
              <w:rPr>
                <w:sz w:val="18"/>
                <w:szCs w:val="18"/>
              </w:rPr>
            </w:pPr>
            <w:r w:rsidRPr="00214F41">
              <w:rPr>
                <w:sz w:val="18"/>
                <w:szCs w:val="18"/>
              </w:rPr>
              <w:t>4/109</w:t>
            </w:r>
          </w:p>
        </w:tc>
        <w:tc>
          <w:tcPr>
            <w:tcW w:w="282" w:type="pct"/>
            <w:tcBorders>
              <w:top w:val="nil"/>
              <w:left w:val="nil"/>
              <w:bottom w:val="single" w:sz="4" w:space="0" w:color="auto"/>
              <w:right w:val="single" w:sz="4" w:space="0" w:color="auto"/>
            </w:tcBorders>
            <w:shd w:val="clear" w:color="000000" w:fill="FFFFFF"/>
            <w:vAlign w:val="center"/>
            <w:hideMark/>
          </w:tcPr>
          <w:p w14:paraId="16E02894" w14:textId="77777777" w:rsidR="005A043A" w:rsidRPr="00214F41" w:rsidRDefault="005A043A" w:rsidP="00286762">
            <w:pPr>
              <w:jc w:val="center"/>
              <w:rPr>
                <w:sz w:val="18"/>
                <w:szCs w:val="18"/>
              </w:rPr>
            </w:pPr>
            <w:r w:rsidRPr="00214F41">
              <w:rPr>
                <w:sz w:val="18"/>
                <w:szCs w:val="18"/>
              </w:rPr>
              <w:t>3/106</w:t>
            </w:r>
          </w:p>
        </w:tc>
        <w:tc>
          <w:tcPr>
            <w:tcW w:w="278" w:type="pct"/>
            <w:tcBorders>
              <w:top w:val="nil"/>
              <w:left w:val="nil"/>
              <w:bottom w:val="single" w:sz="4" w:space="0" w:color="auto"/>
              <w:right w:val="single" w:sz="4" w:space="0" w:color="auto"/>
            </w:tcBorders>
            <w:shd w:val="clear" w:color="000000" w:fill="FFFFFF"/>
            <w:vAlign w:val="center"/>
            <w:hideMark/>
          </w:tcPr>
          <w:p w14:paraId="30816C8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02DBB8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257F27B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A2482C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5BB106D" w14:textId="77777777" w:rsidR="005A043A" w:rsidRPr="00214F41" w:rsidRDefault="005A043A" w:rsidP="00286762">
            <w:pPr>
              <w:jc w:val="center"/>
              <w:rPr>
                <w:sz w:val="18"/>
                <w:szCs w:val="18"/>
              </w:rPr>
            </w:pPr>
            <w:r w:rsidRPr="00214F41">
              <w:rPr>
                <w:sz w:val="18"/>
                <w:szCs w:val="18"/>
              </w:rPr>
              <w:t>4/109</w:t>
            </w:r>
          </w:p>
        </w:tc>
        <w:tc>
          <w:tcPr>
            <w:tcW w:w="279" w:type="pct"/>
            <w:tcBorders>
              <w:top w:val="nil"/>
              <w:left w:val="nil"/>
              <w:bottom w:val="single" w:sz="4" w:space="0" w:color="auto"/>
              <w:right w:val="single" w:sz="4" w:space="0" w:color="auto"/>
            </w:tcBorders>
            <w:shd w:val="clear" w:color="000000" w:fill="FFFFFF"/>
            <w:vAlign w:val="center"/>
            <w:hideMark/>
          </w:tcPr>
          <w:p w14:paraId="7471D52D" w14:textId="77777777" w:rsidR="005A043A" w:rsidRPr="00214F41" w:rsidRDefault="005A043A" w:rsidP="00286762">
            <w:pPr>
              <w:jc w:val="center"/>
              <w:rPr>
                <w:sz w:val="18"/>
                <w:szCs w:val="18"/>
              </w:rPr>
            </w:pPr>
            <w:r w:rsidRPr="00214F41">
              <w:rPr>
                <w:sz w:val="18"/>
                <w:szCs w:val="18"/>
              </w:rPr>
              <w:t>1/106</w:t>
            </w:r>
          </w:p>
        </w:tc>
        <w:tc>
          <w:tcPr>
            <w:tcW w:w="279" w:type="pct"/>
            <w:tcBorders>
              <w:top w:val="nil"/>
              <w:left w:val="nil"/>
              <w:bottom w:val="single" w:sz="4" w:space="0" w:color="auto"/>
              <w:right w:val="single" w:sz="4" w:space="0" w:color="auto"/>
            </w:tcBorders>
            <w:shd w:val="clear" w:color="000000" w:fill="FFFFFF"/>
            <w:vAlign w:val="center"/>
            <w:hideMark/>
          </w:tcPr>
          <w:p w14:paraId="4E0C064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E5A81A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52C1C1B0" w14:textId="77777777" w:rsidTr="00286762">
        <w:trPr>
          <w:trHeight w:val="553"/>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75E40CD" w14:textId="77777777" w:rsidR="005A043A" w:rsidRPr="00214F41" w:rsidRDefault="005A043A" w:rsidP="00286762">
            <w:pPr>
              <w:jc w:val="center"/>
              <w:rPr>
                <w:sz w:val="18"/>
                <w:szCs w:val="18"/>
              </w:rPr>
            </w:pPr>
            <w:r w:rsidRPr="00214F41">
              <w:rPr>
                <w:sz w:val="18"/>
                <w:szCs w:val="18"/>
              </w:rPr>
              <w:t>Pratley et al., 2014b</w:t>
            </w:r>
          </w:p>
        </w:tc>
        <w:tc>
          <w:tcPr>
            <w:tcW w:w="318" w:type="pct"/>
            <w:tcBorders>
              <w:top w:val="nil"/>
              <w:left w:val="nil"/>
              <w:bottom w:val="single" w:sz="4" w:space="0" w:color="auto"/>
              <w:right w:val="single" w:sz="4" w:space="0" w:color="auto"/>
            </w:tcBorders>
            <w:shd w:val="clear" w:color="000000" w:fill="FFFFFF"/>
            <w:vAlign w:val="center"/>
            <w:hideMark/>
          </w:tcPr>
          <w:p w14:paraId="75E8E8DD" w14:textId="77777777" w:rsidR="005A043A" w:rsidRPr="00214F41" w:rsidRDefault="005A043A" w:rsidP="00286762">
            <w:pPr>
              <w:jc w:val="center"/>
              <w:rPr>
                <w:sz w:val="18"/>
                <w:szCs w:val="18"/>
              </w:rPr>
            </w:pPr>
            <w:r w:rsidRPr="00214F41">
              <w:rPr>
                <w:sz w:val="18"/>
                <w:szCs w:val="18"/>
              </w:rPr>
              <w:t>2/111</w:t>
            </w:r>
          </w:p>
        </w:tc>
        <w:tc>
          <w:tcPr>
            <w:tcW w:w="295" w:type="pct"/>
            <w:tcBorders>
              <w:top w:val="nil"/>
              <w:left w:val="nil"/>
              <w:bottom w:val="single" w:sz="4" w:space="0" w:color="auto"/>
              <w:right w:val="single" w:sz="4" w:space="0" w:color="auto"/>
            </w:tcBorders>
            <w:shd w:val="clear" w:color="000000" w:fill="FFFFFF"/>
            <w:vAlign w:val="center"/>
            <w:hideMark/>
          </w:tcPr>
          <w:p w14:paraId="033A51D0" w14:textId="77777777" w:rsidR="005A043A" w:rsidRPr="00214F41" w:rsidRDefault="005A043A" w:rsidP="00286762">
            <w:pPr>
              <w:jc w:val="center"/>
              <w:rPr>
                <w:sz w:val="18"/>
                <w:szCs w:val="18"/>
              </w:rPr>
            </w:pPr>
            <w:r w:rsidRPr="00214F41">
              <w:rPr>
                <w:sz w:val="18"/>
                <w:szCs w:val="18"/>
              </w:rPr>
              <w:t>4/109</w:t>
            </w:r>
          </w:p>
        </w:tc>
        <w:tc>
          <w:tcPr>
            <w:tcW w:w="718" w:type="pct"/>
            <w:tcBorders>
              <w:top w:val="nil"/>
              <w:left w:val="nil"/>
              <w:bottom w:val="single" w:sz="4" w:space="0" w:color="auto"/>
              <w:right w:val="single" w:sz="4" w:space="0" w:color="auto"/>
            </w:tcBorders>
            <w:shd w:val="clear" w:color="000000" w:fill="FFFFFF"/>
            <w:vAlign w:val="center"/>
            <w:hideMark/>
          </w:tcPr>
          <w:p w14:paraId="6F613ED9" w14:textId="77777777" w:rsidR="005A043A" w:rsidRPr="00214F41" w:rsidRDefault="005A043A" w:rsidP="00286762">
            <w:pPr>
              <w:jc w:val="center"/>
              <w:rPr>
                <w:sz w:val="18"/>
                <w:szCs w:val="18"/>
              </w:rPr>
            </w:pPr>
            <w:r w:rsidRPr="00214F41">
              <w:rPr>
                <w:sz w:val="18"/>
                <w:szCs w:val="18"/>
                <w:lang w:val="en-GB"/>
              </w:rPr>
              <w:t>most frequently GI disorders</w:t>
            </w:r>
          </w:p>
        </w:tc>
        <w:tc>
          <w:tcPr>
            <w:tcW w:w="282" w:type="pct"/>
            <w:tcBorders>
              <w:top w:val="nil"/>
              <w:left w:val="nil"/>
              <w:bottom w:val="single" w:sz="4" w:space="0" w:color="auto"/>
              <w:right w:val="single" w:sz="4" w:space="0" w:color="auto"/>
            </w:tcBorders>
            <w:shd w:val="clear" w:color="000000" w:fill="FFFFFF"/>
            <w:vAlign w:val="center"/>
            <w:hideMark/>
          </w:tcPr>
          <w:p w14:paraId="00B5041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B69ED0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9B7BC46" w14:textId="77777777" w:rsidR="005A043A" w:rsidRPr="00214F41" w:rsidRDefault="005A043A" w:rsidP="00286762">
            <w:pPr>
              <w:jc w:val="center"/>
              <w:rPr>
                <w:sz w:val="18"/>
                <w:szCs w:val="18"/>
              </w:rPr>
            </w:pPr>
            <w:r w:rsidRPr="00214F41">
              <w:rPr>
                <w:sz w:val="18"/>
                <w:szCs w:val="18"/>
              </w:rPr>
              <w:t>10/111</w:t>
            </w:r>
          </w:p>
        </w:tc>
        <w:tc>
          <w:tcPr>
            <w:tcW w:w="282" w:type="pct"/>
            <w:tcBorders>
              <w:top w:val="nil"/>
              <w:left w:val="nil"/>
              <w:bottom w:val="single" w:sz="4" w:space="0" w:color="auto"/>
              <w:right w:val="single" w:sz="4" w:space="0" w:color="auto"/>
            </w:tcBorders>
            <w:shd w:val="clear" w:color="000000" w:fill="FFFFFF"/>
            <w:vAlign w:val="center"/>
            <w:hideMark/>
          </w:tcPr>
          <w:p w14:paraId="48BEC9B5" w14:textId="77777777" w:rsidR="005A043A" w:rsidRPr="00214F41" w:rsidRDefault="005A043A" w:rsidP="00286762">
            <w:pPr>
              <w:jc w:val="center"/>
              <w:rPr>
                <w:sz w:val="18"/>
                <w:szCs w:val="18"/>
              </w:rPr>
            </w:pPr>
            <w:r w:rsidRPr="00214F41">
              <w:rPr>
                <w:sz w:val="18"/>
                <w:szCs w:val="18"/>
              </w:rPr>
              <w:t>3/106</w:t>
            </w:r>
          </w:p>
        </w:tc>
        <w:tc>
          <w:tcPr>
            <w:tcW w:w="278" w:type="pct"/>
            <w:tcBorders>
              <w:top w:val="nil"/>
              <w:left w:val="nil"/>
              <w:bottom w:val="single" w:sz="4" w:space="0" w:color="auto"/>
              <w:right w:val="single" w:sz="4" w:space="0" w:color="auto"/>
            </w:tcBorders>
            <w:shd w:val="clear" w:color="000000" w:fill="FFFFFF"/>
            <w:vAlign w:val="center"/>
            <w:hideMark/>
          </w:tcPr>
          <w:p w14:paraId="5A4CFD6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56A1E0F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1B400BF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317F15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891DAE3" w14:textId="77777777" w:rsidR="005A043A" w:rsidRPr="00214F41" w:rsidRDefault="005A043A" w:rsidP="00286762">
            <w:pPr>
              <w:jc w:val="center"/>
              <w:rPr>
                <w:sz w:val="18"/>
                <w:szCs w:val="18"/>
              </w:rPr>
            </w:pPr>
            <w:r w:rsidRPr="00214F41">
              <w:rPr>
                <w:sz w:val="18"/>
                <w:szCs w:val="18"/>
              </w:rPr>
              <w:t>6/111</w:t>
            </w:r>
          </w:p>
        </w:tc>
        <w:tc>
          <w:tcPr>
            <w:tcW w:w="279" w:type="pct"/>
            <w:tcBorders>
              <w:top w:val="nil"/>
              <w:left w:val="nil"/>
              <w:bottom w:val="single" w:sz="4" w:space="0" w:color="auto"/>
              <w:right w:val="single" w:sz="4" w:space="0" w:color="auto"/>
            </w:tcBorders>
            <w:shd w:val="clear" w:color="000000" w:fill="FFFFFF"/>
            <w:vAlign w:val="center"/>
            <w:hideMark/>
          </w:tcPr>
          <w:p w14:paraId="1E87193A" w14:textId="77777777" w:rsidR="005A043A" w:rsidRPr="00214F41" w:rsidRDefault="005A043A" w:rsidP="00286762">
            <w:pPr>
              <w:jc w:val="center"/>
              <w:rPr>
                <w:sz w:val="18"/>
                <w:szCs w:val="18"/>
              </w:rPr>
            </w:pPr>
            <w:r w:rsidRPr="00214F41">
              <w:rPr>
                <w:sz w:val="18"/>
                <w:szCs w:val="18"/>
              </w:rPr>
              <w:t>1/106</w:t>
            </w:r>
          </w:p>
        </w:tc>
        <w:tc>
          <w:tcPr>
            <w:tcW w:w="279" w:type="pct"/>
            <w:tcBorders>
              <w:top w:val="nil"/>
              <w:left w:val="nil"/>
              <w:bottom w:val="single" w:sz="4" w:space="0" w:color="auto"/>
              <w:right w:val="single" w:sz="4" w:space="0" w:color="auto"/>
            </w:tcBorders>
            <w:shd w:val="clear" w:color="000000" w:fill="FFFFFF"/>
            <w:vAlign w:val="center"/>
            <w:hideMark/>
          </w:tcPr>
          <w:p w14:paraId="3FDF799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B49A16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314CD23F" w14:textId="77777777" w:rsidTr="00286762">
        <w:trPr>
          <w:trHeight w:val="547"/>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E304BAF" w14:textId="77777777" w:rsidR="005A043A" w:rsidRPr="00214F41" w:rsidRDefault="005A043A" w:rsidP="00286762">
            <w:pPr>
              <w:jc w:val="center"/>
              <w:rPr>
                <w:sz w:val="18"/>
                <w:szCs w:val="18"/>
              </w:rPr>
            </w:pPr>
            <w:proofErr w:type="spellStart"/>
            <w:r w:rsidRPr="00214F41">
              <w:rPr>
                <w:sz w:val="18"/>
                <w:szCs w:val="18"/>
              </w:rPr>
              <w:t>Reasner</w:t>
            </w:r>
            <w:proofErr w:type="spellEnd"/>
            <w:r w:rsidRPr="00214F41">
              <w:rPr>
                <w:sz w:val="18"/>
                <w:szCs w:val="18"/>
              </w:rPr>
              <w:t xml:space="preserve"> et al., 2011</w:t>
            </w:r>
          </w:p>
        </w:tc>
        <w:tc>
          <w:tcPr>
            <w:tcW w:w="318" w:type="pct"/>
            <w:tcBorders>
              <w:top w:val="nil"/>
              <w:left w:val="nil"/>
              <w:bottom w:val="single" w:sz="4" w:space="0" w:color="auto"/>
              <w:right w:val="single" w:sz="4" w:space="0" w:color="auto"/>
            </w:tcBorders>
            <w:shd w:val="clear" w:color="000000" w:fill="FFFFFF"/>
            <w:vAlign w:val="center"/>
            <w:hideMark/>
          </w:tcPr>
          <w:p w14:paraId="4DD4751B" w14:textId="77777777" w:rsidR="005A043A" w:rsidRPr="00214F41" w:rsidRDefault="005A043A" w:rsidP="00286762">
            <w:pPr>
              <w:jc w:val="center"/>
              <w:rPr>
                <w:sz w:val="18"/>
                <w:szCs w:val="18"/>
              </w:rPr>
            </w:pPr>
            <w:r w:rsidRPr="00214F41">
              <w:rPr>
                <w:sz w:val="18"/>
                <w:szCs w:val="18"/>
              </w:rPr>
              <w:t>25/621</w:t>
            </w:r>
          </w:p>
        </w:tc>
        <w:tc>
          <w:tcPr>
            <w:tcW w:w="295" w:type="pct"/>
            <w:tcBorders>
              <w:top w:val="nil"/>
              <w:left w:val="nil"/>
              <w:bottom w:val="single" w:sz="4" w:space="0" w:color="auto"/>
              <w:right w:val="single" w:sz="4" w:space="0" w:color="auto"/>
            </w:tcBorders>
            <w:shd w:val="clear" w:color="000000" w:fill="FFFFFF"/>
            <w:vAlign w:val="center"/>
            <w:hideMark/>
          </w:tcPr>
          <w:p w14:paraId="6A9D6273" w14:textId="77777777" w:rsidR="005A043A" w:rsidRPr="00214F41" w:rsidRDefault="005A043A" w:rsidP="00286762">
            <w:pPr>
              <w:jc w:val="center"/>
              <w:rPr>
                <w:sz w:val="18"/>
                <w:szCs w:val="18"/>
              </w:rPr>
            </w:pPr>
            <w:r w:rsidRPr="00214F41">
              <w:rPr>
                <w:sz w:val="18"/>
                <w:szCs w:val="18"/>
              </w:rPr>
              <w:t>25/625</w:t>
            </w:r>
          </w:p>
        </w:tc>
        <w:tc>
          <w:tcPr>
            <w:tcW w:w="718" w:type="pct"/>
            <w:tcBorders>
              <w:top w:val="nil"/>
              <w:left w:val="nil"/>
              <w:bottom w:val="single" w:sz="4" w:space="0" w:color="auto"/>
              <w:right w:val="single" w:sz="4" w:space="0" w:color="auto"/>
            </w:tcBorders>
            <w:shd w:val="clear" w:color="000000" w:fill="FFFFFF"/>
            <w:vAlign w:val="center"/>
            <w:hideMark/>
          </w:tcPr>
          <w:p w14:paraId="32D6C738"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4A58954" w14:textId="77777777" w:rsidR="005A043A" w:rsidRPr="00214F41" w:rsidRDefault="005A043A" w:rsidP="00286762">
            <w:pPr>
              <w:jc w:val="center"/>
              <w:rPr>
                <w:sz w:val="18"/>
                <w:szCs w:val="18"/>
              </w:rPr>
            </w:pPr>
            <w:r w:rsidRPr="00214F41">
              <w:rPr>
                <w:sz w:val="18"/>
                <w:szCs w:val="18"/>
              </w:rPr>
              <w:t>24/621</w:t>
            </w:r>
          </w:p>
        </w:tc>
        <w:tc>
          <w:tcPr>
            <w:tcW w:w="282" w:type="pct"/>
            <w:tcBorders>
              <w:top w:val="nil"/>
              <w:left w:val="nil"/>
              <w:bottom w:val="single" w:sz="4" w:space="0" w:color="auto"/>
              <w:right w:val="single" w:sz="4" w:space="0" w:color="auto"/>
            </w:tcBorders>
            <w:shd w:val="clear" w:color="000000" w:fill="FFFFFF"/>
            <w:vAlign w:val="center"/>
            <w:hideMark/>
          </w:tcPr>
          <w:p w14:paraId="0D92617E" w14:textId="77777777" w:rsidR="005A043A" w:rsidRPr="00214F41" w:rsidRDefault="005A043A" w:rsidP="00286762">
            <w:pPr>
              <w:jc w:val="center"/>
              <w:rPr>
                <w:sz w:val="18"/>
                <w:szCs w:val="18"/>
              </w:rPr>
            </w:pPr>
            <w:r w:rsidRPr="00214F41">
              <w:rPr>
                <w:sz w:val="18"/>
                <w:szCs w:val="18"/>
              </w:rPr>
              <w:t>7/625</w:t>
            </w:r>
          </w:p>
        </w:tc>
        <w:tc>
          <w:tcPr>
            <w:tcW w:w="282" w:type="pct"/>
            <w:tcBorders>
              <w:top w:val="nil"/>
              <w:left w:val="nil"/>
              <w:bottom w:val="single" w:sz="4" w:space="0" w:color="auto"/>
              <w:right w:val="single" w:sz="4" w:space="0" w:color="auto"/>
            </w:tcBorders>
            <w:shd w:val="clear" w:color="000000" w:fill="FFFFFF"/>
            <w:vAlign w:val="center"/>
            <w:hideMark/>
          </w:tcPr>
          <w:p w14:paraId="43B2C98F" w14:textId="77777777" w:rsidR="005A043A" w:rsidRPr="00214F41" w:rsidRDefault="005A043A" w:rsidP="00286762">
            <w:pPr>
              <w:jc w:val="center"/>
              <w:rPr>
                <w:sz w:val="18"/>
                <w:szCs w:val="18"/>
              </w:rPr>
            </w:pPr>
            <w:r w:rsidRPr="00214F41">
              <w:rPr>
                <w:sz w:val="18"/>
                <w:szCs w:val="18"/>
              </w:rPr>
              <w:t>103/621</w:t>
            </w:r>
          </w:p>
        </w:tc>
        <w:tc>
          <w:tcPr>
            <w:tcW w:w="282" w:type="pct"/>
            <w:tcBorders>
              <w:top w:val="nil"/>
              <w:left w:val="nil"/>
              <w:bottom w:val="single" w:sz="4" w:space="0" w:color="auto"/>
              <w:right w:val="single" w:sz="4" w:space="0" w:color="auto"/>
            </w:tcBorders>
            <w:shd w:val="clear" w:color="000000" w:fill="FFFFFF"/>
            <w:vAlign w:val="center"/>
            <w:hideMark/>
          </w:tcPr>
          <w:p w14:paraId="3CEB41ED" w14:textId="77777777" w:rsidR="005A043A" w:rsidRPr="00214F41" w:rsidRDefault="005A043A" w:rsidP="00286762">
            <w:pPr>
              <w:jc w:val="center"/>
              <w:rPr>
                <w:sz w:val="18"/>
                <w:szCs w:val="18"/>
              </w:rPr>
            </w:pPr>
            <w:r w:rsidRPr="00214F41">
              <w:rPr>
                <w:sz w:val="18"/>
                <w:szCs w:val="18"/>
              </w:rPr>
              <w:t>75/625</w:t>
            </w:r>
          </w:p>
        </w:tc>
        <w:tc>
          <w:tcPr>
            <w:tcW w:w="278" w:type="pct"/>
            <w:tcBorders>
              <w:top w:val="nil"/>
              <w:left w:val="nil"/>
              <w:bottom w:val="single" w:sz="4" w:space="0" w:color="auto"/>
              <w:right w:val="single" w:sz="4" w:space="0" w:color="auto"/>
            </w:tcBorders>
            <w:shd w:val="clear" w:color="000000" w:fill="FFFFFF"/>
            <w:vAlign w:val="center"/>
            <w:hideMark/>
          </w:tcPr>
          <w:p w14:paraId="284CE5CF" w14:textId="77777777" w:rsidR="005A043A" w:rsidRPr="00214F41" w:rsidRDefault="005A043A" w:rsidP="00286762">
            <w:pPr>
              <w:jc w:val="center"/>
              <w:rPr>
                <w:sz w:val="18"/>
                <w:szCs w:val="18"/>
              </w:rPr>
            </w:pPr>
            <w:r w:rsidRPr="00214F41">
              <w:rPr>
                <w:sz w:val="18"/>
                <w:szCs w:val="18"/>
              </w:rPr>
              <w:t>16/621</w:t>
            </w:r>
          </w:p>
        </w:tc>
        <w:tc>
          <w:tcPr>
            <w:tcW w:w="280" w:type="pct"/>
            <w:tcBorders>
              <w:top w:val="nil"/>
              <w:left w:val="nil"/>
              <w:bottom w:val="single" w:sz="4" w:space="0" w:color="auto"/>
              <w:right w:val="single" w:sz="4" w:space="0" w:color="auto"/>
            </w:tcBorders>
            <w:shd w:val="clear" w:color="000000" w:fill="FFFFFF"/>
            <w:vAlign w:val="center"/>
            <w:hideMark/>
          </w:tcPr>
          <w:p w14:paraId="2918FF55" w14:textId="77777777" w:rsidR="005A043A" w:rsidRPr="00214F41" w:rsidRDefault="005A043A" w:rsidP="00286762">
            <w:pPr>
              <w:jc w:val="center"/>
              <w:rPr>
                <w:sz w:val="18"/>
                <w:szCs w:val="18"/>
              </w:rPr>
            </w:pPr>
            <w:r w:rsidRPr="00214F41">
              <w:rPr>
                <w:sz w:val="18"/>
                <w:szCs w:val="18"/>
              </w:rPr>
              <w:t>18/625</w:t>
            </w:r>
          </w:p>
        </w:tc>
        <w:tc>
          <w:tcPr>
            <w:tcW w:w="278" w:type="pct"/>
            <w:tcBorders>
              <w:top w:val="nil"/>
              <w:left w:val="nil"/>
              <w:bottom w:val="single" w:sz="4" w:space="0" w:color="auto"/>
              <w:right w:val="single" w:sz="4" w:space="0" w:color="auto"/>
            </w:tcBorders>
            <w:shd w:val="clear" w:color="000000" w:fill="FFFFFF"/>
            <w:vAlign w:val="center"/>
            <w:hideMark/>
          </w:tcPr>
          <w:p w14:paraId="3F081E2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579491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8F67E95" w14:textId="77777777" w:rsidR="005A043A" w:rsidRPr="00214F41" w:rsidRDefault="005A043A" w:rsidP="00286762">
            <w:pPr>
              <w:jc w:val="center"/>
              <w:rPr>
                <w:sz w:val="18"/>
                <w:szCs w:val="18"/>
              </w:rPr>
            </w:pPr>
            <w:r w:rsidRPr="00214F41">
              <w:rPr>
                <w:sz w:val="18"/>
                <w:szCs w:val="18"/>
              </w:rPr>
              <w:t>39/621</w:t>
            </w:r>
          </w:p>
        </w:tc>
        <w:tc>
          <w:tcPr>
            <w:tcW w:w="279" w:type="pct"/>
            <w:tcBorders>
              <w:top w:val="nil"/>
              <w:left w:val="nil"/>
              <w:bottom w:val="single" w:sz="4" w:space="0" w:color="auto"/>
              <w:right w:val="single" w:sz="4" w:space="0" w:color="auto"/>
            </w:tcBorders>
            <w:shd w:val="clear" w:color="000000" w:fill="FFFFFF"/>
            <w:vAlign w:val="center"/>
            <w:hideMark/>
          </w:tcPr>
          <w:p w14:paraId="7362D193" w14:textId="77777777" w:rsidR="005A043A" w:rsidRPr="00214F41" w:rsidRDefault="005A043A" w:rsidP="00286762">
            <w:pPr>
              <w:jc w:val="center"/>
              <w:rPr>
                <w:sz w:val="18"/>
                <w:szCs w:val="18"/>
              </w:rPr>
            </w:pPr>
            <w:r w:rsidRPr="00214F41">
              <w:rPr>
                <w:sz w:val="18"/>
                <w:szCs w:val="18"/>
              </w:rPr>
              <w:t>35/625</w:t>
            </w:r>
          </w:p>
        </w:tc>
        <w:tc>
          <w:tcPr>
            <w:tcW w:w="279" w:type="pct"/>
            <w:tcBorders>
              <w:top w:val="nil"/>
              <w:left w:val="nil"/>
              <w:bottom w:val="single" w:sz="4" w:space="0" w:color="auto"/>
              <w:right w:val="single" w:sz="4" w:space="0" w:color="auto"/>
            </w:tcBorders>
            <w:shd w:val="clear" w:color="000000" w:fill="FFFFFF"/>
            <w:vAlign w:val="center"/>
            <w:hideMark/>
          </w:tcPr>
          <w:p w14:paraId="310EDE2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26C56D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1A7C2A3B" w14:textId="77777777" w:rsidTr="00286762">
        <w:trPr>
          <w:trHeight w:val="555"/>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B2A87B0" w14:textId="77777777" w:rsidR="005A043A" w:rsidRPr="00214F41" w:rsidRDefault="005A043A" w:rsidP="00286762">
            <w:pPr>
              <w:jc w:val="center"/>
              <w:rPr>
                <w:sz w:val="18"/>
                <w:szCs w:val="18"/>
              </w:rPr>
            </w:pPr>
            <w:r w:rsidRPr="00214F41">
              <w:rPr>
                <w:sz w:val="18"/>
                <w:szCs w:val="18"/>
              </w:rPr>
              <w:t>Rosenstock et al., 2010a</w:t>
            </w:r>
          </w:p>
        </w:tc>
        <w:tc>
          <w:tcPr>
            <w:tcW w:w="318" w:type="pct"/>
            <w:tcBorders>
              <w:top w:val="nil"/>
              <w:left w:val="nil"/>
              <w:bottom w:val="single" w:sz="4" w:space="0" w:color="auto"/>
              <w:right w:val="single" w:sz="4" w:space="0" w:color="auto"/>
            </w:tcBorders>
            <w:shd w:val="clear" w:color="000000" w:fill="FFFFFF"/>
            <w:vAlign w:val="center"/>
            <w:hideMark/>
          </w:tcPr>
          <w:p w14:paraId="59A44BBE" w14:textId="77777777" w:rsidR="005A043A" w:rsidRPr="00214F41" w:rsidRDefault="005A043A" w:rsidP="00286762">
            <w:pPr>
              <w:jc w:val="center"/>
              <w:rPr>
                <w:sz w:val="18"/>
                <w:szCs w:val="18"/>
              </w:rPr>
            </w:pPr>
            <w:r>
              <w:rPr>
                <w:sz w:val="18"/>
                <w:szCs w:val="18"/>
              </w:rPr>
              <w:t>2/</w:t>
            </w:r>
            <w:r w:rsidRPr="00214F41">
              <w:rPr>
                <w:sz w:val="18"/>
                <w:szCs w:val="18"/>
              </w:rPr>
              <w:t>50</w:t>
            </w:r>
          </w:p>
        </w:tc>
        <w:tc>
          <w:tcPr>
            <w:tcW w:w="295" w:type="pct"/>
            <w:tcBorders>
              <w:top w:val="nil"/>
              <w:left w:val="nil"/>
              <w:bottom w:val="single" w:sz="4" w:space="0" w:color="auto"/>
              <w:right w:val="single" w:sz="4" w:space="0" w:color="auto"/>
            </w:tcBorders>
            <w:shd w:val="clear" w:color="000000" w:fill="FFFFFF"/>
            <w:vAlign w:val="center"/>
            <w:hideMark/>
          </w:tcPr>
          <w:p w14:paraId="0EFAABF1" w14:textId="77777777" w:rsidR="005A043A" w:rsidRPr="00214F41" w:rsidRDefault="005A043A" w:rsidP="00286762">
            <w:pPr>
              <w:jc w:val="center"/>
              <w:rPr>
                <w:sz w:val="18"/>
                <w:szCs w:val="18"/>
              </w:rPr>
            </w:pPr>
            <w:r>
              <w:rPr>
                <w:sz w:val="18"/>
                <w:szCs w:val="18"/>
              </w:rPr>
              <w:t>2/</w:t>
            </w:r>
            <w:r w:rsidRPr="00214F41">
              <w:rPr>
                <w:sz w:val="18"/>
                <w:szCs w:val="18"/>
              </w:rPr>
              <w:t>51</w:t>
            </w:r>
          </w:p>
        </w:tc>
        <w:tc>
          <w:tcPr>
            <w:tcW w:w="718" w:type="pct"/>
            <w:tcBorders>
              <w:top w:val="nil"/>
              <w:left w:val="nil"/>
              <w:bottom w:val="single" w:sz="4" w:space="0" w:color="auto"/>
              <w:right w:val="single" w:sz="4" w:space="0" w:color="auto"/>
            </w:tcBorders>
            <w:shd w:val="clear" w:color="000000" w:fill="FFFFFF"/>
            <w:vAlign w:val="center"/>
            <w:hideMark/>
          </w:tcPr>
          <w:p w14:paraId="41A2EFF4" w14:textId="77777777" w:rsidR="005A043A" w:rsidRPr="00214F41" w:rsidRDefault="005A043A" w:rsidP="00286762">
            <w:pPr>
              <w:jc w:val="center"/>
              <w:rPr>
                <w:sz w:val="18"/>
                <w:szCs w:val="18"/>
                <w:lang w:val="en-GB"/>
              </w:rPr>
            </w:pPr>
            <w:proofErr w:type="spellStart"/>
            <w:r w:rsidRPr="00214F41">
              <w:rPr>
                <w:sz w:val="18"/>
                <w:szCs w:val="18"/>
                <w:lang w:val="en-GB"/>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2DC2E59" w14:textId="77777777" w:rsidR="005A043A" w:rsidRPr="00214F41" w:rsidRDefault="005A043A" w:rsidP="00286762">
            <w:pPr>
              <w:jc w:val="center"/>
              <w:rPr>
                <w:sz w:val="18"/>
                <w:szCs w:val="18"/>
              </w:rPr>
            </w:pPr>
            <w:r w:rsidRPr="00214F41">
              <w:rPr>
                <w:sz w:val="18"/>
                <w:szCs w:val="18"/>
              </w:rPr>
              <w:t>24/621</w:t>
            </w:r>
          </w:p>
        </w:tc>
        <w:tc>
          <w:tcPr>
            <w:tcW w:w="282" w:type="pct"/>
            <w:tcBorders>
              <w:top w:val="nil"/>
              <w:left w:val="nil"/>
              <w:bottom w:val="single" w:sz="4" w:space="0" w:color="auto"/>
              <w:right w:val="single" w:sz="4" w:space="0" w:color="auto"/>
            </w:tcBorders>
            <w:shd w:val="clear" w:color="000000" w:fill="FFFFFF"/>
            <w:vAlign w:val="center"/>
            <w:hideMark/>
          </w:tcPr>
          <w:p w14:paraId="73EAC37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05A138A" w14:textId="77777777" w:rsidR="005A043A" w:rsidRPr="00214F41" w:rsidRDefault="005A043A" w:rsidP="00286762">
            <w:pPr>
              <w:jc w:val="center"/>
              <w:rPr>
                <w:sz w:val="18"/>
                <w:szCs w:val="18"/>
              </w:rPr>
            </w:pPr>
            <w:r w:rsidRPr="00214F41">
              <w:rPr>
                <w:sz w:val="18"/>
                <w:szCs w:val="18"/>
              </w:rPr>
              <w:t>3|50</w:t>
            </w:r>
          </w:p>
        </w:tc>
        <w:tc>
          <w:tcPr>
            <w:tcW w:w="282" w:type="pct"/>
            <w:tcBorders>
              <w:top w:val="nil"/>
              <w:left w:val="nil"/>
              <w:bottom w:val="single" w:sz="4" w:space="0" w:color="auto"/>
              <w:right w:val="single" w:sz="4" w:space="0" w:color="auto"/>
            </w:tcBorders>
            <w:shd w:val="clear" w:color="000000" w:fill="FFFFFF"/>
            <w:vAlign w:val="center"/>
            <w:hideMark/>
          </w:tcPr>
          <w:p w14:paraId="6AAC3E1E" w14:textId="77777777" w:rsidR="005A043A" w:rsidRPr="00214F41" w:rsidRDefault="005A043A" w:rsidP="00286762">
            <w:pPr>
              <w:jc w:val="center"/>
              <w:rPr>
                <w:sz w:val="18"/>
                <w:szCs w:val="18"/>
              </w:rPr>
            </w:pPr>
            <w:r w:rsidRPr="00214F41">
              <w:rPr>
                <w:sz w:val="18"/>
                <w:szCs w:val="18"/>
              </w:rPr>
              <w:t>3|51</w:t>
            </w:r>
          </w:p>
        </w:tc>
        <w:tc>
          <w:tcPr>
            <w:tcW w:w="278" w:type="pct"/>
            <w:tcBorders>
              <w:top w:val="nil"/>
              <w:left w:val="nil"/>
              <w:bottom w:val="single" w:sz="4" w:space="0" w:color="auto"/>
              <w:right w:val="single" w:sz="4" w:space="0" w:color="auto"/>
            </w:tcBorders>
            <w:shd w:val="clear" w:color="000000" w:fill="FFFFFF"/>
            <w:vAlign w:val="center"/>
            <w:hideMark/>
          </w:tcPr>
          <w:p w14:paraId="6CD7EC7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296D2A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5F1CAA5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9BF724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08F906A" w14:textId="77777777" w:rsidR="005A043A" w:rsidRPr="00214F41" w:rsidRDefault="005A043A" w:rsidP="00286762">
            <w:pPr>
              <w:jc w:val="center"/>
              <w:rPr>
                <w:sz w:val="18"/>
                <w:szCs w:val="18"/>
              </w:rPr>
            </w:pPr>
            <w:r w:rsidRPr="00214F41">
              <w:rPr>
                <w:sz w:val="18"/>
                <w:szCs w:val="18"/>
              </w:rPr>
              <w:t>1|50</w:t>
            </w:r>
          </w:p>
        </w:tc>
        <w:tc>
          <w:tcPr>
            <w:tcW w:w="279" w:type="pct"/>
            <w:tcBorders>
              <w:top w:val="nil"/>
              <w:left w:val="nil"/>
              <w:bottom w:val="single" w:sz="4" w:space="0" w:color="auto"/>
              <w:right w:val="single" w:sz="4" w:space="0" w:color="auto"/>
            </w:tcBorders>
            <w:shd w:val="clear" w:color="000000" w:fill="FFFFFF"/>
            <w:vAlign w:val="center"/>
            <w:hideMark/>
          </w:tcPr>
          <w:p w14:paraId="4EA41A0F" w14:textId="77777777" w:rsidR="005A043A" w:rsidRPr="00214F41" w:rsidRDefault="005A043A" w:rsidP="00286762">
            <w:pPr>
              <w:jc w:val="center"/>
              <w:rPr>
                <w:sz w:val="18"/>
                <w:szCs w:val="18"/>
              </w:rPr>
            </w:pPr>
            <w:r w:rsidRPr="00214F41">
              <w:rPr>
                <w:sz w:val="18"/>
                <w:szCs w:val="18"/>
              </w:rPr>
              <w:t>2|51</w:t>
            </w:r>
          </w:p>
        </w:tc>
        <w:tc>
          <w:tcPr>
            <w:tcW w:w="279" w:type="pct"/>
            <w:tcBorders>
              <w:top w:val="nil"/>
              <w:left w:val="nil"/>
              <w:bottom w:val="single" w:sz="4" w:space="0" w:color="auto"/>
              <w:right w:val="single" w:sz="4" w:space="0" w:color="auto"/>
            </w:tcBorders>
            <w:shd w:val="clear" w:color="000000" w:fill="FFFFFF"/>
            <w:vAlign w:val="center"/>
            <w:hideMark/>
          </w:tcPr>
          <w:p w14:paraId="08888C7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982657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10821E6D" w14:textId="77777777" w:rsidTr="00286762">
        <w:trPr>
          <w:trHeight w:val="55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286CC75E" w14:textId="77777777" w:rsidR="005A043A" w:rsidRPr="00214F41" w:rsidRDefault="005A043A" w:rsidP="00286762">
            <w:pPr>
              <w:jc w:val="center"/>
              <w:rPr>
                <w:sz w:val="18"/>
                <w:szCs w:val="18"/>
              </w:rPr>
            </w:pPr>
            <w:r w:rsidRPr="00214F41">
              <w:rPr>
                <w:sz w:val="18"/>
                <w:szCs w:val="18"/>
              </w:rPr>
              <w:t>Rosenstock et al., 2010b</w:t>
            </w:r>
          </w:p>
        </w:tc>
        <w:tc>
          <w:tcPr>
            <w:tcW w:w="318" w:type="pct"/>
            <w:tcBorders>
              <w:top w:val="nil"/>
              <w:left w:val="nil"/>
              <w:bottom w:val="single" w:sz="4" w:space="0" w:color="auto"/>
              <w:right w:val="single" w:sz="4" w:space="0" w:color="auto"/>
            </w:tcBorders>
            <w:shd w:val="clear" w:color="000000" w:fill="FFFFFF"/>
            <w:vAlign w:val="center"/>
            <w:hideMark/>
          </w:tcPr>
          <w:p w14:paraId="702921E2" w14:textId="77777777" w:rsidR="005A043A" w:rsidRPr="00214F41" w:rsidRDefault="005A043A" w:rsidP="00286762">
            <w:pPr>
              <w:jc w:val="center"/>
              <w:rPr>
                <w:sz w:val="18"/>
                <w:szCs w:val="18"/>
              </w:rPr>
            </w:pPr>
            <w:r w:rsidRPr="00214F41">
              <w:rPr>
                <w:sz w:val="18"/>
                <w:szCs w:val="18"/>
              </w:rPr>
              <w:t>9/141</w:t>
            </w:r>
          </w:p>
        </w:tc>
        <w:tc>
          <w:tcPr>
            <w:tcW w:w="295" w:type="pct"/>
            <w:tcBorders>
              <w:top w:val="nil"/>
              <w:left w:val="nil"/>
              <w:bottom w:val="single" w:sz="4" w:space="0" w:color="auto"/>
              <w:right w:val="single" w:sz="4" w:space="0" w:color="auto"/>
            </w:tcBorders>
            <w:shd w:val="clear" w:color="000000" w:fill="FFFFFF"/>
            <w:vAlign w:val="center"/>
            <w:hideMark/>
          </w:tcPr>
          <w:p w14:paraId="7505D8E7" w14:textId="77777777" w:rsidR="005A043A" w:rsidRPr="00214F41" w:rsidRDefault="005A043A" w:rsidP="00286762">
            <w:pPr>
              <w:jc w:val="center"/>
              <w:rPr>
                <w:sz w:val="18"/>
                <w:szCs w:val="18"/>
              </w:rPr>
            </w:pPr>
            <w:r w:rsidRPr="00214F41">
              <w:rPr>
                <w:sz w:val="18"/>
                <w:szCs w:val="18"/>
              </w:rPr>
              <w:t>5/145</w:t>
            </w:r>
          </w:p>
        </w:tc>
        <w:tc>
          <w:tcPr>
            <w:tcW w:w="718" w:type="pct"/>
            <w:tcBorders>
              <w:top w:val="nil"/>
              <w:left w:val="nil"/>
              <w:bottom w:val="single" w:sz="4" w:space="0" w:color="auto"/>
              <w:right w:val="single" w:sz="4" w:space="0" w:color="auto"/>
            </w:tcBorders>
            <w:shd w:val="clear" w:color="000000" w:fill="FFFFFF"/>
            <w:vAlign w:val="center"/>
            <w:hideMark/>
          </w:tcPr>
          <w:p w14:paraId="7C5F1538" w14:textId="77777777" w:rsidR="005A043A" w:rsidRPr="00214F41" w:rsidRDefault="005A043A" w:rsidP="00286762">
            <w:pPr>
              <w:jc w:val="center"/>
              <w:rPr>
                <w:sz w:val="18"/>
                <w:szCs w:val="18"/>
                <w:lang w:val="en-GB"/>
              </w:rPr>
            </w:pPr>
            <w:r w:rsidRPr="00214F41">
              <w:rPr>
                <w:sz w:val="18"/>
                <w:szCs w:val="18"/>
                <w:lang w:val="en-GB"/>
              </w:rPr>
              <w:t xml:space="preserve">most frequently </w:t>
            </w:r>
            <w:proofErr w:type="spellStart"/>
            <w:r w:rsidRPr="00214F41">
              <w:rPr>
                <w:sz w:val="18"/>
                <w:szCs w:val="18"/>
                <w:lang w:val="en-GB"/>
              </w:rPr>
              <w:t>diarrhea</w:t>
            </w:r>
            <w:proofErr w:type="spellEnd"/>
            <w:r w:rsidRPr="00214F41">
              <w:rPr>
                <w:sz w:val="18"/>
                <w:szCs w:val="18"/>
                <w:lang w:val="en-GB"/>
              </w:rPr>
              <w:t xml:space="preserve"> and </w:t>
            </w:r>
            <w:proofErr w:type="spellStart"/>
            <w:r w:rsidRPr="00214F41">
              <w:rPr>
                <w:sz w:val="18"/>
                <w:szCs w:val="18"/>
                <w:lang w:val="en-GB"/>
              </w:rPr>
              <w:t>hyperglycemia</w:t>
            </w:r>
            <w:proofErr w:type="spellEnd"/>
            <w:r w:rsidRPr="00214F41">
              <w:rPr>
                <w:sz w:val="18"/>
                <w:szCs w:val="18"/>
                <w:lang w:val="en-GB"/>
              </w:rPr>
              <w:t xml:space="preserve"> </w:t>
            </w:r>
          </w:p>
        </w:tc>
        <w:tc>
          <w:tcPr>
            <w:tcW w:w="282" w:type="pct"/>
            <w:tcBorders>
              <w:top w:val="nil"/>
              <w:left w:val="nil"/>
              <w:bottom w:val="single" w:sz="4" w:space="0" w:color="auto"/>
              <w:right w:val="single" w:sz="4" w:space="0" w:color="auto"/>
            </w:tcBorders>
            <w:shd w:val="clear" w:color="000000" w:fill="FFFFFF"/>
            <w:vAlign w:val="center"/>
            <w:hideMark/>
          </w:tcPr>
          <w:p w14:paraId="66BDF68F" w14:textId="77777777" w:rsidR="005A043A" w:rsidRPr="00214F41" w:rsidRDefault="005A043A" w:rsidP="00286762">
            <w:pPr>
              <w:jc w:val="center"/>
              <w:rPr>
                <w:sz w:val="18"/>
                <w:szCs w:val="18"/>
              </w:rPr>
            </w:pPr>
            <w:r w:rsidRPr="00214F41">
              <w:rPr>
                <w:sz w:val="18"/>
                <w:szCs w:val="18"/>
              </w:rPr>
              <w:t>8/141</w:t>
            </w:r>
          </w:p>
        </w:tc>
        <w:tc>
          <w:tcPr>
            <w:tcW w:w="282" w:type="pct"/>
            <w:tcBorders>
              <w:top w:val="nil"/>
              <w:left w:val="nil"/>
              <w:bottom w:val="single" w:sz="4" w:space="0" w:color="auto"/>
              <w:right w:val="single" w:sz="4" w:space="0" w:color="auto"/>
            </w:tcBorders>
            <w:shd w:val="clear" w:color="000000" w:fill="FFFFFF"/>
            <w:vAlign w:val="center"/>
            <w:hideMark/>
          </w:tcPr>
          <w:p w14:paraId="20A8B779" w14:textId="77777777" w:rsidR="005A043A" w:rsidRPr="00214F41" w:rsidRDefault="005A043A" w:rsidP="00286762">
            <w:pPr>
              <w:jc w:val="center"/>
              <w:rPr>
                <w:sz w:val="18"/>
                <w:szCs w:val="18"/>
              </w:rPr>
            </w:pPr>
            <w:r w:rsidRPr="00214F41">
              <w:rPr>
                <w:sz w:val="18"/>
                <w:szCs w:val="18"/>
              </w:rPr>
              <w:t>6/145</w:t>
            </w:r>
          </w:p>
        </w:tc>
        <w:tc>
          <w:tcPr>
            <w:tcW w:w="282" w:type="pct"/>
            <w:tcBorders>
              <w:top w:val="nil"/>
              <w:left w:val="nil"/>
              <w:bottom w:val="single" w:sz="4" w:space="0" w:color="auto"/>
              <w:right w:val="single" w:sz="4" w:space="0" w:color="auto"/>
            </w:tcBorders>
            <w:shd w:val="clear" w:color="000000" w:fill="FFFFFF"/>
            <w:vAlign w:val="center"/>
            <w:hideMark/>
          </w:tcPr>
          <w:p w14:paraId="0393698A" w14:textId="77777777" w:rsidR="005A043A" w:rsidRPr="00214F41" w:rsidRDefault="005A043A" w:rsidP="00286762">
            <w:pPr>
              <w:jc w:val="center"/>
              <w:rPr>
                <w:sz w:val="18"/>
                <w:szCs w:val="18"/>
              </w:rPr>
            </w:pPr>
            <w:r w:rsidRPr="00214F41">
              <w:rPr>
                <w:sz w:val="18"/>
                <w:szCs w:val="18"/>
              </w:rPr>
              <w:t>26/141</w:t>
            </w:r>
          </w:p>
        </w:tc>
        <w:tc>
          <w:tcPr>
            <w:tcW w:w="282" w:type="pct"/>
            <w:tcBorders>
              <w:top w:val="nil"/>
              <w:left w:val="nil"/>
              <w:bottom w:val="single" w:sz="4" w:space="0" w:color="auto"/>
              <w:right w:val="single" w:sz="4" w:space="0" w:color="auto"/>
            </w:tcBorders>
            <w:shd w:val="clear" w:color="000000" w:fill="FFFFFF"/>
            <w:vAlign w:val="center"/>
            <w:hideMark/>
          </w:tcPr>
          <w:p w14:paraId="494478AC" w14:textId="77777777" w:rsidR="005A043A" w:rsidRPr="00214F41" w:rsidRDefault="005A043A" w:rsidP="00286762">
            <w:pPr>
              <w:jc w:val="center"/>
              <w:rPr>
                <w:sz w:val="18"/>
                <w:szCs w:val="18"/>
              </w:rPr>
            </w:pPr>
            <w:r w:rsidRPr="00214F41">
              <w:rPr>
                <w:sz w:val="18"/>
                <w:szCs w:val="18"/>
              </w:rPr>
              <w:t>17/145</w:t>
            </w:r>
          </w:p>
        </w:tc>
        <w:tc>
          <w:tcPr>
            <w:tcW w:w="278" w:type="pct"/>
            <w:tcBorders>
              <w:top w:val="nil"/>
              <w:left w:val="nil"/>
              <w:bottom w:val="single" w:sz="4" w:space="0" w:color="auto"/>
              <w:right w:val="single" w:sz="4" w:space="0" w:color="auto"/>
            </w:tcBorders>
            <w:shd w:val="clear" w:color="000000" w:fill="FFFFFF"/>
            <w:vAlign w:val="center"/>
            <w:hideMark/>
          </w:tcPr>
          <w:p w14:paraId="62D63866" w14:textId="77777777" w:rsidR="005A043A" w:rsidRPr="00214F41" w:rsidRDefault="005A043A" w:rsidP="00286762">
            <w:pPr>
              <w:jc w:val="center"/>
              <w:rPr>
                <w:sz w:val="18"/>
                <w:szCs w:val="18"/>
              </w:rPr>
            </w:pPr>
            <w:r w:rsidRPr="00214F41">
              <w:rPr>
                <w:sz w:val="18"/>
                <w:szCs w:val="18"/>
              </w:rPr>
              <w:t>2/141</w:t>
            </w:r>
          </w:p>
        </w:tc>
        <w:tc>
          <w:tcPr>
            <w:tcW w:w="280" w:type="pct"/>
            <w:tcBorders>
              <w:top w:val="nil"/>
              <w:left w:val="nil"/>
              <w:bottom w:val="single" w:sz="4" w:space="0" w:color="auto"/>
              <w:right w:val="single" w:sz="4" w:space="0" w:color="auto"/>
            </w:tcBorders>
            <w:shd w:val="clear" w:color="000000" w:fill="FFFFFF"/>
            <w:vAlign w:val="center"/>
            <w:hideMark/>
          </w:tcPr>
          <w:p w14:paraId="4F3E79B2" w14:textId="77777777" w:rsidR="005A043A" w:rsidRPr="00214F41" w:rsidRDefault="005A043A" w:rsidP="00286762">
            <w:pPr>
              <w:jc w:val="center"/>
              <w:rPr>
                <w:sz w:val="18"/>
                <w:szCs w:val="18"/>
              </w:rPr>
            </w:pPr>
            <w:r w:rsidRPr="00214F41">
              <w:rPr>
                <w:sz w:val="18"/>
                <w:szCs w:val="18"/>
              </w:rPr>
              <w:t>6/145</w:t>
            </w:r>
          </w:p>
        </w:tc>
        <w:tc>
          <w:tcPr>
            <w:tcW w:w="278" w:type="pct"/>
            <w:tcBorders>
              <w:top w:val="nil"/>
              <w:left w:val="nil"/>
              <w:bottom w:val="single" w:sz="4" w:space="0" w:color="auto"/>
              <w:right w:val="single" w:sz="4" w:space="0" w:color="auto"/>
            </w:tcBorders>
            <w:shd w:val="clear" w:color="000000" w:fill="FFFFFF"/>
            <w:vAlign w:val="center"/>
            <w:hideMark/>
          </w:tcPr>
          <w:p w14:paraId="2ACF76EF" w14:textId="77777777" w:rsidR="005A043A" w:rsidRPr="00214F41" w:rsidRDefault="005A043A" w:rsidP="00286762">
            <w:pPr>
              <w:jc w:val="center"/>
              <w:rPr>
                <w:sz w:val="18"/>
                <w:szCs w:val="18"/>
              </w:rPr>
            </w:pPr>
            <w:r w:rsidRPr="00214F41">
              <w:rPr>
                <w:sz w:val="18"/>
                <w:szCs w:val="18"/>
              </w:rPr>
              <w:t>9/141</w:t>
            </w:r>
          </w:p>
        </w:tc>
        <w:tc>
          <w:tcPr>
            <w:tcW w:w="280" w:type="pct"/>
            <w:tcBorders>
              <w:top w:val="nil"/>
              <w:left w:val="nil"/>
              <w:bottom w:val="single" w:sz="4" w:space="0" w:color="auto"/>
              <w:right w:val="single" w:sz="4" w:space="0" w:color="auto"/>
            </w:tcBorders>
            <w:shd w:val="clear" w:color="000000" w:fill="FFFFFF"/>
            <w:vAlign w:val="center"/>
            <w:hideMark/>
          </w:tcPr>
          <w:p w14:paraId="74127D6C" w14:textId="77777777" w:rsidR="005A043A" w:rsidRPr="00214F41" w:rsidRDefault="005A043A" w:rsidP="00286762">
            <w:pPr>
              <w:jc w:val="center"/>
              <w:rPr>
                <w:sz w:val="18"/>
                <w:szCs w:val="18"/>
              </w:rPr>
            </w:pPr>
            <w:r w:rsidRPr="00214F41">
              <w:rPr>
                <w:sz w:val="18"/>
                <w:szCs w:val="18"/>
              </w:rPr>
              <w:t>7/145</w:t>
            </w:r>
          </w:p>
        </w:tc>
        <w:tc>
          <w:tcPr>
            <w:tcW w:w="282" w:type="pct"/>
            <w:tcBorders>
              <w:top w:val="nil"/>
              <w:left w:val="nil"/>
              <w:bottom w:val="single" w:sz="4" w:space="0" w:color="auto"/>
              <w:right w:val="single" w:sz="4" w:space="0" w:color="auto"/>
            </w:tcBorders>
            <w:shd w:val="clear" w:color="000000" w:fill="FFFFFF"/>
            <w:vAlign w:val="center"/>
            <w:hideMark/>
          </w:tcPr>
          <w:p w14:paraId="046286D5" w14:textId="77777777" w:rsidR="005A043A" w:rsidRPr="00214F41" w:rsidRDefault="005A043A" w:rsidP="00286762">
            <w:pPr>
              <w:jc w:val="center"/>
              <w:rPr>
                <w:sz w:val="18"/>
                <w:szCs w:val="18"/>
              </w:rPr>
            </w:pPr>
            <w:r w:rsidRPr="00214F41">
              <w:rPr>
                <w:sz w:val="18"/>
                <w:szCs w:val="18"/>
              </w:rPr>
              <w:t>11/141</w:t>
            </w:r>
          </w:p>
        </w:tc>
        <w:tc>
          <w:tcPr>
            <w:tcW w:w="279" w:type="pct"/>
            <w:tcBorders>
              <w:top w:val="nil"/>
              <w:left w:val="nil"/>
              <w:bottom w:val="single" w:sz="4" w:space="0" w:color="auto"/>
              <w:right w:val="single" w:sz="4" w:space="0" w:color="auto"/>
            </w:tcBorders>
            <w:shd w:val="clear" w:color="000000" w:fill="FFFFFF"/>
            <w:vAlign w:val="center"/>
            <w:hideMark/>
          </w:tcPr>
          <w:p w14:paraId="52DB50C0" w14:textId="77777777" w:rsidR="005A043A" w:rsidRPr="00214F41" w:rsidRDefault="005A043A" w:rsidP="00286762">
            <w:pPr>
              <w:jc w:val="center"/>
              <w:rPr>
                <w:sz w:val="18"/>
                <w:szCs w:val="18"/>
              </w:rPr>
            </w:pPr>
            <w:r w:rsidRPr="00214F41">
              <w:rPr>
                <w:sz w:val="18"/>
                <w:szCs w:val="18"/>
              </w:rPr>
              <w:t>18/145</w:t>
            </w:r>
          </w:p>
        </w:tc>
        <w:tc>
          <w:tcPr>
            <w:tcW w:w="279" w:type="pct"/>
            <w:tcBorders>
              <w:top w:val="nil"/>
              <w:left w:val="nil"/>
              <w:bottom w:val="single" w:sz="4" w:space="0" w:color="auto"/>
              <w:right w:val="single" w:sz="4" w:space="0" w:color="auto"/>
            </w:tcBorders>
            <w:shd w:val="clear" w:color="000000" w:fill="FFFFFF"/>
            <w:vAlign w:val="center"/>
            <w:hideMark/>
          </w:tcPr>
          <w:p w14:paraId="42B5B881" w14:textId="77777777" w:rsidR="005A043A" w:rsidRPr="00214F41" w:rsidRDefault="005A043A" w:rsidP="00286762">
            <w:pPr>
              <w:jc w:val="center"/>
              <w:rPr>
                <w:sz w:val="18"/>
                <w:szCs w:val="18"/>
              </w:rPr>
            </w:pPr>
            <w:r w:rsidRPr="00214F41">
              <w:rPr>
                <w:sz w:val="18"/>
                <w:szCs w:val="18"/>
              </w:rPr>
              <w:t>2/141</w:t>
            </w:r>
          </w:p>
        </w:tc>
        <w:tc>
          <w:tcPr>
            <w:tcW w:w="276" w:type="pct"/>
            <w:tcBorders>
              <w:top w:val="nil"/>
              <w:left w:val="nil"/>
              <w:bottom w:val="single" w:sz="4" w:space="0" w:color="auto"/>
              <w:right w:val="single" w:sz="4" w:space="0" w:color="auto"/>
            </w:tcBorders>
            <w:shd w:val="clear" w:color="000000" w:fill="FFFFFF"/>
            <w:vAlign w:val="center"/>
            <w:hideMark/>
          </w:tcPr>
          <w:p w14:paraId="50741623" w14:textId="77777777" w:rsidR="005A043A" w:rsidRPr="00214F41" w:rsidRDefault="005A043A" w:rsidP="00286762">
            <w:pPr>
              <w:jc w:val="center"/>
              <w:rPr>
                <w:sz w:val="18"/>
                <w:szCs w:val="18"/>
              </w:rPr>
            </w:pPr>
            <w:r w:rsidRPr="00214F41">
              <w:rPr>
                <w:sz w:val="18"/>
                <w:szCs w:val="18"/>
              </w:rPr>
              <w:t>6/145</w:t>
            </w:r>
          </w:p>
        </w:tc>
      </w:tr>
      <w:tr w:rsidR="005A043A" w:rsidRPr="00214F41" w14:paraId="1563AC75" w14:textId="77777777" w:rsidTr="00286762">
        <w:trPr>
          <w:trHeight w:val="42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AD5E9AD" w14:textId="77777777" w:rsidR="005A043A" w:rsidRPr="00214F41" w:rsidRDefault="005A043A" w:rsidP="00286762">
            <w:pPr>
              <w:jc w:val="center"/>
              <w:rPr>
                <w:sz w:val="18"/>
                <w:szCs w:val="18"/>
              </w:rPr>
            </w:pPr>
            <w:r w:rsidRPr="00214F41">
              <w:rPr>
                <w:sz w:val="18"/>
                <w:szCs w:val="18"/>
              </w:rPr>
              <w:t>Rosenstock et al.., 2006</w:t>
            </w:r>
          </w:p>
        </w:tc>
        <w:tc>
          <w:tcPr>
            <w:tcW w:w="318" w:type="pct"/>
            <w:tcBorders>
              <w:top w:val="nil"/>
              <w:left w:val="nil"/>
              <w:bottom w:val="single" w:sz="4" w:space="0" w:color="auto"/>
              <w:right w:val="single" w:sz="4" w:space="0" w:color="auto"/>
            </w:tcBorders>
            <w:shd w:val="clear" w:color="000000" w:fill="FFFFFF"/>
            <w:vAlign w:val="center"/>
            <w:hideMark/>
          </w:tcPr>
          <w:p w14:paraId="2B7286E3" w14:textId="77777777" w:rsidR="005A043A" w:rsidRPr="00214F41" w:rsidRDefault="005A043A" w:rsidP="00286762">
            <w:pPr>
              <w:jc w:val="center"/>
              <w:rPr>
                <w:sz w:val="18"/>
                <w:szCs w:val="18"/>
              </w:rPr>
            </w:pPr>
            <w:r w:rsidRPr="00214F41">
              <w:rPr>
                <w:sz w:val="18"/>
                <w:szCs w:val="18"/>
              </w:rPr>
              <w:t>3/154</w:t>
            </w:r>
          </w:p>
        </w:tc>
        <w:tc>
          <w:tcPr>
            <w:tcW w:w="295" w:type="pct"/>
            <w:tcBorders>
              <w:top w:val="nil"/>
              <w:left w:val="nil"/>
              <w:bottom w:val="single" w:sz="4" w:space="0" w:color="auto"/>
              <w:right w:val="single" w:sz="4" w:space="0" w:color="auto"/>
            </w:tcBorders>
            <w:shd w:val="clear" w:color="000000" w:fill="FFFFFF"/>
            <w:vAlign w:val="center"/>
            <w:hideMark/>
          </w:tcPr>
          <w:p w14:paraId="63AD81D0" w14:textId="77777777" w:rsidR="005A043A" w:rsidRPr="00214F41" w:rsidRDefault="005A043A" w:rsidP="00286762">
            <w:pPr>
              <w:jc w:val="center"/>
              <w:rPr>
                <w:sz w:val="18"/>
                <w:szCs w:val="18"/>
              </w:rPr>
            </w:pPr>
            <w:r w:rsidRPr="00214F41">
              <w:rPr>
                <w:sz w:val="18"/>
                <w:szCs w:val="18"/>
              </w:rPr>
              <w:t>5/159</w:t>
            </w:r>
          </w:p>
        </w:tc>
        <w:tc>
          <w:tcPr>
            <w:tcW w:w="718" w:type="pct"/>
            <w:tcBorders>
              <w:top w:val="nil"/>
              <w:left w:val="nil"/>
              <w:bottom w:val="single" w:sz="4" w:space="0" w:color="auto"/>
              <w:right w:val="single" w:sz="4" w:space="0" w:color="auto"/>
            </w:tcBorders>
            <w:shd w:val="clear" w:color="000000" w:fill="FFFFFF"/>
            <w:vAlign w:val="center"/>
            <w:hideMark/>
          </w:tcPr>
          <w:p w14:paraId="1259F01E"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F5D636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CBC0CB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54174B8" w14:textId="77777777" w:rsidR="005A043A" w:rsidRPr="00214F41" w:rsidRDefault="005A043A" w:rsidP="00286762">
            <w:pPr>
              <w:jc w:val="center"/>
              <w:rPr>
                <w:sz w:val="18"/>
                <w:szCs w:val="18"/>
              </w:rPr>
            </w:pPr>
            <w:r w:rsidRPr="00214F41">
              <w:rPr>
                <w:sz w:val="18"/>
                <w:szCs w:val="18"/>
              </w:rPr>
              <w:t>32/154</w:t>
            </w:r>
          </w:p>
        </w:tc>
        <w:tc>
          <w:tcPr>
            <w:tcW w:w="282" w:type="pct"/>
            <w:tcBorders>
              <w:top w:val="nil"/>
              <w:left w:val="nil"/>
              <w:bottom w:val="single" w:sz="4" w:space="0" w:color="auto"/>
              <w:right w:val="single" w:sz="4" w:space="0" w:color="auto"/>
            </w:tcBorders>
            <w:shd w:val="clear" w:color="000000" w:fill="FFFFFF"/>
            <w:vAlign w:val="center"/>
            <w:hideMark/>
          </w:tcPr>
          <w:p w14:paraId="2B278A51" w14:textId="77777777" w:rsidR="005A043A" w:rsidRPr="00214F41" w:rsidRDefault="005A043A" w:rsidP="00286762">
            <w:pPr>
              <w:jc w:val="center"/>
              <w:rPr>
                <w:sz w:val="18"/>
                <w:szCs w:val="18"/>
              </w:rPr>
            </w:pPr>
            <w:r w:rsidRPr="00214F41">
              <w:rPr>
                <w:sz w:val="18"/>
                <w:szCs w:val="18"/>
              </w:rPr>
              <w:t>11/159</w:t>
            </w:r>
          </w:p>
        </w:tc>
        <w:tc>
          <w:tcPr>
            <w:tcW w:w="278" w:type="pct"/>
            <w:tcBorders>
              <w:top w:val="nil"/>
              <w:left w:val="nil"/>
              <w:bottom w:val="single" w:sz="4" w:space="0" w:color="auto"/>
              <w:right w:val="single" w:sz="4" w:space="0" w:color="auto"/>
            </w:tcBorders>
            <w:shd w:val="clear" w:color="000000" w:fill="FFFFFF"/>
            <w:vAlign w:val="center"/>
            <w:hideMark/>
          </w:tcPr>
          <w:p w14:paraId="26F2063E" w14:textId="77777777" w:rsidR="005A043A" w:rsidRPr="00214F41" w:rsidRDefault="005A043A" w:rsidP="00286762">
            <w:pPr>
              <w:jc w:val="center"/>
              <w:rPr>
                <w:sz w:val="18"/>
                <w:szCs w:val="18"/>
              </w:rPr>
            </w:pPr>
            <w:r w:rsidRPr="00214F41">
              <w:rPr>
                <w:sz w:val="18"/>
                <w:szCs w:val="18"/>
              </w:rPr>
              <w:t>20/154</w:t>
            </w:r>
          </w:p>
        </w:tc>
        <w:tc>
          <w:tcPr>
            <w:tcW w:w="280" w:type="pct"/>
            <w:tcBorders>
              <w:top w:val="nil"/>
              <w:left w:val="nil"/>
              <w:bottom w:val="single" w:sz="4" w:space="0" w:color="auto"/>
              <w:right w:val="single" w:sz="4" w:space="0" w:color="auto"/>
            </w:tcBorders>
            <w:shd w:val="clear" w:color="000000" w:fill="FFFFFF"/>
            <w:vAlign w:val="center"/>
            <w:hideMark/>
          </w:tcPr>
          <w:p w14:paraId="2DE63092" w14:textId="77777777" w:rsidR="005A043A" w:rsidRPr="00214F41" w:rsidRDefault="005A043A" w:rsidP="00286762">
            <w:pPr>
              <w:jc w:val="center"/>
              <w:rPr>
                <w:sz w:val="18"/>
                <w:szCs w:val="18"/>
              </w:rPr>
            </w:pPr>
            <w:r w:rsidRPr="00214F41">
              <w:rPr>
                <w:sz w:val="18"/>
                <w:szCs w:val="18"/>
              </w:rPr>
              <w:t>13/159</w:t>
            </w:r>
          </w:p>
        </w:tc>
        <w:tc>
          <w:tcPr>
            <w:tcW w:w="278" w:type="pct"/>
            <w:tcBorders>
              <w:top w:val="nil"/>
              <w:left w:val="nil"/>
              <w:bottom w:val="single" w:sz="4" w:space="0" w:color="auto"/>
              <w:right w:val="single" w:sz="4" w:space="0" w:color="auto"/>
            </w:tcBorders>
            <w:shd w:val="clear" w:color="000000" w:fill="FFFFFF"/>
            <w:vAlign w:val="center"/>
            <w:hideMark/>
          </w:tcPr>
          <w:p w14:paraId="72E225C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8D0543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B3B341F" w14:textId="77777777" w:rsidR="005A043A" w:rsidRPr="00214F41" w:rsidRDefault="005A043A" w:rsidP="00286762">
            <w:pPr>
              <w:jc w:val="center"/>
              <w:rPr>
                <w:sz w:val="18"/>
                <w:szCs w:val="18"/>
              </w:rPr>
            </w:pPr>
            <w:r w:rsidRPr="00214F41">
              <w:rPr>
                <w:sz w:val="18"/>
                <w:szCs w:val="18"/>
              </w:rPr>
              <w:t>20/154</w:t>
            </w:r>
          </w:p>
        </w:tc>
        <w:tc>
          <w:tcPr>
            <w:tcW w:w="279" w:type="pct"/>
            <w:tcBorders>
              <w:top w:val="nil"/>
              <w:left w:val="nil"/>
              <w:bottom w:val="single" w:sz="4" w:space="0" w:color="auto"/>
              <w:right w:val="single" w:sz="4" w:space="0" w:color="auto"/>
            </w:tcBorders>
            <w:shd w:val="clear" w:color="000000" w:fill="FFFFFF"/>
            <w:vAlign w:val="center"/>
            <w:hideMark/>
          </w:tcPr>
          <w:p w14:paraId="494B4BF3" w14:textId="77777777" w:rsidR="005A043A" w:rsidRPr="00214F41" w:rsidRDefault="005A043A" w:rsidP="00286762">
            <w:pPr>
              <w:jc w:val="center"/>
              <w:rPr>
                <w:sz w:val="18"/>
                <w:szCs w:val="18"/>
              </w:rPr>
            </w:pPr>
            <w:r w:rsidRPr="00214F41">
              <w:rPr>
                <w:sz w:val="18"/>
                <w:szCs w:val="18"/>
              </w:rPr>
              <w:t>13/159</w:t>
            </w:r>
          </w:p>
        </w:tc>
        <w:tc>
          <w:tcPr>
            <w:tcW w:w="279" w:type="pct"/>
            <w:tcBorders>
              <w:top w:val="nil"/>
              <w:left w:val="nil"/>
              <w:bottom w:val="single" w:sz="4" w:space="0" w:color="auto"/>
              <w:right w:val="single" w:sz="4" w:space="0" w:color="auto"/>
            </w:tcBorders>
            <w:shd w:val="clear" w:color="000000" w:fill="FFFFFF"/>
            <w:vAlign w:val="center"/>
            <w:hideMark/>
          </w:tcPr>
          <w:p w14:paraId="68AD761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6197BE1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DAE346F" w14:textId="77777777" w:rsidTr="00286762">
        <w:trPr>
          <w:trHeight w:val="41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2BDBB7E8" w14:textId="77777777" w:rsidR="005A043A" w:rsidRPr="00214F41" w:rsidRDefault="005A043A" w:rsidP="00286762">
            <w:pPr>
              <w:jc w:val="center"/>
              <w:rPr>
                <w:sz w:val="18"/>
                <w:szCs w:val="18"/>
              </w:rPr>
            </w:pPr>
            <w:proofErr w:type="spellStart"/>
            <w:r w:rsidRPr="00214F41">
              <w:rPr>
                <w:sz w:val="18"/>
                <w:szCs w:val="18"/>
              </w:rPr>
              <w:t>Rosnstock</w:t>
            </w:r>
            <w:proofErr w:type="spellEnd"/>
            <w:r w:rsidRPr="00214F41">
              <w:rPr>
                <w:sz w:val="18"/>
                <w:szCs w:val="18"/>
              </w:rPr>
              <w:t xml:space="preserve"> et al., 2016</w:t>
            </w:r>
          </w:p>
        </w:tc>
        <w:tc>
          <w:tcPr>
            <w:tcW w:w="318" w:type="pct"/>
            <w:tcBorders>
              <w:top w:val="nil"/>
              <w:left w:val="nil"/>
              <w:bottom w:val="single" w:sz="4" w:space="0" w:color="auto"/>
              <w:right w:val="single" w:sz="4" w:space="0" w:color="auto"/>
            </w:tcBorders>
            <w:shd w:val="clear" w:color="000000" w:fill="FFFFFF"/>
            <w:vAlign w:val="center"/>
            <w:hideMark/>
          </w:tcPr>
          <w:p w14:paraId="272B09FD" w14:textId="77777777" w:rsidR="005A043A" w:rsidRPr="00214F41" w:rsidRDefault="005A043A" w:rsidP="00286762">
            <w:pPr>
              <w:jc w:val="center"/>
              <w:rPr>
                <w:sz w:val="18"/>
                <w:szCs w:val="18"/>
              </w:rPr>
            </w:pPr>
            <w:r w:rsidRPr="00214F41">
              <w:rPr>
                <w:sz w:val="18"/>
                <w:szCs w:val="18"/>
              </w:rPr>
              <w:t>4/237</w:t>
            </w:r>
          </w:p>
        </w:tc>
        <w:tc>
          <w:tcPr>
            <w:tcW w:w="295" w:type="pct"/>
            <w:tcBorders>
              <w:top w:val="nil"/>
              <w:left w:val="nil"/>
              <w:bottom w:val="single" w:sz="4" w:space="0" w:color="auto"/>
              <w:right w:val="single" w:sz="4" w:space="0" w:color="auto"/>
            </w:tcBorders>
            <w:shd w:val="clear" w:color="000000" w:fill="FFFFFF"/>
            <w:vAlign w:val="center"/>
            <w:hideMark/>
          </w:tcPr>
          <w:p w14:paraId="392AE60F" w14:textId="77777777" w:rsidR="005A043A" w:rsidRPr="00214F41" w:rsidRDefault="005A043A" w:rsidP="00286762">
            <w:pPr>
              <w:jc w:val="center"/>
              <w:rPr>
                <w:sz w:val="18"/>
                <w:szCs w:val="18"/>
              </w:rPr>
            </w:pPr>
            <w:r w:rsidRPr="00214F41">
              <w:rPr>
                <w:sz w:val="18"/>
                <w:szCs w:val="18"/>
              </w:rPr>
              <w:t>3/237</w:t>
            </w:r>
          </w:p>
        </w:tc>
        <w:tc>
          <w:tcPr>
            <w:tcW w:w="718" w:type="pct"/>
            <w:tcBorders>
              <w:top w:val="nil"/>
              <w:left w:val="nil"/>
              <w:bottom w:val="single" w:sz="4" w:space="0" w:color="auto"/>
              <w:right w:val="single" w:sz="4" w:space="0" w:color="auto"/>
            </w:tcBorders>
            <w:shd w:val="clear" w:color="000000" w:fill="FFFFFF"/>
            <w:vAlign w:val="center"/>
            <w:hideMark/>
          </w:tcPr>
          <w:p w14:paraId="3DC89B4D"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3FAA83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215597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8162F9B" w14:textId="77777777" w:rsidR="005A043A" w:rsidRPr="00214F41" w:rsidRDefault="005A043A" w:rsidP="00286762">
            <w:pPr>
              <w:jc w:val="center"/>
              <w:rPr>
                <w:sz w:val="18"/>
                <w:szCs w:val="18"/>
              </w:rPr>
            </w:pPr>
            <w:r w:rsidRPr="00214F41">
              <w:rPr>
                <w:sz w:val="18"/>
                <w:szCs w:val="18"/>
              </w:rPr>
              <w:t>3/237</w:t>
            </w:r>
          </w:p>
        </w:tc>
        <w:tc>
          <w:tcPr>
            <w:tcW w:w="282" w:type="pct"/>
            <w:tcBorders>
              <w:top w:val="nil"/>
              <w:left w:val="nil"/>
              <w:bottom w:val="single" w:sz="4" w:space="0" w:color="auto"/>
              <w:right w:val="single" w:sz="4" w:space="0" w:color="auto"/>
            </w:tcBorders>
            <w:shd w:val="clear" w:color="000000" w:fill="FFFFFF"/>
            <w:vAlign w:val="center"/>
            <w:hideMark/>
          </w:tcPr>
          <w:p w14:paraId="262D0D13" w14:textId="77777777" w:rsidR="005A043A" w:rsidRPr="00214F41" w:rsidRDefault="005A043A" w:rsidP="00286762">
            <w:pPr>
              <w:jc w:val="center"/>
              <w:rPr>
                <w:sz w:val="18"/>
                <w:szCs w:val="18"/>
              </w:rPr>
            </w:pPr>
            <w:r w:rsidRPr="00214F41">
              <w:rPr>
                <w:sz w:val="18"/>
                <w:szCs w:val="18"/>
              </w:rPr>
              <w:t>3/237</w:t>
            </w:r>
          </w:p>
        </w:tc>
        <w:tc>
          <w:tcPr>
            <w:tcW w:w="278" w:type="pct"/>
            <w:tcBorders>
              <w:top w:val="nil"/>
              <w:left w:val="nil"/>
              <w:bottom w:val="single" w:sz="4" w:space="0" w:color="auto"/>
              <w:right w:val="single" w:sz="4" w:space="0" w:color="auto"/>
            </w:tcBorders>
            <w:shd w:val="clear" w:color="000000" w:fill="FFFFFF"/>
            <w:vAlign w:val="center"/>
            <w:hideMark/>
          </w:tcPr>
          <w:p w14:paraId="295B5B7C" w14:textId="77777777" w:rsidR="005A043A" w:rsidRPr="00214F41" w:rsidRDefault="005A043A" w:rsidP="00286762">
            <w:pPr>
              <w:jc w:val="center"/>
              <w:rPr>
                <w:sz w:val="18"/>
                <w:szCs w:val="18"/>
              </w:rPr>
            </w:pPr>
            <w:r w:rsidRPr="00214F41">
              <w:rPr>
                <w:sz w:val="18"/>
                <w:szCs w:val="18"/>
              </w:rPr>
              <w:t>7/237</w:t>
            </w:r>
          </w:p>
        </w:tc>
        <w:tc>
          <w:tcPr>
            <w:tcW w:w="280" w:type="pct"/>
            <w:tcBorders>
              <w:top w:val="nil"/>
              <w:left w:val="nil"/>
              <w:bottom w:val="single" w:sz="4" w:space="0" w:color="auto"/>
              <w:right w:val="single" w:sz="4" w:space="0" w:color="auto"/>
            </w:tcBorders>
            <w:shd w:val="clear" w:color="000000" w:fill="FFFFFF"/>
            <w:vAlign w:val="center"/>
            <w:hideMark/>
          </w:tcPr>
          <w:p w14:paraId="30D165C3" w14:textId="77777777" w:rsidR="005A043A" w:rsidRPr="00214F41" w:rsidRDefault="005A043A" w:rsidP="00286762">
            <w:pPr>
              <w:jc w:val="center"/>
              <w:rPr>
                <w:sz w:val="18"/>
                <w:szCs w:val="18"/>
              </w:rPr>
            </w:pPr>
            <w:r w:rsidRPr="00214F41">
              <w:rPr>
                <w:sz w:val="18"/>
                <w:szCs w:val="18"/>
              </w:rPr>
              <w:t>1/137</w:t>
            </w:r>
          </w:p>
        </w:tc>
        <w:tc>
          <w:tcPr>
            <w:tcW w:w="278" w:type="pct"/>
            <w:tcBorders>
              <w:top w:val="nil"/>
              <w:left w:val="nil"/>
              <w:bottom w:val="single" w:sz="4" w:space="0" w:color="auto"/>
              <w:right w:val="single" w:sz="4" w:space="0" w:color="auto"/>
            </w:tcBorders>
            <w:shd w:val="clear" w:color="000000" w:fill="FFFFFF"/>
            <w:vAlign w:val="center"/>
            <w:hideMark/>
          </w:tcPr>
          <w:p w14:paraId="6C39A8C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B0CCA4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4BA27D2" w14:textId="77777777" w:rsidR="005A043A" w:rsidRPr="00214F41" w:rsidRDefault="005A043A" w:rsidP="00286762">
            <w:pPr>
              <w:jc w:val="center"/>
              <w:rPr>
                <w:sz w:val="18"/>
                <w:szCs w:val="18"/>
              </w:rPr>
            </w:pPr>
            <w:r w:rsidRPr="00214F41">
              <w:rPr>
                <w:sz w:val="18"/>
                <w:szCs w:val="18"/>
              </w:rPr>
              <w:t>7/237</w:t>
            </w:r>
          </w:p>
        </w:tc>
        <w:tc>
          <w:tcPr>
            <w:tcW w:w="279" w:type="pct"/>
            <w:tcBorders>
              <w:top w:val="nil"/>
              <w:left w:val="nil"/>
              <w:bottom w:val="single" w:sz="4" w:space="0" w:color="auto"/>
              <w:right w:val="single" w:sz="4" w:space="0" w:color="auto"/>
            </w:tcBorders>
            <w:shd w:val="clear" w:color="000000" w:fill="FFFFFF"/>
            <w:vAlign w:val="center"/>
            <w:hideMark/>
          </w:tcPr>
          <w:p w14:paraId="64966526" w14:textId="77777777" w:rsidR="005A043A" w:rsidRPr="00214F41" w:rsidRDefault="005A043A" w:rsidP="00286762">
            <w:pPr>
              <w:jc w:val="center"/>
              <w:rPr>
                <w:sz w:val="18"/>
                <w:szCs w:val="18"/>
              </w:rPr>
            </w:pPr>
            <w:r w:rsidRPr="00214F41">
              <w:rPr>
                <w:sz w:val="18"/>
                <w:szCs w:val="18"/>
              </w:rPr>
              <w:t>1/237</w:t>
            </w:r>
          </w:p>
        </w:tc>
        <w:tc>
          <w:tcPr>
            <w:tcW w:w="279" w:type="pct"/>
            <w:tcBorders>
              <w:top w:val="nil"/>
              <w:left w:val="nil"/>
              <w:bottom w:val="single" w:sz="4" w:space="0" w:color="auto"/>
              <w:right w:val="single" w:sz="4" w:space="0" w:color="auto"/>
            </w:tcBorders>
            <w:shd w:val="clear" w:color="000000" w:fill="FFFFFF"/>
            <w:vAlign w:val="center"/>
            <w:hideMark/>
          </w:tcPr>
          <w:p w14:paraId="78B3560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12F8CBC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2F3F4CEA" w14:textId="77777777" w:rsidTr="00286762">
        <w:trPr>
          <w:trHeight w:val="565"/>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F1E676E" w14:textId="77777777" w:rsidR="005A043A" w:rsidRPr="00214F41" w:rsidRDefault="005A043A" w:rsidP="00286762">
            <w:pPr>
              <w:jc w:val="center"/>
              <w:rPr>
                <w:sz w:val="18"/>
                <w:szCs w:val="18"/>
              </w:rPr>
            </w:pPr>
            <w:r w:rsidRPr="00214F41">
              <w:rPr>
                <w:sz w:val="18"/>
                <w:szCs w:val="18"/>
              </w:rPr>
              <w:lastRenderedPageBreak/>
              <w:t>Russell-Jones et al., 2012</w:t>
            </w:r>
          </w:p>
        </w:tc>
        <w:tc>
          <w:tcPr>
            <w:tcW w:w="318" w:type="pct"/>
            <w:tcBorders>
              <w:top w:val="nil"/>
              <w:left w:val="nil"/>
              <w:bottom w:val="single" w:sz="4" w:space="0" w:color="auto"/>
              <w:right w:val="single" w:sz="4" w:space="0" w:color="auto"/>
            </w:tcBorders>
            <w:shd w:val="clear" w:color="000000" w:fill="FFFFFF"/>
            <w:vAlign w:val="center"/>
            <w:hideMark/>
          </w:tcPr>
          <w:p w14:paraId="5C72D062" w14:textId="77777777" w:rsidR="005A043A" w:rsidRPr="00214F41" w:rsidRDefault="005A043A" w:rsidP="00286762">
            <w:pPr>
              <w:jc w:val="center"/>
              <w:rPr>
                <w:sz w:val="18"/>
                <w:szCs w:val="18"/>
              </w:rPr>
            </w:pPr>
            <w:r w:rsidRPr="00214F41">
              <w:rPr>
                <w:sz w:val="18"/>
                <w:szCs w:val="18"/>
              </w:rPr>
              <w:t>6/246</w:t>
            </w:r>
          </w:p>
        </w:tc>
        <w:tc>
          <w:tcPr>
            <w:tcW w:w="295" w:type="pct"/>
            <w:tcBorders>
              <w:top w:val="nil"/>
              <w:left w:val="nil"/>
              <w:bottom w:val="single" w:sz="4" w:space="0" w:color="auto"/>
              <w:right w:val="single" w:sz="4" w:space="0" w:color="auto"/>
            </w:tcBorders>
            <w:shd w:val="clear" w:color="000000" w:fill="FFFFFF"/>
            <w:vAlign w:val="center"/>
            <w:hideMark/>
          </w:tcPr>
          <w:p w14:paraId="3BB12F3F" w14:textId="77777777" w:rsidR="005A043A" w:rsidRPr="00214F41" w:rsidRDefault="005A043A" w:rsidP="00286762">
            <w:pPr>
              <w:jc w:val="center"/>
              <w:rPr>
                <w:sz w:val="18"/>
                <w:szCs w:val="18"/>
              </w:rPr>
            </w:pPr>
            <w:r w:rsidRPr="00214F41">
              <w:rPr>
                <w:sz w:val="18"/>
                <w:szCs w:val="18"/>
              </w:rPr>
              <w:t>5/163</w:t>
            </w:r>
          </w:p>
        </w:tc>
        <w:tc>
          <w:tcPr>
            <w:tcW w:w="718" w:type="pct"/>
            <w:tcBorders>
              <w:top w:val="nil"/>
              <w:left w:val="nil"/>
              <w:bottom w:val="single" w:sz="4" w:space="0" w:color="auto"/>
              <w:right w:val="single" w:sz="4" w:space="0" w:color="auto"/>
            </w:tcBorders>
            <w:shd w:val="clear" w:color="000000" w:fill="FFFFFF"/>
            <w:vAlign w:val="center"/>
            <w:hideMark/>
          </w:tcPr>
          <w:p w14:paraId="176E5017" w14:textId="77777777" w:rsidR="005A043A" w:rsidRPr="00214F41" w:rsidRDefault="005A043A" w:rsidP="00286762">
            <w:pPr>
              <w:jc w:val="center"/>
              <w:rPr>
                <w:sz w:val="18"/>
                <w:szCs w:val="18"/>
                <w:lang w:val="en-GB"/>
              </w:rPr>
            </w:pPr>
            <w:r w:rsidRPr="00214F41">
              <w:rPr>
                <w:sz w:val="18"/>
                <w:szCs w:val="18"/>
                <w:lang w:val="en-GB"/>
              </w:rPr>
              <w:t xml:space="preserve">most frequently nausea and vomiting </w:t>
            </w:r>
          </w:p>
        </w:tc>
        <w:tc>
          <w:tcPr>
            <w:tcW w:w="282" w:type="pct"/>
            <w:tcBorders>
              <w:top w:val="nil"/>
              <w:left w:val="nil"/>
              <w:bottom w:val="single" w:sz="4" w:space="0" w:color="auto"/>
              <w:right w:val="single" w:sz="4" w:space="0" w:color="auto"/>
            </w:tcBorders>
            <w:shd w:val="clear" w:color="000000" w:fill="FFFFFF"/>
            <w:vAlign w:val="center"/>
            <w:hideMark/>
          </w:tcPr>
          <w:p w14:paraId="7E0351C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0652DD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49B5B68" w14:textId="77777777" w:rsidR="005A043A" w:rsidRPr="00214F41" w:rsidRDefault="005A043A" w:rsidP="00286762">
            <w:pPr>
              <w:jc w:val="center"/>
              <w:rPr>
                <w:sz w:val="18"/>
                <w:szCs w:val="18"/>
              </w:rPr>
            </w:pPr>
            <w:r w:rsidRPr="00214F41">
              <w:rPr>
                <w:sz w:val="18"/>
                <w:szCs w:val="18"/>
              </w:rPr>
              <w:t>31/246</w:t>
            </w:r>
          </w:p>
        </w:tc>
        <w:tc>
          <w:tcPr>
            <w:tcW w:w="282" w:type="pct"/>
            <w:tcBorders>
              <w:top w:val="nil"/>
              <w:left w:val="nil"/>
              <w:bottom w:val="single" w:sz="4" w:space="0" w:color="auto"/>
              <w:right w:val="single" w:sz="4" w:space="0" w:color="auto"/>
            </w:tcBorders>
            <w:shd w:val="clear" w:color="000000" w:fill="FFFFFF"/>
            <w:vAlign w:val="center"/>
            <w:hideMark/>
          </w:tcPr>
          <w:p w14:paraId="770E6C43" w14:textId="77777777" w:rsidR="005A043A" w:rsidRPr="00214F41" w:rsidRDefault="005A043A" w:rsidP="00286762">
            <w:pPr>
              <w:jc w:val="center"/>
              <w:rPr>
                <w:sz w:val="18"/>
                <w:szCs w:val="18"/>
              </w:rPr>
            </w:pPr>
            <w:r w:rsidRPr="00214F41">
              <w:rPr>
                <w:sz w:val="18"/>
                <w:szCs w:val="18"/>
              </w:rPr>
              <w:t>6/163</w:t>
            </w:r>
          </w:p>
        </w:tc>
        <w:tc>
          <w:tcPr>
            <w:tcW w:w="278" w:type="pct"/>
            <w:tcBorders>
              <w:top w:val="nil"/>
              <w:left w:val="nil"/>
              <w:bottom w:val="single" w:sz="4" w:space="0" w:color="auto"/>
              <w:right w:val="single" w:sz="4" w:space="0" w:color="auto"/>
            </w:tcBorders>
            <w:shd w:val="clear" w:color="000000" w:fill="FFFFFF"/>
            <w:vAlign w:val="center"/>
            <w:hideMark/>
          </w:tcPr>
          <w:p w14:paraId="7F5C2B1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DEF039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25690AF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49D6D3D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18AA438" w14:textId="77777777" w:rsidR="005A043A" w:rsidRPr="00214F41" w:rsidRDefault="005A043A" w:rsidP="00286762">
            <w:pPr>
              <w:jc w:val="center"/>
              <w:rPr>
                <w:sz w:val="18"/>
                <w:szCs w:val="18"/>
              </w:rPr>
            </w:pPr>
            <w:r w:rsidRPr="00214F41">
              <w:rPr>
                <w:sz w:val="18"/>
                <w:szCs w:val="18"/>
              </w:rPr>
              <w:t>17/246</w:t>
            </w:r>
          </w:p>
        </w:tc>
        <w:tc>
          <w:tcPr>
            <w:tcW w:w="279" w:type="pct"/>
            <w:tcBorders>
              <w:top w:val="nil"/>
              <w:left w:val="nil"/>
              <w:bottom w:val="single" w:sz="4" w:space="0" w:color="auto"/>
              <w:right w:val="single" w:sz="4" w:space="0" w:color="auto"/>
            </w:tcBorders>
            <w:shd w:val="clear" w:color="000000" w:fill="FFFFFF"/>
            <w:vAlign w:val="center"/>
            <w:hideMark/>
          </w:tcPr>
          <w:p w14:paraId="4ECAD781" w14:textId="77777777" w:rsidR="005A043A" w:rsidRPr="00214F41" w:rsidRDefault="005A043A" w:rsidP="00286762">
            <w:pPr>
              <w:jc w:val="center"/>
              <w:rPr>
                <w:sz w:val="18"/>
                <w:szCs w:val="18"/>
              </w:rPr>
            </w:pPr>
            <w:r w:rsidRPr="00214F41">
              <w:rPr>
                <w:sz w:val="18"/>
                <w:szCs w:val="18"/>
              </w:rPr>
              <w:t>7/163</w:t>
            </w:r>
          </w:p>
        </w:tc>
        <w:tc>
          <w:tcPr>
            <w:tcW w:w="279" w:type="pct"/>
            <w:tcBorders>
              <w:top w:val="nil"/>
              <w:left w:val="nil"/>
              <w:bottom w:val="single" w:sz="4" w:space="0" w:color="auto"/>
              <w:right w:val="single" w:sz="4" w:space="0" w:color="auto"/>
            </w:tcBorders>
            <w:shd w:val="clear" w:color="000000" w:fill="FFFFFF"/>
            <w:vAlign w:val="center"/>
            <w:hideMark/>
          </w:tcPr>
          <w:p w14:paraId="56BA3D90" w14:textId="77777777" w:rsidR="005A043A" w:rsidRPr="00214F41" w:rsidRDefault="005A043A" w:rsidP="00286762">
            <w:pPr>
              <w:jc w:val="center"/>
              <w:rPr>
                <w:sz w:val="18"/>
                <w:szCs w:val="18"/>
              </w:rPr>
            </w:pPr>
            <w:r w:rsidRPr="00214F41">
              <w:rPr>
                <w:sz w:val="18"/>
                <w:szCs w:val="18"/>
              </w:rPr>
              <w:t>8/246</w:t>
            </w:r>
          </w:p>
        </w:tc>
        <w:tc>
          <w:tcPr>
            <w:tcW w:w="276" w:type="pct"/>
            <w:tcBorders>
              <w:top w:val="nil"/>
              <w:left w:val="nil"/>
              <w:bottom w:val="single" w:sz="4" w:space="0" w:color="auto"/>
              <w:right w:val="single" w:sz="4" w:space="0" w:color="auto"/>
            </w:tcBorders>
            <w:shd w:val="clear" w:color="000000" w:fill="FFFFFF"/>
            <w:vAlign w:val="center"/>
            <w:hideMark/>
          </w:tcPr>
          <w:p w14:paraId="41D8A503" w14:textId="77777777" w:rsidR="005A043A" w:rsidRPr="00214F41" w:rsidRDefault="005A043A" w:rsidP="00286762">
            <w:pPr>
              <w:jc w:val="center"/>
              <w:rPr>
                <w:sz w:val="18"/>
                <w:szCs w:val="18"/>
              </w:rPr>
            </w:pPr>
            <w:r w:rsidRPr="00214F41">
              <w:rPr>
                <w:sz w:val="18"/>
                <w:szCs w:val="18"/>
              </w:rPr>
              <w:t>3/163</w:t>
            </w:r>
          </w:p>
        </w:tc>
      </w:tr>
      <w:tr w:rsidR="005A043A" w:rsidRPr="00214F41" w14:paraId="5B85BA20" w14:textId="77777777" w:rsidTr="00286762">
        <w:trPr>
          <w:trHeight w:val="40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2A768B45" w14:textId="77777777" w:rsidR="005A043A" w:rsidRPr="00214F41" w:rsidRDefault="005A043A" w:rsidP="00286762">
            <w:pPr>
              <w:jc w:val="center"/>
              <w:rPr>
                <w:sz w:val="18"/>
                <w:szCs w:val="18"/>
              </w:rPr>
            </w:pPr>
            <w:r w:rsidRPr="00214F41">
              <w:rPr>
                <w:sz w:val="18"/>
                <w:szCs w:val="18"/>
              </w:rPr>
              <w:t>Schwartz et al., 2004</w:t>
            </w:r>
          </w:p>
        </w:tc>
        <w:tc>
          <w:tcPr>
            <w:tcW w:w="318" w:type="pct"/>
            <w:tcBorders>
              <w:top w:val="nil"/>
              <w:left w:val="nil"/>
              <w:bottom w:val="single" w:sz="4" w:space="0" w:color="auto"/>
              <w:right w:val="single" w:sz="4" w:space="0" w:color="auto"/>
            </w:tcBorders>
            <w:shd w:val="clear" w:color="000000" w:fill="FFFFFF"/>
            <w:vAlign w:val="center"/>
            <w:hideMark/>
          </w:tcPr>
          <w:p w14:paraId="20C99CE0" w14:textId="77777777" w:rsidR="005A043A" w:rsidRPr="00214F41" w:rsidRDefault="005A043A" w:rsidP="00286762">
            <w:pPr>
              <w:jc w:val="center"/>
              <w:rPr>
                <w:sz w:val="18"/>
                <w:szCs w:val="18"/>
              </w:rPr>
            </w:pPr>
            <w:r w:rsidRPr="00214F41">
              <w:rPr>
                <w:sz w:val="18"/>
                <w:szCs w:val="18"/>
              </w:rPr>
              <w:t>39/597</w:t>
            </w:r>
          </w:p>
        </w:tc>
        <w:tc>
          <w:tcPr>
            <w:tcW w:w="295" w:type="pct"/>
            <w:tcBorders>
              <w:top w:val="nil"/>
              <w:left w:val="nil"/>
              <w:bottom w:val="single" w:sz="4" w:space="0" w:color="auto"/>
              <w:right w:val="single" w:sz="4" w:space="0" w:color="auto"/>
            </w:tcBorders>
            <w:shd w:val="clear" w:color="000000" w:fill="FFFFFF"/>
            <w:vAlign w:val="center"/>
            <w:hideMark/>
          </w:tcPr>
          <w:p w14:paraId="719409CD" w14:textId="77777777" w:rsidR="005A043A" w:rsidRPr="00214F41" w:rsidRDefault="005A043A" w:rsidP="00286762">
            <w:pPr>
              <w:jc w:val="center"/>
              <w:rPr>
                <w:sz w:val="18"/>
                <w:szCs w:val="18"/>
              </w:rPr>
            </w:pPr>
            <w:r w:rsidRPr="00214F41">
              <w:rPr>
                <w:sz w:val="18"/>
                <w:szCs w:val="18"/>
              </w:rPr>
              <w:t>42/597</w:t>
            </w:r>
          </w:p>
        </w:tc>
        <w:tc>
          <w:tcPr>
            <w:tcW w:w="718" w:type="pct"/>
            <w:tcBorders>
              <w:top w:val="nil"/>
              <w:left w:val="nil"/>
              <w:bottom w:val="single" w:sz="4" w:space="0" w:color="auto"/>
              <w:right w:val="single" w:sz="4" w:space="0" w:color="auto"/>
            </w:tcBorders>
            <w:shd w:val="clear" w:color="000000" w:fill="FFFFFF"/>
            <w:vAlign w:val="center"/>
            <w:hideMark/>
          </w:tcPr>
          <w:p w14:paraId="5748E1CD" w14:textId="77777777" w:rsidR="005A043A" w:rsidRPr="00214F41" w:rsidRDefault="005A043A" w:rsidP="00286762">
            <w:pPr>
              <w:jc w:val="center"/>
              <w:rPr>
                <w:sz w:val="18"/>
                <w:szCs w:val="18"/>
              </w:rPr>
            </w:pPr>
            <w:r w:rsidRPr="00214F41">
              <w:rPr>
                <w:sz w:val="18"/>
                <w:szCs w:val="18"/>
                <w:lang w:val="en-GB"/>
              </w:rPr>
              <w:t xml:space="preserve">most frequently </w:t>
            </w:r>
            <w:r w:rsidRPr="00214F41">
              <w:rPr>
                <w:sz w:val="18"/>
                <w:szCs w:val="18"/>
              </w:rPr>
              <w:t>diarrhea</w:t>
            </w:r>
          </w:p>
        </w:tc>
        <w:tc>
          <w:tcPr>
            <w:tcW w:w="282" w:type="pct"/>
            <w:tcBorders>
              <w:top w:val="nil"/>
              <w:left w:val="nil"/>
              <w:bottom w:val="single" w:sz="4" w:space="0" w:color="auto"/>
              <w:right w:val="single" w:sz="4" w:space="0" w:color="auto"/>
            </w:tcBorders>
            <w:shd w:val="clear" w:color="000000" w:fill="FFFFFF"/>
            <w:vAlign w:val="center"/>
            <w:hideMark/>
          </w:tcPr>
          <w:p w14:paraId="220B57B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830734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5C23670" w14:textId="77777777" w:rsidR="005A043A" w:rsidRPr="00214F41" w:rsidRDefault="005A043A" w:rsidP="00286762">
            <w:pPr>
              <w:jc w:val="center"/>
              <w:rPr>
                <w:sz w:val="18"/>
                <w:szCs w:val="18"/>
              </w:rPr>
            </w:pPr>
            <w:r w:rsidRPr="00214F41">
              <w:rPr>
                <w:sz w:val="18"/>
                <w:szCs w:val="18"/>
              </w:rPr>
              <w:t>66/597</w:t>
            </w:r>
          </w:p>
        </w:tc>
        <w:tc>
          <w:tcPr>
            <w:tcW w:w="282" w:type="pct"/>
            <w:tcBorders>
              <w:top w:val="nil"/>
              <w:left w:val="nil"/>
              <w:bottom w:val="single" w:sz="4" w:space="0" w:color="auto"/>
              <w:right w:val="single" w:sz="4" w:space="0" w:color="auto"/>
            </w:tcBorders>
            <w:shd w:val="clear" w:color="000000" w:fill="FFFFFF"/>
            <w:vAlign w:val="center"/>
            <w:hideMark/>
          </w:tcPr>
          <w:p w14:paraId="66AF5EDF" w14:textId="77777777" w:rsidR="005A043A" w:rsidRPr="00214F41" w:rsidRDefault="005A043A" w:rsidP="00286762">
            <w:pPr>
              <w:jc w:val="center"/>
              <w:rPr>
                <w:sz w:val="18"/>
                <w:szCs w:val="18"/>
              </w:rPr>
            </w:pPr>
            <w:r w:rsidRPr="00214F41">
              <w:rPr>
                <w:sz w:val="18"/>
                <w:szCs w:val="18"/>
              </w:rPr>
              <w:t>19/597</w:t>
            </w:r>
          </w:p>
        </w:tc>
        <w:tc>
          <w:tcPr>
            <w:tcW w:w="278" w:type="pct"/>
            <w:tcBorders>
              <w:top w:val="nil"/>
              <w:left w:val="nil"/>
              <w:bottom w:val="single" w:sz="4" w:space="0" w:color="auto"/>
              <w:right w:val="single" w:sz="4" w:space="0" w:color="auto"/>
            </w:tcBorders>
            <w:shd w:val="clear" w:color="000000" w:fill="FFFFFF"/>
            <w:vAlign w:val="center"/>
            <w:hideMark/>
          </w:tcPr>
          <w:p w14:paraId="70D7785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530679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7D02D88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138C61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A148307" w14:textId="77777777" w:rsidR="005A043A" w:rsidRPr="00214F41" w:rsidRDefault="005A043A" w:rsidP="00286762">
            <w:pPr>
              <w:jc w:val="center"/>
              <w:rPr>
                <w:sz w:val="18"/>
                <w:szCs w:val="18"/>
              </w:rPr>
            </w:pPr>
            <w:r w:rsidRPr="00214F41">
              <w:rPr>
                <w:sz w:val="18"/>
                <w:szCs w:val="18"/>
              </w:rPr>
              <w:t>25/597</w:t>
            </w:r>
          </w:p>
        </w:tc>
        <w:tc>
          <w:tcPr>
            <w:tcW w:w="279" w:type="pct"/>
            <w:tcBorders>
              <w:top w:val="nil"/>
              <w:left w:val="nil"/>
              <w:bottom w:val="single" w:sz="4" w:space="0" w:color="auto"/>
              <w:right w:val="single" w:sz="4" w:space="0" w:color="auto"/>
            </w:tcBorders>
            <w:shd w:val="clear" w:color="000000" w:fill="FFFFFF"/>
            <w:vAlign w:val="center"/>
            <w:hideMark/>
          </w:tcPr>
          <w:p w14:paraId="6FF36434" w14:textId="77777777" w:rsidR="005A043A" w:rsidRPr="00214F41" w:rsidRDefault="005A043A" w:rsidP="00286762">
            <w:pPr>
              <w:jc w:val="center"/>
              <w:rPr>
                <w:sz w:val="18"/>
                <w:szCs w:val="18"/>
              </w:rPr>
            </w:pPr>
            <w:r w:rsidRPr="00214F41">
              <w:rPr>
                <w:sz w:val="18"/>
                <w:szCs w:val="18"/>
              </w:rPr>
              <w:t>14/597</w:t>
            </w:r>
          </w:p>
        </w:tc>
        <w:tc>
          <w:tcPr>
            <w:tcW w:w="279" w:type="pct"/>
            <w:tcBorders>
              <w:top w:val="nil"/>
              <w:left w:val="nil"/>
              <w:bottom w:val="single" w:sz="4" w:space="0" w:color="auto"/>
              <w:right w:val="single" w:sz="4" w:space="0" w:color="auto"/>
            </w:tcBorders>
            <w:shd w:val="clear" w:color="000000" w:fill="FFFFFF"/>
            <w:vAlign w:val="center"/>
            <w:hideMark/>
          </w:tcPr>
          <w:p w14:paraId="675815B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9465DB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53810A94" w14:textId="77777777" w:rsidTr="00286762">
        <w:trPr>
          <w:trHeight w:val="28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34424181" w14:textId="77777777" w:rsidR="005A043A" w:rsidRPr="00214F41" w:rsidRDefault="005A043A" w:rsidP="00286762">
            <w:pPr>
              <w:jc w:val="center"/>
              <w:rPr>
                <w:sz w:val="18"/>
                <w:szCs w:val="18"/>
              </w:rPr>
            </w:pPr>
            <w:r w:rsidRPr="00214F41">
              <w:rPr>
                <w:sz w:val="18"/>
                <w:szCs w:val="18"/>
              </w:rPr>
              <w:t>Schwartz et al., 2006a</w:t>
            </w:r>
          </w:p>
        </w:tc>
        <w:tc>
          <w:tcPr>
            <w:tcW w:w="318" w:type="pct"/>
            <w:tcBorders>
              <w:top w:val="nil"/>
              <w:left w:val="nil"/>
              <w:bottom w:val="single" w:sz="4" w:space="0" w:color="auto"/>
              <w:right w:val="single" w:sz="4" w:space="0" w:color="auto"/>
            </w:tcBorders>
            <w:shd w:val="clear" w:color="000000" w:fill="FFFFFF"/>
            <w:vAlign w:val="center"/>
            <w:hideMark/>
          </w:tcPr>
          <w:p w14:paraId="6CD7D092" w14:textId="77777777" w:rsidR="005A043A" w:rsidRPr="00214F41" w:rsidRDefault="005A043A" w:rsidP="00286762">
            <w:pPr>
              <w:jc w:val="center"/>
              <w:rPr>
                <w:sz w:val="18"/>
                <w:szCs w:val="18"/>
              </w:rPr>
            </w:pPr>
            <w:r w:rsidRPr="00214F41">
              <w:rPr>
                <w:sz w:val="18"/>
                <w:szCs w:val="18"/>
              </w:rPr>
              <w:t>2/178</w:t>
            </w:r>
          </w:p>
        </w:tc>
        <w:tc>
          <w:tcPr>
            <w:tcW w:w="295" w:type="pct"/>
            <w:tcBorders>
              <w:top w:val="nil"/>
              <w:left w:val="nil"/>
              <w:bottom w:val="single" w:sz="4" w:space="0" w:color="auto"/>
              <w:right w:val="single" w:sz="4" w:space="0" w:color="auto"/>
            </w:tcBorders>
            <w:shd w:val="clear" w:color="000000" w:fill="FFFFFF"/>
            <w:vAlign w:val="center"/>
            <w:hideMark/>
          </w:tcPr>
          <w:p w14:paraId="2E6961A8" w14:textId="77777777" w:rsidR="005A043A" w:rsidRPr="00214F41" w:rsidRDefault="005A043A" w:rsidP="00286762">
            <w:pPr>
              <w:jc w:val="center"/>
              <w:rPr>
                <w:sz w:val="18"/>
                <w:szCs w:val="18"/>
              </w:rPr>
            </w:pPr>
            <w:r w:rsidRPr="00214F41">
              <w:rPr>
                <w:sz w:val="18"/>
                <w:szCs w:val="18"/>
              </w:rPr>
              <w:t>7/174</w:t>
            </w:r>
          </w:p>
        </w:tc>
        <w:tc>
          <w:tcPr>
            <w:tcW w:w="718" w:type="pct"/>
            <w:vMerge w:val="restart"/>
            <w:tcBorders>
              <w:top w:val="nil"/>
              <w:left w:val="nil"/>
              <w:right w:val="single" w:sz="4" w:space="0" w:color="auto"/>
            </w:tcBorders>
            <w:shd w:val="clear" w:color="000000" w:fill="FFFFFF"/>
            <w:vAlign w:val="center"/>
            <w:hideMark/>
          </w:tcPr>
          <w:p w14:paraId="1BD4442C" w14:textId="77777777" w:rsidR="005A043A" w:rsidRPr="00214F41" w:rsidRDefault="005A043A" w:rsidP="00286762">
            <w:pPr>
              <w:jc w:val="center"/>
              <w:rPr>
                <w:sz w:val="18"/>
                <w:szCs w:val="18"/>
                <w:lang w:val="en-GB"/>
              </w:rPr>
            </w:pPr>
            <w:r w:rsidRPr="00214F41">
              <w:rPr>
                <w:sz w:val="18"/>
                <w:szCs w:val="18"/>
                <w:lang w:val="en-GB"/>
              </w:rPr>
              <w:t xml:space="preserve">most frequently nausea and </w:t>
            </w:r>
            <w:proofErr w:type="spellStart"/>
            <w:r w:rsidRPr="00214F41">
              <w:rPr>
                <w:sz w:val="18"/>
                <w:szCs w:val="18"/>
                <w:lang w:val="en-GB"/>
              </w:rPr>
              <w:t>diarrhea</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948132B" w14:textId="77777777" w:rsidR="005A043A" w:rsidRPr="00214F41" w:rsidRDefault="005A043A" w:rsidP="00286762">
            <w:pPr>
              <w:jc w:val="center"/>
              <w:rPr>
                <w:sz w:val="18"/>
                <w:szCs w:val="18"/>
              </w:rPr>
            </w:pPr>
            <w:r w:rsidRPr="00214F41">
              <w:rPr>
                <w:sz w:val="18"/>
                <w:szCs w:val="18"/>
              </w:rPr>
              <w:t>9/178</w:t>
            </w:r>
          </w:p>
        </w:tc>
        <w:tc>
          <w:tcPr>
            <w:tcW w:w="282" w:type="pct"/>
            <w:tcBorders>
              <w:top w:val="nil"/>
              <w:left w:val="nil"/>
              <w:bottom w:val="single" w:sz="4" w:space="0" w:color="auto"/>
              <w:right w:val="single" w:sz="4" w:space="0" w:color="auto"/>
            </w:tcBorders>
            <w:shd w:val="clear" w:color="000000" w:fill="FFFFFF"/>
            <w:vAlign w:val="center"/>
            <w:hideMark/>
          </w:tcPr>
          <w:p w14:paraId="1D142187" w14:textId="77777777" w:rsidR="005A043A" w:rsidRPr="00214F41" w:rsidRDefault="005A043A" w:rsidP="00286762">
            <w:pPr>
              <w:jc w:val="center"/>
              <w:rPr>
                <w:sz w:val="18"/>
                <w:szCs w:val="18"/>
              </w:rPr>
            </w:pPr>
            <w:r w:rsidRPr="00214F41">
              <w:rPr>
                <w:sz w:val="18"/>
                <w:szCs w:val="18"/>
              </w:rPr>
              <w:t>4/174</w:t>
            </w:r>
          </w:p>
        </w:tc>
        <w:tc>
          <w:tcPr>
            <w:tcW w:w="282" w:type="pct"/>
            <w:tcBorders>
              <w:top w:val="nil"/>
              <w:left w:val="nil"/>
              <w:bottom w:val="single" w:sz="4" w:space="0" w:color="auto"/>
              <w:right w:val="single" w:sz="4" w:space="0" w:color="auto"/>
            </w:tcBorders>
            <w:shd w:val="clear" w:color="000000" w:fill="FFFFFF"/>
            <w:vAlign w:val="center"/>
            <w:hideMark/>
          </w:tcPr>
          <w:p w14:paraId="285707C5" w14:textId="77777777" w:rsidR="005A043A" w:rsidRPr="00214F41" w:rsidRDefault="005A043A" w:rsidP="00286762">
            <w:pPr>
              <w:jc w:val="center"/>
              <w:rPr>
                <w:sz w:val="18"/>
                <w:szCs w:val="18"/>
              </w:rPr>
            </w:pPr>
            <w:r w:rsidRPr="00214F41">
              <w:rPr>
                <w:sz w:val="18"/>
                <w:szCs w:val="18"/>
              </w:rPr>
              <w:t>25/178</w:t>
            </w:r>
          </w:p>
        </w:tc>
        <w:tc>
          <w:tcPr>
            <w:tcW w:w="282" w:type="pct"/>
            <w:tcBorders>
              <w:top w:val="nil"/>
              <w:left w:val="nil"/>
              <w:bottom w:val="single" w:sz="4" w:space="0" w:color="auto"/>
              <w:right w:val="single" w:sz="4" w:space="0" w:color="auto"/>
            </w:tcBorders>
            <w:shd w:val="clear" w:color="000000" w:fill="FFFFFF"/>
            <w:vAlign w:val="center"/>
            <w:hideMark/>
          </w:tcPr>
          <w:p w14:paraId="2DD1CE3C" w14:textId="77777777" w:rsidR="005A043A" w:rsidRPr="00214F41" w:rsidRDefault="005A043A" w:rsidP="00286762">
            <w:pPr>
              <w:jc w:val="center"/>
              <w:rPr>
                <w:sz w:val="18"/>
                <w:szCs w:val="18"/>
              </w:rPr>
            </w:pPr>
            <w:r w:rsidRPr="00214F41">
              <w:rPr>
                <w:sz w:val="18"/>
                <w:szCs w:val="18"/>
              </w:rPr>
              <w:t>25/174</w:t>
            </w:r>
          </w:p>
        </w:tc>
        <w:tc>
          <w:tcPr>
            <w:tcW w:w="278" w:type="pct"/>
            <w:tcBorders>
              <w:top w:val="nil"/>
              <w:left w:val="nil"/>
              <w:bottom w:val="single" w:sz="4" w:space="0" w:color="auto"/>
              <w:right w:val="single" w:sz="4" w:space="0" w:color="auto"/>
            </w:tcBorders>
            <w:shd w:val="clear" w:color="000000" w:fill="FFFFFF"/>
            <w:vAlign w:val="center"/>
            <w:hideMark/>
          </w:tcPr>
          <w:p w14:paraId="64E19A1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DE0D9A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760A436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2C832D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554128A" w14:textId="77777777" w:rsidR="005A043A" w:rsidRPr="00214F41" w:rsidRDefault="005A043A" w:rsidP="00286762">
            <w:pPr>
              <w:jc w:val="center"/>
              <w:rPr>
                <w:sz w:val="18"/>
                <w:szCs w:val="18"/>
              </w:rPr>
            </w:pPr>
            <w:r w:rsidRPr="00214F41">
              <w:rPr>
                <w:sz w:val="18"/>
                <w:szCs w:val="18"/>
              </w:rPr>
              <w:t>17/178</w:t>
            </w:r>
          </w:p>
        </w:tc>
        <w:tc>
          <w:tcPr>
            <w:tcW w:w="279" w:type="pct"/>
            <w:tcBorders>
              <w:top w:val="nil"/>
              <w:left w:val="nil"/>
              <w:bottom w:val="single" w:sz="4" w:space="0" w:color="auto"/>
              <w:right w:val="single" w:sz="4" w:space="0" w:color="auto"/>
            </w:tcBorders>
            <w:shd w:val="clear" w:color="000000" w:fill="FFFFFF"/>
            <w:vAlign w:val="center"/>
            <w:hideMark/>
          </w:tcPr>
          <w:p w14:paraId="15581234" w14:textId="77777777" w:rsidR="005A043A" w:rsidRPr="00214F41" w:rsidRDefault="005A043A" w:rsidP="00286762">
            <w:pPr>
              <w:jc w:val="center"/>
              <w:rPr>
                <w:sz w:val="18"/>
                <w:szCs w:val="18"/>
              </w:rPr>
            </w:pPr>
            <w:r w:rsidRPr="00214F41">
              <w:rPr>
                <w:sz w:val="18"/>
                <w:szCs w:val="18"/>
              </w:rPr>
              <w:t>19/174</w:t>
            </w:r>
          </w:p>
        </w:tc>
        <w:tc>
          <w:tcPr>
            <w:tcW w:w="279" w:type="pct"/>
            <w:tcBorders>
              <w:top w:val="nil"/>
              <w:left w:val="nil"/>
              <w:bottom w:val="single" w:sz="4" w:space="0" w:color="auto"/>
              <w:right w:val="single" w:sz="4" w:space="0" w:color="auto"/>
            </w:tcBorders>
            <w:shd w:val="clear" w:color="000000" w:fill="FFFFFF"/>
            <w:vAlign w:val="center"/>
            <w:hideMark/>
          </w:tcPr>
          <w:p w14:paraId="6EBF05B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14C345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78DA9637" w14:textId="77777777" w:rsidTr="00286762">
        <w:trPr>
          <w:trHeight w:val="46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187FBE36" w14:textId="77777777" w:rsidR="005A043A" w:rsidRPr="00214F41" w:rsidRDefault="005A043A" w:rsidP="00286762">
            <w:pPr>
              <w:jc w:val="center"/>
              <w:rPr>
                <w:sz w:val="18"/>
                <w:szCs w:val="18"/>
              </w:rPr>
            </w:pPr>
            <w:r w:rsidRPr="00214F41">
              <w:rPr>
                <w:sz w:val="18"/>
                <w:szCs w:val="18"/>
              </w:rPr>
              <w:t>Schwartz et al., 2006b</w:t>
            </w:r>
          </w:p>
        </w:tc>
        <w:tc>
          <w:tcPr>
            <w:tcW w:w="318" w:type="pct"/>
            <w:tcBorders>
              <w:top w:val="nil"/>
              <w:left w:val="nil"/>
              <w:bottom w:val="single" w:sz="4" w:space="0" w:color="auto"/>
              <w:right w:val="single" w:sz="4" w:space="0" w:color="auto"/>
            </w:tcBorders>
            <w:shd w:val="clear" w:color="000000" w:fill="FFFFFF"/>
            <w:vAlign w:val="center"/>
            <w:hideMark/>
          </w:tcPr>
          <w:p w14:paraId="77B0ED6A" w14:textId="77777777" w:rsidR="005A043A" w:rsidRPr="00214F41" w:rsidRDefault="005A043A" w:rsidP="00286762">
            <w:pPr>
              <w:jc w:val="center"/>
              <w:rPr>
                <w:sz w:val="18"/>
                <w:szCs w:val="18"/>
              </w:rPr>
            </w:pPr>
            <w:r w:rsidRPr="00214F41">
              <w:rPr>
                <w:sz w:val="18"/>
                <w:szCs w:val="18"/>
              </w:rPr>
              <w:t>1/182</w:t>
            </w:r>
          </w:p>
        </w:tc>
        <w:tc>
          <w:tcPr>
            <w:tcW w:w="295" w:type="pct"/>
            <w:tcBorders>
              <w:top w:val="nil"/>
              <w:left w:val="nil"/>
              <w:bottom w:val="single" w:sz="4" w:space="0" w:color="auto"/>
              <w:right w:val="single" w:sz="4" w:space="0" w:color="auto"/>
            </w:tcBorders>
            <w:shd w:val="clear" w:color="000000" w:fill="FFFFFF"/>
            <w:vAlign w:val="center"/>
            <w:hideMark/>
          </w:tcPr>
          <w:p w14:paraId="5990E681" w14:textId="77777777" w:rsidR="005A043A" w:rsidRPr="00214F41" w:rsidRDefault="005A043A" w:rsidP="00286762">
            <w:pPr>
              <w:jc w:val="center"/>
              <w:rPr>
                <w:sz w:val="18"/>
                <w:szCs w:val="18"/>
              </w:rPr>
            </w:pPr>
            <w:r w:rsidRPr="00214F41">
              <w:rPr>
                <w:sz w:val="18"/>
                <w:szCs w:val="18"/>
              </w:rPr>
              <w:t>7/174</w:t>
            </w:r>
          </w:p>
        </w:tc>
        <w:tc>
          <w:tcPr>
            <w:tcW w:w="718" w:type="pct"/>
            <w:vMerge/>
            <w:tcBorders>
              <w:left w:val="nil"/>
              <w:right w:val="single" w:sz="4" w:space="0" w:color="auto"/>
            </w:tcBorders>
            <w:shd w:val="clear" w:color="000000" w:fill="FFFFFF"/>
            <w:vAlign w:val="center"/>
            <w:hideMark/>
          </w:tcPr>
          <w:p w14:paraId="26E7CB64"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25727DB7" w14:textId="77777777" w:rsidR="005A043A" w:rsidRPr="00214F41" w:rsidRDefault="005A043A" w:rsidP="00286762">
            <w:pPr>
              <w:jc w:val="center"/>
              <w:rPr>
                <w:sz w:val="18"/>
                <w:szCs w:val="18"/>
              </w:rPr>
            </w:pPr>
            <w:r w:rsidRPr="00214F41">
              <w:rPr>
                <w:sz w:val="18"/>
                <w:szCs w:val="18"/>
              </w:rPr>
              <w:t>6/182</w:t>
            </w:r>
          </w:p>
        </w:tc>
        <w:tc>
          <w:tcPr>
            <w:tcW w:w="282" w:type="pct"/>
            <w:tcBorders>
              <w:top w:val="nil"/>
              <w:left w:val="nil"/>
              <w:bottom w:val="single" w:sz="4" w:space="0" w:color="auto"/>
              <w:right w:val="single" w:sz="4" w:space="0" w:color="auto"/>
            </w:tcBorders>
            <w:shd w:val="clear" w:color="000000" w:fill="FFFFFF"/>
            <w:vAlign w:val="center"/>
            <w:hideMark/>
          </w:tcPr>
          <w:p w14:paraId="344DACC6" w14:textId="77777777" w:rsidR="005A043A" w:rsidRPr="00214F41" w:rsidRDefault="005A043A" w:rsidP="00286762">
            <w:pPr>
              <w:jc w:val="center"/>
              <w:rPr>
                <w:sz w:val="18"/>
                <w:szCs w:val="18"/>
              </w:rPr>
            </w:pPr>
            <w:r w:rsidRPr="00214F41">
              <w:rPr>
                <w:sz w:val="18"/>
                <w:szCs w:val="18"/>
              </w:rPr>
              <w:t>4/174</w:t>
            </w:r>
          </w:p>
        </w:tc>
        <w:tc>
          <w:tcPr>
            <w:tcW w:w="282" w:type="pct"/>
            <w:tcBorders>
              <w:top w:val="nil"/>
              <w:left w:val="nil"/>
              <w:bottom w:val="single" w:sz="4" w:space="0" w:color="auto"/>
              <w:right w:val="single" w:sz="4" w:space="0" w:color="auto"/>
            </w:tcBorders>
            <w:shd w:val="clear" w:color="000000" w:fill="FFFFFF"/>
            <w:vAlign w:val="center"/>
            <w:hideMark/>
          </w:tcPr>
          <w:p w14:paraId="22E9F2DC" w14:textId="77777777" w:rsidR="005A043A" w:rsidRPr="00214F41" w:rsidRDefault="005A043A" w:rsidP="00286762">
            <w:pPr>
              <w:jc w:val="center"/>
              <w:rPr>
                <w:sz w:val="18"/>
                <w:szCs w:val="18"/>
              </w:rPr>
            </w:pPr>
            <w:r w:rsidRPr="00214F41">
              <w:rPr>
                <w:sz w:val="18"/>
                <w:szCs w:val="18"/>
              </w:rPr>
              <w:t>33/182</w:t>
            </w:r>
          </w:p>
        </w:tc>
        <w:tc>
          <w:tcPr>
            <w:tcW w:w="282" w:type="pct"/>
            <w:tcBorders>
              <w:top w:val="nil"/>
              <w:left w:val="nil"/>
              <w:bottom w:val="single" w:sz="4" w:space="0" w:color="auto"/>
              <w:right w:val="single" w:sz="4" w:space="0" w:color="auto"/>
            </w:tcBorders>
            <w:shd w:val="clear" w:color="000000" w:fill="FFFFFF"/>
            <w:vAlign w:val="center"/>
            <w:hideMark/>
          </w:tcPr>
          <w:p w14:paraId="0416ADFA" w14:textId="77777777" w:rsidR="005A043A" w:rsidRPr="00214F41" w:rsidRDefault="005A043A" w:rsidP="00286762">
            <w:pPr>
              <w:jc w:val="center"/>
              <w:rPr>
                <w:sz w:val="18"/>
                <w:szCs w:val="18"/>
              </w:rPr>
            </w:pPr>
            <w:r w:rsidRPr="00214F41">
              <w:rPr>
                <w:sz w:val="18"/>
                <w:szCs w:val="18"/>
              </w:rPr>
              <w:t>25/174</w:t>
            </w:r>
          </w:p>
        </w:tc>
        <w:tc>
          <w:tcPr>
            <w:tcW w:w="278" w:type="pct"/>
            <w:tcBorders>
              <w:top w:val="nil"/>
              <w:left w:val="nil"/>
              <w:bottom w:val="single" w:sz="4" w:space="0" w:color="auto"/>
              <w:right w:val="single" w:sz="4" w:space="0" w:color="auto"/>
            </w:tcBorders>
            <w:shd w:val="clear" w:color="000000" w:fill="FFFFFF"/>
            <w:vAlign w:val="center"/>
            <w:hideMark/>
          </w:tcPr>
          <w:p w14:paraId="751D114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72DD41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342E992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AB721F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E9E2F82" w14:textId="77777777" w:rsidR="005A043A" w:rsidRPr="00214F41" w:rsidRDefault="005A043A" w:rsidP="00286762">
            <w:pPr>
              <w:jc w:val="center"/>
              <w:rPr>
                <w:sz w:val="18"/>
                <w:szCs w:val="18"/>
              </w:rPr>
            </w:pPr>
            <w:r w:rsidRPr="00214F41">
              <w:rPr>
                <w:sz w:val="18"/>
                <w:szCs w:val="18"/>
              </w:rPr>
              <w:t>14/182</w:t>
            </w:r>
          </w:p>
        </w:tc>
        <w:tc>
          <w:tcPr>
            <w:tcW w:w="279" w:type="pct"/>
            <w:tcBorders>
              <w:top w:val="nil"/>
              <w:left w:val="nil"/>
              <w:bottom w:val="single" w:sz="4" w:space="0" w:color="auto"/>
              <w:right w:val="single" w:sz="4" w:space="0" w:color="auto"/>
            </w:tcBorders>
            <w:shd w:val="clear" w:color="000000" w:fill="FFFFFF"/>
            <w:vAlign w:val="center"/>
            <w:hideMark/>
          </w:tcPr>
          <w:p w14:paraId="75916BF5" w14:textId="77777777" w:rsidR="005A043A" w:rsidRPr="00214F41" w:rsidRDefault="005A043A" w:rsidP="00286762">
            <w:pPr>
              <w:jc w:val="center"/>
              <w:rPr>
                <w:sz w:val="18"/>
                <w:szCs w:val="18"/>
              </w:rPr>
            </w:pPr>
            <w:r w:rsidRPr="00214F41">
              <w:rPr>
                <w:sz w:val="18"/>
                <w:szCs w:val="18"/>
              </w:rPr>
              <w:t>19/174</w:t>
            </w:r>
          </w:p>
        </w:tc>
        <w:tc>
          <w:tcPr>
            <w:tcW w:w="279" w:type="pct"/>
            <w:tcBorders>
              <w:top w:val="nil"/>
              <w:left w:val="nil"/>
              <w:bottom w:val="single" w:sz="4" w:space="0" w:color="auto"/>
              <w:right w:val="single" w:sz="4" w:space="0" w:color="auto"/>
            </w:tcBorders>
            <w:shd w:val="clear" w:color="000000" w:fill="FFFFFF"/>
            <w:vAlign w:val="center"/>
            <w:hideMark/>
          </w:tcPr>
          <w:p w14:paraId="66E79F1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ED051A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4CF9EB4" w14:textId="77777777" w:rsidTr="00286762">
        <w:trPr>
          <w:trHeight w:val="42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4C1AE8B" w14:textId="77777777" w:rsidR="005A043A" w:rsidRPr="00214F41" w:rsidRDefault="005A043A" w:rsidP="00286762">
            <w:pPr>
              <w:jc w:val="center"/>
              <w:rPr>
                <w:sz w:val="18"/>
                <w:szCs w:val="18"/>
              </w:rPr>
            </w:pPr>
            <w:r w:rsidRPr="00214F41">
              <w:rPr>
                <w:sz w:val="18"/>
                <w:szCs w:val="18"/>
              </w:rPr>
              <w:t>Schwartz et al., 2006c</w:t>
            </w:r>
          </w:p>
        </w:tc>
        <w:tc>
          <w:tcPr>
            <w:tcW w:w="318" w:type="pct"/>
            <w:tcBorders>
              <w:top w:val="nil"/>
              <w:left w:val="nil"/>
              <w:bottom w:val="single" w:sz="4" w:space="0" w:color="auto"/>
              <w:right w:val="single" w:sz="4" w:space="0" w:color="auto"/>
            </w:tcBorders>
            <w:shd w:val="clear" w:color="000000" w:fill="FFFFFF"/>
            <w:vAlign w:val="center"/>
            <w:hideMark/>
          </w:tcPr>
          <w:p w14:paraId="4552005C" w14:textId="77777777" w:rsidR="005A043A" w:rsidRPr="00214F41" w:rsidRDefault="005A043A" w:rsidP="00286762">
            <w:pPr>
              <w:jc w:val="center"/>
              <w:rPr>
                <w:sz w:val="18"/>
                <w:szCs w:val="18"/>
              </w:rPr>
            </w:pPr>
            <w:r w:rsidRPr="00214F41">
              <w:rPr>
                <w:sz w:val="18"/>
                <w:szCs w:val="18"/>
              </w:rPr>
              <w:t>0/172</w:t>
            </w:r>
          </w:p>
        </w:tc>
        <w:tc>
          <w:tcPr>
            <w:tcW w:w="295" w:type="pct"/>
            <w:tcBorders>
              <w:top w:val="nil"/>
              <w:left w:val="nil"/>
              <w:bottom w:val="single" w:sz="4" w:space="0" w:color="auto"/>
              <w:right w:val="single" w:sz="4" w:space="0" w:color="auto"/>
            </w:tcBorders>
            <w:shd w:val="clear" w:color="000000" w:fill="FFFFFF"/>
            <w:vAlign w:val="center"/>
            <w:hideMark/>
          </w:tcPr>
          <w:p w14:paraId="75E4989E" w14:textId="77777777" w:rsidR="005A043A" w:rsidRPr="00214F41" w:rsidRDefault="005A043A" w:rsidP="00286762">
            <w:pPr>
              <w:jc w:val="center"/>
              <w:rPr>
                <w:sz w:val="18"/>
                <w:szCs w:val="18"/>
              </w:rPr>
            </w:pPr>
            <w:r w:rsidRPr="00214F41">
              <w:rPr>
                <w:sz w:val="18"/>
                <w:szCs w:val="18"/>
              </w:rPr>
              <w:t>7/174</w:t>
            </w:r>
          </w:p>
        </w:tc>
        <w:tc>
          <w:tcPr>
            <w:tcW w:w="718" w:type="pct"/>
            <w:vMerge/>
            <w:tcBorders>
              <w:left w:val="nil"/>
              <w:bottom w:val="single" w:sz="4" w:space="0" w:color="auto"/>
              <w:right w:val="single" w:sz="4" w:space="0" w:color="auto"/>
            </w:tcBorders>
            <w:shd w:val="clear" w:color="000000" w:fill="FFFFFF"/>
            <w:vAlign w:val="center"/>
            <w:hideMark/>
          </w:tcPr>
          <w:p w14:paraId="5DBFE560"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25CF7702" w14:textId="77777777" w:rsidR="005A043A" w:rsidRPr="00214F41" w:rsidRDefault="005A043A" w:rsidP="00286762">
            <w:pPr>
              <w:jc w:val="center"/>
              <w:rPr>
                <w:sz w:val="18"/>
                <w:szCs w:val="18"/>
              </w:rPr>
            </w:pPr>
            <w:r w:rsidRPr="00214F41">
              <w:rPr>
                <w:sz w:val="18"/>
                <w:szCs w:val="18"/>
              </w:rPr>
              <w:t>4/172</w:t>
            </w:r>
          </w:p>
        </w:tc>
        <w:tc>
          <w:tcPr>
            <w:tcW w:w="282" w:type="pct"/>
            <w:tcBorders>
              <w:top w:val="nil"/>
              <w:left w:val="nil"/>
              <w:bottom w:val="single" w:sz="4" w:space="0" w:color="auto"/>
              <w:right w:val="single" w:sz="4" w:space="0" w:color="auto"/>
            </w:tcBorders>
            <w:shd w:val="clear" w:color="000000" w:fill="FFFFFF"/>
            <w:vAlign w:val="center"/>
            <w:hideMark/>
          </w:tcPr>
          <w:p w14:paraId="2315471E" w14:textId="77777777" w:rsidR="005A043A" w:rsidRPr="00214F41" w:rsidRDefault="005A043A" w:rsidP="00286762">
            <w:pPr>
              <w:jc w:val="center"/>
              <w:rPr>
                <w:sz w:val="18"/>
                <w:szCs w:val="18"/>
              </w:rPr>
            </w:pPr>
            <w:r w:rsidRPr="00214F41">
              <w:rPr>
                <w:sz w:val="18"/>
                <w:szCs w:val="18"/>
              </w:rPr>
              <w:t>4/174</w:t>
            </w:r>
          </w:p>
        </w:tc>
        <w:tc>
          <w:tcPr>
            <w:tcW w:w="282" w:type="pct"/>
            <w:tcBorders>
              <w:top w:val="nil"/>
              <w:left w:val="nil"/>
              <w:bottom w:val="single" w:sz="4" w:space="0" w:color="auto"/>
              <w:right w:val="single" w:sz="4" w:space="0" w:color="auto"/>
            </w:tcBorders>
            <w:shd w:val="clear" w:color="000000" w:fill="FFFFFF"/>
            <w:vAlign w:val="center"/>
            <w:hideMark/>
          </w:tcPr>
          <w:p w14:paraId="02561701" w14:textId="77777777" w:rsidR="005A043A" w:rsidRPr="00214F41" w:rsidRDefault="005A043A" w:rsidP="00286762">
            <w:pPr>
              <w:jc w:val="center"/>
              <w:rPr>
                <w:sz w:val="18"/>
                <w:szCs w:val="18"/>
              </w:rPr>
            </w:pPr>
            <w:r w:rsidRPr="00214F41">
              <w:rPr>
                <w:sz w:val="18"/>
                <w:szCs w:val="18"/>
              </w:rPr>
              <w:t>27/172</w:t>
            </w:r>
          </w:p>
        </w:tc>
        <w:tc>
          <w:tcPr>
            <w:tcW w:w="282" w:type="pct"/>
            <w:tcBorders>
              <w:top w:val="nil"/>
              <w:left w:val="nil"/>
              <w:bottom w:val="single" w:sz="4" w:space="0" w:color="auto"/>
              <w:right w:val="single" w:sz="4" w:space="0" w:color="auto"/>
            </w:tcBorders>
            <w:shd w:val="clear" w:color="000000" w:fill="FFFFFF"/>
            <w:vAlign w:val="center"/>
            <w:hideMark/>
          </w:tcPr>
          <w:p w14:paraId="3BBD3151" w14:textId="77777777" w:rsidR="005A043A" w:rsidRPr="00214F41" w:rsidRDefault="005A043A" w:rsidP="00286762">
            <w:pPr>
              <w:jc w:val="center"/>
              <w:rPr>
                <w:sz w:val="18"/>
                <w:szCs w:val="18"/>
              </w:rPr>
            </w:pPr>
            <w:r w:rsidRPr="00214F41">
              <w:rPr>
                <w:sz w:val="18"/>
                <w:szCs w:val="18"/>
              </w:rPr>
              <w:t>25/174</w:t>
            </w:r>
          </w:p>
        </w:tc>
        <w:tc>
          <w:tcPr>
            <w:tcW w:w="278" w:type="pct"/>
            <w:tcBorders>
              <w:top w:val="nil"/>
              <w:left w:val="nil"/>
              <w:bottom w:val="single" w:sz="4" w:space="0" w:color="auto"/>
              <w:right w:val="single" w:sz="4" w:space="0" w:color="auto"/>
            </w:tcBorders>
            <w:shd w:val="clear" w:color="000000" w:fill="FFFFFF"/>
            <w:vAlign w:val="center"/>
            <w:hideMark/>
          </w:tcPr>
          <w:p w14:paraId="6419D3D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4DE16AD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5BCBFA9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B58655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933A9B2" w14:textId="77777777" w:rsidR="005A043A" w:rsidRPr="00214F41" w:rsidRDefault="005A043A" w:rsidP="00286762">
            <w:pPr>
              <w:jc w:val="center"/>
              <w:rPr>
                <w:sz w:val="18"/>
                <w:szCs w:val="18"/>
              </w:rPr>
            </w:pPr>
            <w:r w:rsidRPr="00214F41">
              <w:rPr>
                <w:sz w:val="18"/>
                <w:szCs w:val="18"/>
              </w:rPr>
              <w:t>14/172</w:t>
            </w:r>
          </w:p>
        </w:tc>
        <w:tc>
          <w:tcPr>
            <w:tcW w:w="279" w:type="pct"/>
            <w:tcBorders>
              <w:top w:val="nil"/>
              <w:left w:val="nil"/>
              <w:bottom w:val="single" w:sz="4" w:space="0" w:color="auto"/>
              <w:right w:val="single" w:sz="4" w:space="0" w:color="auto"/>
            </w:tcBorders>
            <w:shd w:val="clear" w:color="000000" w:fill="FFFFFF"/>
            <w:vAlign w:val="center"/>
            <w:hideMark/>
          </w:tcPr>
          <w:p w14:paraId="5E01E043" w14:textId="77777777" w:rsidR="005A043A" w:rsidRPr="00214F41" w:rsidRDefault="005A043A" w:rsidP="00286762">
            <w:pPr>
              <w:jc w:val="center"/>
              <w:rPr>
                <w:sz w:val="18"/>
                <w:szCs w:val="18"/>
              </w:rPr>
            </w:pPr>
            <w:r w:rsidRPr="00214F41">
              <w:rPr>
                <w:sz w:val="18"/>
                <w:szCs w:val="18"/>
              </w:rPr>
              <w:t>19/174</w:t>
            </w:r>
          </w:p>
        </w:tc>
        <w:tc>
          <w:tcPr>
            <w:tcW w:w="279" w:type="pct"/>
            <w:tcBorders>
              <w:top w:val="nil"/>
              <w:left w:val="nil"/>
              <w:bottom w:val="single" w:sz="4" w:space="0" w:color="auto"/>
              <w:right w:val="single" w:sz="4" w:space="0" w:color="auto"/>
            </w:tcBorders>
            <w:shd w:val="clear" w:color="000000" w:fill="FFFFFF"/>
            <w:vAlign w:val="center"/>
            <w:hideMark/>
          </w:tcPr>
          <w:p w14:paraId="090558F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D31A69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3200D9DB" w14:textId="77777777" w:rsidTr="00286762">
        <w:trPr>
          <w:trHeight w:val="40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0C0848AB" w14:textId="77777777" w:rsidR="005A043A" w:rsidRPr="00214F41" w:rsidRDefault="005A043A" w:rsidP="00286762">
            <w:pPr>
              <w:jc w:val="center"/>
              <w:rPr>
                <w:sz w:val="18"/>
                <w:szCs w:val="18"/>
              </w:rPr>
            </w:pPr>
            <w:proofErr w:type="spellStart"/>
            <w:r w:rsidRPr="00214F41">
              <w:rPr>
                <w:sz w:val="18"/>
                <w:szCs w:val="18"/>
              </w:rPr>
              <w:t>Scgweitzer</w:t>
            </w:r>
            <w:proofErr w:type="spellEnd"/>
            <w:r w:rsidRPr="00214F41">
              <w:rPr>
                <w:sz w:val="18"/>
                <w:szCs w:val="18"/>
              </w:rPr>
              <w:t xml:space="preserve"> et al., 2007</w:t>
            </w:r>
          </w:p>
        </w:tc>
        <w:tc>
          <w:tcPr>
            <w:tcW w:w="318" w:type="pct"/>
            <w:tcBorders>
              <w:top w:val="nil"/>
              <w:left w:val="nil"/>
              <w:bottom w:val="single" w:sz="4" w:space="0" w:color="auto"/>
              <w:right w:val="single" w:sz="4" w:space="0" w:color="auto"/>
            </w:tcBorders>
            <w:shd w:val="clear" w:color="000000" w:fill="FFFFFF"/>
            <w:vAlign w:val="center"/>
            <w:hideMark/>
          </w:tcPr>
          <w:p w14:paraId="34D88377" w14:textId="77777777" w:rsidR="005A043A" w:rsidRPr="00214F41" w:rsidRDefault="005A043A" w:rsidP="00286762">
            <w:pPr>
              <w:jc w:val="center"/>
              <w:rPr>
                <w:sz w:val="18"/>
                <w:szCs w:val="18"/>
              </w:rPr>
            </w:pPr>
            <w:r w:rsidRPr="00214F41">
              <w:rPr>
                <w:sz w:val="18"/>
                <w:szCs w:val="18"/>
              </w:rPr>
              <w:t>18/252</w:t>
            </w:r>
          </w:p>
        </w:tc>
        <w:tc>
          <w:tcPr>
            <w:tcW w:w="295" w:type="pct"/>
            <w:tcBorders>
              <w:top w:val="nil"/>
              <w:left w:val="nil"/>
              <w:bottom w:val="single" w:sz="4" w:space="0" w:color="auto"/>
              <w:right w:val="single" w:sz="4" w:space="0" w:color="auto"/>
            </w:tcBorders>
            <w:shd w:val="clear" w:color="000000" w:fill="FFFFFF"/>
            <w:vAlign w:val="center"/>
            <w:hideMark/>
          </w:tcPr>
          <w:p w14:paraId="713840AC" w14:textId="77777777" w:rsidR="005A043A" w:rsidRPr="00214F41" w:rsidRDefault="005A043A" w:rsidP="00286762">
            <w:pPr>
              <w:jc w:val="center"/>
              <w:rPr>
                <w:sz w:val="18"/>
                <w:szCs w:val="18"/>
              </w:rPr>
            </w:pPr>
            <w:r w:rsidRPr="00214F41">
              <w:rPr>
                <w:sz w:val="18"/>
                <w:szCs w:val="18"/>
              </w:rPr>
              <w:t>22/519</w:t>
            </w:r>
          </w:p>
        </w:tc>
        <w:tc>
          <w:tcPr>
            <w:tcW w:w="718" w:type="pct"/>
            <w:tcBorders>
              <w:top w:val="nil"/>
              <w:left w:val="nil"/>
              <w:bottom w:val="single" w:sz="4" w:space="0" w:color="auto"/>
              <w:right w:val="single" w:sz="4" w:space="0" w:color="auto"/>
            </w:tcBorders>
            <w:shd w:val="clear" w:color="000000" w:fill="FFFFFF"/>
            <w:vAlign w:val="center"/>
            <w:hideMark/>
          </w:tcPr>
          <w:p w14:paraId="1615FB86" w14:textId="77777777" w:rsidR="005A043A" w:rsidRPr="00214F41" w:rsidRDefault="005A043A" w:rsidP="00286762">
            <w:pPr>
              <w:jc w:val="center"/>
              <w:rPr>
                <w:sz w:val="18"/>
                <w:szCs w:val="18"/>
                <w:lang w:val="en-GB"/>
              </w:rPr>
            </w:pPr>
            <w:r w:rsidRPr="00214F41">
              <w:rPr>
                <w:sz w:val="18"/>
                <w:szCs w:val="18"/>
                <w:lang w:val="en-GB"/>
              </w:rPr>
              <w:t xml:space="preserve">most frequently GI </w:t>
            </w:r>
            <w:r w:rsidRPr="00214F41">
              <w:rPr>
                <w:sz w:val="18"/>
                <w:szCs w:val="18"/>
              </w:rPr>
              <w:t>disorders</w:t>
            </w:r>
          </w:p>
        </w:tc>
        <w:tc>
          <w:tcPr>
            <w:tcW w:w="282" w:type="pct"/>
            <w:tcBorders>
              <w:top w:val="nil"/>
              <w:left w:val="nil"/>
              <w:bottom w:val="single" w:sz="4" w:space="0" w:color="auto"/>
              <w:right w:val="single" w:sz="4" w:space="0" w:color="auto"/>
            </w:tcBorders>
            <w:shd w:val="clear" w:color="000000" w:fill="FFFFFF"/>
            <w:vAlign w:val="center"/>
            <w:hideMark/>
          </w:tcPr>
          <w:p w14:paraId="645F1307" w14:textId="77777777" w:rsidR="005A043A" w:rsidRPr="00214F41" w:rsidRDefault="005A043A" w:rsidP="00286762">
            <w:pPr>
              <w:jc w:val="center"/>
              <w:rPr>
                <w:sz w:val="18"/>
                <w:szCs w:val="18"/>
              </w:rPr>
            </w:pPr>
            <w:r w:rsidRPr="00214F41">
              <w:rPr>
                <w:sz w:val="18"/>
                <w:szCs w:val="18"/>
              </w:rPr>
              <w:t>18/252</w:t>
            </w:r>
          </w:p>
        </w:tc>
        <w:tc>
          <w:tcPr>
            <w:tcW w:w="282" w:type="pct"/>
            <w:tcBorders>
              <w:top w:val="nil"/>
              <w:left w:val="nil"/>
              <w:bottom w:val="single" w:sz="4" w:space="0" w:color="auto"/>
              <w:right w:val="single" w:sz="4" w:space="0" w:color="auto"/>
            </w:tcBorders>
            <w:shd w:val="clear" w:color="000000" w:fill="FFFFFF"/>
            <w:vAlign w:val="center"/>
            <w:hideMark/>
          </w:tcPr>
          <w:p w14:paraId="2E69DB18" w14:textId="77777777" w:rsidR="005A043A" w:rsidRPr="00214F41" w:rsidRDefault="005A043A" w:rsidP="00286762">
            <w:pPr>
              <w:jc w:val="center"/>
              <w:rPr>
                <w:sz w:val="18"/>
                <w:szCs w:val="18"/>
              </w:rPr>
            </w:pPr>
            <w:r w:rsidRPr="00214F41">
              <w:rPr>
                <w:sz w:val="18"/>
                <w:szCs w:val="18"/>
              </w:rPr>
              <w:t>12/519</w:t>
            </w:r>
          </w:p>
        </w:tc>
        <w:tc>
          <w:tcPr>
            <w:tcW w:w="282" w:type="pct"/>
            <w:tcBorders>
              <w:top w:val="nil"/>
              <w:left w:val="nil"/>
              <w:bottom w:val="single" w:sz="4" w:space="0" w:color="auto"/>
              <w:right w:val="single" w:sz="4" w:space="0" w:color="auto"/>
            </w:tcBorders>
            <w:shd w:val="clear" w:color="000000" w:fill="FFFFFF"/>
            <w:vAlign w:val="center"/>
            <w:hideMark/>
          </w:tcPr>
          <w:p w14:paraId="2E07029C" w14:textId="77777777" w:rsidR="005A043A" w:rsidRPr="00214F41" w:rsidRDefault="005A043A" w:rsidP="00286762">
            <w:pPr>
              <w:jc w:val="center"/>
              <w:rPr>
                <w:sz w:val="18"/>
                <w:szCs w:val="18"/>
              </w:rPr>
            </w:pPr>
            <w:r w:rsidRPr="00214F41">
              <w:rPr>
                <w:sz w:val="18"/>
                <w:szCs w:val="18"/>
              </w:rPr>
              <w:t>66/252</w:t>
            </w:r>
          </w:p>
        </w:tc>
        <w:tc>
          <w:tcPr>
            <w:tcW w:w="282" w:type="pct"/>
            <w:tcBorders>
              <w:top w:val="nil"/>
              <w:left w:val="nil"/>
              <w:bottom w:val="single" w:sz="4" w:space="0" w:color="auto"/>
              <w:right w:val="single" w:sz="4" w:space="0" w:color="auto"/>
            </w:tcBorders>
            <w:shd w:val="clear" w:color="000000" w:fill="FFFFFF"/>
            <w:vAlign w:val="center"/>
            <w:hideMark/>
          </w:tcPr>
          <w:p w14:paraId="5DFBDACF" w14:textId="77777777" w:rsidR="005A043A" w:rsidRPr="00214F41" w:rsidRDefault="005A043A" w:rsidP="00286762">
            <w:pPr>
              <w:jc w:val="center"/>
              <w:rPr>
                <w:sz w:val="18"/>
                <w:szCs w:val="18"/>
              </w:rPr>
            </w:pPr>
            <w:r w:rsidRPr="00214F41">
              <w:rPr>
                <w:sz w:val="18"/>
                <w:szCs w:val="18"/>
              </w:rPr>
              <w:t>31/519</w:t>
            </w:r>
          </w:p>
        </w:tc>
        <w:tc>
          <w:tcPr>
            <w:tcW w:w="278" w:type="pct"/>
            <w:tcBorders>
              <w:top w:val="nil"/>
              <w:left w:val="nil"/>
              <w:bottom w:val="single" w:sz="4" w:space="0" w:color="auto"/>
              <w:right w:val="single" w:sz="4" w:space="0" w:color="auto"/>
            </w:tcBorders>
            <w:shd w:val="clear" w:color="000000" w:fill="FFFFFF"/>
            <w:vAlign w:val="center"/>
            <w:hideMark/>
          </w:tcPr>
          <w:p w14:paraId="2206239F" w14:textId="77777777" w:rsidR="005A043A" w:rsidRPr="00214F41" w:rsidRDefault="005A043A" w:rsidP="00286762">
            <w:pPr>
              <w:jc w:val="center"/>
              <w:rPr>
                <w:sz w:val="18"/>
                <w:szCs w:val="18"/>
              </w:rPr>
            </w:pPr>
            <w:r w:rsidRPr="00214F41">
              <w:rPr>
                <w:sz w:val="18"/>
                <w:szCs w:val="18"/>
              </w:rPr>
              <w:t>11/252</w:t>
            </w:r>
          </w:p>
        </w:tc>
        <w:tc>
          <w:tcPr>
            <w:tcW w:w="280" w:type="pct"/>
            <w:tcBorders>
              <w:top w:val="nil"/>
              <w:left w:val="nil"/>
              <w:bottom w:val="single" w:sz="4" w:space="0" w:color="auto"/>
              <w:right w:val="single" w:sz="4" w:space="0" w:color="auto"/>
            </w:tcBorders>
            <w:shd w:val="clear" w:color="000000" w:fill="FFFFFF"/>
            <w:vAlign w:val="center"/>
            <w:hideMark/>
          </w:tcPr>
          <w:p w14:paraId="60915E3B" w14:textId="77777777" w:rsidR="005A043A" w:rsidRPr="00214F41" w:rsidRDefault="005A043A" w:rsidP="00286762">
            <w:pPr>
              <w:jc w:val="center"/>
              <w:rPr>
                <w:sz w:val="18"/>
                <w:szCs w:val="18"/>
              </w:rPr>
            </w:pPr>
            <w:r w:rsidRPr="00214F41">
              <w:rPr>
                <w:sz w:val="18"/>
                <w:szCs w:val="18"/>
              </w:rPr>
              <w:t>11/519</w:t>
            </w:r>
          </w:p>
        </w:tc>
        <w:tc>
          <w:tcPr>
            <w:tcW w:w="278" w:type="pct"/>
            <w:tcBorders>
              <w:top w:val="nil"/>
              <w:left w:val="nil"/>
              <w:bottom w:val="single" w:sz="4" w:space="0" w:color="auto"/>
              <w:right w:val="single" w:sz="4" w:space="0" w:color="auto"/>
            </w:tcBorders>
            <w:shd w:val="clear" w:color="000000" w:fill="FFFFFF"/>
            <w:vAlign w:val="center"/>
            <w:hideMark/>
          </w:tcPr>
          <w:p w14:paraId="43D8E49C" w14:textId="77777777" w:rsidR="005A043A" w:rsidRPr="00214F41" w:rsidRDefault="005A043A" w:rsidP="00286762">
            <w:pPr>
              <w:jc w:val="center"/>
              <w:rPr>
                <w:sz w:val="18"/>
                <w:szCs w:val="18"/>
              </w:rPr>
            </w:pPr>
            <w:r w:rsidRPr="00214F41">
              <w:rPr>
                <w:sz w:val="18"/>
                <w:szCs w:val="18"/>
              </w:rPr>
              <w:t>10/252</w:t>
            </w:r>
          </w:p>
        </w:tc>
        <w:tc>
          <w:tcPr>
            <w:tcW w:w="280" w:type="pct"/>
            <w:tcBorders>
              <w:top w:val="nil"/>
              <w:left w:val="nil"/>
              <w:bottom w:val="single" w:sz="4" w:space="0" w:color="auto"/>
              <w:right w:val="single" w:sz="4" w:space="0" w:color="auto"/>
            </w:tcBorders>
            <w:shd w:val="clear" w:color="000000" w:fill="FFFFFF"/>
            <w:vAlign w:val="center"/>
            <w:hideMark/>
          </w:tcPr>
          <w:p w14:paraId="72C71314" w14:textId="77777777" w:rsidR="005A043A" w:rsidRPr="00214F41" w:rsidRDefault="005A043A" w:rsidP="00286762">
            <w:pPr>
              <w:jc w:val="center"/>
              <w:rPr>
                <w:sz w:val="18"/>
                <w:szCs w:val="18"/>
              </w:rPr>
            </w:pPr>
            <w:r w:rsidRPr="00214F41">
              <w:rPr>
                <w:sz w:val="18"/>
                <w:szCs w:val="18"/>
              </w:rPr>
              <w:t>5/519</w:t>
            </w:r>
          </w:p>
        </w:tc>
        <w:tc>
          <w:tcPr>
            <w:tcW w:w="282" w:type="pct"/>
            <w:tcBorders>
              <w:top w:val="nil"/>
              <w:left w:val="nil"/>
              <w:bottom w:val="single" w:sz="4" w:space="0" w:color="auto"/>
              <w:right w:val="single" w:sz="4" w:space="0" w:color="auto"/>
            </w:tcBorders>
            <w:shd w:val="clear" w:color="000000" w:fill="FFFFFF"/>
            <w:vAlign w:val="center"/>
            <w:hideMark/>
          </w:tcPr>
          <w:p w14:paraId="5A33E15F" w14:textId="77777777" w:rsidR="005A043A" w:rsidRPr="00214F41" w:rsidRDefault="005A043A" w:rsidP="00286762">
            <w:pPr>
              <w:jc w:val="center"/>
              <w:rPr>
                <w:sz w:val="18"/>
                <w:szCs w:val="18"/>
              </w:rPr>
            </w:pPr>
            <w:r w:rsidRPr="00214F41">
              <w:rPr>
                <w:sz w:val="18"/>
                <w:szCs w:val="18"/>
              </w:rPr>
              <w:t>26/252</w:t>
            </w:r>
          </w:p>
        </w:tc>
        <w:tc>
          <w:tcPr>
            <w:tcW w:w="279" w:type="pct"/>
            <w:tcBorders>
              <w:top w:val="nil"/>
              <w:left w:val="nil"/>
              <w:bottom w:val="single" w:sz="4" w:space="0" w:color="auto"/>
              <w:right w:val="single" w:sz="4" w:space="0" w:color="auto"/>
            </w:tcBorders>
            <w:shd w:val="clear" w:color="000000" w:fill="FFFFFF"/>
            <w:vAlign w:val="center"/>
            <w:hideMark/>
          </w:tcPr>
          <w:p w14:paraId="1359E423" w14:textId="77777777" w:rsidR="005A043A" w:rsidRPr="00214F41" w:rsidRDefault="005A043A" w:rsidP="00286762">
            <w:pPr>
              <w:jc w:val="center"/>
              <w:rPr>
                <w:sz w:val="18"/>
                <w:szCs w:val="18"/>
              </w:rPr>
            </w:pPr>
            <w:r w:rsidRPr="00214F41">
              <w:rPr>
                <w:sz w:val="18"/>
                <w:szCs w:val="18"/>
              </w:rPr>
              <w:t>17/519</w:t>
            </w:r>
          </w:p>
        </w:tc>
        <w:tc>
          <w:tcPr>
            <w:tcW w:w="279" w:type="pct"/>
            <w:tcBorders>
              <w:top w:val="nil"/>
              <w:left w:val="nil"/>
              <w:bottom w:val="single" w:sz="4" w:space="0" w:color="auto"/>
              <w:right w:val="single" w:sz="4" w:space="0" w:color="auto"/>
            </w:tcBorders>
            <w:shd w:val="clear" w:color="000000" w:fill="FFFFFF"/>
            <w:vAlign w:val="center"/>
            <w:hideMark/>
          </w:tcPr>
          <w:p w14:paraId="7A91D865" w14:textId="77777777" w:rsidR="005A043A" w:rsidRPr="00214F41" w:rsidRDefault="005A043A" w:rsidP="00286762">
            <w:pPr>
              <w:jc w:val="center"/>
              <w:rPr>
                <w:sz w:val="18"/>
                <w:szCs w:val="18"/>
              </w:rPr>
            </w:pPr>
            <w:r w:rsidRPr="00214F41">
              <w:rPr>
                <w:sz w:val="18"/>
                <w:szCs w:val="18"/>
              </w:rPr>
              <w:t>5/252</w:t>
            </w:r>
          </w:p>
        </w:tc>
        <w:tc>
          <w:tcPr>
            <w:tcW w:w="276" w:type="pct"/>
            <w:tcBorders>
              <w:top w:val="nil"/>
              <w:left w:val="nil"/>
              <w:bottom w:val="single" w:sz="4" w:space="0" w:color="auto"/>
              <w:right w:val="single" w:sz="4" w:space="0" w:color="auto"/>
            </w:tcBorders>
            <w:shd w:val="clear" w:color="000000" w:fill="FFFFFF"/>
            <w:vAlign w:val="center"/>
            <w:hideMark/>
          </w:tcPr>
          <w:p w14:paraId="4827980C" w14:textId="77777777" w:rsidR="005A043A" w:rsidRPr="00214F41" w:rsidRDefault="005A043A" w:rsidP="00286762">
            <w:pPr>
              <w:jc w:val="center"/>
              <w:rPr>
                <w:sz w:val="18"/>
                <w:szCs w:val="18"/>
              </w:rPr>
            </w:pPr>
            <w:r w:rsidRPr="00214F41">
              <w:rPr>
                <w:sz w:val="18"/>
                <w:szCs w:val="18"/>
              </w:rPr>
              <w:t>25/519</w:t>
            </w:r>
          </w:p>
        </w:tc>
      </w:tr>
      <w:tr w:rsidR="005A043A" w:rsidRPr="00214F41" w14:paraId="540E581D" w14:textId="77777777" w:rsidTr="00286762">
        <w:trPr>
          <w:trHeight w:val="566"/>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5B263B3" w14:textId="77777777" w:rsidR="005A043A" w:rsidRPr="00214F41" w:rsidRDefault="005A043A" w:rsidP="00286762">
            <w:pPr>
              <w:jc w:val="center"/>
              <w:rPr>
                <w:sz w:val="18"/>
                <w:szCs w:val="18"/>
              </w:rPr>
            </w:pPr>
            <w:r w:rsidRPr="00214F41">
              <w:rPr>
                <w:sz w:val="18"/>
                <w:szCs w:val="18"/>
              </w:rPr>
              <w:t>Schweitzer et al., 2009</w:t>
            </w:r>
          </w:p>
        </w:tc>
        <w:tc>
          <w:tcPr>
            <w:tcW w:w="318" w:type="pct"/>
            <w:tcBorders>
              <w:top w:val="nil"/>
              <w:left w:val="nil"/>
              <w:bottom w:val="single" w:sz="4" w:space="0" w:color="auto"/>
              <w:right w:val="single" w:sz="4" w:space="0" w:color="auto"/>
            </w:tcBorders>
            <w:shd w:val="clear" w:color="000000" w:fill="FFFFFF"/>
            <w:vAlign w:val="center"/>
            <w:hideMark/>
          </w:tcPr>
          <w:p w14:paraId="07A7AC43" w14:textId="77777777" w:rsidR="005A043A" w:rsidRPr="00214F41" w:rsidRDefault="005A043A" w:rsidP="00286762">
            <w:pPr>
              <w:jc w:val="center"/>
              <w:rPr>
                <w:sz w:val="18"/>
                <w:szCs w:val="18"/>
              </w:rPr>
            </w:pPr>
            <w:r w:rsidRPr="00214F41">
              <w:rPr>
                <w:sz w:val="18"/>
                <w:szCs w:val="18"/>
              </w:rPr>
              <w:t>13/165</w:t>
            </w:r>
          </w:p>
        </w:tc>
        <w:tc>
          <w:tcPr>
            <w:tcW w:w="295" w:type="pct"/>
            <w:tcBorders>
              <w:top w:val="nil"/>
              <w:left w:val="nil"/>
              <w:bottom w:val="single" w:sz="4" w:space="0" w:color="auto"/>
              <w:right w:val="single" w:sz="4" w:space="0" w:color="auto"/>
            </w:tcBorders>
            <w:shd w:val="clear" w:color="000000" w:fill="FFFFFF"/>
            <w:vAlign w:val="center"/>
            <w:hideMark/>
          </w:tcPr>
          <w:p w14:paraId="46883ED6" w14:textId="77777777" w:rsidR="005A043A" w:rsidRPr="00214F41" w:rsidRDefault="005A043A" w:rsidP="00286762">
            <w:pPr>
              <w:jc w:val="center"/>
              <w:rPr>
                <w:sz w:val="18"/>
                <w:szCs w:val="18"/>
              </w:rPr>
            </w:pPr>
            <w:r w:rsidRPr="00214F41">
              <w:rPr>
                <w:sz w:val="18"/>
                <w:szCs w:val="18"/>
              </w:rPr>
              <w:t>7/167</w:t>
            </w:r>
          </w:p>
        </w:tc>
        <w:tc>
          <w:tcPr>
            <w:tcW w:w="718" w:type="pct"/>
            <w:tcBorders>
              <w:top w:val="nil"/>
              <w:left w:val="nil"/>
              <w:bottom w:val="single" w:sz="4" w:space="0" w:color="auto"/>
              <w:right w:val="single" w:sz="4" w:space="0" w:color="auto"/>
            </w:tcBorders>
            <w:shd w:val="clear" w:color="000000" w:fill="FFFFFF"/>
            <w:vAlign w:val="center"/>
            <w:hideMark/>
          </w:tcPr>
          <w:p w14:paraId="73DF6FEE" w14:textId="77777777" w:rsidR="005A043A" w:rsidRPr="00214F41" w:rsidRDefault="005A043A" w:rsidP="00286762">
            <w:pPr>
              <w:jc w:val="center"/>
              <w:rPr>
                <w:sz w:val="18"/>
                <w:szCs w:val="18"/>
                <w:lang w:val="en-GB"/>
              </w:rPr>
            </w:pPr>
            <w:r w:rsidRPr="00214F41">
              <w:rPr>
                <w:sz w:val="18"/>
                <w:szCs w:val="18"/>
                <w:lang w:val="en-GB"/>
              </w:rPr>
              <w:t xml:space="preserve">most frequently GI </w:t>
            </w:r>
            <w:r w:rsidRPr="00214F41">
              <w:rPr>
                <w:sz w:val="18"/>
                <w:szCs w:val="18"/>
              </w:rPr>
              <w:t>disorders</w:t>
            </w:r>
          </w:p>
        </w:tc>
        <w:tc>
          <w:tcPr>
            <w:tcW w:w="282" w:type="pct"/>
            <w:tcBorders>
              <w:top w:val="nil"/>
              <w:left w:val="nil"/>
              <w:bottom w:val="single" w:sz="4" w:space="0" w:color="auto"/>
              <w:right w:val="single" w:sz="4" w:space="0" w:color="auto"/>
            </w:tcBorders>
            <w:shd w:val="clear" w:color="000000" w:fill="FFFFFF"/>
            <w:vAlign w:val="center"/>
            <w:hideMark/>
          </w:tcPr>
          <w:p w14:paraId="5DD5F5A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43DA24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B86F70C" w14:textId="77777777" w:rsidR="005A043A" w:rsidRPr="00214F41" w:rsidRDefault="005A043A" w:rsidP="00286762">
            <w:pPr>
              <w:jc w:val="center"/>
              <w:rPr>
                <w:sz w:val="18"/>
                <w:szCs w:val="18"/>
              </w:rPr>
            </w:pPr>
            <w:r w:rsidRPr="00214F41">
              <w:rPr>
                <w:sz w:val="18"/>
                <w:szCs w:val="18"/>
              </w:rPr>
              <w:t>22/165</w:t>
            </w:r>
          </w:p>
        </w:tc>
        <w:tc>
          <w:tcPr>
            <w:tcW w:w="282" w:type="pct"/>
            <w:tcBorders>
              <w:top w:val="nil"/>
              <w:left w:val="nil"/>
              <w:bottom w:val="single" w:sz="4" w:space="0" w:color="auto"/>
              <w:right w:val="single" w:sz="4" w:space="0" w:color="auto"/>
            </w:tcBorders>
            <w:shd w:val="clear" w:color="000000" w:fill="FFFFFF"/>
            <w:vAlign w:val="center"/>
            <w:hideMark/>
          </w:tcPr>
          <w:p w14:paraId="03C07A61" w14:textId="77777777" w:rsidR="005A043A" w:rsidRPr="00214F41" w:rsidRDefault="005A043A" w:rsidP="00286762">
            <w:pPr>
              <w:jc w:val="center"/>
              <w:rPr>
                <w:sz w:val="18"/>
                <w:szCs w:val="18"/>
              </w:rPr>
            </w:pPr>
            <w:r w:rsidRPr="00214F41">
              <w:rPr>
                <w:sz w:val="18"/>
                <w:szCs w:val="18"/>
              </w:rPr>
              <w:t>5/167</w:t>
            </w:r>
          </w:p>
        </w:tc>
        <w:tc>
          <w:tcPr>
            <w:tcW w:w="278" w:type="pct"/>
            <w:tcBorders>
              <w:top w:val="nil"/>
              <w:left w:val="nil"/>
              <w:bottom w:val="single" w:sz="4" w:space="0" w:color="auto"/>
              <w:right w:val="single" w:sz="4" w:space="0" w:color="auto"/>
            </w:tcBorders>
            <w:shd w:val="clear" w:color="000000" w:fill="FFFFFF"/>
            <w:vAlign w:val="center"/>
            <w:hideMark/>
          </w:tcPr>
          <w:p w14:paraId="0A2387D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01E600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7857A79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55C62A8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E5A0D27" w14:textId="77777777" w:rsidR="005A043A" w:rsidRPr="00214F41" w:rsidRDefault="005A043A" w:rsidP="00286762">
            <w:pPr>
              <w:jc w:val="center"/>
              <w:rPr>
                <w:sz w:val="18"/>
                <w:szCs w:val="18"/>
              </w:rPr>
            </w:pPr>
            <w:r w:rsidRPr="00214F41">
              <w:rPr>
                <w:sz w:val="18"/>
                <w:szCs w:val="18"/>
              </w:rPr>
              <w:t>9/165</w:t>
            </w:r>
          </w:p>
        </w:tc>
        <w:tc>
          <w:tcPr>
            <w:tcW w:w="279" w:type="pct"/>
            <w:tcBorders>
              <w:top w:val="nil"/>
              <w:left w:val="nil"/>
              <w:bottom w:val="single" w:sz="4" w:space="0" w:color="auto"/>
              <w:right w:val="single" w:sz="4" w:space="0" w:color="auto"/>
            </w:tcBorders>
            <w:shd w:val="clear" w:color="000000" w:fill="FFFFFF"/>
            <w:vAlign w:val="center"/>
            <w:hideMark/>
          </w:tcPr>
          <w:p w14:paraId="4FB76D08" w14:textId="77777777" w:rsidR="005A043A" w:rsidRPr="00214F41" w:rsidRDefault="005A043A" w:rsidP="00286762">
            <w:pPr>
              <w:jc w:val="center"/>
              <w:rPr>
                <w:sz w:val="18"/>
                <w:szCs w:val="18"/>
              </w:rPr>
            </w:pPr>
            <w:r w:rsidRPr="00214F41">
              <w:rPr>
                <w:sz w:val="18"/>
                <w:szCs w:val="18"/>
              </w:rPr>
              <w:t>5/167</w:t>
            </w:r>
          </w:p>
        </w:tc>
        <w:tc>
          <w:tcPr>
            <w:tcW w:w="279" w:type="pct"/>
            <w:tcBorders>
              <w:top w:val="nil"/>
              <w:left w:val="nil"/>
              <w:bottom w:val="single" w:sz="4" w:space="0" w:color="auto"/>
              <w:right w:val="single" w:sz="4" w:space="0" w:color="auto"/>
            </w:tcBorders>
            <w:shd w:val="clear" w:color="000000" w:fill="FFFFFF"/>
            <w:vAlign w:val="center"/>
            <w:hideMark/>
          </w:tcPr>
          <w:p w14:paraId="4ADE99E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8C3367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42704C06" w14:textId="77777777" w:rsidTr="00286762">
        <w:trPr>
          <w:trHeight w:val="41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557304B" w14:textId="77777777" w:rsidR="005A043A" w:rsidRPr="00214F41" w:rsidRDefault="005A043A" w:rsidP="00286762">
            <w:pPr>
              <w:jc w:val="center"/>
              <w:rPr>
                <w:sz w:val="18"/>
                <w:szCs w:val="18"/>
              </w:rPr>
            </w:pPr>
            <w:r w:rsidRPr="00214F41">
              <w:rPr>
                <w:sz w:val="18"/>
                <w:szCs w:val="18"/>
              </w:rPr>
              <w:t>Seino et al., 2012</w:t>
            </w:r>
          </w:p>
        </w:tc>
        <w:tc>
          <w:tcPr>
            <w:tcW w:w="318" w:type="pct"/>
            <w:tcBorders>
              <w:top w:val="nil"/>
              <w:left w:val="nil"/>
              <w:bottom w:val="single" w:sz="4" w:space="0" w:color="auto"/>
              <w:right w:val="single" w:sz="4" w:space="0" w:color="auto"/>
            </w:tcBorders>
            <w:shd w:val="clear" w:color="000000" w:fill="FFFFFF"/>
            <w:vAlign w:val="center"/>
            <w:hideMark/>
          </w:tcPr>
          <w:p w14:paraId="3CE48C55" w14:textId="77777777" w:rsidR="005A043A" w:rsidRPr="00214F41" w:rsidRDefault="005A043A" w:rsidP="00286762">
            <w:pPr>
              <w:jc w:val="center"/>
              <w:rPr>
                <w:sz w:val="18"/>
                <w:szCs w:val="18"/>
              </w:rPr>
            </w:pPr>
            <w:r w:rsidRPr="00214F41">
              <w:rPr>
                <w:sz w:val="18"/>
                <w:szCs w:val="18"/>
              </w:rPr>
              <w:t>0/100</w:t>
            </w:r>
          </w:p>
        </w:tc>
        <w:tc>
          <w:tcPr>
            <w:tcW w:w="295" w:type="pct"/>
            <w:tcBorders>
              <w:top w:val="nil"/>
              <w:left w:val="nil"/>
              <w:bottom w:val="single" w:sz="4" w:space="0" w:color="auto"/>
              <w:right w:val="single" w:sz="4" w:space="0" w:color="auto"/>
            </w:tcBorders>
            <w:shd w:val="clear" w:color="000000" w:fill="FFFFFF"/>
            <w:vAlign w:val="center"/>
            <w:hideMark/>
          </w:tcPr>
          <w:p w14:paraId="26E85F9D" w14:textId="77777777" w:rsidR="005A043A" w:rsidRPr="00214F41" w:rsidRDefault="005A043A" w:rsidP="00286762">
            <w:pPr>
              <w:jc w:val="center"/>
              <w:rPr>
                <w:sz w:val="18"/>
                <w:szCs w:val="18"/>
              </w:rPr>
            </w:pPr>
            <w:r w:rsidRPr="00214F41">
              <w:rPr>
                <w:sz w:val="18"/>
                <w:szCs w:val="18"/>
              </w:rPr>
              <w:t>0/92</w:t>
            </w:r>
          </w:p>
        </w:tc>
        <w:tc>
          <w:tcPr>
            <w:tcW w:w="718" w:type="pct"/>
            <w:tcBorders>
              <w:top w:val="nil"/>
              <w:left w:val="nil"/>
              <w:bottom w:val="single" w:sz="4" w:space="0" w:color="auto"/>
              <w:right w:val="single" w:sz="4" w:space="0" w:color="auto"/>
            </w:tcBorders>
            <w:shd w:val="clear" w:color="000000" w:fill="FFFFFF"/>
            <w:vAlign w:val="center"/>
            <w:hideMark/>
          </w:tcPr>
          <w:p w14:paraId="3BA8CF7F"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62CFD3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6FB557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30B77D3" w14:textId="77777777" w:rsidR="005A043A" w:rsidRPr="00214F41" w:rsidRDefault="005A043A" w:rsidP="00286762">
            <w:pPr>
              <w:jc w:val="center"/>
              <w:rPr>
                <w:sz w:val="18"/>
                <w:szCs w:val="18"/>
              </w:rPr>
            </w:pPr>
            <w:r w:rsidRPr="00214F41">
              <w:rPr>
                <w:sz w:val="18"/>
                <w:szCs w:val="18"/>
              </w:rPr>
              <w:t>1/100</w:t>
            </w:r>
          </w:p>
        </w:tc>
        <w:tc>
          <w:tcPr>
            <w:tcW w:w="282" w:type="pct"/>
            <w:tcBorders>
              <w:top w:val="nil"/>
              <w:left w:val="nil"/>
              <w:bottom w:val="single" w:sz="4" w:space="0" w:color="auto"/>
              <w:right w:val="single" w:sz="4" w:space="0" w:color="auto"/>
            </w:tcBorders>
            <w:shd w:val="clear" w:color="000000" w:fill="FFFFFF"/>
            <w:vAlign w:val="center"/>
            <w:hideMark/>
          </w:tcPr>
          <w:p w14:paraId="2A00A435" w14:textId="77777777" w:rsidR="005A043A" w:rsidRPr="00214F41" w:rsidRDefault="005A043A" w:rsidP="00286762">
            <w:pPr>
              <w:jc w:val="center"/>
              <w:rPr>
                <w:sz w:val="18"/>
                <w:szCs w:val="18"/>
              </w:rPr>
            </w:pPr>
            <w:r w:rsidRPr="00214F41">
              <w:rPr>
                <w:sz w:val="18"/>
                <w:szCs w:val="18"/>
              </w:rPr>
              <w:t>5|92</w:t>
            </w:r>
          </w:p>
        </w:tc>
        <w:tc>
          <w:tcPr>
            <w:tcW w:w="278" w:type="pct"/>
            <w:tcBorders>
              <w:top w:val="nil"/>
              <w:left w:val="nil"/>
              <w:bottom w:val="single" w:sz="4" w:space="0" w:color="auto"/>
              <w:right w:val="single" w:sz="4" w:space="0" w:color="auto"/>
            </w:tcBorders>
            <w:shd w:val="clear" w:color="000000" w:fill="FFFFFF"/>
            <w:vAlign w:val="center"/>
            <w:hideMark/>
          </w:tcPr>
          <w:p w14:paraId="75A854D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55CB1F1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6C7543C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9B5CB2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E3FC1A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6EF4203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2685D3F3" w14:textId="77777777" w:rsidR="005A043A" w:rsidRPr="00214F41" w:rsidRDefault="005A043A" w:rsidP="00286762">
            <w:pPr>
              <w:jc w:val="center"/>
              <w:rPr>
                <w:sz w:val="18"/>
                <w:szCs w:val="18"/>
              </w:rPr>
            </w:pPr>
            <w:r w:rsidRPr="00214F41">
              <w:rPr>
                <w:sz w:val="18"/>
                <w:szCs w:val="18"/>
              </w:rPr>
              <w:t>2/100</w:t>
            </w:r>
          </w:p>
        </w:tc>
        <w:tc>
          <w:tcPr>
            <w:tcW w:w="276" w:type="pct"/>
            <w:tcBorders>
              <w:top w:val="nil"/>
              <w:left w:val="nil"/>
              <w:bottom w:val="single" w:sz="4" w:space="0" w:color="auto"/>
              <w:right w:val="single" w:sz="4" w:space="0" w:color="auto"/>
            </w:tcBorders>
            <w:shd w:val="clear" w:color="000000" w:fill="FFFFFF"/>
            <w:vAlign w:val="center"/>
            <w:hideMark/>
          </w:tcPr>
          <w:p w14:paraId="7720DAA1" w14:textId="77777777" w:rsidR="005A043A" w:rsidRPr="00214F41" w:rsidRDefault="005A043A" w:rsidP="00286762">
            <w:pPr>
              <w:jc w:val="center"/>
              <w:rPr>
                <w:sz w:val="18"/>
                <w:szCs w:val="18"/>
              </w:rPr>
            </w:pPr>
            <w:r w:rsidRPr="00214F41">
              <w:rPr>
                <w:sz w:val="18"/>
                <w:szCs w:val="18"/>
              </w:rPr>
              <w:t>1|92</w:t>
            </w:r>
          </w:p>
        </w:tc>
      </w:tr>
      <w:tr w:rsidR="005A043A" w:rsidRPr="00214F41" w14:paraId="635D07F6" w14:textId="77777777" w:rsidTr="00286762">
        <w:trPr>
          <w:trHeight w:val="409"/>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9214DA1" w14:textId="77777777" w:rsidR="005A043A" w:rsidRPr="00214F41" w:rsidRDefault="005A043A" w:rsidP="00286762">
            <w:pPr>
              <w:jc w:val="center"/>
              <w:rPr>
                <w:sz w:val="18"/>
                <w:szCs w:val="18"/>
              </w:rPr>
            </w:pPr>
            <w:r w:rsidRPr="00214F41">
              <w:rPr>
                <w:sz w:val="18"/>
                <w:szCs w:val="18"/>
              </w:rPr>
              <w:t>Stewart et al., 2006</w:t>
            </w:r>
          </w:p>
        </w:tc>
        <w:tc>
          <w:tcPr>
            <w:tcW w:w="318" w:type="pct"/>
            <w:tcBorders>
              <w:top w:val="nil"/>
              <w:left w:val="nil"/>
              <w:bottom w:val="single" w:sz="4" w:space="0" w:color="auto"/>
              <w:right w:val="single" w:sz="4" w:space="0" w:color="auto"/>
            </w:tcBorders>
            <w:shd w:val="clear" w:color="000000" w:fill="FFFFFF"/>
            <w:vAlign w:val="center"/>
            <w:hideMark/>
          </w:tcPr>
          <w:p w14:paraId="3DAC1652" w14:textId="77777777" w:rsidR="005A043A" w:rsidRPr="00214F41" w:rsidRDefault="005A043A" w:rsidP="00286762">
            <w:pPr>
              <w:jc w:val="center"/>
              <w:rPr>
                <w:sz w:val="18"/>
                <w:szCs w:val="18"/>
              </w:rPr>
            </w:pPr>
            <w:r w:rsidRPr="00214F41">
              <w:rPr>
                <w:sz w:val="18"/>
                <w:szCs w:val="18"/>
              </w:rPr>
              <w:t>7/272</w:t>
            </w:r>
          </w:p>
        </w:tc>
        <w:tc>
          <w:tcPr>
            <w:tcW w:w="295" w:type="pct"/>
            <w:tcBorders>
              <w:top w:val="nil"/>
              <w:left w:val="nil"/>
              <w:bottom w:val="single" w:sz="4" w:space="0" w:color="auto"/>
              <w:right w:val="single" w:sz="4" w:space="0" w:color="auto"/>
            </w:tcBorders>
            <w:shd w:val="clear" w:color="000000" w:fill="FFFFFF"/>
            <w:vAlign w:val="center"/>
            <w:hideMark/>
          </w:tcPr>
          <w:p w14:paraId="0DE112CC" w14:textId="77777777" w:rsidR="005A043A" w:rsidRPr="00214F41" w:rsidRDefault="005A043A" w:rsidP="00286762">
            <w:pPr>
              <w:jc w:val="center"/>
              <w:rPr>
                <w:sz w:val="18"/>
                <w:szCs w:val="18"/>
              </w:rPr>
            </w:pPr>
            <w:r w:rsidRPr="00214F41">
              <w:rPr>
                <w:sz w:val="18"/>
                <w:szCs w:val="18"/>
              </w:rPr>
              <w:t>11/254</w:t>
            </w:r>
          </w:p>
        </w:tc>
        <w:tc>
          <w:tcPr>
            <w:tcW w:w="718" w:type="pct"/>
            <w:tcBorders>
              <w:top w:val="nil"/>
              <w:left w:val="nil"/>
              <w:bottom w:val="single" w:sz="4" w:space="0" w:color="auto"/>
              <w:right w:val="single" w:sz="4" w:space="0" w:color="auto"/>
            </w:tcBorders>
            <w:shd w:val="clear" w:color="000000" w:fill="FFFFFF"/>
            <w:vAlign w:val="center"/>
            <w:hideMark/>
          </w:tcPr>
          <w:p w14:paraId="0E9AC8C5" w14:textId="77777777" w:rsidR="005A043A" w:rsidRPr="00214F41" w:rsidRDefault="005A043A" w:rsidP="00286762">
            <w:pPr>
              <w:jc w:val="center"/>
              <w:rPr>
                <w:sz w:val="18"/>
                <w:szCs w:val="18"/>
              </w:rPr>
            </w:pPr>
            <w:r w:rsidRPr="00214F41">
              <w:rPr>
                <w:sz w:val="18"/>
                <w:szCs w:val="18"/>
              </w:rPr>
              <w:t xml:space="preserve">only GI disorders </w:t>
            </w:r>
          </w:p>
        </w:tc>
        <w:tc>
          <w:tcPr>
            <w:tcW w:w="282" w:type="pct"/>
            <w:tcBorders>
              <w:top w:val="nil"/>
              <w:left w:val="nil"/>
              <w:bottom w:val="single" w:sz="4" w:space="0" w:color="auto"/>
              <w:right w:val="single" w:sz="4" w:space="0" w:color="auto"/>
            </w:tcBorders>
            <w:shd w:val="clear" w:color="000000" w:fill="FFFFFF"/>
            <w:vAlign w:val="center"/>
            <w:hideMark/>
          </w:tcPr>
          <w:p w14:paraId="6314EAEE" w14:textId="77777777" w:rsidR="005A043A" w:rsidRPr="00214F41" w:rsidRDefault="005A043A" w:rsidP="00286762">
            <w:pPr>
              <w:jc w:val="center"/>
              <w:rPr>
                <w:sz w:val="18"/>
                <w:szCs w:val="18"/>
              </w:rPr>
            </w:pPr>
            <w:r w:rsidRPr="00214F41">
              <w:rPr>
                <w:sz w:val="18"/>
                <w:szCs w:val="18"/>
              </w:rPr>
              <w:t>1/272</w:t>
            </w:r>
          </w:p>
        </w:tc>
        <w:tc>
          <w:tcPr>
            <w:tcW w:w="282" w:type="pct"/>
            <w:tcBorders>
              <w:top w:val="nil"/>
              <w:left w:val="nil"/>
              <w:bottom w:val="single" w:sz="4" w:space="0" w:color="auto"/>
              <w:right w:val="single" w:sz="4" w:space="0" w:color="auto"/>
            </w:tcBorders>
            <w:shd w:val="clear" w:color="000000" w:fill="FFFFFF"/>
            <w:vAlign w:val="center"/>
            <w:hideMark/>
          </w:tcPr>
          <w:p w14:paraId="3485A399" w14:textId="77777777" w:rsidR="005A043A" w:rsidRPr="00214F41" w:rsidRDefault="005A043A" w:rsidP="00286762">
            <w:pPr>
              <w:jc w:val="center"/>
              <w:rPr>
                <w:sz w:val="18"/>
                <w:szCs w:val="18"/>
              </w:rPr>
            </w:pPr>
            <w:r w:rsidRPr="00214F41">
              <w:rPr>
                <w:sz w:val="18"/>
                <w:szCs w:val="18"/>
              </w:rPr>
              <w:t>0/254</w:t>
            </w:r>
          </w:p>
        </w:tc>
        <w:tc>
          <w:tcPr>
            <w:tcW w:w="282" w:type="pct"/>
            <w:tcBorders>
              <w:top w:val="nil"/>
              <w:left w:val="nil"/>
              <w:bottom w:val="single" w:sz="4" w:space="0" w:color="auto"/>
              <w:right w:val="single" w:sz="4" w:space="0" w:color="auto"/>
            </w:tcBorders>
            <w:shd w:val="clear" w:color="000000" w:fill="FFFFFF"/>
            <w:vAlign w:val="center"/>
            <w:hideMark/>
          </w:tcPr>
          <w:p w14:paraId="05E1F715" w14:textId="77777777" w:rsidR="005A043A" w:rsidRPr="00214F41" w:rsidRDefault="005A043A" w:rsidP="00286762">
            <w:pPr>
              <w:jc w:val="center"/>
              <w:rPr>
                <w:sz w:val="18"/>
                <w:szCs w:val="18"/>
              </w:rPr>
            </w:pPr>
            <w:r w:rsidRPr="00214F41">
              <w:rPr>
                <w:sz w:val="18"/>
                <w:szCs w:val="18"/>
              </w:rPr>
              <w:t>49/272</w:t>
            </w:r>
          </w:p>
        </w:tc>
        <w:tc>
          <w:tcPr>
            <w:tcW w:w="282" w:type="pct"/>
            <w:tcBorders>
              <w:top w:val="nil"/>
              <w:left w:val="nil"/>
              <w:bottom w:val="single" w:sz="4" w:space="0" w:color="auto"/>
              <w:right w:val="single" w:sz="4" w:space="0" w:color="auto"/>
            </w:tcBorders>
            <w:shd w:val="clear" w:color="000000" w:fill="FFFFFF"/>
            <w:vAlign w:val="center"/>
            <w:hideMark/>
          </w:tcPr>
          <w:p w14:paraId="48D09394" w14:textId="77777777" w:rsidR="005A043A" w:rsidRPr="00214F41" w:rsidRDefault="005A043A" w:rsidP="00286762">
            <w:pPr>
              <w:jc w:val="center"/>
              <w:rPr>
                <w:sz w:val="18"/>
                <w:szCs w:val="18"/>
              </w:rPr>
            </w:pPr>
            <w:r w:rsidRPr="00214F41">
              <w:rPr>
                <w:sz w:val="18"/>
                <w:szCs w:val="18"/>
              </w:rPr>
              <w:t>20/254</w:t>
            </w:r>
          </w:p>
        </w:tc>
        <w:tc>
          <w:tcPr>
            <w:tcW w:w="278" w:type="pct"/>
            <w:tcBorders>
              <w:top w:val="nil"/>
              <w:left w:val="nil"/>
              <w:bottom w:val="single" w:sz="4" w:space="0" w:color="auto"/>
              <w:right w:val="single" w:sz="4" w:space="0" w:color="auto"/>
            </w:tcBorders>
            <w:shd w:val="clear" w:color="000000" w:fill="FFFFFF"/>
            <w:vAlign w:val="center"/>
            <w:hideMark/>
          </w:tcPr>
          <w:p w14:paraId="04BA826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228DFD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752006B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8AE322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DC728B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5C7285F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308A54A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45DDA70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33C9AC22" w14:textId="77777777" w:rsidTr="00286762">
        <w:trPr>
          <w:trHeight w:val="27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03075B76" w14:textId="77777777" w:rsidR="005A043A" w:rsidRPr="00214F41" w:rsidRDefault="005A043A" w:rsidP="00286762">
            <w:pPr>
              <w:jc w:val="center"/>
              <w:rPr>
                <w:sz w:val="18"/>
                <w:szCs w:val="18"/>
              </w:rPr>
            </w:pPr>
            <w:r w:rsidRPr="00214F41">
              <w:rPr>
                <w:sz w:val="18"/>
                <w:szCs w:val="18"/>
              </w:rPr>
              <w:t>Sun et al., 2016</w:t>
            </w:r>
          </w:p>
        </w:tc>
        <w:tc>
          <w:tcPr>
            <w:tcW w:w="318" w:type="pct"/>
            <w:tcBorders>
              <w:top w:val="nil"/>
              <w:left w:val="nil"/>
              <w:bottom w:val="single" w:sz="4" w:space="0" w:color="auto"/>
              <w:right w:val="single" w:sz="4" w:space="0" w:color="auto"/>
            </w:tcBorders>
            <w:shd w:val="clear" w:color="000000" w:fill="FFFFFF"/>
            <w:vAlign w:val="center"/>
            <w:hideMark/>
          </w:tcPr>
          <w:p w14:paraId="4C4C7158" w14:textId="77777777" w:rsidR="005A043A" w:rsidRPr="00214F41" w:rsidRDefault="005A043A" w:rsidP="00286762">
            <w:pPr>
              <w:jc w:val="center"/>
              <w:rPr>
                <w:sz w:val="18"/>
                <w:szCs w:val="18"/>
              </w:rPr>
            </w:pPr>
            <w:r w:rsidRPr="00214F41">
              <w:rPr>
                <w:sz w:val="18"/>
                <w:szCs w:val="18"/>
              </w:rPr>
              <w:t>2|54</w:t>
            </w:r>
          </w:p>
        </w:tc>
        <w:tc>
          <w:tcPr>
            <w:tcW w:w="295" w:type="pct"/>
            <w:tcBorders>
              <w:top w:val="nil"/>
              <w:left w:val="nil"/>
              <w:bottom w:val="single" w:sz="4" w:space="0" w:color="auto"/>
              <w:right w:val="single" w:sz="4" w:space="0" w:color="auto"/>
            </w:tcBorders>
            <w:shd w:val="clear" w:color="000000" w:fill="FFFFFF"/>
            <w:vAlign w:val="center"/>
            <w:hideMark/>
          </w:tcPr>
          <w:p w14:paraId="2BA50EA5" w14:textId="77777777" w:rsidR="005A043A" w:rsidRPr="00214F41" w:rsidRDefault="005A043A" w:rsidP="00286762">
            <w:pPr>
              <w:jc w:val="center"/>
              <w:rPr>
                <w:sz w:val="18"/>
                <w:szCs w:val="18"/>
              </w:rPr>
            </w:pPr>
            <w:r w:rsidRPr="00214F41">
              <w:rPr>
                <w:sz w:val="18"/>
                <w:szCs w:val="18"/>
              </w:rPr>
              <w:t>3|54</w:t>
            </w:r>
          </w:p>
        </w:tc>
        <w:tc>
          <w:tcPr>
            <w:tcW w:w="718" w:type="pct"/>
            <w:tcBorders>
              <w:top w:val="nil"/>
              <w:left w:val="nil"/>
              <w:bottom w:val="single" w:sz="4" w:space="0" w:color="auto"/>
              <w:right w:val="single" w:sz="4" w:space="0" w:color="auto"/>
            </w:tcBorders>
            <w:shd w:val="clear" w:color="000000" w:fill="FFFFFF"/>
            <w:vAlign w:val="center"/>
            <w:hideMark/>
          </w:tcPr>
          <w:p w14:paraId="762F99F8" w14:textId="77777777" w:rsidR="005A043A" w:rsidRPr="00214F41" w:rsidRDefault="005A043A" w:rsidP="00286762">
            <w:pPr>
              <w:jc w:val="center"/>
              <w:rPr>
                <w:sz w:val="18"/>
                <w:szCs w:val="18"/>
              </w:rPr>
            </w:pPr>
            <w:r w:rsidRPr="00214F41">
              <w:rPr>
                <w:sz w:val="18"/>
                <w:szCs w:val="18"/>
                <w:lang w:val="en-GB"/>
              </w:rPr>
              <w:t xml:space="preserve">most frequently GI </w:t>
            </w:r>
            <w:r w:rsidRPr="00214F41">
              <w:rPr>
                <w:sz w:val="18"/>
                <w:szCs w:val="18"/>
              </w:rPr>
              <w:t>disorders</w:t>
            </w:r>
          </w:p>
        </w:tc>
        <w:tc>
          <w:tcPr>
            <w:tcW w:w="282" w:type="pct"/>
            <w:tcBorders>
              <w:top w:val="nil"/>
              <w:left w:val="nil"/>
              <w:bottom w:val="single" w:sz="4" w:space="0" w:color="auto"/>
              <w:right w:val="single" w:sz="4" w:space="0" w:color="auto"/>
            </w:tcBorders>
            <w:shd w:val="clear" w:color="000000" w:fill="FFFFFF"/>
            <w:vAlign w:val="center"/>
            <w:hideMark/>
          </w:tcPr>
          <w:p w14:paraId="1B32AA9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1C83C0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9B49197" w14:textId="77777777" w:rsidR="005A043A" w:rsidRPr="00214F41" w:rsidRDefault="005A043A" w:rsidP="00286762">
            <w:pPr>
              <w:jc w:val="center"/>
              <w:rPr>
                <w:sz w:val="18"/>
                <w:szCs w:val="18"/>
              </w:rPr>
            </w:pPr>
            <w:r w:rsidRPr="00214F41">
              <w:rPr>
                <w:sz w:val="18"/>
                <w:szCs w:val="18"/>
              </w:rPr>
              <w:t>8|54</w:t>
            </w:r>
          </w:p>
        </w:tc>
        <w:tc>
          <w:tcPr>
            <w:tcW w:w="282" w:type="pct"/>
            <w:tcBorders>
              <w:top w:val="nil"/>
              <w:left w:val="nil"/>
              <w:bottom w:val="single" w:sz="4" w:space="0" w:color="auto"/>
              <w:right w:val="single" w:sz="4" w:space="0" w:color="auto"/>
            </w:tcBorders>
            <w:shd w:val="clear" w:color="000000" w:fill="FFFFFF"/>
            <w:vAlign w:val="center"/>
            <w:hideMark/>
          </w:tcPr>
          <w:p w14:paraId="1F424A04" w14:textId="77777777" w:rsidR="005A043A" w:rsidRPr="00214F41" w:rsidRDefault="005A043A" w:rsidP="00286762">
            <w:pPr>
              <w:jc w:val="center"/>
              <w:rPr>
                <w:sz w:val="18"/>
                <w:szCs w:val="18"/>
              </w:rPr>
            </w:pPr>
            <w:r w:rsidRPr="00214F41">
              <w:rPr>
                <w:sz w:val="18"/>
                <w:szCs w:val="18"/>
              </w:rPr>
              <w:t>0|54</w:t>
            </w:r>
          </w:p>
        </w:tc>
        <w:tc>
          <w:tcPr>
            <w:tcW w:w="278" w:type="pct"/>
            <w:tcBorders>
              <w:top w:val="nil"/>
              <w:left w:val="nil"/>
              <w:bottom w:val="single" w:sz="4" w:space="0" w:color="auto"/>
              <w:right w:val="single" w:sz="4" w:space="0" w:color="auto"/>
            </w:tcBorders>
            <w:shd w:val="clear" w:color="000000" w:fill="FFFFFF"/>
            <w:vAlign w:val="center"/>
            <w:hideMark/>
          </w:tcPr>
          <w:p w14:paraId="4D1E451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D4E0BD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56298B60" w14:textId="77777777" w:rsidR="005A043A" w:rsidRPr="00214F41" w:rsidRDefault="005A043A" w:rsidP="00286762">
            <w:pPr>
              <w:jc w:val="center"/>
              <w:rPr>
                <w:sz w:val="18"/>
                <w:szCs w:val="18"/>
              </w:rPr>
            </w:pPr>
            <w:r w:rsidRPr="00214F41">
              <w:rPr>
                <w:sz w:val="18"/>
                <w:szCs w:val="18"/>
              </w:rPr>
              <w:t>0/54</w:t>
            </w:r>
          </w:p>
        </w:tc>
        <w:tc>
          <w:tcPr>
            <w:tcW w:w="280" w:type="pct"/>
            <w:tcBorders>
              <w:top w:val="nil"/>
              <w:left w:val="nil"/>
              <w:bottom w:val="single" w:sz="4" w:space="0" w:color="auto"/>
              <w:right w:val="single" w:sz="4" w:space="0" w:color="auto"/>
            </w:tcBorders>
            <w:shd w:val="clear" w:color="000000" w:fill="FFFFFF"/>
            <w:vAlign w:val="center"/>
            <w:hideMark/>
          </w:tcPr>
          <w:p w14:paraId="12D4D245" w14:textId="77777777" w:rsidR="005A043A" w:rsidRPr="00214F41" w:rsidRDefault="005A043A" w:rsidP="00286762">
            <w:pPr>
              <w:jc w:val="center"/>
              <w:rPr>
                <w:sz w:val="18"/>
                <w:szCs w:val="18"/>
              </w:rPr>
            </w:pPr>
            <w:r w:rsidRPr="00214F41">
              <w:rPr>
                <w:sz w:val="18"/>
                <w:szCs w:val="18"/>
              </w:rPr>
              <w:t>paź.54</w:t>
            </w:r>
          </w:p>
        </w:tc>
        <w:tc>
          <w:tcPr>
            <w:tcW w:w="282" w:type="pct"/>
            <w:tcBorders>
              <w:top w:val="nil"/>
              <w:left w:val="nil"/>
              <w:bottom w:val="single" w:sz="4" w:space="0" w:color="auto"/>
              <w:right w:val="single" w:sz="4" w:space="0" w:color="auto"/>
            </w:tcBorders>
            <w:shd w:val="clear" w:color="000000" w:fill="FFFFFF"/>
            <w:vAlign w:val="center"/>
            <w:hideMark/>
          </w:tcPr>
          <w:p w14:paraId="0993663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76C58BA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138B2B3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D056A3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5AEA1087" w14:textId="77777777" w:rsidTr="00286762">
        <w:trPr>
          <w:trHeight w:val="32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5ADD657F" w14:textId="77777777" w:rsidR="005A043A" w:rsidRPr="00214F41" w:rsidRDefault="005A043A" w:rsidP="00286762">
            <w:pPr>
              <w:jc w:val="center"/>
              <w:rPr>
                <w:sz w:val="18"/>
                <w:szCs w:val="18"/>
              </w:rPr>
            </w:pPr>
            <w:r w:rsidRPr="00214F41">
              <w:rPr>
                <w:sz w:val="18"/>
                <w:szCs w:val="18"/>
              </w:rPr>
              <w:lastRenderedPageBreak/>
              <w:t>Takeda et al., 2016</w:t>
            </w:r>
          </w:p>
        </w:tc>
        <w:tc>
          <w:tcPr>
            <w:tcW w:w="318" w:type="pct"/>
            <w:tcBorders>
              <w:top w:val="nil"/>
              <w:left w:val="nil"/>
              <w:bottom w:val="single" w:sz="4" w:space="0" w:color="auto"/>
              <w:right w:val="single" w:sz="4" w:space="0" w:color="auto"/>
            </w:tcBorders>
            <w:shd w:val="clear" w:color="000000" w:fill="FFFFFF"/>
            <w:vAlign w:val="center"/>
            <w:hideMark/>
          </w:tcPr>
          <w:p w14:paraId="7A8BAE79" w14:textId="77777777" w:rsidR="005A043A" w:rsidRPr="00214F41" w:rsidRDefault="005A043A" w:rsidP="00286762">
            <w:pPr>
              <w:jc w:val="center"/>
              <w:rPr>
                <w:sz w:val="18"/>
                <w:szCs w:val="18"/>
              </w:rPr>
            </w:pPr>
            <w:r w:rsidRPr="00214F41">
              <w:rPr>
                <w:sz w:val="18"/>
                <w:szCs w:val="18"/>
              </w:rPr>
              <w:t>1/162</w:t>
            </w:r>
          </w:p>
        </w:tc>
        <w:tc>
          <w:tcPr>
            <w:tcW w:w="295" w:type="pct"/>
            <w:tcBorders>
              <w:top w:val="nil"/>
              <w:left w:val="nil"/>
              <w:bottom w:val="single" w:sz="4" w:space="0" w:color="auto"/>
              <w:right w:val="single" w:sz="4" w:space="0" w:color="auto"/>
            </w:tcBorders>
            <w:shd w:val="clear" w:color="000000" w:fill="FFFFFF"/>
            <w:vAlign w:val="center"/>
            <w:hideMark/>
          </w:tcPr>
          <w:p w14:paraId="5BB14307" w14:textId="77777777" w:rsidR="005A043A" w:rsidRPr="00214F41" w:rsidRDefault="005A043A" w:rsidP="00286762">
            <w:pPr>
              <w:jc w:val="center"/>
              <w:rPr>
                <w:sz w:val="18"/>
                <w:szCs w:val="18"/>
              </w:rPr>
            </w:pPr>
            <w:r w:rsidRPr="00214F41">
              <w:rPr>
                <w:sz w:val="18"/>
                <w:szCs w:val="18"/>
              </w:rPr>
              <w:t>2/163</w:t>
            </w:r>
          </w:p>
        </w:tc>
        <w:tc>
          <w:tcPr>
            <w:tcW w:w="718" w:type="pct"/>
            <w:tcBorders>
              <w:top w:val="nil"/>
              <w:left w:val="nil"/>
              <w:bottom w:val="single" w:sz="4" w:space="0" w:color="auto"/>
              <w:right w:val="single" w:sz="4" w:space="0" w:color="auto"/>
            </w:tcBorders>
            <w:shd w:val="clear" w:color="000000" w:fill="FFFFFF"/>
            <w:vAlign w:val="center"/>
            <w:hideMark/>
          </w:tcPr>
          <w:p w14:paraId="3A65531D"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C3244C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F850D1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E54D950" w14:textId="77777777" w:rsidR="005A043A" w:rsidRPr="00214F41" w:rsidRDefault="005A043A" w:rsidP="00286762">
            <w:pPr>
              <w:jc w:val="center"/>
              <w:rPr>
                <w:sz w:val="18"/>
                <w:szCs w:val="18"/>
              </w:rPr>
            </w:pPr>
            <w:r w:rsidRPr="00214F41">
              <w:rPr>
                <w:sz w:val="18"/>
                <w:szCs w:val="18"/>
              </w:rPr>
              <w:t>5/161</w:t>
            </w:r>
          </w:p>
        </w:tc>
        <w:tc>
          <w:tcPr>
            <w:tcW w:w="282" w:type="pct"/>
            <w:tcBorders>
              <w:top w:val="nil"/>
              <w:left w:val="nil"/>
              <w:bottom w:val="single" w:sz="4" w:space="0" w:color="auto"/>
              <w:right w:val="single" w:sz="4" w:space="0" w:color="auto"/>
            </w:tcBorders>
            <w:shd w:val="clear" w:color="000000" w:fill="FFFFFF"/>
            <w:vAlign w:val="center"/>
            <w:hideMark/>
          </w:tcPr>
          <w:p w14:paraId="1821D2B8" w14:textId="77777777" w:rsidR="005A043A" w:rsidRPr="00214F41" w:rsidRDefault="005A043A" w:rsidP="00286762">
            <w:pPr>
              <w:jc w:val="center"/>
              <w:rPr>
                <w:sz w:val="18"/>
                <w:szCs w:val="18"/>
              </w:rPr>
            </w:pPr>
            <w:r w:rsidRPr="00214F41">
              <w:rPr>
                <w:sz w:val="18"/>
                <w:szCs w:val="18"/>
              </w:rPr>
              <w:t>4/161</w:t>
            </w:r>
          </w:p>
        </w:tc>
        <w:tc>
          <w:tcPr>
            <w:tcW w:w="278" w:type="pct"/>
            <w:tcBorders>
              <w:top w:val="nil"/>
              <w:left w:val="nil"/>
              <w:bottom w:val="single" w:sz="4" w:space="0" w:color="auto"/>
              <w:right w:val="single" w:sz="4" w:space="0" w:color="auto"/>
            </w:tcBorders>
            <w:shd w:val="clear" w:color="000000" w:fill="FFFFFF"/>
            <w:vAlign w:val="center"/>
            <w:hideMark/>
          </w:tcPr>
          <w:p w14:paraId="649D8BA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B04337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3B37C20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51BB0A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253F6C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1A2E94B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080C36A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79A70E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1E0FDA78" w14:textId="77777777" w:rsidTr="00286762">
        <w:trPr>
          <w:trHeight w:val="281"/>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088F73D" w14:textId="77777777" w:rsidR="005A043A" w:rsidRPr="00214F41" w:rsidRDefault="005A043A" w:rsidP="00286762">
            <w:pPr>
              <w:jc w:val="center"/>
              <w:rPr>
                <w:sz w:val="18"/>
                <w:szCs w:val="18"/>
              </w:rPr>
            </w:pPr>
            <w:proofErr w:type="spellStart"/>
            <w:r w:rsidRPr="00214F41">
              <w:rPr>
                <w:sz w:val="18"/>
                <w:szCs w:val="18"/>
              </w:rPr>
              <w:t>Takeshit</w:t>
            </w:r>
            <w:proofErr w:type="spellEnd"/>
            <w:r w:rsidRPr="00214F41">
              <w:rPr>
                <w:sz w:val="18"/>
                <w:szCs w:val="18"/>
              </w:rPr>
              <w:t xml:space="preserve"> et al., 2019</w:t>
            </w:r>
          </w:p>
        </w:tc>
        <w:tc>
          <w:tcPr>
            <w:tcW w:w="318" w:type="pct"/>
            <w:tcBorders>
              <w:top w:val="nil"/>
              <w:left w:val="nil"/>
              <w:bottom w:val="single" w:sz="4" w:space="0" w:color="auto"/>
              <w:right w:val="single" w:sz="4" w:space="0" w:color="auto"/>
            </w:tcBorders>
            <w:shd w:val="clear" w:color="000000" w:fill="FFFFFF"/>
            <w:vAlign w:val="center"/>
            <w:hideMark/>
          </w:tcPr>
          <w:p w14:paraId="0181C418" w14:textId="77777777" w:rsidR="005A043A" w:rsidRPr="00214F41" w:rsidRDefault="005A043A" w:rsidP="00286762">
            <w:pPr>
              <w:jc w:val="center"/>
              <w:rPr>
                <w:sz w:val="18"/>
                <w:szCs w:val="18"/>
              </w:rPr>
            </w:pPr>
            <w:r w:rsidRPr="00214F41">
              <w:rPr>
                <w:sz w:val="18"/>
                <w:szCs w:val="18"/>
              </w:rPr>
              <w:t>1|42</w:t>
            </w:r>
          </w:p>
        </w:tc>
        <w:tc>
          <w:tcPr>
            <w:tcW w:w="295" w:type="pct"/>
            <w:tcBorders>
              <w:top w:val="nil"/>
              <w:left w:val="nil"/>
              <w:bottom w:val="single" w:sz="4" w:space="0" w:color="auto"/>
              <w:right w:val="single" w:sz="4" w:space="0" w:color="auto"/>
            </w:tcBorders>
            <w:shd w:val="clear" w:color="000000" w:fill="FFFFFF"/>
            <w:vAlign w:val="center"/>
            <w:hideMark/>
          </w:tcPr>
          <w:p w14:paraId="6A4C7388" w14:textId="77777777" w:rsidR="005A043A" w:rsidRPr="00214F41" w:rsidRDefault="005A043A" w:rsidP="00286762">
            <w:pPr>
              <w:jc w:val="center"/>
              <w:rPr>
                <w:sz w:val="18"/>
                <w:szCs w:val="18"/>
              </w:rPr>
            </w:pPr>
            <w:r w:rsidRPr="00214F41">
              <w:rPr>
                <w:sz w:val="18"/>
                <w:szCs w:val="18"/>
              </w:rPr>
              <w:t>0/42</w:t>
            </w:r>
          </w:p>
        </w:tc>
        <w:tc>
          <w:tcPr>
            <w:tcW w:w="718" w:type="pct"/>
            <w:tcBorders>
              <w:top w:val="nil"/>
              <w:left w:val="nil"/>
              <w:bottom w:val="single" w:sz="4" w:space="0" w:color="auto"/>
              <w:right w:val="single" w:sz="4" w:space="0" w:color="auto"/>
            </w:tcBorders>
            <w:shd w:val="clear" w:color="000000" w:fill="FFFFFF"/>
            <w:vAlign w:val="center"/>
            <w:hideMark/>
          </w:tcPr>
          <w:p w14:paraId="11F905B2" w14:textId="77777777" w:rsidR="005A043A" w:rsidRPr="00214F41" w:rsidRDefault="005A043A" w:rsidP="00286762">
            <w:pPr>
              <w:jc w:val="center"/>
              <w:rPr>
                <w:sz w:val="18"/>
                <w:szCs w:val="18"/>
              </w:rPr>
            </w:pPr>
            <w:r w:rsidRPr="00214F41">
              <w:rPr>
                <w:sz w:val="18"/>
                <w:szCs w:val="18"/>
              </w:rPr>
              <w:t>severe gastrointestinal symptom</w:t>
            </w:r>
          </w:p>
        </w:tc>
        <w:tc>
          <w:tcPr>
            <w:tcW w:w="282" w:type="pct"/>
            <w:tcBorders>
              <w:top w:val="nil"/>
              <w:left w:val="nil"/>
              <w:bottom w:val="single" w:sz="4" w:space="0" w:color="auto"/>
              <w:right w:val="single" w:sz="4" w:space="0" w:color="auto"/>
            </w:tcBorders>
            <w:shd w:val="clear" w:color="000000" w:fill="FFFFFF"/>
            <w:vAlign w:val="center"/>
            <w:hideMark/>
          </w:tcPr>
          <w:p w14:paraId="195C421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35FA68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784316F" w14:textId="77777777" w:rsidR="005A043A" w:rsidRPr="00214F41" w:rsidRDefault="005A043A" w:rsidP="00286762">
            <w:pPr>
              <w:jc w:val="center"/>
              <w:rPr>
                <w:sz w:val="18"/>
                <w:szCs w:val="18"/>
              </w:rPr>
            </w:pPr>
            <w:r w:rsidRPr="00214F41">
              <w:rPr>
                <w:sz w:val="18"/>
                <w:szCs w:val="18"/>
              </w:rPr>
              <w:t>7|42</w:t>
            </w:r>
          </w:p>
        </w:tc>
        <w:tc>
          <w:tcPr>
            <w:tcW w:w="282" w:type="pct"/>
            <w:tcBorders>
              <w:top w:val="nil"/>
              <w:left w:val="nil"/>
              <w:bottom w:val="single" w:sz="4" w:space="0" w:color="auto"/>
              <w:right w:val="single" w:sz="4" w:space="0" w:color="auto"/>
            </w:tcBorders>
            <w:shd w:val="clear" w:color="000000" w:fill="FFFFFF"/>
            <w:vAlign w:val="center"/>
            <w:hideMark/>
          </w:tcPr>
          <w:p w14:paraId="75691F20" w14:textId="77777777" w:rsidR="005A043A" w:rsidRPr="00214F41" w:rsidRDefault="005A043A" w:rsidP="00286762">
            <w:pPr>
              <w:jc w:val="center"/>
              <w:rPr>
                <w:sz w:val="18"/>
                <w:szCs w:val="18"/>
              </w:rPr>
            </w:pPr>
            <w:r w:rsidRPr="00214F41">
              <w:rPr>
                <w:sz w:val="18"/>
                <w:szCs w:val="18"/>
              </w:rPr>
              <w:t>0/42</w:t>
            </w:r>
          </w:p>
        </w:tc>
        <w:tc>
          <w:tcPr>
            <w:tcW w:w="278" w:type="pct"/>
            <w:tcBorders>
              <w:top w:val="nil"/>
              <w:left w:val="nil"/>
              <w:bottom w:val="single" w:sz="4" w:space="0" w:color="auto"/>
              <w:right w:val="single" w:sz="4" w:space="0" w:color="auto"/>
            </w:tcBorders>
            <w:shd w:val="clear" w:color="000000" w:fill="FFFFFF"/>
            <w:vAlign w:val="center"/>
            <w:hideMark/>
          </w:tcPr>
          <w:p w14:paraId="5CDC0A7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08AF44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6DC99789" w14:textId="77777777" w:rsidR="005A043A" w:rsidRPr="00214F41" w:rsidRDefault="005A043A" w:rsidP="00286762">
            <w:pPr>
              <w:jc w:val="center"/>
              <w:rPr>
                <w:sz w:val="18"/>
                <w:szCs w:val="18"/>
              </w:rPr>
            </w:pPr>
            <w:r w:rsidRPr="00214F41">
              <w:rPr>
                <w:sz w:val="18"/>
                <w:szCs w:val="18"/>
              </w:rPr>
              <w:t>2|42</w:t>
            </w:r>
          </w:p>
        </w:tc>
        <w:tc>
          <w:tcPr>
            <w:tcW w:w="280" w:type="pct"/>
            <w:tcBorders>
              <w:top w:val="nil"/>
              <w:left w:val="nil"/>
              <w:bottom w:val="single" w:sz="4" w:space="0" w:color="auto"/>
              <w:right w:val="single" w:sz="4" w:space="0" w:color="auto"/>
            </w:tcBorders>
            <w:shd w:val="clear" w:color="000000" w:fill="FFFFFF"/>
            <w:vAlign w:val="center"/>
            <w:hideMark/>
          </w:tcPr>
          <w:p w14:paraId="69C763DF" w14:textId="77777777" w:rsidR="005A043A" w:rsidRPr="00214F41" w:rsidRDefault="005A043A" w:rsidP="00286762">
            <w:pPr>
              <w:jc w:val="center"/>
              <w:rPr>
                <w:sz w:val="18"/>
                <w:szCs w:val="18"/>
              </w:rPr>
            </w:pPr>
            <w:r w:rsidRPr="00214F41">
              <w:rPr>
                <w:sz w:val="18"/>
                <w:szCs w:val="18"/>
              </w:rPr>
              <w:t>1|42</w:t>
            </w:r>
          </w:p>
        </w:tc>
        <w:tc>
          <w:tcPr>
            <w:tcW w:w="282" w:type="pct"/>
            <w:tcBorders>
              <w:top w:val="nil"/>
              <w:left w:val="nil"/>
              <w:bottom w:val="single" w:sz="4" w:space="0" w:color="auto"/>
              <w:right w:val="single" w:sz="4" w:space="0" w:color="auto"/>
            </w:tcBorders>
            <w:shd w:val="clear" w:color="000000" w:fill="FFFFFF"/>
            <w:vAlign w:val="center"/>
            <w:hideMark/>
          </w:tcPr>
          <w:p w14:paraId="214F4631" w14:textId="77777777" w:rsidR="005A043A" w:rsidRPr="00214F41" w:rsidRDefault="005A043A" w:rsidP="00286762">
            <w:pPr>
              <w:jc w:val="center"/>
              <w:rPr>
                <w:sz w:val="18"/>
                <w:szCs w:val="18"/>
              </w:rPr>
            </w:pPr>
            <w:r w:rsidRPr="00214F41">
              <w:rPr>
                <w:sz w:val="18"/>
                <w:szCs w:val="18"/>
              </w:rPr>
              <w:t>1|42</w:t>
            </w:r>
          </w:p>
        </w:tc>
        <w:tc>
          <w:tcPr>
            <w:tcW w:w="279" w:type="pct"/>
            <w:tcBorders>
              <w:top w:val="nil"/>
              <w:left w:val="nil"/>
              <w:bottom w:val="single" w:sz="4" w:space="0" w:color="auto"/>
              <w:right w:val="single" w:sz="4" w:space="0" w:color="auto"/>
            </w:tcBorders>
            <w:shd w:val="clear" w:color="000000" w:fill="FFFFFF"/>
            <w:vAlign w:val="center"/>
            <w:hideMark/>
          </w:tcPr>
          <w:p w14:paraId="79449A04" w14:textId="77777777" w:rsidR="005A043A" w:rsidRPr="00214F41" w:rsidRDefault="005A043A" w:rsidP="00286762">
            <w:pPr>
              <w:jc w:val="center"/>
              <w:rPr>
                <w:sz w:val="18"/>
                <w:szCs w:val="18"/>
              </w:rPr>
            </w:pPr>
            <w:r w:rsidRPr="00214F41">
              <w:rPr>
                <w:sz w:val="18"/>
                <w:szCs w:val="18"/>
              </w:rPr>
              <w:t>0/42</w:t>
            </w:r>
          </w:p>
        </w:tc>
        <w:tc>
          <w:tcPr>
            <w:tcW w:w="279" w:type="pct"/>
            <w:tcBorders>
              <w:top w:val="nil"/>
              <w:left w:val="nil"/>
              <w:bottom w:val="single" w:sz="4" w:space="0" w:color="auto"/>
              <w:right w:val="single" w:sz="4" w:space="0" w:color="auto"/>
            </w:tcBorders>
            <w:shd w:val="clear" w:color="000000" w:fill="FFFFFF"/>
            <w:vAlign w:val="center"/>
            <w:hideMark/>
          </w:tcPr>
          <w:p w14:paraId="57D591F3" w14:textId="77777777" w:rsidR="005A043A" w:rsidRPr="00214F41" w:rsidRDefault="005A043A" w:rsidP="00286762">
            <w:pPr>
              <w:jc w:val="center"/>
              <w:rPr>
                <w:sz w:val="18"/>
                <w:szCs w:val="18"/>
              </w:rPr>
            </w:pPr>
            <w:r w:rsidRPr="00214F41">
              <w:rPr>
                <w:sz w:val="18"/>
                <w:szCs w:val="18"/>
              </w:rPr>
              <w:t>0/42</w:t>
            </w:r>
          </w:p>
        </w:tc>
        <w:tc>
          <w:tcPr>
            <w:tcW w:w="276" w:type="pct"/>
            <w:tcBorders>
              <w:top w:val="nil"/>
              <w:left w:val="nil"/>
              <w:bottom w:val="single" w:sz="4" w:space="0" w:color="auto"/>
              <w:right w:val="single" w:sz="4" w:space="0" w:color="auto"/>
            </w:tcBorders>
            <w:shd w:val="clear" w:color="000000" w:fill="FFFFFF"/>
            <w:vAlign w:val="center"/>
            <w:hideMark/>
          </w:tcPr>
          <w:p w14:paraId="374CF2EA" w14:textId="77777777" w:rsidR="005A043A" w:rsidRPr="00214F41" w:rsidRDefault="005A043A" w:rsidP="00286762">
            <w:pPr>
              <w:jc w:val="center"/>
              <w:rPr>
                <w:sz w:val="18"/>
                <w:szCs w:val="18"/>
              </w:rPr>
            </w:pPr>
            <w:r w:rsidRPr="00214F41">
              <w:rPr>
                <w:sz w:val="18"/>
                <w:szCs w:val="18"/>
              </w:rPr>
              <w:t>1|42</w:t>
            </w:r>
          </w:p>
        </w:tc>
      </w:tr>
      <w:tr w:rsidR="005A043A" w:rsidRPr="00214F41" w14:paraId="5D4AF978" w14:textId="77777777" w:rsidTr="00286762">
        <w:trPr>
          <w:trHeight w:val="281"/>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613CF0CD" w14:textId="77777777" w:rsidR="005A043A" w:rsidRPr="00214F41" w:rsidRDefault="005A043A" w:rsidP="00286762">
            <w:pPr>
              <w:jc w:val="center"/>
              <w:rPr>
                <w:sz w:val="18"/>
                <w:szCs w:val="18"/>
              </w:rPr>
            </w:pPr>
            <w:proofErr w:type="spellStart"/>
            <w:r w:rsidRPr="00214F41">
              <w:rPr>
                <w:sz w:val="18"/>
                <w:szCs w:val="18"/>
              </w:rPr>
              <w:t>Umpierrez</w:t>
            </w:r>
            <w:proofErr w:type="spellEnd"/>
            <w:r w:rsidRPr="00214F41">
              <w:rPr>
                <w:sz w:val="18"/>
                <w:szCs w:val="18"/>
              </w:rPr>
              <w:t xml:space="preserve"> et al., 2014</w:t>
            </w:r>
          </w:p>
        </w:tc>
        <w:tc>
          <w:tcPr>
            <w:tcW w:w="318" w:type="pct"/>
            <w:tcBorders>
              <w:top w:val="nil"/>
              <w:left w:val="nil"/>
              <w:bottom w:val="single" w:sz="4" w:space="0" w:color="auto"/>
              <w:right w:val="single" w:sz="4" w:space="0" w:color="auto"/>
            </w:tcBorders>
            <w:shd w:val="clear" w:color="000000" w:fill="FFFFFF"/>
            <w:vAlign w:val="center"/>
            <w:hideMark/>
          </w:tcPr>
          <w:p w14:paraId="79EEE60D" w14:textId="77777777" w:rsidR="005A043A" w:rsidRPr="00214F41" w:rsidRDefault="005A043A" w:rsidP="00286762">
            <w:pPr>
              <w:jc w:val="center"/>
              <w:rPr>
                <w:sz w:val="18"/>
                <w:szCs w:val="18"/>
              </w:rPr>
            </w:pPr>
            <w:r w:rsidRPr="00214F41">
              <w:rPr>
                <w:sz w:val="18"/>
                <w:szCs w:val="18"/>
              </w:rPr>
              <w:t>12/268</w:t>
            </w:r>
          </w:p>
        </w:tc>
        <w:tc>
          <w:tcPr>
            <w:tcW w:w="295" w:type="pct"/>
            <w:tcBorders>
              <w:top w:val="nil"/>
              <w:left w:val="nil"/>
              <w:bottom w:val="single" w:sz="4" w:space="0" w:color="auto"/>
              <w:right w:val="single" w:sz="4" w:space="0" w:color="auto"/>
            </w:tcBorders>
            <w:shd w:val="clear" w:color="000000" w:fill="FFFFFF"/>
            <w:vAlign w:val="center"/>
            <w:hideMark/>
          </w:tcPr>
          <w:p w14:paraId="5CFC6B0B" w14:textId="77777777" w:rsidR="005A043A" w:rsidRPr="00214F41" w:rsidRDefault="005A043A" w:rsidP="00286762">
            <w:pPr>
              <w:jc w:val="center"/>
              <w:rPr>
                <w:sz w:val="18"/>
                <w:szCs w:val="18"/>
              </w:rPr>
            </w:pPr>
            <w:r w:rsidRPr="00214F41">
              <w:rPr>
                <w:sz w:val="18"/>
                <w:szCs w:val="18"/>
              </w:rPr>
              <w:t>8/270</w:t>
            </w:r>
          </w:p>
        </w:tc>
        <w:tc>
          <w:tcPr>
            <w:tcW w:w="718" w:type="pct"/>
            <w:tcBorders>
              <w:top w:val="nil"/>
              <w:left w:val="nil"/>
              <w:bottom w:val="single" w:sz="4" w:space="0" w:color="auto"/>
              <w:right w:val="single" w:sz="4" w:space="0" w:color="auto"/>
            </w:tcBorders>
            <w:shd w:val="clear" w:color="000000" w:fill="FFFFFF"/>
            <w:vAlign w:val="center"/>
            <w:hideMark/>
          </w:tcPr>
          <w:p w14:paraId="5AA37B9B" w14:textId="77777777" w:rsidR="005A043A" w:rsidRPr="00214F41" w:rsidRDefault="005A043A" w:rsidP="00286762">
            <w:pPr>
              <w:jc w:val="center"/>
              <w:rPr>
                <w:sz w:val="18"/>
                <w:szCs w:val="18"/>
              </w:rPr>
            </w:pPr>
            <w:r w:rsidRPr="00214F41">
              <w:rPr>
                <w:sz w:val="18"/>
                <w:szCs w:val="18"/>
                <w:lang w:val="en-GB"/>
              </w:rPr>
              <w:t>most frequently nausea</w:t>
            </w:r>
          </w:p>
        </w:tc>
        <w:tc>
          <w:tcPr>
            <w:tcW w:w="282" w:type="pct"/>
            <w:tcBorders>
              <w:top w:val="nil"/>
              <w:left w:val="nil"/>
              <w:bottom w:val="single" w:sz="4" w:space="0" w:color="auto"/>
              <w:right w:val="single" w:sz="4" w:space="0" w:color="auto"/>
            </w:tcBorders>
            <w:shd w:val="clear" w:color="000000" w:fill="FFFFFF"/>
            <w:vAlign w:val="center"/>
            <w:hideMark/>
          </w:tcPr>
          <w:p w14:paraId="4CC9D7C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666D6E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24F93A4" w14:textId="77777777" w:rsidR="005A043A" w:rsidRPr="00214F41" w:rsidRDefault="005A043A" w:rsidP="00286762">
            <w:pPr>
              <w:jc w:val="center"/>
              <w:rPr>
                <w:sz w:val="18"/>
                <w:szCs w:val="18"/>
              </w:rPr>
            </w:pPr>
            <w:r w:rsidRPr="00214F41">
              <w:rPr>
                <w:sz w:val="18"/>
                <w:szCs w:val="18"/>
              </w:rPr>
              <w:t>37/268</w:t>
            </w:r>
          </w:p>
        </w:tc>
        <w:tc>
          <w:tcPr>
            <w:tcW w:w="282" w:type="pct"/>
            <w:tcBorders>
              <w:top w:val="nil"/>
              <w:left w:val="nil"/>
              <w:bottom w:val="single" w:sz="4" w:space="0" w:color="auto"/>
              <w:right w:val="single" w:sz="4" w:space="0" w:color="auto"/>
            </w:tcBorders>
            <w:shd w:val="clear" w:color="000000" w:fill="FFFFFF"/>
            <w:vAlign w:val="center"/>
            <w:hideMark/>
          </w:tcPr>
          <w:p w14:paraId="21DFE31B" w14:textId="77777777" w:rsidR="005A043A" w:rsidRPr="00214F41" w:rsidRDefault="005A043A" w:rsidP="00286762">
            <w:pPr>
              <w:jc w:val="center"/>
              <w:rPr>
                <w:sz w:val="18"/>
                <w:szCs w:val="18"/>
              </w:rPr>
            </w:pPr>
            <w:r w:rsidRPr="00214F41">
              <w:rPr>
                <w:sz w:val="18"/>
                <w:szCs w:val="18"/>
              </w:rPr>
              <w:t>21/270</w:t>
            </w:r>
          </w:p>
        </w:tc>
        <w:tc>
          <w:tcPr>
            <w:tcW w:w="278" w:type="pct"/>
            <w:tcBorders>
              <w:top w:val="nil"/>
              <w:left w:val="nil"/>
              <w:bottom w:val="single" w:sz="4" w:space="0" w:color="auto"/>
              <w:right w:val="single" w:sz="4" w:space="0" w:color="auto"/>
            </w:tcBorders>
            <w:shd w:val="clear" w:color="000000" w:fill="FFFFFF"/>
            <w:vAlign w:val="center"/>
            <w:hideMark/>
          </w:tcPr>
          <w:p w14:paraId="25184532" w14:textId="77777777" w:rsidR="005A043A" w:rsidRPr="00214F41" w:rsidRDefault="005A043A" w:rsidP="00286762">
            <w:pPr>
              <w:jc w:val="center"/>
              <w:rPr>
                <w:sz w:val="18"/>
                <w:szCs w:val="18"/>
              </w:rPr>
            </w:pPr>
            <w:r w:rsidRPr="00214F41">
              <w:rPr>
                <w:sz w:val="18"/>
                <w:szCs w:val="18"/>
              </w:rPr>
              <w:t>13/268</w:t>
            </w:r>
          </w:p>
        </w:tc>
        <w:tc>
          <w:tcPr>
            <w:tcW w:w="280" w:type="pct"/>
            <w:tcBorders>
              <w:top w:val="nil"/>
              <w:left w:val="nil"/>
              <w:bottom w:val="single" w:sz="4" w:space="0" w:color="auto"/>
              <w:right w:val="single" w:sz="4" w:space="0" w:color="auto"/>
            </w:tcBorders>
            <w:shd w:val="clear" w:color="000000" w:fill="FFFFFF"/>
            <w:vAlign w:val="center"/>
            <w:hideMark/>
          </w:tcPr>
          <w:p w14:paraId="2F236675" w14:textId="77777777" w:rsidR="005A043A" w:rsidRPr="00214F41" w:rsidRDefault="005A043A" w:rsidP="00286762">
            <w:pPr>
              <w:jc w:val="center"/>
              <w:rPr>
                <w:sz w:val="18"/>
                <w:szCs w:val="18"/>
              </w:rPr>
            </w:pPr>
            <w:r w:rsidRPr="00214F41">
              <w:rPr>
                <w:sz w:val="18"/>
                <w:szCs w:val="18"/>
              </w:rPr>
              <w:t>20/270</w:t>
            </w:r>
          </w:p>
        </w:tc>
        <w:tc>
          <w:tcPr>
            <w:tcW w:w="278" w:type="pct"/>
            <w:tcBorders>
              <w:top w:val="nil"/>
              <w:left w:val="nil"/>
              <w:bottom w:val="single" w:sz="4" w:space="0" w:color="auto"/>
              <w:right w:val="single" w:sz="4" w:space="0" w:color="auto"/>
            </w:tcBorders>
            <w:shd w:val="clear" w:color="000000" w:fill="FFFFFF"/>
            <w:vAlign w:val="center"/>
            <w:hideMark/>
          </w:tcPr>
          <w:p w14:paraId="7C1E616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48CAB6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39769CE" w14:textId="77777777" w:rsidR="005A043A" w:rsidRPr="00214F41" w:rsidRDefault="005A043A" w:rsidP="00286762">
            <w:pPr>
              <w:jc w:val="center"/>
              <w:rPr>
                <w:sz w:val="18"/>
                <w:szCs w:val="18"/>
              </w:rPr>
            </w:pPr>
            <w:r w:rsidRPr="00214F41">
              <w:rPr>
                <w:sz w:val="18"/>
                <w:szCs w:val="18"/>
              </w:rPr>
              <w:t>43/268</w:t>
            </w:r>
          </w:p>
        </w:tc>
        <w:tc>
          <w:tcPr>
            <w:tcW w:w="279" w:type="pct"/>
            <w:tcBorders>
              <w:top w:val="nil"/>
              <w:left w:val="nil"/>
              <w:bottom w:val="single" w:sz="4" w:space="0" w:color="auto"/>
              <w:right w:val="single" w:sz="4" w:space="0" w:color="auto"/>
            </w:tcBorders>
            <w:shd w:val="clear" w:color="000000" w:fill="FFFFFF"/>
            <w:vAlign w:val="center"/>
            <w:hideMark/>
          </w:tcPr>
          <w:p w14:paraId="32C2B4D7" w14:textId="77777777" w:rsidR="005A043A" w:rsidRPr="00214F41" w:rsidRDefault="005A043A" w:rsidP="00286762">
            <w:pPr>
              <w:jc w:val="center"/>
              <w:rPr>
                <w:sz w:val="18"/>
                <w:szCs w:val="18"/>
              </w:rPr>
            </w:pPr>
            <w:r w:rsidRPr="00214F41">
              <w:rPr>
                <w:sz w:val="18"/>
                <w:szCs w:val="18"/>
              </w:rPr>
              <w:t>31/270</w:t>
            </w:r>
          </w:p>
        </w:tc>
        <w:tc>
          <w:tcPr>
            <w:tcW w:w="279" w:type="pct"/>
            <w:tcBorders>
              <w:top w:val="nil"/>
              <w:left w:val="nil"/>
              <w:bottom w:val="single" w:sz="4" w:space="0" w:color="auto"/>
              <w:right w:val="single" w:sz="4" w:space="0" w:color="auto"/>
            </w:tcBorders>
            <w:shd w:val="clear" w:color="000000" w:fill="FFFFFF"/>
            <w:vAlign w:val="center"/>
            <w:hideMark/>
          </w:tcPr>
          <w:p w14:paraId="72A06E00" w14:textId="77777777" w:rsidR="005A043A" w:rsidRPr="00214F41" w:rsidRDefault="005A043A" w:rsidP="00286762">
            <w:pPr>
              <w:jc w:val="center"/>
              <w:rPr>
                <w:sz w:val="18"/>
                <w:szCs w:val="18"/>
              </w:rPr>
            </w:pPr>
            <w:r w:rsidRPr="00214F41">
              <w:rPr>
                <w:sz w:val="18"/>
                <w:szCs w:val="18"/>
              </w:rPr>
              <w:t>3/268</w:t>
            </w:r>
          </w:p>
        </w:tc>
        <w:tc>
          <w:tcPr>
            <w:tcW w:w="276" w:type="pct"/>
            <w:tcBorders>
              <w:top w:val="nil"/>
              <w:left w:val="nil"/>
              <w:bottom w:val="single" w:sz="4" w:space="0" w:color="auto"/>
              <w:right w:val="single" w:sz="4" w:space="0" w:color="auto"/>
            </w:tcBorders>
            <w:shd w:val="clear" w:color="000000" w:fill="FFFFFF"/>
            <w:vAlign w:val="center"/>
            <w:hideMark/>
          </w:tcPr>
          <w:p w14:paraId="0FA8E44C" w14:textId="77777777" w:rsidR="005A043A" w:rsidRPr="00214F41" w:rsidRDefault="005A043A" w:rsidP="00286762">
            <w:pPr>
              <w:jc w:val="center"/>
              <w:rPr>
                <w:sz w:val="18"/>
                <w:szCs w:val="18"/>
              </w:rPr>
            </w:pPr>
            <w:r w:rsidRPr="00214F41">
              <w:rPr>
                <w:sz w:val="18"/>
                <w:szCs w:val="18"/>
              </w:rPr>
              <w:t>13/270</w:t>
            </w:r>
          </w:p>
        </w:tc>
      </w:tr>
      <w:tr w:rsidR="005A043A" w:rsidRPr="00214F41" w14:paraId="30F870E6" w14:textId="77777777" w:rsidTr="00286762">
        <w:trPr>
          <w:trHeight w:val="423"/>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205163D6" w14:textId="77777777" w:rsidR="005A043A" w:rsidRPr="00214F41" w:rsidRDefault="005A043A" w:rsidP="00286762">
            <w:pPr>
              <w:jc w:val="center"/>
              <w:rPr>
                <w:sz w:val="18"/>
                <w:szCs w:val="18"/>
              </w:rPr>
            </w:pPr>
            <w:r w:rsidRPr="00214F41">
              <w:rPr>
                <w:sz w:val="18"/>
                <w:szCs w:val="18"/>
              </w:rPr>
              <w:t>Weissman et al., 2005</w:t>
            </w:r>
          </w:p>
        </w:tc>
        <w:tc>
          <w:tcPr>
            <w:tcW w:w="318" w:type="pct"/>
            <w:tcBorders>
              <w:top w:val="nil"/>
              <w:left w:val="nil"/>
              <w:bottom w:val="single" w:sz="4" w:space="0" w:color="auto"/>
              <w:right w:val="single" w:sz="4" w:space="0" w:color="auto"/>
            </w:tcBorders>
            <w:shd w:val="clear" w:color="000000" w:fill="FFFFFF"/>
            <w:vAlign w:val="center"/>
            <w:hideMark/>
          </w:tcPr>
          <w:p w14:paraId="6D6FCA27" w14:textId="77777777" w:rsidR="005A043A" w:rsidRPr="00214F41" w:rsidRDefault="005A043A" w:rsidP="00286762">
            <w:pPr>
              <w:jc w:val="center"/>
              <w:rPr>
                <w:sz w:val="18"/>
                <w:szCs w:val="18"/>
              </w:rPr>
            </w:pPr>
            <w:r w:rsidRPr="00214F41">
              <w:rPr>
                <w:sz w:val="18"/>
                <w:szCs w:val="18"/>
              </w:rPr>
              <w:t>37/384</w:t>
            </w:r>
          </w:p>
        </w:tc>
        <w:tc>
          <w:tcPr>
            <w:tcW w:w="295" w:type="pct"/>
            <w:tcBorders>
              <w:top w:val="nil"/>
              <w:left w:val="nil"/>
              <w:bottom w:val="single" w:sz="4" w:space="0" w:color="auto"/>
              <w:right w:val="single" w:sz="4" w:space="0" w:color="auto"/>
            </w:tcBorders>
            <w:shd w:val="clear" w:color="000000" w:fill="FFFFFF"/>
            <w:vAlign w:val="center"/>
            <w:hideMark/>
          </w:tcPr>
          <w:p w14:paraId="74AB29F5" w14:textId="77777777" w:rsidR="005A043A" w:rsidRPr="00214F41" w:rsidRDefault="005A043A" w:rsidP="00286762">
            <w:pPr>
              <w:jc w:val="center"/>
              <w:rPr>
                <w:sz w:val="18"/>
                <w:szCs w:val="18"/>
              </w:rPr>
            </w:pPr>
            <w:r w:rsidRPr="00214F41">
              <w:rPr>
                <w:sz w:val="18"/>
                <w:szCs w:val="18"/>
              </w:rPr>
              <w:t>28/382</w:t>
            </w:r>
          </w:p>
        </w:tc>
        <w:tc>
          <w:tcPr>
            <w:tcW w:w="718" w:type="pct"/>
            <w:tcBorders>
              <w:top w:val="nil"/>
              <w:left w:val="nil"/>
              <w:bottom w:val="single" w:sz="4" w:space="0" w:color="auto"/>
              <w:right w:val="single" w:sz="4" w:space="0" w:color="auto"/>
            </w:tcBorders>
            <w:shd w:val="clear" w:color="000000" w:fill="FFFFFF"/>
            <w:vAlign w:val="center"/>
            <w:hideMark/>
          </w:tcPr>
          <w:p w14:paraId="65759C81" w14:textId="77777777" w:rsidR="005A043A" w:rsidRPr="00214F41" w:rsidRDefault="005A043A" w:rsidP="00286762">
            <w:pPr>
              <w:jc w:val="center"/>
              <w:rPr>
                <w:sz w:val="18"/>
                <w:szCs w:val="18"/>
                <w:lang w:val="en-GB"/>
              </w:rPr>
            </w:pPr>
            <w:r w:rsidRPr="00214F41">
              <w:rPr>
                <w:sz w:val="18"/>
                <w:szCs w:val="18"/>
                <w:lang w:val="en-GB"/>
              </w:rPr>
              <w:t xml:space="preserve"> most frequently GI </w:t>
            </w:r>
            <w:r w:rsidRPr="00214F41">
              <w:rPr>
                <w:sz w:val="18"/>
                <w:szCs w:val="18"/>
                <w:lang w:val="en-GB"/>
              </w:rPr>
              <w:softHyphen/>
              <w:t>related and mild in nature</w:t>
            </w:r>
          </w:p>
        </w:tc>
        <w:tc>
          <w:tcPr>
            <w:tcW w:w="282" w:type="pct"/>
            <w:tcBorders>
              <w:top w:val="nil"/>
              <w:left w:val="nil"/>
              <w:bottom w:val="single" w:sz="4" w:space="0" w:color="auto"/>
              <w:right w:val="single" w:sz="4" w:space="0" w:color="auto"/>
            </w:tcBorders>
            <w:shd w:val="clear" w:color="000000" w:fill="FFFFFF"/>
            <w:vAlign w:val="center"/>
            <w:hideMark/>
          </w:tcPr>
          <w:p w14:paraId="6C01EE7B" w14:textId="77777777" w:rsidR="005A043A" w:rsidRPr="00214F41" w:rsidRDefault="005A043A" w:rsidP="00286762">
            <w:pPr>
              <w:jc w:val="center"/>
              <w:rPr>
                <w:sz w:val="18"/>
                <w:szCs w:val="18"/>
              </w:rPr>
            </w:pPr>
            <w:r w:rsidRPr="00214F41">
              <w:rPr>
                <w:sz w:val="18"/>
                <w:szCs w:val="18"/>
              </w:rPr>
              <w:t>43/384</w:t>
            </w:r>
          </w:p>
        </w:tc>
        <w:tc>
          <w:tcPr>
            <w:tcW w:w="282" w:type="pct"/>
            <w:tcBorders>
              <w:top w:val="nil"/>
              <w:left w:val="nil"/>
              <w:bottom w:val="single" w:sz="4" w:space="0" w:color="auto"/>
              <w:right w:val="single" w:sz="4" w:space="0" w:color="auto"/>
            </w:tcBorders>
            <w:shd w:val="clear" w:color="000000" w:fill="FFFFFF"/>
            <w:vAlign w:val="center"/>
            <w:hideMark/>
          </w:tcPr>
          <w:p w14:paraId="2126DAE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AA95B7C" w14:textId="77777777" w:rsidR="005A043A" w:rsidRPr="00214F41" w:rsidRDefault="005A043A" w:rsidP="00286762">
            <w:pPr>
              <w:jc w:val="center"/>
              <w:rPr>
                <w:sz w:val="18"/>
                <w:szCs w:val="18"/>
              </w:rPr>
            </w:pPr>
            <w:r w:rsidRPr="00214F41">
              <w:rPr>
                <w:sz w:val="18"/>
                <w:szCs w:val="18"/>
              </w:rPr>
              <w:t>63/384</w:t>
            </w:r>
          </w:p>
        </w:tc>
        <w:tc>
          <w:tcPr>
            <w:tcW w:w="282" w:type="pct"/>
            <w:tcBorders>
              <w:top w:val="nil"/>
              <w:left w:val="nil"/>
              <w:bottom w:val="single" w:sz="4" w:space="0" w:color="auto"/>
              <w:right w:val="single" w:sz="4" w:space="0" w:color="auto"/>
            </w:tcBorders>
            <w:shd w:val="clear" w:color="000000" w:fill="FFFFFF"/>
            <w:vAlign w:val="center"/>
            <w:hideMark/>
          </w:tcPr>
          <w:p w14:paraId="7E27966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4FC134D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42153D6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43E25B3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5DD1ED9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993FAC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1D080D4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58F2B2C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1C1C03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00652CA8" w14:textId="77777777" w:rsidTr="00286762">
        <w:trPr>
          <w:trHeight w:val="47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60FFCE6" w14:textId="77777777" w:rsidR="005A043A" w:rsidRPr="00214F41" w:rsidRDefault="005A043A" w:rsidP="00286762">
            <w:pPr>
              <w:jc w:val="center"/>
              <w:rPr>
                <w:sz w:val="18"/>
                <w:szCs w:val="18"/>
                <w:lang w:val="en-GB"/>
              </w:rPr>
            </w:pPr>
            <w:r w:rsidRPr="00214F41">
              <w:rPr>
                <w:sz w:val="18"/>
                <w:szCs w:val="18"/>
                <w:lang w:val="en-GB"/>
              </w:rPr>
              <w:t>Williams -Herman et al., 2010a</w:t>
            </w:r>
          </w:p>
        </w:tc>
        <w:tc>
          <w:tcPr>
            <w:tcW w:w="318" w:type="pct"/>
            <w:tcBorders>
              <w:top w:val="nil"/>
              <w:left w:val="nil"/>
              <w:bottom w:val="single" w:sz="4" w:space="0" w:color="auto"/>
              <w:right w:val="single" w:sz="4" w:space="0" w:color="auto"/>
            </w:tcBorders>
            <w:shd w:val="clear" w:color="000000" w:fill="FFFFFF"/>
            <w:vAlign w:val="center"/>
            <w:hideMark/>
          </w:tcPr>
          <w:p w14:paraId="6E65D91F" w14:textId="77777777" w:rsidR="005A043A" w:rsidRPr="00214F41" w:rsidRDefault="005A043A" w:rsidP="00286762">
            <w:pPr>
              <w:jc w:val="center"/>
              <w:rPr>
                <w:sz w:val="18"/>
                <w:szCs w:val="18"/>
              </w:rPr>
            </w:pPr>
            <w:r w:rsidRPr="00214F41">
              <w:rPr>
                <w:sz w:val="18"/>
                <w:szCs w:val="18"/>
              </w:rPr>
              <w:t>8/182</w:t>
            </w:r>
          </w:p>
        </w:tc>
        <w:tc>
          <w:tcPr>
            <w:tcW w:w="295" w:type="pct"/>
            <w:tcBorders>
              <w:top w:val="nil"/>
              <w:left w:val="nil"/>
              <w:bottom w:val="single" w:sz="4" w:space="0" w:color="auto"/>
              <w:right w:val="single" w:sz="4" w:space="0" w:color="auto"/>
            </w:tcBorders>
            <w:shd w:val="clear" w:color="000000" w:fill="FFFFFF"/>
            <w:vAlign w:val="center"/>
            <w:hideMark/>
          </w:tcPr>
          <w:p w14:paraId="544764BC" w14:textId="77777777" w:rsidR="005A043A" w:rsidRPr="00214F41" w:rsidRDefault="005A043A" w:rsidP="00286762">
            <w:pPr>
              <w:jc w:val="center"/>
              <w:rPr>
                <w:sz w:val="18"/>
                <w:szCs w:val="18"/>
              </w:rPr>
            </w:pPr>
            <w:r w:rsidRPr="00214F41">
              <w:rPr>
                <w:sz w:val="18"/>
                <w:szCs w:val="18"/>
              </w:rPr>
              <w:t>5/179</w:t>
            </w:r>
          </w:p>
        </w:tc>
        <w:tc>
          <w:tcPr>
            <w:tcW w:w="718" w:type="pct"/>
            <w:vMerge w:val="restart"/>
            <w:tcBorders>
              <w:top w:val="nil"/>
              <w:left w:val="nil"/>
              <w:right w:val="single" w:sz="4" w:space="0" w:color="auto"/>
            </w:tcBorders>
            <w:shd w:val="clear" w:color="000000" w:fill="FFFFFF"/>
            <w:vAlign w:val="center"/>
            <w:hideMark/>
          </w:tcPr>
          <w:p w14:paraId="51F05E7B"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D657AE4" w14:textId="77777777" w:rsidR="005A043A" w:rsidRPr="00214F41" w:rsidRDefault="005A043A" w:rsidP="00286762">
            <w:pPr>
              <w:jc w:val="center"/>
              <w:rPr>
                <w:sz w:val="18"/>
                <w:szCs w:val="18"/>
              </w:rPr>
            </w:pPr>
            <w:r w:rsidRPr="00214F41">
              <w:rPr>
                <w:sz w:val="18"/>
                <w:szCs w:val="18"/>
              </w:rPr>
              <w:t>7/182</w:t>
            </w:r>
          </w:p>
        </w:tc>
        <w:tc>
          <w:tcPr>
            <w:tcW w:w="282" w:type="pct"/>
            <w:tcBorders>
              <w:top w:val="nil"/>
              <w:left w:val="nil"/>
              <w:bottom w:val="single" w:sz="4" w:space="0" w:color="auto"/>
              <w:right w:val="single" w:sz="4" w:space="0" w:color="auto"/>
            </w:tcBorders>
            <w:shd w:val="clear" w:color="000000" w:fill="FFFFFF"/>
            <w:vAlign w:val="center"/>
            <w:hideMark/>
          </w:tcPr>
          <w:p w14:paraId="09282704" w14:textId="77777777" w:rsidR="005A043A" w:rsidRPr="00214F41" w:rsidRDefault="005A043A" w:rsidP="00286762">
            <w:pPr>
              <w:jc w:val="center"/>
              <w:rPr>
                <w:sz w:val="18"/>
                <w:szCs w:val="18"/>
              </w:rPr>
            </w:pPr>
            <w:r w:rsidRPr="00214F41">
              <w:rPr>
                <w:sz w:val="18"/>
                <w:szCs w:val="18"/>
              </w:rPr>
              <w:t>9/179</w:t>
            </w:r>
          </w:p>
        </w:tc>
        <w:tc>
          <w:tcPr>
            <w:tcW w:w="282" w:type="pct"/>
            <w:tcBorders>
              <w:top w:val="nil"/>
              <w:left w:val="nil"/>
              <w:bottom w:val="single" w:sz="4" w:space="0" w:color="auto"/>
              <w:right w:val="single" w:sz="4" w:space="0" w:color="auto"/>
            </w:tcBorders>
            <w:shd w:val="clear" w:color="000000" w:fill="FFFFFF"/>
            <w:vAlign w:val="center"/>
            <w:hideMark/>
          </w:tcPr>
          <w:p w14:paraId="646D820B" w14:textId="77777777" w:rsidR="005A043A" w:rsidRPr="00214F41" w:rsidRDefault="005A043A" w:rsidP="00286762">
            <w:pPr>
              <w:jc w:val="center"/>
              <w:rPr>
                <w:sz w:val="18"/>
                <w:szCs w:val="18"/>
              </w:rPr>
            </w:pPr>
            <w:r w:rsidRPr="00214F41">
              <w:rPr>
                <w:sz w:val="18"/>
                <w:szCs w:val="18"/>
              </w:rPr>
              <w:t>14/182</w:t>
            </w:r>
          </w:p>
        </w:tc>
        <w:tc>
          <w:tcPr>
            <w:tcW w:w="282" w:type="pct"/>
            <w:tcBorders>
              <w:top w:val="nil"/>
              <w:left w:val="nil"/>
              <w:bottom w:val="single" w:sz="4" w:space="0" w:color="auto"/>
              <w:right w:val="single" w:sz="4" w:space="0" w:color="auto"/>
            </w:tcBorders>
            <w:shd w:val="clear" w:color="000000" w:fill="FFFFFF"/>
            <w:vAlign w:val="center"/>
            <w:hideMark/>
          </w:tcPr>
          <w:p w14:paraId="5822C5AC" w14:textId="77777777" w:rsidR="005A043A" w:rsidRPr="00214F41" w:rsidRDefault="005A043A" w:rsidP="00286762">
            <w:pPr>
              <w:jc w:val="center"/>
              <w:rPr>
                <w:sz w:val="18"/>
                <w:szCs w:val="18"/>
              </w:rPr>
            </w:pPr>
            <w:r w:rsidRPr="00214F41">
              <w:rPr>
                <w:sz w:val="18"/>
                <w:szCs w:val="18"/>
              </w:rPr>
              <w:t>8/179</w:t>
            </w:r>
          </w:p>
        </w:tc>
        <w:tc>
          <w:tcPr>
            <w:tcW w:w="278" w:type="pct"/>
            <w:tcBorders>
              <w:top w:val="nil"/>
              <w:left w:val="nil"/>
              <w:bottom w:val="single" w:sz="4" w:space="0" w:color="auto"/>
              <w:right w:val="single" w:sz="4" w:space="0" w:color="auto"/>
            </w:tcBorders>
            <w:shd w:val="clear" w:color="000000" w:fill="FFFFFF"/>
            <w:vAlign w:val="center"/>
            <w:hideMark/>
          </w:tcPr>
          <w:p w14:paraId="490643FB" w14:textId="77777777" w:rsidR="005A043A" w:rsidRPr="00214F41" w:rsidRDefault="005A043A" w:rsidP="00286762">
            <w:pPr>
              <w:jc w:val="center"/>
              <w:rPr>
                <w:sz w:val="18"/>
                <w:szCs w:val="18"/>
              </w:rPr>
            </w:pPr>
            <w:r w:rsidRPr="00214F41">
              <w:rPr>
                <w:sz w:val="18"/>
                <w:szCs w:val="18"/>
              </w:rPr>
              <w:t>0/182</w:t>
            </w:r>
          </w:p>
        </w:tc>
        <w:tc>
          <w:tcPr>
            <w:tcW w:w="280" w:type="pct"/>
            <w:tcBorders>
              <w:top w:val="nil"/>
              <w:left w:val="nil"/>
              <w:bottom w:val="single" w:sz="4" w:space="0" w:color="auto"/>
              <w:right w:val="single" w:sz="4" w:space="0" w:color="auto"/>
            </w:tcBorders>
            <w:shd w:val="clear" w:color="000000" w:fill="FFFFFF"/>
            <w:vAlign w:val="center"/>
            <w:hideMark/>
          </w:tcPr>
          <w:p w14:paraId="106ACEA0" w14:textId="77777777" w:rsidR="005A043A" w:rsidRPr="00214F41" w:rsidRDefault="005A043A" w:rsidP="00286762">
            <w:pPr>
              <w:jc w:val="center"/>
              <w:rPr>
                <w:sz w:val="18"/>
                <w:szCs w:val="18"/>
              </w:rPr>
            </w:pPr>
            <w:r w:rsidRPr="00214F41">
              <w:rPr>
                <w:sz w:val="18"/>
                <w:szCs w:val="18"/>
              </w:rPr>
              <w:t>1/179</w:t>
            </w:r>
          </w:p>
        </w:tc>
        <w:tc>
          <w:tcPr>
            <w:tcW w:w="278" w:type="pct"/>
            <w:tcBorders>
              <w:top w:val="nil"/>
              <w:left w:val="nil"/>
              <w:bottom w:val="single" w:sz="4" w:space="0" w:color="auto"/>
              <w:right w:val="single" w:sz="4" w:space="0" w:color="auto"/>
            </w:tcBorders>
            <w:shd w:val="clear" w:color="000000" w:fill="FFFFFF"/>
            <w:vAlign w:val="center"/>
            <w:hideMark/>
          </w:tcPr>
          <w:p w14:paraId="6C858CD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5A780CB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A8C736A" w14:textId="77777777" w:rsidR="005A043A" w:rsidRPr="00214F41" w:rsidRDefault="005A043A" w:rsidP="00286762">
            <w:pPr>
              <w:jc w:val="center"/>
              <w:rPr>
                <w:sz w:val="18"/>
                <w:szCs w:val="18"/>
              </w:rPr>
            </w:pPr>
            <w:r w:rsidRPr="00214F41">
              <w:rPr>
                <w:sz w:val="18"/>
                <w:szCs w:val="18"/>
              </w:rPr>
              <w:t>6/182</w:t>
            </w:r>
          </w:p>
        </w:tc>
        <w:tc>
          <w:tcPr>
            <w:tcW w:w="279" w:type="pct"/>
            <w:tcBorders>
              <w:top w:val="nil"/>
              <w:left w:val="nil"/>
              <w:bottom w:val="single" w:sz="4" w:space="0" w:color="auto"/>
              <w:right w:val="single" w:sz="4" w:space="0" w:color="auto"/>
            </w:tcBorders>
            <w:shd w:val="clear" w:color="000000" w:fill="FFFFFF"/>
            <w:vAlign w:val="center"/>
            <w:hideMark/>
          </w:tcPr>
          <w:p w14:paraId="0934866C" w14:textId="77777777" w:rsidR="005A043A" w:rsidRPr="00214F41" w:rsidRDefault="005A043A" w:rsidP="00286762">
            <w:pPr>
              <w:jc w:val="center"/>
              <w:rPr>
                <w:sz w:val="18"/>
                <w:szCs w:val="18"/>
              </w:rPr>
            </w:pPr>
            <w:r w:rsidRPr="00214F41">
              <w:rPr>
                <w:sz w:val="18"/>
                <w:szCs w:val="18"/>
              </w:rPr>
              <w:t>2/179</w:t>
            </w:r>
          </w:p>
        </w:tc>
        <w:tc>
          <w:tcPr>
            <w:tcW w:w="279" w:type="pct"/>
            <w:tcBorders>
              <w:top w:val="nil"/>
              <w:left w:val="nil"/>
              <w:bottom w:val="single" w:sz="4" w:space="0" w:color="auto"/>
              <w:right w:val="single" w:sz="4" w:space="0" w:color="auto"/>
            </w:tcBorders>
            <w:shd w:val="clear" w:color="000000" w:fill="FFFFFF"/>
            <w:vAlign w:val="center"/>
            <w:hideMark/>
          </w:tcPr>
          <w:p w14:paraId="3F1599B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3AB6584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E490455"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46ED77D" w14:textId="77777777" w:rsidR="005A043A" w:rsidRPr="00214F41" w:rsidRDefault="005A043A" w:rsidP="00286762">
            <w:pPr>
              <w:jc w:val="center"/>
              <w:rPr>
                <w:sz w:val="18"/>
                <w:szCs w:val="18"/>
                <w:lang w:val="en-GB"/>
              </w:rPr>
            </w:pPr>
            <w:r w:rsidRPr="00214F41">
              <w:rPr>
                <w:sz w:val="18"/>
                <w:szCs w:val="18"/>
                <w:lang w:val="en-GB"/>
              </w:rPr>
              <w:t>Williams -Herman et al., 2010b</w:t>
            </w:r>
          </w:p>
        </w:tc>
        <w:tc>
          <w:tcPr>
            <w:tcW w:w="318" w:type="pct"/>
            <w:tcBorders>
              <w:top w:val="nil"/>
              <w:left w:val="nil"/>
              <w:bottom w:val="single" w:sz="4" w:space="0" w:color="auto"/>
              <w:right w:val="single" w:sz="4" w:space="0" w:color="auto"/>
            </w:tcBorders>
            <w:shd w:val="clear" w:color="000000" w:fill="FFFFFF"/>
            <w:vAlign w:val="center"/>
            <w:hideMark/>
          </w:tcPr>
          <w:p w14:paraId="6B4DA190" w14:textId="77777777" w:rsidR="005A043A" w:rsidRPr="00214F41" w:rsidRDefault="005A043A" w:rsidP="00286762">
            <w:pPr>
              <w:jc w:val="center"/>
              <w:rPr>
                <w:sz w:val="18"/>
                <w:szCs w:val="18"/>
              </w:rPr>
            </w:pPr>
            <w:r w:rsidRPr="00214F41">
              <w:rPr>
                <w:sz w:val="18"/>
                <w:szCs w:val="18"/>
              </w:rPr>
              <w:t>7/182</w:t>
            </w:r>
          </w:p>
        </w:tc>
        <w:tc>
          <w:tcPr>
            <w:tcW w:w="295" w:type="pct"/>
            <w:tcBorders>
              <w:top w:val="nil"/>
              <w:left w:val="nil"/>
              <w:bottom w:val="single" w:sz="4" w:space="0" w:color="auto"/>
              <w:right w:val="single" w:sz="4" w:space="0" w:color="auto"/>
            </w:tcBorders>
            <w:shd w:val="clear" w:color="000000" w:fill="FFFFFF"/>
            <w:vAlign w:val="center"/>
            <w:hideMark/>
          </w:tcPr>
          <w:p w14:paraId="1C3C00A9" w14:textId="77777777" w:rsidR="005A043A" w:rsidRPr="00214F41" w:rsidRDefault="005A043A" w:rsidP="00286762">
            <w:pPr>
              <w:jc w:val="center"/>
              <w:rPr>
                <w:sz w:val="18"/>
                <w:szCs w:val="18"/>
              </w:rPr>
            </w:pPr>
            <w:r w:rsidRPr="00214F41">
              <w:rPr>
                <w:sz w:val="18"/>
                <w:szCs w:val="18"/>
              </w:rPr>
              <w:t>5/179</w:t>
            </w:r>
          </w:p>
        </w:tc>
        <w:tc>
          <w:tcPr>
            <w:tcW w:w="718" w:type="pct"/>
            <w:vMerge/>
            <w:tcBorders>
              <w:left w:val="nil"/>
              <w:bottom w:val="single" w:sz="4" w:space="0" w:color="auto"/>
              <w:right w:val="single" w:sz="4" w:space="0" w:color="auto"/>
            </w:tcBorders>
            <w:shd w:val="clear" w:color="000000" w:fill="FFFFFF"/>
            <w:vAlign w:val="center"/>
            <w:hideMark/>
          </w:tcPr>
          <w:p w14:paraId="44F203E0"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138B6FDC" w14:textId="77777777" w:rsidR="005A043A" w:rsidRPr="00214F41" w:rsidRDefault="005A043A" w:rsidP="00286762">
            <w:pPr>
              <w:jc w:val="center"/>
              <w:rPr>
                <w:sz w:val="18"/>
                <w:szCs w:val="18"/>
              </w:rPr>
            </w:pPr>
            <w:r w:rsidRPr="00214F41">
              <w:rPr>
                <w:sz w:val="18"/>
                <w:szCs w:val="18"/>
              </w:rPr>
              <w:t>12/182</w:t>
            </w:r>
          </w:p>
        </w:tc>
        <w:tc>
          <w:tcPr>
            <w:tcW w:w="282" w:type="pct"/>
            <w:tcBorders>
              <w:top w:val="nil"/>
              <w:left w:val="nil"/>
              <w:bottom w:val="single" w:sz="4" w:space="0" w:color="auto"/>
              <w:right w:val="single" w:sz="4" w:space="0" w:color="auto"/>
            </w:tcBorders>
            <w:shd w:val="clear" w:color="000000" w:fill="FFFFFF"/>
            <w:vAlign w:val="center"/>
            <w:hideMark/>
          </w:tcPr>
          <w:p w14:paraId="674F0956" w14:textId="77777777" w:rsidR="005A043A" w:rsidRPr="00214F41" w:rsidRDefault="005A043A" w:rsidP="00286762">
            <w:pPr>
              <w:jc w:val="center"/>
              <w:rPr>
                <w:sz w:val="18"/>
                <w:szCs w:val="18"/>
              </w:rPr>
            </w:pPr>
            <w:r w:rsidRPr="00214F41">
              <w:rPr>
                <w:sz w:val="18"/>
                <w:szCs w:val="18"/>
              </w:rPr>
              <w:t>9/179</w:t>
            </w:r>
          </w:p>
        </w:tc>
        <w:tc>
          <w:tcPr>
            <w:tcW w:w="282" w:type="pct"/>
            <w:tcBorders>
              <w:top w:val="nil"/>
              <w:left w:val="nil"/>
              <w:bottom w:val="single" w:sz="4" w:space="0" w:color="auto"/>
              <w:right w:val="single" w:sz="4" w:space="0" w:color="auto"/>
            </w:tcBorders>
            <w:shd w:val="clear" w:color="000000" w:fill="FFFFFF"/>
            <w:vAlign w:val="center"/>
            <w:hideMark/>
          </w:tcPr>
          <w:p w14:paraId="5E260DD8" w14:textId="77777777" w:rsidR="005A043A" w:rsidRPr="00214F41" w:rsidRDefault="005A043A" w:rsidP="00286762">
            <w:pPr>
              <w:jc w:val="center"/>
              <w:rPr>
                <w:sz w:val="18"/>
                <w:szCs w:val="18"/>
              </w:rPr>
            </w:pPr>
            <w:r w:rsidRPr="00214F41">
              <w:rPr>
                <w:sz w:val="18"/>
                <w:szCs w:val="18"/>
              </w:rPr>
              <w:t>23/182</w:t>
            </w:r>
          </w:p>
        </w:tc>
        <w:tc>
          <w:tcPr>
            <w:tcW w:w="282" w:type="pct"/>
            <w:tcBorders>
              <w:top w:val="nil"/>
              <w:left w:val="nil"/>
              <w:bottom w:val="single" w:sz="4" w:space="0" w:color="auto"/>
              <w:right w:val="single" w:sz="4" w:space="0" w:color="auto"/>
            </w:tcBorders>
            <w:shd w:val="clear" w:color="000000" w:fill="FFFFFF"/>
            <w:vAlign w:val="center"/>
            <w:hideMark/>
          </w:tcPr>
          <w:p w14:paraId="74EDFCFE" w14:textId="77777777" w:rsidR="005A043A" w:rsidRPr="00214F41" w:rsidRDefault="005A043A" w:rsidP="00286762">
            <w:pPr>
              <w:jc w:val="center"/>
              <w:rPr>
                <w:sz w:val="18"/>
                <w:szCs w:val="18"/>
              </w:rPr>
            </w:pPr>
            <w:r w:rsidRPr="00214F41">
              <w:rPr>
                <w:sz w:val="18"/>
                <w:szCs w:val="18"/>
              </w:rPr>
              <w:t>8/179</w:t>
            </w:r>
          </w:p>
        </w:tc>
        <w:tc>
          <w:tcPr>
            <w:tcW w:w="278" w:type="pct"/>
            <w:tcBorders>
              <w:top w:val="nil"/>
              <w:left w:val="nil"/>
              <w:bottom w:val="single" w:sz="4" w:space="0" w:color="auto"/>
              <w:right w:val="single" w:sz="4" w:space="0" w:color="auto"/>
            </w:tcBorders>
            <w:shd w:val="clear" w:color="000000" w:fill="FFFFFF"/>
            <w:vAlign w:val="center"/>
            <w:hideMark/>
          </w:tcPr>
          <w:p w14:paraId="690FA132" w14:textId="77777777" w:rsidR="005A043A" w:rsidRPr="00214F41" w:rsidRDefault="005A043A" w:rsidP="00286762">
            <w:pPr>
              <w:jc w:val="center"/>
              <w:rPr>
                <w:sz w:val="18"/>
                <w:szCs w:val="18"/>
              </w:rPr>
            </w:pPr>
            <w:r w:rsidRPr="00214F41">
              <w:rPr>
                <w:sz w:val="18"/>
                <w:szCs w:val="18"/>
              </w:rPr>
              <w:t>8/182</w:t>
            </w:r>
          </w:p>
        </w:tc>
        <w:tc>
          <w:tcPr>
            <w:tcW w:w="280" w:type="pct"/>
            <w:tcBorders>
              <w:top w:val="nil"/>
              <w:left w:val="nil"/>
              <w:bottom w:val="single" w:sz="4" w:space="0" w:color="auto"/>
              <w:right w:val="single" w:sz="4" w:space="0" w:color="auto"/>
            </w:tcBorders>
            <w:shd w:val="clear" w:color="000000" w:fill="FFFFFF"/>
            <w:vAlign w:val="center"/>
            <w:hideMark/>
          </w:tcPr>
          <w:p w14:paraId="17A7DDFF" w14:textId="77777777" w:rsidR="005A043A" w:rsidRPr="00214F41" w:rsidRDefault="005A043A" w:rsidP="00286762">
            <w:pPr>
              <w:jc w:val="center"/>
              <w:rPr>
                <w:sz w:val="18"/>
                <w:szCs w:val="18"/>
              </w:rPr>
            </w:pPr>
            <w:r w:rsidRPr="00214F41">
              <w:rPr>
                <w:sz w:val="18"/>
                <w:szCs w:val="18"/>
              </w:rPr>
              <w:t>1/179</w:t>
            </w:r>
          </w:p>
        </w:tc>
        <w:tc>
          <w:tcPr>
            <w:tcW w:w="278" w:type="pct"/>
            <w:tcBorders>
              <w:top w:val="nil"/>
              <w:left w:val="nil"/>
              <w:bottom w:val="single" w:sz="4" w:space="0" w:color="auto"/>
              <w:right w:val="single" w:sz="4" w:space="0" w:color="auto"/>
            </w:tcBorders>
            <w:shd w:val="clear" w:color="000000" w:fill="FFFFFF"/>
            <w:vAlign w:val="center"/>
            <w:hideMark/>
          </w:tcPr>
          <w:p w14:paraId="1DFC498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29D2A8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275C4F4" w14:textId="77777777" w:rsidR="005A043A" w:rsidRPr="00214F41" w:rsidRDefault="005A043A" w:rsidP="00286762">
            <w:pPr>
              <w:jc w:val="center"/>
              <w:rPr>
                <w:sz w:val="18"/>
                <w:szCs w:val="18"/>
              </w:rPr>
            </w:pPr>
            <w:r w:rsidRPr="00214F41">
              <w:rPr>
                <w:sz w:val="18"/>
                <w:szCs w:val="18"/>
              </w:rPr>
              <w:t>19/182</w:t>
            </w:r>
          </w:p>
        </w:tc>
        <w:tc>
          <w:tcPr>
            <w:tcW w:w="279" w:type="pct"/>
            <w:tcBorders>
              <w:top w:val="nil"/>
              <w:left w:val="nil"/>
              <w:bottom w:val="single" w:sz="4" w:space="0" w:color="auto"/>
              <w:right w:val="single" w:sz="4" w:space="0" w:color="auto"/>
            </w:tcBorders>
            <w:shd w:val="clear" w:color="000000" w:fill="FFFFFF"/>
            <w:vAlign w:val="center"/>
            <w:hideMark/>
          </w:tcPr>
          <w:p w14:paraId="4B118FCB" w14:textId="77777777" w:rsidR="005A043A" w:rsidRPr="00214F41" w:rsidRDefault="005A043A" w:rsidP="00286762">
            <w:pPr>
              <w:jc w:val="center"/>
              <w:rPr>
                <w:sz w:val="18"/>
                <w:szCs w:val="18"/>
              </w:rPr>
            </w:pPr>
            <w:r w:rsidRPr="00214F41">
              <w:rPr>
                <w:sz w:val="18"/>
                <w:szCs w:val="18"/>
              </w:rPr>
              <w:t>2/179</w:t>
            </w:r>
          </w:p>
        </w:tc>
        <w:tc>
          <w:tcPr>
            <w:tcW w:w="279" w:type="pct"/>
            <w:tcBorders>
              <w:top w:val="nil"/>
              <w:left w:val="nil"/>
              <w:bottom w:val="single" w:sz="4" w:space="0" w:color="auto"/>
              <w:right w:val="single" w:sz="4" w:space="0" w:color="auto"/>
            </w:tcBorders>
            <w:shd w:val="clear" w:color="000000" w:fill="FFFFFF"/>
            <w:vAlign w:val="center"/>
            <w:hideMark/>
          </w:tcPr>
          <w:p w14:paraId="7BC63FB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F86B7E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410106AE" w14:textId="77777777" w:rsidTr="00286762">
        <w:trPr>
          <w:trHeight w:val="930"/>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023829BE" w14:textId="77777777" w:rsidR="005A043A" w:rsidRPr="00214F41" w:rsidRDefault="005A043A" w:rsidP="00286762">
            <w:pPr>
              <w:jc w:val="center"/>
              <w:rPr>
                <w:sz w:val="18"/>
                <w:szCs w:val="18"/>
              </w:rPr>
            </w:pPr>
            <w:r w:rsidRPr="00214F41">
              <w:rPr>
                <w:sz w:val="18"/>
                <w:szCs w:val="18"/>
              </w:rPr>
              <w:t>Yan et al., 2011</w:t>
            </w:r>
          </w:p>
        </w:tc>
        <w:tc>
          <w:tcPr>
            <w:tcW w:w="318" w:type="pct"/>
            <w:tcBorders>
              <w:top w:val="nil"/>
              <w:left w:val="nil"/>
              <w:bottom w:val="single" w:sz="4" w:space="0" w:color="auto"/>
              <w:right w:val="single" w:sz="4" w:space="0" w:color="auto"/>
            </w:tcBorders>
            <w:shd w:val="clear" w:color="000000" w:fill="FFFFFF"/>
            <w:vAlign w:val="center"/>
            <w:hideMark/>
          </w:tcPr>
          <w:p w14:paraId="3FA6110D" w14:textId="77777777" w:rsidR="005A043A" w:rsidRPr="00214F41" w:rsidRDefault="005A043A" w:rsidP="00286762">
            <w:pPr>
              <w:jc w:val="center"/>
              <w:rPr>
                <w:sz w:val="18"/>
                <w:szCs w:val="18"/>
              </w:rPr>
            </w:pPr>
            <w:r w:rsidRPr="00214F41">
              <w:rPr>
                <w:sz w:val="18"/>
                <w:szCs w:val="18"/>
              </w:rPr>
              <w:t>3/287</w:t>
            </w:r>
          </w:p>
        </w:tc>
        <w:tc>
          <w:tcPr>
            <w:tcW w:w="295" w:type="pct"/>
            <w:tcBorders>
              <w:top w:val="nil"/>
              <w:left w:val="nil"/>
              <w:bottom w:val="single" w:sz="4" w:space="0" w:color="auto"/>
              <w:right w:val="single" w:sz="4" w:space="0" w:color="auto"/>
            </w:tcBorders>
            <w:shd w:val="clear" w:color="000000" w:fill="FFFFFF"/>
            <w:vAlign w:val="center"/>
            <w:hideMark/>
          </w:tcPr>
          <w:p w14:paraId="60E8EDF3" w14:textId="77777777" w:rsidR="005A043A" w:rsidRPr="00214F41" w:rsidRDefault="005A043A" w:rsidP="00286762">
            <w:pPr>
              <w:jc w:val="center"/>
              <w:rPr>
                <w:sz w:val="18"/>
                <w:szCs w:val="18"/>
              </w:rPr>
            </w:pPr>
            <w:r w:rsidRPr="00214F41">
              <w:rPr>
                <w:sz w:val="18"/>
                <w:szCs w:val="18"/>
              </w:rPr>
              <w:t>6/283</w:t>
            </w:r>
          </w:p>
        </w:tc>
        <w:tc>
          <w:tcPr>
            <w:tcW w:w="718" w:type="pct"/>
            <w:tcBorders>
              <w:top w:val="nil"/>
              <w:left w:val="nil"/>
              <w:bottom w:val="single" w:sz="4" w:space="0" w:color="auto"/>
              <w:right w:val="single" w:sz="4" w:space="0" w:color="auto"/>
            </w:tcBorders>
            <w:shd w:val="clear" w:color="000000" w:fill="FFFFFF"/>
            <w:vAlign w:val="center"/>
            <w:hideMark/>
          </w:tcPr>
          <w:p w14:paraId="62FD6608" w14:textId="77777777" w:rsidR="005A043A" w:rsidRPr="00214F41" w:rsidRDefault="005A043A" w:rsidP="00286762">
            <w:pPr>
              <w:jc w:val="center"/>
              <w:rPr>
                <w:sz w:val="18"/>
                <w:szCs w:val="18"/>
                <w:lang w:val="en-GB"/>
              </w:rPr>
            </w:pPr>
            <w:r w:rsidRPr="00214F41">
              <w:rPr>
                <w:sz w:val="18"/>
                <w:szCs w:val="18"/>
                <w:lang w:val="en-GB"/>
              </w:rPr>
              <w:t>few GI disorders</w:t>
            </w:r>
          </w:p>
        </w:tc>
        <w:tc>
          <w:tcPr>
            <w:tcW w:w="282" w:type="pct"/>
            <w:tcBorders>
              <w:top w:val="nil"/>
              <w:left w:val="nil"/>
              <w:bottom w:val="single" w:sz="4" w:space="0" w:color="auto"/>
              <w:right w:val="single" w:sz="4" w:space="0" w:color="auto"/>
            </w:tcBorders>
            <w:shd w:val="clear" w:color="000000" w:fill="FFFFFF"/>
            <w:vAlign w:val="center"/>
            <w:hideMark/>
          </w:tcPr>
          <w:p w14:paraId="2E402A2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E9F086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612C550" w14:textId="77777777" w:rsidR="005A043A" w:rsidRPr="00214F41" w:rsidRDefault="005A043A" w:rsidP="00286762">
            <w:pPr>
              <w:jc w:val="center"/>
              <w:rPr>
                <w:sz w:val="18"/>
                <w:szCs w:val="18"/>
              </w:rPr>
            </w:pPr>
            <w:r w:rsidRPr="00214F41">
              <w:rPr>
                <w:sz w:val="18"/>
                <w:szCs w:val="18"/>
              </w:rPr>
              <w:t>12/287</w:t>
            </w:r>
          </w:p>
        </w:tc>
        <w:tc>
          <w:tcPr>
            <w:tcW w:w="282" w:type="pct"/>
            <w:tcBorders>
              <w:top w:val="nil"/>
              <w:left w:val="nil"/>
              <w:bottom w:val="single" w:sz="4" w:space="0" w:color="auto"/>
              <w:right w:val="single" w:sz="4" w:space="0" w:color="auto"/>
            </w:tcBorders>
            <w:shd w:val="clear" w:color="000000" w:fill="FFFFFF"/>
            <w:vAlign w:val="center"/>
            <w:hideMark/>
          </w:tcPr>
          <w:p w14:paraId="7928832C" w14:textId="77777777" w:rsidR="005A043A" w:rsidRPr="00214F41" w:rsidRDefault="005A043A" w:rsidP="00286762">
            <w:pPr>
              <w:jc w:val="center"/>
              <w:rPr>
                <w:sz w:val="18"/>
                <w:szCs w:val="18"/>
              </w:rPr>
            </w:pPr>
            <w:r w:rsidRPr="00214F41">
              <w:rPr>
                <w:sz w:val="18"/>
                <w:szCs w:val="18"/>
              </w:rPr>
              <w:t>9/283</w:t>
            </w:r>
          </w:p>
        </w:tc>
        <w:tc>
          <w:tcPr>
            <w:tcW w:w="278" w:type="pct"/>
            <w:tcBorders>
              <w:top w:val="nil"/>
              <w:left w:val="nil"/>
              <w:bottom w:val="single" w:sz="4" w:space="0" w:color="auto"/>
              <w:right w:val="single" w:sz="4" w:space="0" w:color="auto"/>
            </w:tcBorders>
            <w:shd w:val="clear" w:color="000000" w:fill="FFFFFF"/>
            <w:vAlign w:val="center"/>
            <w:hideMark/>
          </w:tcPr>
          <w:p w14:paraId="223D2B8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FBB3C9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6D1084A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DBE216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2138C4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72F9A4A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6E2DCC1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6DFA93B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2500060E" w14:textId="77777777" w:rsidTr="00286762">
        <w:trPr>
          <w:trHeight w:val="64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5F6A1428" w14:textId="77777777" w:rsidR="005A043A" w:rsidRPr="00214F41" w:rsidRDefault="005A043A" w:rsidP="00286762">
            <w:pPr>
              <w:jc w:val="center"/>
              <w:rPr>
                <w:sz w:val="18"/>
                <w:szCs w:val="18"/>
              </w:rPr>
            </w:pPr>
            <w:r w:rsidRPr="00214F41">
              <w:rPr>
                <w:sz w:val="18"/>
                <w:szCs w:val="18"/>
              </w:rPr>
              <w:t>Yoon et al., 2010</w:t>
            </w:r>
          </w:p>
        </w:tc>
        <w:tc>
          <w:tcPr>
            <w:tcW w:w="318" w:type="pct"/>
            <w:tcBorders>
              <w:top w:val="nil"/>
              <w:left w:val="nil"/>
              <w:bottom w:val="single" w:sz="4" w:space="0" w:color="auto"/>
              <w:right w:val="single" w:sz="4" w:space="0" w:color="auto"/>
            </w:tcBorders>
            <w:shd w:val="clear" w:color="000000" w:fill="FFFFFF"/>
            <w:vAlign w:val="center"/>
            <w:hideMark/>
          </w:tcPr>
          <w:p w14:paraId="03941F4C" w14:textId="77777777" w:rsidR="005A043A" w:rsidRPr="00214F41" w:rsidRDefault="005A043A" w:rsidP="00286762">
            <w:pPr>
              <w:jc w:val="center"/>
              <w:rPr>
                <w:sz w:val="18"/>
                <w:szCs w:val="18"/>
              </w:rPr>
            </w:pPr>
            <w:r w:rsidRPr="00214F41">
              <w:rPr>
                <w:sz w:val="18"/>
                <w:szCs w:val="18"/>
              </w:rPr>
              <w:t>9/114</w:t>
            </w:r>
          </w:p>
        </w:tc>
        <w:tc>
          <w:tcPr>
            <w:tcW w:w="295" w:type="pct"/>
            <w:tcBorders>
              <w:top w:val="nil"/>
              <w:left w:val="nil"/>
              <w:bottom w:val="single" w:sz="4" w:space="0" w:color="auto"/>
              <w:right w:val="single" w:sz="4" w:space="0" w:color="auto"/>
            </w:tcBorders>
            <w:shd w:val="clear" w:color="000000" w:fill="FFFFFF"/>
            <w:vAlign w:val="center"/>
            <w:hideMark/>
          </w:tcPr>
          <w:p w14:paraId="64815523" w14:textId="77777777" w:rsidR="005A043A" w:rsidRPr="00214F41" w:rsidRDefault="005A043A" w:rsidP="00286762">
            <w:pPr>
              <w:jc w:val="center"/>
              <w:rPr>
                <w:sz w:val="18"/>
                <w:szCs w:val="18"/>
              </w:rPr>
            </w:pPr>
            <w:r w:rsidRPr="00214F41">
              <w:rPr>
                <w:sz w:val="18"/>
                <w:szCs w:val="18"/>
              </w:rPr>
              <w:t>10/118</w:t>
            </w:r>
          </w:p>
        </w:tc>
        <w:tc>
          <w:tcPr>
            <w:tcW w:w="718" w:type="pct"/>
            <w:tcBorders>
              <w:top w:val="nil"/>
              <w:left w:val="nil"/>
              <w:bottom w:val="single" w:sz="4" w:space="0" w:color="auto"/>
              <w:right w:val="single" w:sz="4" w:space="0" w:color="auto"/>
            </w:tcBorders>
            <w:shd w:val="clear" w:color="000000" w:fill="FFFFFF"/>
            <w:vAlign w:val="center"/>
            <w:hideMark/>
          </w:tcPr>
          <w:p w14:paraId="50AC1833"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529395C" w14:textId="77777777" w:rsidR="005A043A" w:rsidRPr="00214F41" w:rsidRDefault="005A043A" w:rsidP="00286762">
            <w:pPr>
              <w:jc w:val="center"/>
              <w:rPr>
                <w:sz w:val="18"/>
                <w:szCs w:val="18"/>
              </w:rPr>
            </w:pPr>
            <w:r w:rsidRPr="00214F41">
              <w:rPr>
                <w:sz w:val="18"/>
                <w:szCs w:val="18"/>
              </w:rPr>
              <w:t>10/114</w:t>
            </w:r>
          </w:p>
        </w:tc>
        <w:tc>
          <w:tcPr>
            <w:tcW w:w="282" w:type="pct"/>
            <w:tcBorders>
              <w:top w:val="nil"/>
              <w:left w:val="nil"/>
              <w:bottom w:val="single" w:sz="4" w:space="0" w:color="auto"/>
              <w:right w:val="single" w:sz="4" w:space="0" w:color="auto"/>
            </w:tcBorders>
            <w:shd w:val="clear" w:color="000000" w:fill="FFFFFF"/>
            <w:vAlign w:val="center"/>
            <w:hideMark/>
          </w:tcPr>
          <w:p w14:paraId="498A80A6" w14:textId="77777777" w:rsidR="005A043A" w:rsidRPr="00214F41" w:rsidRDefault="005A043A" w:rsidP="00286762">
            <w:pPr>
              <w:jc w:val="center"/>
              <w:rPr>
                <w:sz w:val="18"/>
                <w:szCs w:val="18"/>
              </w:rPr>
            </w:pPr>
            <w:r w:rsidRPr="00214F41">
              <w:rPr>
                <w:sz w:val="18"/>
                <w:szCs w:val="18"/>
              </w:rPr>
              <w:t>10/118</w:t>
            </w:r>
          </w:p>
        </w:tc>
        <w:tc>
          <w:tcPr>
            <w:tcW w:w="282" w:type="pct"/>
            <w:tcBorders>
              <w:top w:val="nil"/>
              <w:left w:val="nil"/>
              <w:bottom w:val="single" w:sz="4" w:space="0" w:color="auto"/>
              <w:right w:val="single" w:sz="4" w:space="0" w:color="auto"/>
            </w:tcBorders>
            <w:shd w:val="clear" w:color="000000" w:fill="FFFFFF"/>
            <w:vAlign w:val="center"/>
            <w:hideMark/>
          </w:tcPr>
          <w:p w14:paraId="61762E74" w14:textId="77777777" w:rsidR="005A043A" w:rsidRPr="00214F41" w:rsidRDefault="005A043A" w:rsidP="00286762">
            <w:pPr>
              <w:jc w:val="center"/>
              <w:rPr>
                <w:sz w:val="18"/>
                <w:szCs w:val="18"/>
              </w:rPr>
            </w:pPr>
            <w:r w:rsidRPr="00214F41">
              <w:rPr>
                <w:sz w:val="18"/>
                <w:szCs w:val="18"/>
              </w:rPr>
              <w:t>10/114</w:t>
            </w:r>
          </w:p>
        </w:tc>
        <w:tc>
          <w:tcPr>
            <w:tcW w:w="282" w:type="pct"/>
            <w:tcBorders>
              <w:top w:val="nil"/>
              <w:left w:val="nil"/>
              <w:bottom w:val="single" w:sz="4" w:space="0" w:color="auto"/>
              <w:right w:val="single" w:sz="4" w:space="0" w:color="auto"/>
            </w:tcBorders>
            <w:shd w:val="clear" w:color="000000" w:fill="FFFFFF"/>
            <w:vAlign w:val="center"/>
            <w:hideMark/>
          </w:tcPr>
          <w:p w14:paraId="0DE1034B" w14:textId="77777777" w:rsidR="005A043A" w:rsidRPr="00214F41" w:rsidRDefault="005A043A" w:rsidP="00286762">
            <w:pPr>
              <w:jc w:val="center"/>
              <w:rPr>
                <w:sz w:val="18"/>
                <w:szCs w:val="18"/>
              </w:rPr>
            </w:pPr>
            <w:r w:rsidRPr="00214F41">
              <w:rPr>
                <w:sz w:val="18"/>
                <w:szCs w:val="18"/>
              </w:rPr>
              <w:t>4/118</w:t>
            </w:r>
          </w:p>
        </w:tc>
        <w:tc>
          <w:tcPr>
            <w:tcW w:w="278" w:type="pct"/>
            <w:tcBorders>
              <w:top w:val="nil"/>
              <w:left w:val="nil"/>
              <w:bottom w:val="single" w:sz="4" w:space="0" w:color="auto"/>
              <w:right w:val="single" w:sz="4" w:space="0" w:color="auto"/>
            </w:tcBorders>
            <w:shd w:val="clear" w:color="000000" w:fill="FFFFFF"/>
            <w:vAlign w:val="center"/>
            <w:hideMark/>
          </w:tcPr>
          <w:p w14:paraId="0C47FDFC" w14:textId="77777777" w:rsidR="005A043A" w:rsidRPr="00214F41" w:rsidRDefault="005A043A" w:rsidP="00286762">
            <w:pPr>
              <w:jc w:val="center"/>
              <w:rPr>
                <w:sz w:val="18"/>
                <w:szCs w:val="18"/>
              </w:rPr>
            </w:pPr>
            <w:r w:rsidRPr="00214F41">
              <w:rPr>
                <w:sz w:val="18"/>
                <w:szCs w:val="18"/>
              </w:rPr>
              <w:t>10/114</w:t>
            </w:r>
          </w:p>
        </w:tc>
        <w:tc>
          <w:tcPr>
            <w:tcW w:w="280" w:type="pct"/>
            <w:tcBorders>
              <w:top w:val="nil"/>
              <w:left w:val="nil"/>
              <w:bottom w:val="single" w:sz="4" w:space="0" w:color="auto"/>
              <w:right w:val="single" w:sz="4" w:space="0" w:color="auto"/>
            </w:tcBorders>
            <w:shd w:val="clear" w:color="000000" w:fill="FFFFFF"/>
            <w:vAlign w:val="center"/>
            <w:hideMark/>
          </w:tcPr>
          <w:p w14:paraId="40E766B1" w14:textId="77777777" w:rsidR="005A043A" w:rsidRPr="00214F41" w:rsidRDefault="005A043A" w:rsidP="00286762">
            <w:pPr>
              <w:jc w:val="center"/>
              <w:rPr>
                <w:sz w:val="18"/>
                <w:szCs w:val="18"/>
              </w:rPr>
            </w:pPr>
            <w:r w:rsidRPr="00214F41">
              <w:rPr>
                <w:sz w:val="18"/>
                <w:szCs w:val="18"/>
              </w:rPr>
              <w:t>10/114</w:t>
            </w:r>
          </w:p>
        </w:tc>
        <w:tc>
          <w:tcPr>
            <w:tcW w:w="278" w:type="pct"/>
            <w:tcBorders>
              <w:top w:val="nil"/>
              <w:left w:val="nil"/>
              <w:bottom w:val="single" w:sz="4" w:space="0" w:color="auto"/>
              <w:right w:val="single" w:sz="4" w:space="0" w:color="auto"/>
            </w:tcBorders>
            <w:shd w:val="clear" w:color="000000" w:fill="FFFFFF"/>
            <w:vAlign w:val="center"/>
            <w:hideMark/>
          </w:tcPr>
          <w:p w14:paraId="085B6C5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6582FD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7030ADC3" w14:textId="77777777" w:rsidR="005A043A" w:rsidRPr="00214F41" w:rsidRDefault="005A043A" w:rsidP="00286762">
            <w:pPr>
              <w:jc w:val="center"/>
              <w:rPr>
                <w:sz w:val="18"/>
                <w:szCs w:val="18"/>
              </w:rPr>
            </w:pPr>
            <w:r w:rsidRPr="00214F41">
              <w:rPr>
                <w:sz w:val="18"/>
                <w:szCs w:val="18"/>
              </w:rPr>
              <w:t>10/114</w:t>
            </w:r>
          </w:p>
        </w:tc>
        <w:tc>
          <w:tcPr>
            <w:tcW w:w="279" w:type="pct"/>
            <w:tcBorders>
              <w:top w:val="nil"/>
              <w:left w:val="nil"/>
              <w:bottom w:val="single" w:sz="4" w:space="0" w:color="auto"/>
              <w:right w:val="single" w:sz="4" w:space="0" w:color="auto"/>
            </w:tcBorders>
            <w:shd w:val="clear" w:color="000000" w:fill="FFFFFF"/>
            <w:vAlign w:val="center"/>
            <w:hideMark/>
          </w:tcPr>
          <w:p w14:paraId="1686FD71" w14:textId="77777777" w:rsidR="005A043A" w:rsidRPr="00214F41" w:rsidRDefault="005A043A" w:rsidP="00286762">
            <w:pPr>
              <w:jc w:val="center"/>
              <w:rPr>
                <w:sz w:val="18"/>
                <w:szCs w:val="18"/>
              </w:rPr>
            </w:pPr>
            <w:r w:rsidRPr="00214F41">
              <w:rPr>
                <w:sz w:val="18"/>
                <w:szCs w:val="18"/>
              </w:rPr>
              <w:t>10/118</w:t>
            </w:r>
          </w:p>
        </w:tc>
        <w:tc>
          <w:tcPr>
            <w:tcW w:w="279" w:type="pct"/>
            <w:tcBorders>
              <w:top w:val="nil"/>
              <w:left w:val="nil"/>
              <w:bottom w:val="single" w:sz="4" w:space="0" w:color="auto"/>
              <w:right w:val="single" w:sz="4" w:space="0" w:color="auto"/>
            </w:tcBorders>
            <w:shd w:val="clear" w:color="000000" w:fill="FFFFFF"/>
            <w:vAlign w:val="center"/>
            <w:hideMark/>
          </w:tcPr>
          <w:p w14:paraId="53B5853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5C5169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68FE301D" w14:textId="77777777" w:rsidTr="00286762">
        <w:trPr>
          <w:trHeight w:val="55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0CF51C48" w14:textId="77777777" w:rsidR="005A043A" w:rsidRPr="00214F41" w:rsidRDefault="005A043A" w:rsidP="00286762">
            <w:pPr>
              <w:jc w:val="center"/>
              <w:rPr>
                <w:sz w:val="18"/>
                <w:szCs w:val="18"/>
              </w:rPr>
            </w:pPr>
            <w:r w:rsidRPr="00214F41">
              <w:rPr>
                <w:sz w:val="18"/>
                <w:szCs w:val="18"/>
              </w:rPr>
              <w:t>Yuan et al., 2012</w:t>
            </w:r>
          </w:p>
        </w:tc>
        <w:tc>
          <w:tcPr>
            <w:tcW w:w="318" w:type="pct"/>
            <w:tcBorders>
              <w:top w:val="nil"/>
              <w:left w:val="nil"/>
              <w:bottom w:val="single" w:sz="4" w:space="0" w:color="auto"/>
              <w:right w:val="single" w:sz="4" w:space="0" w:color="auto"/>
            </w:tcBorders>
            <w:shd w:val="clear" w:color="000000" w:fill="FFFFFF"/>
            <w:vAlign w:val="center"/>
            <w:hideMark/>
          </w:tcPr>
          <w:p w14:paraId="324ABDCA" w14:textId="77777777" w:rsidR="005A043A" w:rsidRPr="00214F41" w:rsidRDefault="005A043A" w:rsidP="00286762">
            <w:pPr>
              <w:jc w:val="center"/>
              <w:rPr>
                <w:sz w:val="18"/>
                <w:szCs w:val="18"/>
              </w:rPr>
            </w:pPr>
            <w:r w:rsidRPr="00214F41">
              <w:rPr>
                <w:sz w:val="18"/>
                <w:szCs w:val="18"/>
              </w:rPr>
              <w:t>0/26</w:t>
            </w:r>
          </w:p>
        </w:tc>
        <w:tc>
          <w:tcPr>
            <w:tcW w:w="295" w:type="pct"/>
            <w:tcBorders>
              <w:top w:val="nil"/>
              <w:left w:val="nil"/>
              <w:bottom w:val="single" w:sz="4" w:space="0" w:color="auto"/>
              <w:right w:val="single" w:sz="4" w:space="0" w:color="auto"/>
            </w:tcBorders>
            <w:shd w:val="clear" w:color="000000" w:fill="FFFFFF"/>
            <w:vAlign w:val="center"/>
            <w:hideMark/>
          </w:tcPr>
          <w:p w14:paraId="785FBABB" w14:textId="77777777" w:rsidR="005A043A" w:rsidRPr="00214F41" w:rsidRDefault="005A043A" w:rsidP="00286762">
            <w:pPr>
              <w:jc w:val="center"/>
              <w:rPr>
                <w:sz w:val="18"/>
                <w:szCs w:val="18"/>
              </w:rPr>
            </w:pPr>
            <w:r w:rsidRPr="00214F41">
              <w:rPr>
                <w:sz w:val="18"/>
                <w:szCs w:val="18"/>
              </w:rPr>
              <w:t>sty.33</w:t>
            </w:r>
          </w:p>
        </w:tc>
        <w:tc>
          <w:tcPr>
            <w:tcW w:w="718" w:type="pct"/>
            <w:tcBorders>
              <w:top w:val="nil"/>
              <w:left w:val="nil"/>
              <w:bottom w:val="single" w:sz="4" w:space="0" w:color="auto"/>
              <w:right w:val="single" w:sz="4" w:space="0" w:color="auto"/>
            </w:tcBorders>
            <w:shd w:val="clear" w:color="000000" w:fill="FFFFFF"/>
            <w:vAlign w:val="center"/>
            <w:hideMark/>
          </w:tcPr>
          <w:p w14:paraId="0B8B9BA9" w14:textId="77777777" w:rsidR="005A043A" w:rsidRPr="00214F41" w:rsidRDefault="005A043A" w:rsidP="00286762">
            <w:pPr>
              <w:jc w:val="center"/>
              <w:rPr>
                <w:sz w:val="18"/>
                <w:szCs w:val="18"/>
              </w:rPr>
            </w:pPr>
            <w:r w:rsidRPr="00214F41">
              <w:rPr>
                <w:sz w:val="18"/>
                <w:szCs w:val="18"/>
              </w:rPr>
              <w:t>severe nausea</w:t>
            </w:r>
          </w:p>
        </w:tc>
        <w:tc>
          <w:tcPr>
            <w:tcW w:w="282" w:type="pct"/>
            <w:tcBorders>
              <w:top w:val="nil"/>
              <w:left w:val="nil"/>
              <w:bottom w:val="single" w:sz="4" w:space="0" w:color="auto"/>
              <w:right w:val="single" w:sz="4" w:space="0" w:color="auto"/>
            </w:tcBorders>
            <w:shd w:val="clear" w:color="000000" w:fill="FFFFFF"/>
            <w:vAlign w:val="center"/>
            <w:hideMark/>
          </w:tcPr>
          <w:p w14:paraId="05DF627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5D107F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F2B1999" w14:textId="77777777" w:rsidR="005A043A" w:rsidRPr="00214F41" w:rsidRDefault="005A043A" w:rsidP="00286762">
            <w:pPr>
              <w:jc w:val="center"/>
              <w:rPr>
                <w:sz w:val="18"/>
                <w:szCs w:val="18"/>
              </w:rPr>
            </w:pPr>
            <w:r w:rsidRPr="00214F41">
              <w:rPr>
                <w:sz w:val="18"/>
                <w:szCs w:val="18"/>
              </w:rPr>
              <w:t>3|26</w:t>
            </w:r>
          </w:p>
        </w:tc>
        <w:tc>
          <w:tcPr>
            <w:tcW w:w="282" w:type="pct"/>
            <w:tcBorders>
              <w:top w:val="nil"/>
              <w:left w:val="nil"/>
              <w:bottom w:val="single" w:sz="4" w:space="0" w:color="auto"/>
              <w:right w:val="single" w:sz="4" w:space="0" w:color="auto"/>
            </w:tcBorders>
            <w:shd w:val="clear" w:color="000000" w:fill="FFFFFF"/>
            <w:vAlign w:val="center"/>
            <w:hideMark/>
          </w:tcPr>
          <w:p w14:paraId="5381C305" w14:textId="77777777" w:rsidR="005A043A" w:rsidRPr="00214F41" w:rsidRDefault="005A043A" w:rsidP="00286762">
            <w:pPr>
              <w:jc w:val="center"/>
              <w:rPr>
                <w:sz w:val="18"/>
                <w:szCs w:val="18"/>
              </w:rPr>
            </w:pPr>
            <w:r w:rsidRPr="00214F41">
              <w:rPr>
                <w:sz w:val="18"/>
                <w:szCs w:val="18"/>
              </w:rPr>
              <w:t>1|33</w:t>
            </w:r>
          </w:p>
        </w:tc>
        <w:tc>
          <w:tcPr>
            <w:tcW w:w="278" w:type="pct"/>
            <w:tcBorders>
              <w:top w:val="nil"/>
              <w:left w:val="nil"/>
              <w:bottom w:val="single" w:sz="4" w:space="0" w:color="auto"/>
              <w:right w:val="single" w:sz="4" w:space="0" w:color="auto"/>
            </w:tcBorders>
            <w:shd w:val="clear" w:color="000000" w:fill="FFFFFF"/>
            <w:vAlign w:val="center"/>
            <w:hideMark/>
          </w:tcPr>
          <w:p w14:paraId="342378C0" w14:textId="77777777" w:rsidR="005A043A" w:rsidRPr="00214F41" w:rsidRDefault="005A043A" w:rsidP="00286762">
            <w:pPr>
              <w:jc w:val="center"/>
              <w:rPr>
                <w:sz w:val="18"/>
                <w:szCs w:val="18"/>
              </w:rPr>
            </w:pPr>
            <w:r w:rsidRPr="00214F41">
              <w:rPr>
                <w:sz w:val="18"/>
                <w:szCs w:val="18"/>
              </w:rPr>
              <w:t>2|26</w:t>
            </w:r>
          </w:p>
        </w:tc>
        <w:tc>
          <w:tcPr>
            <w:tcW w:w="280" w:type="pct"/>
            <w:tcBorders>
              <w:top w:val="nil"/>
              <w:left w:val="nil"/>
              <w:bottom w:val="single" w:sz="4" w:space="0" w:color="auto"/>
              <w:right w:val="single" w:sz="4" w:space="0" w:color="auto"/>
            </w:tcBorders>
            <w:shd w:val="clear" w:color="000000" w:fill="FFFFFF"/>
            <w:vAlign w:val="center"/>
            <w:hideMark/>
          </w:tcPr>
          <w:p w14:paraId="4FDC20BC" w14:textId="77777777" w:rsidR="005A043A" w:rsidRPr="00214F41" w:rsidRDefault="005A043A" w:rsidP="00286762">
            <w:pPr>
              <w:jc w:val="center"/>
              <w:rPr>
                <w:sz w:val="18"/>
                <w:szCs w:val="18"/>
              </w:rPr>
            </w:pPr>
            <w:r w:rsidRPr="00214F41">
              <w:rPr>
                <w:sz w:val="18"/>
                <w:szCs w:val="18"/>
              </w:rPr>
              <w:t>1|33</w:t>
            </w:r>
          </w:p>
        </w:tc>
        <w:tc>
          <w:tcPr>
            <w:tcW w:w="278" w:type="pct"/>
            <w:tcBorders>
              <w:top w:val="nil"/>
              <w:left w:val="nil"/>
              <w:bottom w:val="single" w:sz="4" w:space="0" w:color="auto"/>
              <w:right w:val="single" w:sz="4" w:space="0" w:color="auto"/>
            </w:tcBorders>
            <w:shd w:val="clear" w:color="000000" w:fill="FFFFFF"/>
            <w:vAlign w:val="center"/>
            <w:hideMark/>
          </w:tcPr>
          <w:p w14:paraId="4AE0B4F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98B84C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871BBB4" w14:textId="77777777" w:rsidR="005A043A" w:rsidRPr="00214F41" w:rsidRDefault="005A043A" w:rsidP="00286762">
            <w:pPr>
              <w:jc w:val="center"/>
              <w:rPr>
                <w:sz w:val="18"/>
                <w:szCs w:val="18"/>
              </w:rPr>
            </w:pPr>
            <w:r w:rsidRPr="00214F41">
              <w:rPr>
                <w:sz w:val="18"/>
                <w:szCs w:val="18"/>
              </w:rPr>
              <w:t>2|26</w:t>
            </w:r>
          </w:p>
        </w:tc>
        <w:tc>
          <w:tcPr>
            <w:tcW w:w="279" w:type="pct"/>
            <w:tcBorders>
              <w:top w:val="nil"/>
              <w:left w:val="nil"/>
              <w:bottom w:val="single" w:sz="4" w:space="0" w:color="auto"/>
              <w:right w:val="single" w:sz="4" w:space="0" w:color="auto"/>
            </w:tcBorders>
            <w:shd w:val="clear" w:color="000000" w:fill="FFFFFF"/>
            <w:vAlign w:val="center"/>
            <w:hideMark/>
          </w:tcPr>
          <w:p w14:paraId="6E3ADA6E" w14:textId="77777777" w:rsidR="005A043A" w:rsidRPr="00214F41" w:rsidRDefault="005A043A" w:rsidP="00286762">
            <w:pPr>
              <w:jc w:val="center"/>
              <w:rPr>
                <w:sz w:val="18"/>
                <w:szCs w:val="18"/>
              </w:rPr>
            </w:pPr>
            <w:r w:rsidRPr="00214F41">
              <w:rPr>
                <w:sz w:val="18"/>
                <w:szCs w:val="18"/>
              </w:rPr>
              <w:t>10|33</w:t>
            </w:r>
          </w:p>
        </w:tc>
        <w:tc>
          <w:tcPr>
            <w:tcW w:w="279" w:type="pct"/>
            <w:tcBorders>
              <w:top w:val="nil"/>
              <w:left w:val="nil"/>
              <w:bottom w:val="single" w:sz="4" w:space="0" w:color="auto"/>
              <w:right w:val="single" w:sz="4" w:space="0" w:color="auto"/>
            </w:tcBorders>
            <w:shd w:val="clear" w:color="000000" w:fill="FFFFFF"/>
            <w:vAlign w:val="center"/>
            <w:hideMark/>
          </w:tcPr>
          <w:p w14:paraId="62DA9955" w14:textId="77777777" w:rsidR="005A043A" w:rsidRPr="00214F41" w:rsidRDefault="005A043A" w:rsidP="00286762">
            <w:pPr>
              <w:jc w:val="center"/>
              <w:rPr>
                <w:sz w:val="18"/>
                <w:szCs w:val="18"/>
              </w:rPr>
            </w:pPr>
            <w:r w:rsidRPr="00214F41">
              <w:rPr>
                <w:sz w:val="18"/>
                <w:szCs w:val="18"/>
              </w:rPr>
              <w:t>1|26</w:t>
            </w:r>
          </w:p>
        </w:tc>
        <w:tc>
          <w:tcPr>
            <w:tcW w:w="276" w:type="pct"/>
            <w:tcBorders>
              <w:top w:val="nil"/>
              <w:left w:val="nil"/>
              <w:bottom w:val="single" w:sz="4" w:space="0" w:color="auto"/>
              <w:right w:val="single" w:sz="4" w:space="0" w:color="auto"/>
            </w:tcBorders>
            <w:shd w:val="clear" w:color="000000" w:fill="FFFFFF"/>
            <w:vAlign w:val="center"/>
            <w:hideMark/>
          </w:tcPr>
          <w:p w14:paraId="773936F4" w14:textId="77777777" w:rsidR="005A043A" w:rsidRPr="00214F41" w:rsidRDefault="005A043A" w:rsidP="00286762">
            <w:pPr>
              <w:jc w:val="center"/>
              <w:rPr>
                <w:sz w:val="18"/>
                <w:szCs w:val="18"/>
              </w:rPr>
            </w:pPr>
            <w:r w:rsidRPr="00214F41">
              <w:rPr>
                <w:sz w:val="18"/>
                <w:szCs w:val="18"/>
              </w:rPr>
              <w:t>1|33</w:t>
            </w:r>
          </w:p>
        </w:tc>
      </w:tr>
      <w:tr w:rsidR="005A043A" w:rsidRPr="00214F41" w14:paraId="775E693B" w14:textId="77777777" w:rsidTr="00286762">
        <w:trPr>
          <w:trHeight w:val="42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A88C3F0" w14:textId="77777777" w:rsidR="005A043A" w:rsidRPr="00214F41" w:rsidRDefault="005A043A" w:rsidP="00286762">
            <w:pPr>
              <w:jc w:val="center"/>
              <w:rPr>
                <w:sz w:val="18"/>
                <w:szCs w:val="18"/>
              </w:rPr>
            </w:pPr>
            <w:proofErr w:type="spellStart"/>
            <w:r w:rsidRPr="00214F41">
              <w:rPr>
                <w:sz w:val="18"/>
                <w:szCs w:val="18"/>
              </w:rPr>
              <w:t>Yuxin</w:t>
            </w:r>
            <w:proofErr w:type="spellEnd"/>
            <w:r w:rsidRPr="00214F41">
              <w:rPr>
                <w:sz w:val="18"/>
                <w:szCs w:val="18"/>
              </w:rPr>
              <w:t xml:space="preserve"> et al., 2019a</w:t>
            </w:r>
          </w:p>
        </w:tc>
        <w:tc>
          <w:tcPr>
            <w:tcW w:w="318" w:type="pct"/>
            <w:tcBorders>
              <w:top w:val="nil"/>
              <w:left w:val="nil"/>
              <w:bottom w:val="single" w:sz="4" w:space="0" w:color="auto"/>
              <w:right w:val="single" w:sz="4" w:space="0" w:color="auto"/>
            </w:tcBorders>
            <w:shd w:val="clear" w:color="000000" w:fill="FFFFFF"/>
            <w:vAlign w:val="center"/>
            <w:hideMark/>
          </w:tcPr>
          <w:p w14:paraId="6BD1D49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14:paraId="6BD6396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718" w:type="pct"/>
            <w:vMerge w:val="restart"/>
            <w:tcBorders>
              <w:top w:val="nil"/>
              <w:left w:val="nil"/>
              <w:right w:val="single" w:sz="4" w:space="0" w:color="auto"/>
            </w:tcBorders>
            <w:shd w:val="clear" w:color="000000" w:fill="FFFFFF"/>
            <w:vAlign w:val="center"/>
            <w:hideMark/>
          </w:tcPr>
          <w:p w14:paraId="14658222"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53E181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A2FC82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61D91A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17696A3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421CA2D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5F9ECF7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6A88FFA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4C3E50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A36556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6177F13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516CC04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419A86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1CA88A9C" w14:textId="77777777" w:rsidTr="00286762">
        <w:trPr>
          <w:trHeight w:val="412"/>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BF7F943" w14:textId="77777777" w:rsidR="005A043A" w:rsidRPr="00214F41" w:rsidRDefault="005A043A" w:rsidP="00286762">
            <w:pPr>
              <w:jc w:val="center"/>
              <w:rPr>
                <w:sz w:val="18"/>
                <w:szCs w:val="18"/>
              </w:rPr>
            </w:pPr>
            <w:proofErr w:type="spellStart"/>
            <w:r w:rsidRPr="00214F41">
              <w:rPr>
                <w:sz w:val="18"/>
                <w:szCs w:val="18"/>
              </w:rPr>
              <w:lastRenderedPageBreak/>
              <w:t>Yuxin</w:t>
            </w:r>
            <w:proofErr w:type="spellEnd"/>
            <w:r w:rsidRPr="00214F41">
              <w:rPr>
                <w:sz w:val="18"/>
                <w:szCs w:val="18"/>
              </w:rPr>
              <w:t xml:space="preserve"> et al., 2019b</w:t>
            </w:r>
          </w:p>
        </w:tc>
        <w:tc>
          <w:tcPr>
            <w:tcW w:w="318" w:type="pct"/>
            <w:tcBorders>
              <w:top w:val="nil"/>
              <w:left w:val="nil"/>
              <w:bottom w:val="single" w:sz="4" w:space="0" w:color="auto"/>
              <w:right w:val="single" w:sz="4" w:space="0" w:color="auto"/>
            </w:tcBorders>
            <w:shd w:val="clear" w:color="000000" w:fill="FFFFFF"/>
            <w:vAlign w:val="center"/>
            <w:hideMark/>
          </w:tcPr>
          <w:p w14:paraId="732270D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14:paraId="0B50629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718" w:type="pct"/>
            <w:vMerge/>
            <w:tcBorders>
              <w:left w:val="nil"/>
              <w:bottom w:val="single" w:sz="4" w:space="0" w:color="auto"/>
              <w:right w:val="single" w:sz="4" w:space="0" w:color="auto"/>
            </w:tcBorders>
            <w:shd w:val="clear" w:color="000000" w:fill="FFFFFF"/>
            <w:vAlign w:val="center"/>
            <w:hideMark/>
          </w:tcPr>
          <w:p w14:paraId="25E31D63" w14:textId="77777777" w:rsidR="005A043A" w:rsidRPr="00214F41" w:rsidRDefault="005A043A" w:rsidP="00286762">
            <w:pPr>
              <w:jc w:val="center"/>
              <w:rPr>
                <w:sz w:val="18"/>
                <w:szCs w:val="18"/>
              </w:rPr>
            </w:pPr>
          </w:p>
        </w:tc>
        <w:tc>
          <w:tcPr>
            <w:tcW w:w="282" w:type="pct"/>
            <w:tcBorders>
              <w:top w:val="nil"/>
              <w:left w:val="nil"/>
              <w:bottom w:val="single" w:sz="4" w:space="0" w:color="auto"/>
              <w:right w:val="single" w:sz="4" w:space="0" w:color="auto"/>
            </w:tcBorders>
            <w:shd w:val="clear" w:color="000000" w:fill="FFFFFF"/>
            <w:vAlign w:val="center"/>
            <w:hideMark/>
          </w:tcPr>
          <w:p w14:paraId="14EB3356" w14:textId="77777777" w:rsidR="005A043A" w:rsidRPr="00214F41" w:rsidRDefault="005A043A" w:rsidP="00286762">
            <w:pPr>
              <w:jc w:val="center"/>
              <w:rPr>
                <w:sz w:val="18"/>
                <w:szCs w:val="18"/>
              </w:rPr>
            </w:pPr>
            <w:r w:rsidRPr="00214F41">
              <w:rPr>
                <w:sz w:val="18"/>
                <w:szCs w:val="18"/>
              </w:rPr>
              <w:t>41/120</w:t>
            </w:r>
          </w:p>
        </w:tc>
        <w:tc>
          <w:tcPr>
            <w:tcW w:w="282" w:type="pct"/>
            <w:tcBorders>
              <w:top w:val="nil"/>
              <w:left w:val="nil"/>
              <w:bottom w:val="single" w:sz="4" w:space="0" w:color="auto"/>
              <w:right w:val="single" w:sz="4" w:space="0" w:color="auto"/>
            </w:tcBorders>
            <w:shd w:val="clear" w:color="000000" w:fill="FFFFFF"/>
            <w:vAlign w:val="center"/>
            <w:hideMark/>
          </w:tcPr>
          <w:p w14:paraId="1E1D31F3" w14:textId="77777777" w:rsidR="005A043A" w:rsidRPr="00214F41" w:rsidRDefault="005A043A" w:rsidP="00286762">
            <w:pPr>
              <w:jc w:val="center"/>
              <w:rPr>
                <w:sz w:val="18"/>
                <w:szCs w:val="18"/>
              </w:rPr>
            </w:pPr>
            <w:r w:rsidRPr="00214F41">
              <w:rPr>
                <w:sz w:val="18"/>
                <w:szCs w:val="18"/>
              </w:rPr>
              <w:t>33/120</w:t>
            </w:r>
          </w:p>
        </w:tc>
        <w:tc>
          <w:tcPr>
            <w:tcW w:w="282" w:type="pct"/>
            <w:tcBorders>
              <w:top w:val="nil"/>
              <w:left w:val="nil"/>
              <w:bottom w:val="single" w:sz="4" w:space="0" w:color="auto"/>
              <w:right w:val="single" w:sz="4" w:space="0" w:color="auto"/>
            </w:tcBorders>
            <w:shd w:val="clear" w:color="000000" w:fill="FFFFFF"/>
            <w:vAlign w:val="center"/>
            <w:hideMark/>
          </w:tcPr>
          <w:p w14:paraId="61120A99" w14:textId="77777777" w:rsidR="005A043A" w:rsidRPr="00214F41" w:rsidRDefault="005A043A" w:rsidP="00286762">
            <w:pPr>
              <w:jc w:val="center"/>
              <w:rPr>
                <w:sz w:val="18"/>
                <w:szCs w:val="18"/>
              </w:rPr>
            </w:pPr>
            <w:r w:rsidRPr="00214F41">
              <w:rPr>
                <w:sz w:val="18"/>
                <w:szCs w:val="18"/>
              </w:rPr>
              <w:t>29/120</w:t>
            </w:r>
          </w:p>
        </w:tc>
        <w:tc>
          <w:tcPr>
            <w:tcW w:w="282" w:type="pct"/>
            <w:tcBorders>
              <w:top w:val="nil"/>
              <w:left w:val="nil"/>
              <w:bottom w:val="single" w:sz="4" w:space="0" w:color="auto"/>
              <w:right w:val="single" w:sz="4" w:space="0" w:color="auto"/>
            </w:tcBorders>
            <w:shd w:val="clear" w:color="000000" w:fill="FFFFFF"/>
            <w:vAlign w:val="center"/>
            <w:hideMark/>
          </w:tcPr>
          <w:p w14:paraId="0C2D68D3" w14:textId="77777777" w:rsidR="005A043A" w:rsidRPr="00214F41" w:rsidRDefault="005A043A" w:rsidP="00286762">
            <w:pPr>
              <w:jc w:val="center"/>
              <w:rPr>
                <w:sz w:val="18"/>
                <w:szCs w:val="18"/>
              </w:rPr>
            </w:pPr>
            <w:r w:rsidRPr="00214F41">
              <w:rPr>
                <w:sz w:val="18"/>
                <w:szCs w:val="18"/>
              </w:rPr>
              <w:t>33/120</w:t>
            </w:r>
          </w:p>
        </w:tc>
        <w:tc>
          <w:tcPr>
            <w:tcW w:w="278" w:type="pct"/>
            <w:tcBorders>
              <w:top w:val="nil"/>
              <w:left w:val="nil"/>
              <w:bottom w:val="single" w:sz="4" w:space="0" w:color="auto"/>
              <w:right w:val="single" w:sz="4" w:space="0" w:color="auto"/>
            </w:tcBorders>
            <w:shd w:val="clear" w:color="000000" w:fill="FFFFFF"/>
            <w:vAlign w:val="center"/>
            <w:hideMark/>
          </w:tcPr>
          <w:p w14:paraId="451B26F1" w14:textId="77777777" w:rsidR="005A043A" w:rsidRPr="00214F41" w:rsidRDefault="005A043A" w:rsidP="00286762">
            <w:pPr>
              <w:jc w:val="center"/>
              <w:rPr>
                <w:sz w:val="18"/>
                <w:szCs w:val="18"/>
              </w:rPr>
            </w:pPr>
            <w:r w:rsidRPr="00214F41">
              <w:rPr>
                <w:sz w:val="18"/>
                <w:szCs w:val="18"/>
              </w:rPr>
              <w:t>5/120</w:t>
            </w:r>
          </w:p>
        </w:tc>
        <w:tc>
          <w:tcPr>
            <w:tcW w:w="280" w:type="pct"/>
            <w:tcBorders>
              <w:top w:val="nil"/>
              <w:left w:val="nil"/>
              <w:bottom w:val="single" w:sz="4" w:space="0" w:color="auto"/>
              <w:right w:val="single" w:sz="4" w:space="0" w:color="auto"/>
            </w:tcBorders>
            <w:shd w:val="clear" w:color="000000" w:fill="FFFFFF"/>
            <w:vAlign w:val="center"/>
            <w:hideMark/>
          </w:tcPr>
          <w:p w14:paraId="3DB1BF8C" w14:textId="77777777" w:rsidR="005A043A" w:rsidRPr="00214F41" w:rsidRDefault="005A043A" w:rsidP="00286762">
            <w:pPr>
              <w:jc w:val="center"/>
              <w:rPr>
                <w:sz w:val="18"/>
                <w:szCs w:val="18"/>
              </w:rPr>
            </w:pPr>
            <w:r w:rsidRPr="00214F41">
              <w:rPr>
                <w:sz w:val="18"/>
                <w:szCs w:val="18"/>
              </w:rPr>
              <w:t>3/120</w:t>
            </w:r>
          </w:p>
        </w:tc>
        <w:tc>
          <w:tcPr>
            <w:tcW w:w="278" w:type="pct"/>
            <w:tcBorders>
              <w:top w:val="nil"/>
              <w:left w:val="nil"/>
              <w:bottom w:val="single" w:sz="4" w:space="0" w:color="auto"/>
              <w:right w:val="single" w:sz="4" w:space="0" w:color="auto"/>
            </w:tcBorders>
            <w:shd w:val="clear" w:color="000000" w:fill="FFFFFF"/>
            <w:vAlign w:val="center"/>
            <w:hideMark/>
          </w:tcPr>
          <w:p w14:paraId="670E2916" w14:textId="77777777" w:rsidR="005A043A" w:rsidRPr="00214F41" w:rsidRDefault="005A043A" w:rsidP="00286762">
            <w:pPr>
              <w:jc w:val="center"/>
              <w:rPr>
                <w:sz w:val="18"/>
                <w:szCs w:val="18"/>
              </w:rPr>
            </w:pPr>
            <w:r w:rsidRPr="00214F41">
              <w:rPr>
                <w:sz w:val="18"/>
                <w:szCs w:val="18"/>
              </w:rPr>
              <w:t>45/120</w:t>
            </w:r>
          </w:p>
        </w:tc>
        <w:tc>
          <w:tcPr>
            <w:tcW w:w="280" w:type="pct"/>
            <w:tcBorders>
              <w:top w:val="nil"/>
              <w:left w:val="nil"/>
              <w:bottom w:val="single" w:sz="4" w:space="0" w:color="auto"/>
              <w:right w:val="single" w:sz="4" w:space="0" w:color="auto"/>
            </w:tcBorders>
            <w:shd w:val="clear" w:color="000000" w:fill="FFFFFF"/>
            <w:vAlign w:val="center"/>
            <w:hideMark/>
          </w:tcPr>
          <w:p w14:paraId="254B18EB" w14:textId="77777777" w:rsidR="005A043A" w:rsidRPr="00214F41" w:rsidRDefault="005A043A" w:rsidP="00286762">
            <w:pPr>
              <w:jc w:val="center"/>
              <w:rPr>
                <w:sz w:val="18"/>
                <w:szCs w:val="18"/>
              </w:rPr>
            </w:pPr>
            <w:r w:rsidRPr="00214F41">
              <w:rPr>
                <w:sz w:val="18"/>
                <w:szCs w:val="18"/>
              </w:rPr>
              <w:t>39/120</w:t>
            </w:r>
          </w:p>
        </w:tc>
        <w:tc>
          <w:tcPr>
            <w:tcW w:w="282" w:type="pct"/>
            <w:tcBorders>
              <w:top w:val="nil"/>
              <w:left w:val="nil"/>
              <w:bottom w:val="single" w:sz="4" w:space="0" w:color="auto"/>
              <w:right w:val="single" w:sz="4" w:space="0" w:color="auto"/>
            </w:tcBorders>
            <w:shd w:val="clear" w:color="000000" w:fill="FFFFFF"/>
            <w:vAlign w:val="center"/>
            <w:hideMark/>
          </w:tcPr>
          <w:p w14:paraId="4D07C6BD" w14:textId="77777777" w:rsidR="005A043A" w:rsidRPr="00214F41" w:rsidRDefault="005A043A" w:rsidP="00286762">
            <w:pPr>
              <w:jc w:val="center"/>
              <w:rPr>
                <w:sz w:val="18"/>
                <w:szCs w:val="18"/>
              </w:rPr>
            </w:pPr>
            <w:r w:rsidRPr="00214F41">
              <w:rPr>
                <w:sz w:val="18"/>
                <w:szCs w:val="18"/>
              </w:rPr>
              <w:t>17/120</w:t>
            </w:r>
          </w:p>
        </w:tc>
        <w:tc>
          <w:tcPr>
            <w:tcW w:w="279" w:type="pct"/>
            <w:tcBorders>
              <w:top w:val="nil"/>
              <w:left w:val="nil"/>
              <w:bottom w:val="single" w:sz="4" w:space="0" w:color="auto"/>
              <w:right w:val="single" w:sz="4" w:space="0" w:color="auto"/>
            </w:tcBorders>
            <w:shd w:val="clear" w:color="000000" w:fill="FFFFFF"/>
            <w:vAlign w:val="center"/>
            <w:hideMark/>
          </w:tcPr>
          <w:p w14:paraId="3E60128F" w14:textId="77777777" w:rsidR="005A043A" w:rsidRPr="00214F41" w:rsidRDefault="005A043A" w:rsidP="00286762">
            <w:pPr>
              <w:jc w:val="center"/>
              <w:rPr>
                <w:sz w:val="18"/>
                <w:szCs w:val="18"/>
              </w:rPr>
            </w:pPr>
            <w:r w:rsidRPr="00214F41">
              <w:rPr>
                <w:sz w:val="18"/>
                <w:szCs w:val="18"/>
              </w:rPr>
              <w:t>11/120</w:t>
            </w:r>
          </w:p>
        </w:tc>
        <w:tc>
          <w:tcPr>
            <w:tcW w:w="279" w:type="pct"/>
            <w:tcBorders>
              <w:top w:val="nil"/>
              <w:left w:val="nil"/>
              <w:bottom w:val="single" w:sz="4" w:space="0" w:color="auto"/>
              <w:right w:val="single" w:sz="4" w:space="0" w:color="auto"/>
            </w:tcBorders>
            <w:shd w:val="clear" w:color="000000" w:fill="FFFFFF"/>
            <w:vAlign w:val="center"/>
            <w:hideMark/>
          </w:tcPr>
          <w:p w14:paraId="06B4BFE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5F3202F6"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28AB6780" w14:textId="77777777" w:rsidTr="00286762">
        <w:trPr>
          <w:trHeight w:val="559"/>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08DA4417" w14:textId="77777777" w:rsidR="005A043A" w:rsidRPr="00214F41" w:rsidRDefault="005A043A" w:rsidP="00286762">
            <w:pPr>
              <w:jc w:val="center"/>
              <w:rPr>
                <w:sz w:val="18"/>
                <w:szCs w:val="18"/>
              </w:rPr>
            </w:pPr>
            <w:r w:rsidRPr="00214F41">
              <w:rPr>
                <w:sz w:val="18"/>
                <w:szCs w:val="18"/>
              </w:rPr>
              <w:t>Zack et al., 2014</w:t>
            </w:r>
          </w:p>
        </w:tc>
        <w:tc>
          <w:tcPr>
            <w:tcW w:w="318" w:type="pct"/>
            <w:tcBorders>
              <w:top w:val="nil"/>
              <w:left w:val="nil"/>
              <w:bottom w:val="single" w:sz="4" w:space="0" w:color="auto"/>
              <w:right w:val="single" w:sz="4" w:space="0" w:color="auto"/>
            </w:tcBorders>
            <w:shd w:val="clear" w:color="000000" w:fill="FFFFFF"/>
            <w:vAlign w:val="center"/>
            <w:hideMark/>
          </w:tcPr>
          <w:p w14:paraId="3872C96C" w14:textId="77777777" w:rsidR="005A043A" w:rsidRPr="00214F41" w:rsidRDefault="005A043A" w:rsidP="00286762">
            <w:pPr>
              <w:jc w:val="center"/>
              <w:rPr>
                <w:sz w:val="18"/>
                <w:szCs w:val="18"/>
              </w:rPr>
            </w:pPr>
            <w:r w:rsidRPr="00214F41">
              <w:rPr>
                <w:sz w:val="18"/>
                <w:szCs w:val="18"/>
              </w:rPr>
              <w:t>0/28</w:t>
            </w:r>
          </w:p>
        </w:tc>
        <w:tc>
          <w:tcPr>
            <w:tcW w:w="295" w:type="pct"/>
            <w:tcBorders>
              <w:top w:val="nil"/>
              <w:left w:val="nil"/>
              <w:bottom w:val="single" w:sz="4" w:space="0" w:color="auto"/>
              <w:right w:val="single" w:sz="4" w:space="0" w:color="auto"/>
            </w:tcBorders>
            <w:shd w:val="clear" w:color="000000" w:fill="FFFFFF"/>
            <w:vAlign w:val="center"/>
            <w:hideMark/>
          </w:tcPr>
          <w:p w14:paraId="26A60E60" w14:textId="77777777" w:rsidR="005A043A" w:rsidRPr="00214F41" w:rsidRDefault="005A043A" w:rsidP="00286762">
            <w:pPr>
              <w:jc w:val="center"/>
              <w:rPr>
                <w:sz w:val="18"/>
                <w:szCs w:val="18"/>
              </w:rPr>
            </w:pPr>
            <w:r w:rsidRPr="00214F41">
              <w:rPr>
                <w:sz w:val="18"/>
                <w:szCs w:val="18"/>
              </w:rPr>
              <w:t>0/28</w:t>
            </w:r>
          </w:p>
        </w:tc>
        <w:tc>
          <w:tcPr>
            <w:tcW w:w="718" w:type="pct"/>
            <w:tcBorders>
              <w:top w:val="nil"/>
              <w:left w:val="nil"/>
              <w:bottom w:val="single" w:sz="4" w:space="0" w:color="auto"/>
              <w:right w:val="single" w:sz="4" w:space="0" w:color="auto"/>
            </w:tcBorders>
            <w:shd w:val="clear" w:color="000000" w:fill="FFFFFF"/>
            <w:vAlign w:val="center"/>
            <w:hideMark/>
          </w:tcPr>
          <w:p w14:paraId="4B82400E"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EE0485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D449AC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BF2CEB0" w14:textId="77777777" w:rsidR="005A043A" w:rsidRPr="00214F41" w:rsidRDefault="005A043A" w:rsidP="00286762">
            <w:pPr>
              <w:jc w:val="center"/>
              <w:rPr>
                <w:sz w:val="18"/>
                <w:szCs w:val="18"/>
              </w:rPr>
            </w:pPr>
            <w:r w:rsidRPr="00214F41">
              <w:rPr>
                <w:sz w:val="18"/>
                <w:szCs w:val="18"/>
              </w:rPr>
              <w:t>0/28</w:t>
            </w:r>
          </w:p>
        </w:tc>
        <w:tc>
          <w:tcPr>
            <w:tcW w:w="282" w:type="pct"/>
            <w:tcBorders>
              <w:top w:val="nil"/>
              <w:left w:val="nil"/>
              <w:bottom w:val="single" w:sz="4" w:space="0" w:color="auto"/>
              <w:right w:val="single" w:sz="4" w:space="0" w:color="auto"/>
            </w:tcBorders>
            <w:shd w:val="clear" w:color="000000" w:fill="FFFFFF"/>
            <w:vAlign w:val="center"/>
            <w:hideMark/>
          </w:tcPr>
          <w:p w14:paraId="1CEFFC39" w14:textId="77777777" w:rsidR="005A043A" w:rsidRPr="00214F41" w:rsidRDefault="005A043A" w:rsidP="00286762">
            <w:pPr>
              <w:jc w:val="center"/>
              <w:rPr>
                <w:sz w:val="18"/>
                <w:szCs w:val="18"/>
              </w:rPr>
            </w:pPr>
            <w:r w:rsidRPr="00214F41">
              <w:rPr>
                <w:sz w:val="18"/>
                <w:szCs w:val="18"/>
              </w:rPr>
              <w:t>3|28</w:t>
            </w:r>
          </w:p>
        </w:tc>
        <w:tc>
          <w:tcPr>
            <w:tcW w:w="278" w:type="pct"/>
            <w:tcBorders>
              <w:top w:val="nil"/>
              <w:left w:val="nil"/>
              <w:bottom w:val="single" w:sz="4" w:space="0" w:color="auto"/>
              <w:right w:val="single" w:sz="4" w:space="0" w:color="auto"/>
            </w:tcBorders>
            <w:shd w:val="clear" w:color="000000" w:fill="FFFFFF"/>
            <w:vAlign w:val="center"/>
            <w:hideMark/>
          </w:tcPr>
          <w:p w14:paraId="3DABD8B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4A5E5A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6B683D9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90EADDC"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3307DCD" w14:textId="77777777" w:rsidR="005A043A" w:rsidRPr="00214F41" w:rsidRDefault="005A043A" w:rsidP="00286762">
            <w:pPr>
              <w:jc w:val="center"/>
              <w:rPr>
                <w:sz w:val="18"/>
                <w:szCs w:val="18"/>
              </w:rPr>
            </w:pPr>
            <w:r w:rsidRPr="00214F41">
              <w:rPr>
                <w:sz w:val="18"/>
                <w:szCs w:val="18"/>
              </w:rPr>
              <w:t>0/28</w:t>
            </w:r>
          </w:p>
        </w:tc>
        <w:tc>
          <w:tcPr>
            <w:tcW w:w="279" w:type="pct"/>
            <w:tcBorders>
              <w:top w:val="nil"/>
              <w:left w:val="nil"/>
              <w:bottom w:val="single" w:sz="4" w:space="0" w:color="auto"/>
              <w:right w:val="single" w:sz="4" w:space="0" w:color="auto"/>
            </w:tcBorders>
            <w:shd w:val="clear" w:color="000000" w:fill="FFFFFF"/>
            <w:vAlign w:val="center"/>
            <w:hideMark/>
          </w:tcPr>
          <w:p w14:paraId="56571A1B" w14:textId="77777777" w:rsidR="005A043A" w:rsidRPr="00214F41" w:rsidRDefault="005A043A" w:rsidP="00286762">
            <w:pPr>
              <w:jc w:val="center"/>
              <w:rPr>
                <w:sz w:val="18"/>
                <w:szCs w:val="18"/>
              </w:rPr>
            </w:pPr>
            <w:r w:rsidRPr="00214F41">
              <w:rPr>
                <w:sz w:val="18"/>
                <w:szCs w:val="18"/>
              </w:rPr>
              <w:t>4|28</w:t>
            </w:r>
          </w:p>
        </w:tc>
        <w:tc>
          <w:tcPr>
            <w:tcW w:w="279" w:type="pct"/>
            <w:tcBorders>
              <w:top w:val="nil"/>
              <w:left w:val="nil"/>
              <w:bottom w:val="single" w:sz="4" w:space="0" w:color="auto"/>
              <w:right w:val="single" w:sz="4" w:space="0" w:color="auto"/>
            </w:tcBorders>
            <w:shd w:val="clear" w:color="000000" w:fill="FFFFFF"/>
            <w:vAlign w:val="center"/>
            <w:hideMark/>
          </w:tcPr>
          <w:p w14:paraId="66916894" w14:textId="77777777" w:rsidR="005A043A" w:rsidRPr="00214F41" w:rsidRDefault="005A043A" w:rsidP="00286762">
            <w:pPr>
              <w:jc w:val="center"/>
              <w:rPr>
                <w:sz w:val="18"/>
                <w:szCs w:val="18"/>
              </w:rPr>
            </w:pPr>
            <w:r w:rsidRPr="00214F41">
              <w:rPr>
                <w:sz w:val="18"/>
                <w:szCs w:val="18"/>
              </w:rPr>
              <w:t>0/28</w:t>
            </w:r>
          </w:p>
        </w:tc>
        <w:tc>
          <w:tcPr>
            <w:tcW w:w="276" w:type="pct"/>
            <w:tcBorders>
              <w:top w:val="nil"/>
              <w:left w:val="nil"/>
              <w:bottom w:val="single" w:sz="4" w:space="0" w:color="auto"/>
              <w:right w:val="single" w:sz="4" w:space="0" w:color="auto"/>
            </w:tcBorders>
            <w:shd w:val="clear" w:color="000000" w:fill="FFFFFF"/>
            <w:vAlign w:val="center"/>
            <w:hideMark/>
          </w:tcPr>
          <w:p w14:paraId="7365EFBF" w14:textId="77777777" w:rsidR="005A043A" w:rsidRPr="00214F41" w:rsidRDefault="005A043A" w:rsidP="00286762">
            <w:pPr>
              <w:jc w:val="center"/>
              <w:rPr>
                <w:sz w:val="18"/>
                <w:szCs w:val="18"/>
              </w:rPr>
            </w:pPr>
            <w:r w:rsidRPr="00214F41">
              <w:rPr>
                <w:sz w:val="18"/>
                <w:szCs w:val="18"/>
              </w:rPr>
              <w:t>2|28</w:t>
            </w:r>
          </w:p>
        </w:tc>
      </w:tr>
      <w:tr w:rsidR="005A043A" w:rsidRPr="00214F41" w14:paraId="6E5AEB2D" w14:textId="77777777" w:rsidTr="00286762">
        <w:trPr>
          <w:trHeight w:val="553"/>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52AE6FBE" w14:textId="77777777" w:rsidR="005A043A" w:rsidRPr="00214F41" w:rsidRDefault="005A043A" w:rsidP="00286762">
            <w:pPr>
              <w:jc w:val="center"/>
              <w:rPr>
                <w:sz w:val="18"/>
                <w:szCs w:val="18"/>
              </w:rPr>
            </w:pPr>
            <w:r w:rsidRPr="00214F41">
              <w:rPr>
                <w:sz w:val="18"/>
                <w:szCs w:val="18"/>
              </w:rPr>
              <w:t>Zack et al., 2014</w:t>
            </w:r>
          </w:p>
        </w:tc>
        <w:tc>
          <w:tcPr>
            <w:tcW w:w="318" w:type="pct"/>
            <w:tcBorders>
              <w:top w:val="nil"/>
              <w:left w:val="nil"/>
              <w:bottom w:val="single" w:sz="4" w:space="0" w:color="auto"/>
              <w:right w:val="single" w:sz="4" w:space="0" w:color="auto"/>
            </w:tcBorders>
            <w:shd w:val="clear" w:color="000000" w:fill="FFFFFF"/>
            <w:vAlign w:val="center"/>
            <w:hideMark/>
          </w:tcPr>
          <w:p w14:paraId="0901A87D" w14:textId="77777777" w:rsidR="005A043A" w:rsidRPr="00214F41" w:rsidRDefault="005A043A" w:rsidP="00286762">
            <w:pPr>
              <w:jc w:val="center"/>
              <w:rPr>
                <w:sz w:val="18"/>
                <w:szCs w:val="18"/>
              </w:rPr>
            </w:pPr>
            <w:r w:rsidRPr="00214F41">
              <w:rPr>
                <w:sz w:val="18"/>
                <w:szCs w:val="18"/>
              </w:rPr>
              <w:t>1|25</w:t>
            </w:r>
          </w:p>
        </w:tc>
        <w:tc>
          <w:tcPr>
            <w:tcW w:w="295" w:type="pct"/>
            <w:tcBorders>
              <w:top w:val="nil"/>
              <w:left w:val="nil"/>
              <w:bottom w:val="single" w:sz="4" w:space="0" w:color="auto"/>
              <w:right w:val="single" w:sz="4" w:space="0" w:color="auto"/>
            </w:tcBorders>
            <w:shd w:val="clear" w:color="000000" w:fill="FFFFFF"/>
            <w:vAlign w:val="center"/>
            <w:hideMark/>
          </w:tcPr>
          <w:p w14:paraId="1FA97C6F" w14:textId="77777777" w:rsidR="005A043A" w:rsidRPr="00214F41" w:rsidRDefault="005A043A" w:rsidP="00286762">
            <w:pPr>
              <w:jc w:val="center"/>
              <w:rPr>
                <w:sz w:val="18"/>
                <w:szCs w:val="18"/>
              </w:rPr>
            </w:pPr>
            <w:r w:rsidRPr="00214F41">
              <w:rPr>
                <w:sz w:val="18"/>
                <w:szCs w:val="18"/>
              </w:rPr>
              <w:t>0/25</w:t>
            </w:r>
          </w:p>
        </w:tc>
        <w:tc>
          <w:tcPr>
            <w:tcW w:w="718" w:type="pct"/>
            <w:tcBorders>
              <w:top w:val="nil"/>
              <w:left w:val="nil"/>
              <w:bottom w:val="single" w:sz="4" w:space="0" w:color="auto"/>
              <w:right w:val="single" w:sz="4" w:space="0" w:color="auto"/>
            </w:tcBorders>
            <w:shd w:val="clear" w:color="000000" w:fill="FFFFFF"/>
            <w:vAlign w:val="center"/>
            <w:hideMark/>
          </w:tcPr>
          <w:p w14:paraId="44176A91" w14:textId="77777777" w:rsidR="005A043A" w:rsidRPr="00214F41" w:rsidRDefault="005A043A" w:rsidP="00286762">
            <w:pPr>
              <w:jc w:val="center"/>
              <w:rPr>
                <w:sz w:val="18"/>
                <w:szCs w:val="18"/>
              </w:rPr>
            </w:pPr>
            <w:r w:rsidRPr="00214F41">
              <w:rPr>
                <w:sz w:val="18"/>
                <w:szCs w:val="18"/>
              </w:rPr>
              <w:t>tooth abscess</w:t>
            </w:r>
          </w:p>
        </w:tc>
        <w:tc>
          <w:tcPr>
            <w:tcW w:w="282" w:type="pct"/>
            <w:tcBorders>
              <w:top w:val="nil"/>
              <w:left w:val="nil"/>
              <w:bottom w:val="single" w:sz="4" w:space="0" w:color="auto"/>
              <w:right w:val="single" w:sz="4" w:space="0" w:color="auto"/>
            </w:tcBorders>
            <w:shd w:val="clear" w:color="000000" w:fill="FFFFFF"/>
            <w:vAlign w:val="center"/>
            <w:hideMark/>
          </w:tcPr>
          <w:p w14:paraId="5160180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E86150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8E1F454" w14:textId="77777777" w:rsidR="005A043A" w:rsidRPr="00214F41" w:rsidRDefault="005A043A" w:rsidP="00286762">
            <w:pPr>
              <w:jc w:val="center"/>
              <w:rPr>
                <w:sz w:val="18"/>
                <w:szCs w:val="18"/>
              </w:rPr>
            </w:pPr>
            <w:r w:rsidRPr="00214F41">
              <w:rPr>
                <w:sz w:val="18"/>
                <w:szCs w:val="18"/>
              </w:rPr>
              <w:t>7|25</w:t>
            </w:r>
          </w:p>
        </w:tc>
        <w:tc>
          <w:tcPr>
            <w:tcW w:w="282" w:type="pct"/>
            <w:tcBorders>
              <w:top w:val="nil"/>
              <w:left w:val="nil"/>
              <w:bottom w:val="single" w:sz="4" w:space="0" w:color="auto"/>
              <w:right w:val="single" w:sz="4" w:space="0" w:color="auto"/>
            </w:tcBorders>
            <w:shd w:val="clear" w:color="000000" w:fill="FFFFFF"/>
            <w:vAlign w:val="center"/>
            <w:hideMark/>
          </w:tcPr>
          <w:p w14:paraId="7F67104E" w14:textId="77777777" w:rsidR="005A043A" w:rsidRPr="00214F41" w:rsidRDefault="005A043A" w:rsidP="00286762">
            <w:pPr>
              <w:jc w:val="center"/>
              <w:rPr>
                <w:sz w:val="18"/>
                <w:szCs w:val="18"/>
              </w:rPr>
            </w:pPr>
            <w:r w:rsidRPr="00214F41">
              <w:rPr>
                <w:sz w:val="18"/>
                <w:szCs w:val="18"/>
              </w:rPr>
              <w:t>1|25</w:t>
            </w:r>
          </w:p>
        </w:tc>
        <w:tc>
          <w:tcPr>
            <w:tcW w:w="278" w:type="pct"/>
            <w:tcBorders>
              <w:top w:val="nil"/>
              <w:left w:val="nil"/>
              <w:bottom w:val="single" w:sz="4" w:space="0" w:color="auto"/>
              <w:right w:val="single" w:sz="4" w:space="0" w:color="auto"/>
            </w:tcBorders>
            <w:shd w:val="clear" w:color="000000" w:fill="FFFFFF"/>
            <w:vAlign w:val="center"/>
            <w:hideMark/>
          </w:tcPr>
          <w:p w14:paraId="2FE97FB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2BD5613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33FFCE6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779F1C1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E04844E" w14:textId="77777777" w:rsidR="005A043A" w:rsidRPr="00214F41" w:rsidRDefault="005A043A" w:rsidP="00286762">
            <w:pPr>
              <w:jc w:val="center"/>
              <w:rPr>
                <w:sz w:val="18"/>
                <w:szCs w:val="18"/>
              </w:rPr>
            </w:pPr>
            <w:r w:rsidRPr="00214F41">
              <w:rPr>
                <w:sz w:val="18"/>
                <w:szCs w:val="18"/>
              </w:rPr>
              <w:t>0/25</w:t>
            </w:r>
          </w:p>
        </w:tc>
        <w:tc>
          <w:tcPr>
            <w:tcW w:w="279" w:type="pct"/>
            <w:tcBorders>
              <w:top w:val="nil"/>
              <w:left w:val="nil"/>
              <w:bottom w:val="single" w:sz="4" w:space="0" w:color="auto"/>
              <w:right w:val="single" w:sz="4" w:space="0" w:color="auto"/>
            </w:tcBorders>
            <w:shd w:val="clear" w:color="000000" w:fill="FFFFFF"/>
            <w:vAlign w:val="center"/>
            <w:hideMark/>
          </w:tcPr>
          <w:p w14:paraId="7E546CCA" w14:textId="77777777" w:rsidR="005A043A" w:rsidRPr="00214F41" w:rsidRDefault="005A043A" w:rsidP="00286762">
            <w:pPr>
              <w:jc w:val="center"/>
              <w:rPr>
                <w:sz w:val="18"/>
                <w:szCs w:val="18"/>
              </w:rPr>
            </w:pPr>
            <w:r w:rsidRPr="00214F41">
              <w:rPr>
                <w:sz w:val="18"/>
                <w:szCs w:val="18"/>
              </w:rPr>
              <w:t>1/25</w:t>
            </w:r>
          </w:p>
        </w:tc>
        <w:tc>
          <w:tcPr>
            <w:tcW w:w="279" w:type="pct"/>
            <w:tcBorders>
              <w:top w:val="nil"/>
              <w:left w:val="nil"/>
              <w:bottom w:val="single" w:sz="4" w:space="0" w:color="auto"/>
              <w:right w:val="single" w:sz="4" w:space="0" w:color="auto"/>
            </w:tcBorders>
            <w:shd w:val="clear" w:color="000000" w:fill="FFFFFF"/>
            <w:vAlign w:val="center"/>
            <w:hideMark/>
          </w:tcPr>
          <w:p w14:paraId="07DE7407"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7C15E0B8"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2ED8BCB8" w14:textId="77777777" w:rsidTr="00286762">
        <w:trPr>
          <w:trHeight w:val="278"/>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30FD12C3" w14:textId="77777777" w:rsidR="005A043A" w:rsidRPr="00214F41" w:rsidRDefault="005A043A" w:rsidP="00286762">
            <w:pPr>
              <w:jc w:val="center"/>
              <w:rPr>
                <w:sz w:val="18"/>
                <w:szCs w:val="18"/>
              </w:rPr>
            </w:pPr>
            <w:r w:rsidRPr="00214F41">
              <w:rPr>
                <w:sz w:val="18"/>
                <w:szCs w:val="18"/>
              </w:rPr>
              <w:t>List et al., 2009</w:t>
            </w:r>
          </w:p>
        </w:tc>
        <w:tc>
          <w:tcPr>
            <w:tcW w:w="318" w:type="pct"/>
            <w:tcBorders>
              <w:top w:val="nil"/>
              <w:left w:val="nil"/>
              <w:bottom w:val="single" w:sz="4" w:space="0" w:color="auto"/>
              <w:right w:val="single" w:sz="4" w:space="0" w:color="auto"/>
            </w:tcBorders>
            <w:shd w:val="clear" w:color="000000" w:fill="FFFFFF"/>
            <w:vAlign w:val="center"/>
            <w:hideMark/>
          </w:tcPr>
          <w:p w14:paraId="77C58E97" w14:textId="77777777" w:rsidR="005A043A" w:rsidRPr="00214F41" w:rsidRDefault="005A043A" w:rsidP="00286762">
            <w:pPr>
              <w:jc w:val="center"/>
              <w:rPr>
                <w:sz w:val="18"/>
                <w:szCs w:val="18"/>
              </w:rPr>
            </w:pPr>
            <w:r w:rsidRPr="00214F41">
              <w:rPr>
                <w:sz w:val="18"/>
                <w:szCs w:val="18"/>
              </w:rPr>
              <w:t>1|56</w:t>
            </w:r>
          </w:p>
        </w:tc>
        <w:tc>
          <w:tcPr>
            <w:tcW w:w="295" w:type="pct"/>
            <w:tcBorders>
              <w:top w:val="nil"/>
              <w:left w:val="nil"/>
              <w:bottom w:val="single" w:sz="4" w:space="0" w:color="auto"/>
              <w:right w:val="single" w:sz="4" w:space="0" w:color="auto"/>
            </w:tcBorders>
            <w:shd w:val="clear" w:color="000000" w:fill="FFFFFF"/>
            <w:vAlign w:val="center"/>
            <w:hideMark/>
          </w:tcPr>
          <w:p w14:paraId="70FC2932" w14:textId="77777777" w:rsidR="005A043A" w:rsidRPr="00214F41" w:rsidRDefault="005A043A" w:rsidP="00286762">
            <w:pPr>
              <w:jc w:val="center"/>
              <w:rPr>
                <w:sz w:val="18"/>
                <w:szCs w:val="18"/>
              </w:rPr>
            </w:pPr>
            <w:r w:rsidRPr="00214F41">
              <w:rPr>
                <w:sz w:val="18"/>
                <w:szCs w:val="18"/>
              </w:rPr>
              <w:t>1|54</w:t>
            </w:r>
          </w:p>
        </w:tc>
        <w:tc>
          <w:tcPr>
            <w:tcW w:w="718" w:type="pct"/>
            <w:tcBorders>
              <w:top w:val="nil"/>
              <w:left w:val="nil"/>
              <w:bottom w:val="single" w:sz="4" w:space="0" w:color="auto"/>
              <w:right w:val="single" w:sz="4" w:space="0" w:color="auto"/>
            </w:tcBorders>
            <w:shd w:val="clear" w:color="000000" w:fill="FFFFFF"/>
            <w:vAlign w:val="center"/>
            <w:hideMark/>
          </w:tcPr>
          <w:p w14:paraId="14C54433"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6ED614B1"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25E4C50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5467B220" w14:textId="77777777" w:rsidR="005A043A" w:rsidRPr="00214F41" w:rsidRDefault="005A043A" w:rsidP="00286762">
            <w:pPr>
              <w:jc w:val="center"/>
              <w:rPr>
                <w:sz w:val="18"/>
                <w:szCs w:val="18"/>
              </w:rPr>
            </w:pPr>
            <w:r w:rsidRPr="00214F41">
              <w:rPr>
                <w:sz w:val="18"/>
                <w:szCs w:val="18"/>
              </w:rPr>
              <w:t>7|56</w:t>
            </w:r>
          </w:p>
        </w:tc>
        <w:tc>
          <w:tcPr>
            <w:tcW w:w="282" w:type="pct"/>
            <w:tcBorders>
              <w:top w:val="nil"/>
              <w:left w:val="nil"/>
              <w:bottom w:val="single" w:sz="4" w:space="0" w:color="auto"/>
              <w:right w:val="single" w:sz="4" w:space="0" w:color="auto"/>
            </w:tcBorders>
            <w:shd w:val="clear" w:color="000000" w:fill="FFFFFF"/>
            <w:vAlign w:val="center"/>
            <w:hideMark/>
          </w:tcPr>
          <w:p w14:paraId="292956E2" w14:textId="77777777" w:rsidR="005A043A" w:rsidRPr="00214F41" w:rsidRDefault="005A043A" w:rsidP="00286762">
            <w:pPr>
              <w:jc w:val="center"/>
              <w:rPr>
                <w:sz w:val="18"/>
                <w:szCs w:val="18"/>
              </w:rPr>
            </w:pPr>
            <w:r w:rsidRPr="00214F41">
              <w:rPr>
                <w:sz w:val="18"/>
                <w:szCs w:val="18"/>
              </w:rPr>
              <w:t>4|54</w:t>
            </w:r>
          </w:p>
        </w:tc>
        <w:tc>
          <w:tcPr>
            <w:tcW w:w="278" w:type="pct"/>
            <w:tcBorders>
              <w:top w:val="nil"/>
              <w:left w:val="nil"/>
              <w:bottom w:val="single" w:sz="4" w:space="0" w:color="auto"/>
              <w:right w:val="single" w:sz="4" w:space="0" w:color="auto"/>
            </w:tcBorders>
            <w:shd w:val="clear" w:color="000000" w:fill="FFFFFF"/>
            <w:vAlign w:val="center"/>
            <w:hideMark/>
          </w:tcPr>
          <w:p w14:paraId="31F6ED1A"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68F2BF7B"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43A8C50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3C9A5962"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0863C9EA" w14:textId="77777777" w:rsidR="005A043A" w:rsidRPr="00214F41" w:rsidRDefault="005A043A" w:rsidP="00286762">
            <w:pPr>
              <w:jc w:val="center"/>
              <w:rPr>
                <w:sz w:val="18"/>
                <w:szCs w:val="18"/>
              </w:rPr>
            </w:pPr>
            <w:r w:rsidRPr="00214F41">
              <w:rPr>
                <w:sz w:val="18"/>
                <w:szCs w:val="18"/>
              </w:rPr>
              <w:t>6|56</w:t>
            </w:r>
          </w:p>
        </w:tc>
        <w:tc>
          <w:tcPr>
            <w:tcW w:w="279" w:type="pct"/>
            <w:tcBorders>
              <w:top w:val="nil"/>
              <w:left w:val="nil"/>
              <w:bottom w:val="single" w:sz="4" w:space="0" w:color="auto"/>
              <w:right w:val="single" w:sz="4" w:space="0" w:color="auto"/>
            </w:tcBorders>
            <w:shd w:val="clear" w:color="000000" w:fill="FFFFFF"/>
            <w:vAlign w:val="center"/>
            <w:hideMark/>
          </w:tcPr>
          <w:p w14:paraId="7745CA28" w14:textId="77777777" w:rsidR="005A043A" w:rsidRPr="00214F41" w:rsidRDefault="005A043A" w:rsidP="00286762">
            <w:pPr>
              <w:jc w:val="center"/>
              <w:rPr>
                <w:sz w:val="18"/>
                <w:szCs w:val="18"/>
              </w:rPr>
            </w:pPr>
            <w:r w:rsidRPr="00214F41">
              <w:rPr>
                <w:sz w:val="18"/>
                <w:szCs w:val="18"/>
              </w:rPr>
              <w:t>3|54</w:t>
            </w:r>
          </w:p>
        </w:tc>
        <w:tc>
          <w:tcPr>
            <w:tcW w:w="279" w:type="pct"/>
            <w:tcBorders>
              <w:top w:val="nil"/>
              <w:left w:val="nil"/>
              <w:bottom w:val="single" w:sz="4" w:space="0" w:color="auto"/>
              <w:right w:val="single" w:sz="4" w:space="0" w:color="auto"/>
            </w:tcBorders>
            <w:shd w:val="clear" w:color="000000" w:fill="FFFFFF"/>
            <w:vAlign w:val="center"/>
            <w:hideMark/>
          </w:tcPr>
          <w:p w14:paraId="4B694A8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215E0454"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r w:rsidR="005A043A" w:rsidRPr="00214F41" w14:paraId="5EC92602" w14:textId="77777777" w:rsidTr="00286762">
        <w:trPr>
          <w:trHeight w:val="454"/>
        </w:trPr>
        <w:tc>
          <w:tcPr>
            <w:tcW w:w="312" w:type="pct"/>
            <w:tcBorders>
              <w:top w:val="nil"/>
              <w:left w:val="single" w:sz="4" w:space="0" w:color="auto"/>
              <w:bottom w:val="single" w:sz="4" w:space="0" w:color="auto"/>
              <w:right w:val="single" w:sz="4" w:space="0" w:color="auto"/>
            </w:tcBorders>
            <w:shd w:val="clear" w:color="000000" w:fill="FFFFFF"/>
            <w:vAlign w:val="center"/>
            <w:hideMark/>
          </w:tcPr>
          <w:p w14:paraId="4BCCAD25" w14:textId="77777777" w:rsidR="005A043A" w:rsidRPr="00214F41" w:rsidRDefault="005A043A" w:rsidP="00286762">
            <w:pPr>
              <w:jc w:val="center"/>
              <w:rPr>
                <w:sz w:val="18"/>
                <w:szCs w:val="18"/>
              </w:rPr>
            </w:pPr>
            <w:proofErr w:type="spellStart"/>
            <w:r w:rsidRPr="00214F41">
              <w:rPr>
                <w:sz w:val="18"/>
                <w:szCs w:val="18"/>
              </w:rPr>
              <w:t>ClinTrials</w:t>
            </w:r>
            <w:proofErr w:type="spellEnd"/>
            <w:r w:rsidRPr="00214F41">
              <w:rPr>
                <w:sz w:val="18"/>
                <w:szCs w:val="18"/>
              </w:rPr>
              <w:t xml:space="preserve"> et al., 2014</w:t>
            </w:r>
          </w:p>
        </w:tc>
        <w:tc>
          <w:tcPr>
            <w:tcW w:w="318" w:type="pct"/>
            <w:tcBorders>
              <w:top w:val="nil"/>
              <w:left w:val="nil"/>
              <w:bottom w:val="single" w:sz="4" w:space="0" w:color="auto"/>
              <w:right w:val="single" w:sz="4" w:space="0" w:color="auto"/>
            </w:tcBorders>
            <w:shd w:val="clear" w:color="000000" w:fill="FFFFFF"/>
            <w:vAlign w:val="center"/>
            <w:hideMark/>
          </w:tcPr>
          <w:p w14:paraId="061B372B" w14:textId="77777777" w:rsidR="005A043A" w:rsidRPr="00214F41" w:rsidRDefault="005A043A" w:rsidP="00286762">
            <w:pPr>
              <w:jc w:val="center"/>
              <w:rPr>
                <w:sz w:val="18"/>
                <w:szCs w:val="18"/>
              </w:rPr>
            </w:pPr>
            <w:r w:rsidRPr="00214F41">
              <w:rPr>
                <w:sz w:val="18"/>
                <w:szCs w:val="18"/>
              </w:rPr>
              <w:t>8/208</w:t>
            </w:r>
          </w:p>
        </w:tc>
        <w:tc>
          <w:tcPr>
            <w:tcW w:w="295" w:type="pct"/>
            <w:tcBorders>
              <w:top w:val="nil"/>
              <w:left w:val="nil"/>
              <w:bottom w:val="single" w:sz="4" w:space="0" w:color="auto"/>
              <w:right w:val="single" w:sz="4" w:space="0" w:color="auto"/>
            </w:tcBorders>
            <w:shd w:val="clear" w:color="000000" w:fill="FFFFFF"/>
            <w:vAlign w:val="center"/>
            <w:hideMark/>
          </w:tcPr>
          <w:p w14:paraId="5D200E1D" w14:textId="77777777" w:rsidR="005A043A" w:rsidRPr="00214F41" w:rsidRDefault="005A043A" w:rsidP="00286762">
            <w:pPr>
              <w:jc w:val="center"/>
              <w:rPr>
                <w:sz w:val="18"/>
                <w:szCs w:val="18"/>
              </w:rPr>
            </w:pPr>
            <w:r w:rsidRPr="00214F41">
              <w:rPr>
                <w:sz w:val="18"/>
                <w:szCs w:val="18"/>
              </w:rPr>
              <w:t>9/219</w:t>
            </w:r>
          </w:p>
        </w:tc>
        <w:tc>
          <w:tcPr>
            <w:tcW w:w="718" w:type="pct"/>
            <w:tcBorders>
              <w:top w:val="nil"/>
              <w:left w:val="nil"/>
              <w:bottom w:val="single" w:sz="4" w:space="0" w:color="auto"/>
              <w:right w:val="single" w:sz="4" w:space="0" w:color="auto"/>
            </w:tcBorders>
            <w:shd w:val="clear" w:color="000000" w:fill="FFFFFF"/>
            <w:vAlign w:val="center"/>
            <w:hideMark/>
          </w:tcPr>
          <w:p w14:paraId="31CA4FCB" w14:textId="77777777" w:rsidR="005A043A" w:rsidRPr="00214F41" w:rsidRDefault="005A043A" w:rsidP="00286762">
            <w:pPr>
              <w:jc w:val="center"/>
              <w:rPr>
                <w:sz w:val="18"/>
                <w:szCs w:val="18"/>
              </w:rPr>
            </w:pP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963EFB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9F1336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454EA98D" w14:textId="77777777" w:rsidR="005A043A" w:rsidRPr="00214F41" w:rsidRDefault="005A043A" w:rsidP="00286762">
            <w:pPr>
              <w:jc w:val="center"/>
              <w:rPr>
                <w:sz w:val="18"/>
                <w:szCs w:val="18"/>
              </w:rPr>
            </w:pPr>
            <w:r w:rsidRPr="00214F41">
              <w:rPr>
                <w:sz w:val="18"/>
                <w:szCs w:val="18"/>
              </w:rPr>
              <w:t>20/208</w:t>
            </w:r>
          </w:p>
        </w:tc>
        <w:tc>
          <w:tcPr>
            <w:tcW w:w="282" w:type="pct"/>
            <w:tcBorders>
              <w:top w:val="nil"/>
              <w:left w:val="nil"/>
              <w:bottom w:val="single" w:sz="4" w:space="0" w:color="auto"/>
              <w:right w:val="single" w:sz="4" w:space="0" w:color="auto"/>
            </w:tcBorders>
            <w:shd w:val="clear" w:color="000000" w:fill="FFFFFF"/>
            <w:vAlign w:val="center"/>
            <w:hideMark/>
          </w:tcPr>
          <w:p w14:paraId="75CB4E9A" w14:textId="77777777" w:rsidR="005A043A" w:rsidRPr="00214F41" w:rsidRDefault="005A043A" w:rsidP="00286762">
            <w:pPr>
              <w:jc w:val="center"/>
              <w:rPr>
                <w:sz w:val="18"/>
                <w:szCs w:val="18"/>
              </w:rPr>
            </w:pPr>
            <w:r w:rsidRPr="00214F41">
              <w:rPr>
                <w:sz w:val="18"/>
                <w:szCs w:val="18"/>
              </w:rPr>
              <w:t>6/219</w:t>
            </w:r>
          </w:p>
        </w:tc>
        <w:tc>
          <w:tcPr>
            <w:tcW w:w="278" w:type="pct"/>
            <w:tcBorders>
              <w:top w:val="nil"/>
              <w:left w:val="nil"/>
              <w:bottom w:val="single" w:sz="4" w:space="0" w:color="auto"/>
              <w:right w:val="single" w:sz="4" w:space="0" w:color="auto"/>
            </w:tcBorders>
            <w:shd w:val="clear" w:color="000000" w:fill="FFFFFF"/>
            <w:vAlign w:val="center"/>
            <w:hideMark/>
          </w:tcPr>
          <w:p w14:paraId="1393559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164868FD"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8" w:type="pct"/>
            <w:tcBorders>
              <w:top w:val="nil"/>
              <w:left w:val="nil"/>
              <w:bottom w:val="single" w:sz="4" w:space="0" w:color="auto"/>
              <w:right w:val="single" w:sz="4" w:space="0" w:color="auto"/>
            </w:tcBorders>
            <w:shd w:val="clear" w:color="000000" w:fill="FFFFFF"/>
            <w:vAlign w:val="center"/>
            <w:hideMark/>
          </w:tcPr>
          <w:p w14:paraId="72F07C89"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0" w:type="pct"/>
            <w:tcBorders>
              <w:top w:val="nil"/>
              <w:left w:val="nil"/>
              <w:bottom w:val="single" w:sz="4" w:space="0" w:color="auto"/>
              <w:right w:val="single" w:sz="4" w:space="0" w:color="auto"/>
            </w:tcBorders>
            <w:shd w:val="clear" w:color="000000" w:fill="FFFFFF"/>
            <w:vAlign w:val="center"/>
            <w:hideMark/>
          </w:tcPr>
          <w:p w14:paraId="0EE690AE"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82" w:type="pct"/>
            <w:tcBorders>
              <w:top w:val="nil"/>
              <w:left w:val="nil"/>
              <w:bottom w:val="single" w:sz="4" w:space="0" w:color="auto"/>
              <w:right w:val="single" w:sz="4" w:space="0" w:color="auto"/>
            </w:tcBorders>
            <w:shd w:val="clear" w:color="000000" w:fill="FFFFFF"/>
            <w:vAlign w:val="center"/>
            <w:hideMark/>
          </w:tcPr>
          <w:p w14:paraId="3E490EE5"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13CD3D10"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14:paraId="43AC486F"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c>
          <w:tcPr>
            <w:tcW w:w="276" w:type="pct"/>
            <w:tcBorders>
              <w:top w:val="nil"/>
              <w:left w:val="nil"/>
              <w:bottom w:val="single" w:sz="4" w:space="0" w:color="auto"/>
              <w:right w:val="single" w:sz="4" w:space="0" w:color="auto"/>
            </w:tcBorders>
            <w:shd w:val="clear" w:color="000000" w:fill="FFFFFF"/>
            <w:vAlign w:val="center"/>
            <w:hideMark/>
          </w:tcPr>
          <w:p w14:paraId="436397F3" w14:textId="77777777" w:rsidR="005A043A" w:rsidRPr="00214F41" w:rsidRDefault="005A043A" w:rsidP="00286762">
            <w:pPr>
              <w:jc w:val="center"/>
              <w:rPr>
                <w:sz w:val="18"/>
                <w:szCs w:val="18"/>
              </w:rPr>
            </w:pPr>
            <w:proofErr w:type="spellStart"/>
            <w:r w:rsidRPr="00214F41">
              <w:rPr>
                <w:sz w:val="18"/>
                <w:szCs w:val="18"/>
              </w:rPr>
              <w:t>nd</w:t>
            </w:r>
            <w:proofErr w:type="spellEnd"/>
            <w:r w:rsidRPr="00214F41">
              <w:rPr>
                <w:sz w:val="18"/>
                <w:szCs w:val="18"/>
              </w:rPr>
              <w:t>/</w:t>
            </w:r>
            <w:proofErr w:type="spellStart"/>
            <w:r w:rsidRPr="00214F41">
              <w:rPr>
                <w:sz w:val="18"/>
                <w:szCs w:val="18"/>
              </w:rPr>
              <w:t>nd</w:t>
            </w:r>
            <w:proofErr w:type="spellEnd"/>
          </w:p>
        </w:tc>
      </w:tr>
    </w:tbl>
    <w:p w14:paraId="65C407AC" w14:textId="77777777" w:rsidR="005A043A" w:rsidRPr="00214F41" w:rsidRDefault="005A043A" w:rsidP="005A043A">
      <w:r w:rsidRPr="00214F41">
        <w:t>Abbreviations: GI - gastrointestinal; MET - metformin; CTRL – control</w:t>
      </w:r>
      <w:r>
        <w:t xml:space="preserve">; </w:t>
      </w:r>
      <w:proofErr w:type="spellStart"/>
      <w:r>
        <w:t>nd</w:t>
      </w:r>
      <w:proofErr w:type="spellEnd"/>
      <w:r>
        <w:t xml:space="preserve"> – no data</w:t>
      </w:r>
      <w:r w:rsidRPr="00214F41">
        <w:t>.</w:t>
      </w:r>
    </w:p>
    <w:p w14:paraId="2C672F5F" w14:textId="77777777" w:rsidR="005A043A" w:rsidRDefault="005A043A" w:rsidP="005A043A">
      <w:pPr>
        <w:widowControl w:val="0"/>
        <w:autoSpaceDE w:val="0"/>
        <w:autoSpaceDN w:val="0"/>
        <w:adjustRightInd w:val="0"/>
        <w:ind w:left="640" w:hanging="640"/>
      </w:pPr>
    </w:p>
    <w:p w14:paraId="6A2CB005" w14:textId="77777777" w:rsidR="005A043A" w:rsidRPr="00361FB5" w:rsidRDefault="005A043A" w:rsidP="005A043A"/>
    <w:p w14:paraId="4F69A621" w14:textId="77777777" w:rsidR="005A043A" w:rsidRPr="00073BBE" w:rsidRDefault="005A043A" w:rsidP="005A043A">
      <w:pPr>
        <w:widowControl w:val="0"/>
        <w:pBdr>
          <w:top w:val="nil"/>
          <w:left w:val="nil"/>
          <w:bottom w:val="nil"/>
          <w:right w:val="nil"/>
          <w:between w:val="nil"/>
        </w:pBdr>
        <w:spacing w:after="0" w:line="276" w:lineRule="auto"/>
        <w:rPr>
          <w:rFonts w:ascii="Arial" w:eastAsia="Arial" w:hAnsi="Arial" w:cs="Arial"/>
        </w:rPr>
      </w:pPr>
    </w:p>
    <w:p w14:paraId="23171290" w14:textId="18B7DAD4" w:rsidR="005A043A" w:rsidRPr="00BA111A" w:rsidRDefault="005A043A" w:rsidP="005A043A">
      <w:pPr>
        <w:widowControl w:val="0"/>
        <w:pBdr>
          <w:top w:val="nil"/>
          <w:left w:val="nil"/>
          <w:bottom w:val="nil"/>
          <w:right w:val="nil"/>
          <w:between w:val="nil"/>
        </w:pBdr>
        <w:spacing w:after="0" w:line="276" w:lineRule="auto"/>
        <w:rPr>
          <w:rFonts w:ascii="Arial" w:eastAsia="Arial" w:hAnsi="Arial" w:cs="Arial"/>
          <w:color w:val="000000"/>
          <w:lang w:val="en-GB"/>
        </w:rPr>
      </w:pPr>
      <w:r>
        <w:rPr>
          <w:rFonts w:eastAsia="MS Mincho"/>
          <w:color w:val="000000"/>
        </w:rPr>
        <w:t>ESM</w:t>
      </w:r>
      <w:r w:rsidRPr="00D0006F">
        <w:rPr>
          <w:rFonts w:eastAsia="MS Mincho"/>
          <w:color w:val="000000"/>
        </w:rPr>
        <w:t xml:space="preserve"> Table S</w:t>
      </w:r>
      <w:r w:rsidR="007441FC">
        <w:rPr>
          <w:rFonts w:eastAsia="MS Mincho"/>
          <w:color w:val="000000"/>
        </w:rPr>
        <w:t>5</w:t>
      </w:r>
      <w:r>
        <w:rPr>
          <w:rFonts w:eastAsia="MS Mincho"/>
          <w:color w:val="000000"/>
        </w:rPr>
        <w:t>. Risk of bias assessment.</w:t>
      </w:r>
    </w:p>
    <w:tbl>
      <w:tblPr>
        <w:tblW w:w="14057" w:type="dxa"/>
        <w:tblInd w:w="-5" w:type="dxa"/>
        <w:tblLayout w:type="fixed"/>
        <w:tblLook w:val="0400" w:firstRow="0" w:lastRow="0" w:firstColumn="0" w:lastColumn="0" w:noHBand="0" w:noVBand="1"/>
      </w:tblPr>
      <w:tblGrid>
        <w:gridCol w:w="1587"/>
        <w:gridCol w:w="1247"/>
        <w:gridCol w:w="1247"/>
        <w:gridCol w:w="1247"/>
        <w:gridCol w:w="1247"/>
        <w:gridCol w:w="1247"/>
        <w:gridCol w:w="1247"/>
        <w:gridCol w:w="1247"/>
        <w:gridCol w:w="1247"/>
        <w:gridCol w:w="1247"/>
        <w:gridCol w:w="1247"/>
      </w:tblGrid>
      <w:tr w:rsidR="005A043A" w14:paraId="65BC54D4" w14:textId="77777777" w:rsidTr="00286762">
        <w:trPr>
          <w:trHeight w:val="2805"/>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FD83B" w14:textId="77777777" w:rsidR="005A043A" w:rsidRPr="00277A9D" w:rsidRDefault="005A043A" w:rsidP="00286762">
            <w:pPr>
              <w:spacing w:after="0"/>
              <w:jc w:val="center"/>
              <w:rPr>
                <w:b/>
                <w:sz w:val="20"/>
                <w:szCs w:val="20"/>
                <w:lang w:val="en-GB"/>
              </w:rPr>
            </w:pPr>
            <w:r w:rsidRPr="00277A9D">
              <w:rPr>
                <w:b/>
                <w:sz w:val="20"/>
                <w:szCs w:val="20"/>
                <w:lang w:val="en-GB"/>
              </w:rPr>
              <w:lastRenderedPageBreak/>
              <w:t>Reference (name of first author) and publ</w:t>
            </w:r>
            <w:r>
              <w:rPr>
                <w:b/>
                <w:sz w:val="20"/>
                <w:szCs w:val="20"/>
                <w:lang w:val="en-GB"/>
              </w:rPr>
              <w:t>ication</w:t>
            </w:r>
            <w:r w:rsidRPr="00277A9D">
              <w:rPr>
                <w:b/>
                <w:sz w:val="20"/>
                <w:szCs w:val="20"/>
                <w:lang w:val="en-GB"/>
              </w:rPr>
              <w:t xml:space="preserve"> year</w:t>
            </w:r>
          </w:p>
        </w:tc>
        <w:tc>
          <w:tcPr>
            <w:tcW w:w="1247" w:type="dxa"/>
            <w:tcBorders>
              <w:top w:val="single" w:sz="4" w:space="0" w:color="000000"/>
              <w:left w:val="nil"/>
              <w:bottom w:val="single" w:sz="4" w:space="0" w:color="000000"/>
              <w:right w:val="single" w:sz="4" w:space="0" w:color="000000"/>
            </w:tcBorders>
            <w:shd w:val="clear" w:color="auto" w:fill="FFF2CC"/>
            <w:vAlign w:val="bottom"/>
          </w:tcPr>
          <w:p w14:paraId="118738F0" w14:textId="77777777" w:rsidR="005A043A" w:rsidRPr="00277A9D" w:rsidRDefault="005A043A" w:rsidP="00286762">
            <w:pPr>
              <w:spacing w:after="0"/>
              <w:jc w:val="center"/>
              <w:rPr>
                <w:b/>
                <w:sz w:val="20"/>
                <w:szCs w:val="20"/>
                <w:lang w:val="en-GB"/>
              </w:rPr>
            </w:pPr>
            <w:r w:rsidRPr="00277A9D">
              <w:rPr>
                <w:b/>
                <w:sz w:val="20"/>
                <w:szCs w:val="20"/>
                <w:lang w:val="en-GB"/>
              </w:rPr>
              <w:t>Random sequence generation (selection bias)</w:t>
            </w:r>
          </w:p>
        </w:tc>
        <w:tc>
          <w:tcPr>
            <w:tcW w:w="1247" w:type="dxa"/>
            <w:tcBorders>
              <w:top w:val="single" w:sz="4" w:space="0" w:color="000000"/>
              <w:left w:val="nil"/>
              <w:bottom w:val="single" w:sz="4" w:space="0" w:color="000000"/>
              <w:right w:val="single" w:sz="4" w:space="0" w:color="000000"/>
            </w:tcBorders>
            <w:shd w:val="clear" w:color="auto" w:fill="FFF2CC"/>
            <w:vAlign w:val="bottom"/>
          </w:tcPr>
          <w:p w14:paraId="0B9FF913" w14:textId="77777777" w:rsidR="005A043A" w:rsidRDefault="005A043A" w:rsidP="00286762">
            <w:pPr>
              <w:spacing w:after="0"/>
              <w:jc w:val="center"/>
              <w:rPr>
                <w:b/>
                <w:sz w:val="20"/>
                <w:szCs w:val="20"/>
              </w:rPr>
            </w:pPr>
            <w:r>
              <w:rPr>
                <w:b/>
                <w:sz w:val="20"/>
                <w:szCs w:val="20"/>
              </w:rPr>
              <w:t>Allocation concealment (selection bias)</w:t>
            </w:r>
          </w:p>
        </w:tc>
        <w:tc>
          <w:tcPr>
            <w:tcW w:w="1247" w:type="dxa"/>
            <w:tcBorders>
              <w:top w:val="single" w:sz="4" w:space="0" w:color="000000"/>
              <w:left w:val="nil"/>
              <w:bottom w:val="single" w:sz="4" w:space="0" w:color="000000"/>
              <w:right w:val="single" w:sz="4" w:space="0" w:color="000000"/>
            </w:tcBorders>
            <w:shd w:val="clear" w:color="auto" w:fill="FFF2CC"/>
            <w:vAlign w:val="bottom"/>
          </w:tcPr>
          <w:p w14:paraId="132315FD" w14:textId="77777777" w:rsidR="005A043A" w:rsidRPr="00277A9D" w:rsidRDefault="005A043A" w:rsidP="00286762">
            <w:pPr>
              <w:spacing w:after="0"/>
              <w:jc w:val="center"/>
              <w:rPr>
                <w:b/>
                <w:sz w:val="20"/>
                <w:szCs w:val="20"/>
                <w:lang w:val="en-GB"/>
              </w:rPr>
            </w:pPr>
            <w:r w:rsidRPr="00277A9D">
              <w:rPr>
                <w:b/>
                <w:sz w:val="20"/>
                <w:szCs w:val="20"/>
                <w:lang w:val="en-GB"/>
              </w:rPr>
              <w:t>Blinding of participants and personnel (performance bias)</w:t>
            </w:r>
          </w:p>
        </w:tc>
        <w:tc>
          <w:tcPr>
            <w:tcW w:w="1247" w:type="dxa"/>
            <w:tcBorders>
              <w:top w:val="single" w:sz="4" w:space="0" w:color="000000"/>
              <w:left w:val="nil"/>
              <w:bottom w:val="single" w:sz="4" w:space="0" w:color="000000"/>
              <w:right w:val="single" w:sz="4" w:space="0" w:color="000000"/>
            </w:tcBorders>
            <w:shd w:val="clear" w:color="auto" w:fill="FFF2CC"/>
            <w:vAlign w:val="bottom"/>
          </w:tcPr>
          <w:p w14:paraId="440F3458" w14:textId="77777777" w:rsidR="005A043A" w:rsidRPr="00277A9D" w:rsidRDefault="005A043A" w:rsidP="00286762">
            <w:pPr>
              <w:spacing w:after="0"/>
              <w:jc w:val="center"/>
              <w:rPr>
                <w:b/>
                <w:color w:val="000000"/>
                <w:sz w:val="20"/>
                <w:szCs w:val="20"/>
                <w:lang w:val="en-GB"/>
              </w:rPr>
            </w:pPr>
            <w:r w:rsidRPr="00277A9D">
              <w:rPr>
                <w:b/>
                <w:color w:val="000000"/>
                <w:sz w:val="20"/>
                <w:szCs w:val="20"/>
                <w:lang w:val="en-GB"/>
              </w:rPr>
              <w:t>Blinding of outcome assessment (detection bias) (patient-reported outcomes)</w:t>
            </w:r>
          </w:p>
        </w:tc>
        <w:tc>
          <w:tcPr>
            <w:tcW w:w="1247" w:type="dxa"/>
            <w:tcBorders>
              <w:top w:val="single" w:sz="4" w:space="0" w:color="000000"/>
              <w:left w:val="nil"/>
              <w:bottom w:val="single" w:sz="4" w:space="0" w:color="000000"/>
              <w:right w:val="single" w:sz="4" w:space="0" w:color="000000"/>
            </w:tcBorders>
            <w:shd w:val="clear" w:color="auto" w:fill="FFF2CC"/>
            <w:vAlign w:val="bottom"/>
          </w:tcPr>
          <w:p w14:paraId="1657FEF8" w14:textId="77777777" w:rsidR="005A043A" w:rsidRPr="00277A9D" w:rsidRDefault="005A043A" w:rsidP="00286762">
            <w:pPr>
              <w:spacing w:after="0"/>
              <w:jc w:val="center"/>
              <w:rPr>
                <w:b/>
                <w:color w:val="000000"/>
                <w:sz w:val="20"/>
                <w:szCs w:val="20"/>
                <w:lang w:val="en-GB"/>
              </w:rPr>
            </w:pPr>
            <w:r w:rsidRPr="00277A9D">
              <w:rPr>
                <w:b/>
                <w:color w:val="000000"/>
                <w:sz w:val="20"/>
                <w:szCs w:val="20"/>
                <w:lang w:val="en-GB"/>
              </w:rPr>
              <w:t>Blinding of outcome assessment (detection bias) (Mortality)</w:t>
            </w:r>
          </w:p>
        </w:tc>
        <w:tc>
          <w:tcPr>
            <w:tcW w:w="1247" w:type="dxa"/>
            <w:tcBorders>
              <w:top w:val="single" w:sz="4" w:space="0" w:color="000000"/>
              <w:left w:val="nil"/>
              <w:bottom w:val="single" w:sz="4" w:space="0" w:color="000000"/>
              <w:right w:val="single" w:sz="4" w:space="0" w:color="000000"/>
            </w:tcBorders>
            <w:shd w:val="clear" w:color="auto" w:fill="FFF2CC"/>
            <w:vAlign w:val="bottom"/>
          </w:tcPr>
          <w:p w14:paraId="48DD3241" w14:textId="77777777" w:rsidR="005A043A" w:rsidRPr="00277A9D" w:rsidRDefault="005A043A" w:rsidP="00286762">
            <w:pPr>
              <w:spacing w:after="0"/>
              <w:jc w:val="center"/>
              <w:rPr>
                <w:b/>
                <w:color w:val="000000"/>
                <w:sz w:val="20"/>
                <w:szCs w:val="20"/>
                <w:lang w:val="en-GB"/>
              </w:rPr>
            </w:pPr>
            <w:r w:rsidRPr="00277A9D">
              <w:rPr>
                <w:b/>
                <w:color w:val="000000"/>
                <w:sz w:val="20"/>
                <w:szCs w:val="20"/>
                <w:lang w:val="en-GB"/>
              </w:rPr>
              <w:t>Incomplete outcome data addressed (attrition bias) (Short-term outcomes  (2-6 weeks))</w:t>
            </w:r>
          </w:p>
        </w:tc>
        <w:tc>
          <w:tcPr>
            <w:tcW w:w="1247" w:type="dxa"/>
            <w:tcBorders>
              <w:top w:val="single" w:sz="4" w:space="0" w:color="000000"/>
              <w:left w:val="nil"/>
              <w:bottom w:val="single" w:sz="4" w:space="0" w:color="000000"/>
              <w:right w:val="single" w:sz="4" w:space="0" w:color="000000"/>
            </w:tcBorders>
            <w:shd w:val="clear" w:color="auto" w:fill="FFF2CC"/>
            <w:vAlign w:val="bottom"/>
          </w:tcPr>
          <w:p w14:paraId="68DDD05C" w14:textId="77777777" w:rsidR="005A043A" w:rsidRPr="00277A9D" w:rsidRDefault="005A043A" w:rsidP="00286762">
            <w:pPr>
              <w:spacing w:after="0"/>
              <w:jc w:val="center"/>
              <w:rPr>
                <w:b/>
                <w:color w:val="000000"/>
                <w:sz w:val="20"/>
                <w:szCs w:val="20"/>
                <w:lang w:val="en-GB"/>
              </w:rPr>
            </w:pPr>
            <w:r w:rsidRPr="00277A9D">
              <w:rPr>
                <w:b/>
                <w:color w:val="000000"/>
                <w:sz w:val="20"/>
                <w:szCs w:val="20"/>
                <w:lang w:val="en-GB"/>
              </w:rPr>
              <w:t>Incomplete outcome data addressed (attrition bias) (Longer-term outcomes  (&gt;6 weeks))</w:t>
            </w:r>
          </w:p>
        </w:tc>
        <w:tc>
          <w:tcPr>
            <w:tcW w:w="1247" w:type="dxa"/>
            <w:tcBorders>
              <w:top w:val="single" w:sz="4" w:space="0" w:color="000000"/>
              <w:left w:val="nil"/>
              <w:bottom w:val="single" w:sz="4" w:space="0" w:color="000000"/>
              <w:right w:val="single" w:sz="4" w:space="0" w:color="000000"/>
            </w:tcBorders>
            <w:shd w:val="clear" w:color="auto" w:fill="FFF2CC"/>
            <w:vAlign w:val="bottom"/>
          </w:tcPr>
          <w:p w14:paraId="208F5714" w14:textId="77777777" w:rsidR="005A043A" w:rsidRDefault="005A043A" w:rsidP="00286762">
            <w:pPr>
              <w:spacing w:after="0"/>
              <w:jc w:val="center"/>
              <w:rPr>
                <w:rFonts w:ascii="Arial" w:eastAsia="Arial" w:hAnsi="Arial" w:cs="Arial"/>
                <w:b/>
                <w:color w:val="000000"/>
                <w:sz w:val="20"/>
                <w:szCs w:val="20"/>
              </w:rPr>
            </w:pPr>
            <w:r>
              <w:rPr>
                <w:rFonts w:ascii="Arial" w:eastAsia="Arial" w:hAnsi="Arial" w:cs="Arial"/>
                <w:b/>
                <w:color w:val="000000"/>
                <w:sz w:val="20"/>
                <w:szCs w:val="20"/>
              </w:rPr>
              <w:t>Selective reporting (reporting bias)</w:t>
            </w:r>
          </w:p>
        </w:tc>
        <w:tc>
          <w:tcPr>
            <w:tcW w:w="1247" w:type="dxa"/>
            <w:tcBorders>
              <w:top w:val="single" w:sz="4" w:space="0" w:color="000000"/>
              <w:left w:val="nil"/>
              <w:bottom w:val="single" w:sz="4" w:space="0" w:color="000000"/>
              <w:right w:val="single" w:sz="4" w:space="0" w:color="000000"/>
            </w:tcBorders>
            <w:shd w:val="clear" w:color="auto" w:fill="FFF2CC"/>
            <w:vAlign w:val="bottom"/>
          </w:tcPr>
          <w:p w14:paraId="360C6532" w14:textId="77777777" w:rsidR="005A043A" w:rsidRDefault="005A043A" w:rsidP="00286762">
            <w:pPr>
              <w:spacing w:after="0"/>
              <w:jc w:val="center"/>
              <w:rPr>
                <w:b/>
                <w:sz w:val="20"/>
                <w:szCs w:val="20"/>
              </w:rPr>
            </w:pPr>
            <w:r>
              <w:rPr>
                <w:b/>
                <w:sz w:val="20"/>
                <w:szCs w:val="20"/>
              </w:rPr>
              <w:t>Other bias</w:t>
            </w:r>
          </w:p>
        </w:tc>
        <w:tc>
          <w:tcPr>
            <w:tcW w:w="1247" w:type="dxa"/>
            <w:tcBorders>
              <w:top w:val="single" w:sz="4" w:space="0" w:color="000000"/>
              <w:left w:val="nil"/>
              <w:bottom w:val="single" w:sz="4" w:space="0" w:color="000000"/>
              <w:right w:val="single" w:sz="4" w:space="0" w:color="000000"/>
            </w:tcBorders>
            <w:shd w:val="clear" w:color="auto" w:fill="FFF2CC"/>
            <w:vAlign w:val="bottom"/>
          </w:tcPr>
          <w:p w14:paraId="1492FB38" w14:textId="77777777" w:rsidR="005A043A" w:rsidRDefault="005A043A" w:rsidP="00286762">
            <w:pPr>
              <w:spacing w:after="0"/>
              <w:jc w:val="center"/>
              <w:rPr>
                <w:b/>
                <w:sz w:val="20"/>
                <w:szCs w:val="20"/>
              </w:rPr>
            </w:pPr>
            <w:r>
              <w:rPr>
                <w:b/>
                <w:sz w:val="20"/>
                <w:szCs w:val="20"/>
              </w:rPr>
              <w:t>No. Of Low assessments</w:t>
            </w:r>
          </w:p>
        </w:tc>
      </w:tr>
      <w:tr w:rsidR="005A043A" w14:paraId="6C6E8A77"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050F3FC8" w14:textId="77777777" w:rsidR="005A043A" w:rsidRDefault="005A043A" w:rsidP="00286762">
            <w:pPr>
              <w:spacing w:after="0"/>
              <w:jc w:val="center"/>
              <w:rPr>
                <w:color w:val="000000"/>
                <w:sz w:val="20"/>
                <w:szCs w:val="20"/>
              </w:rPr>
            </w:pPr>
            <w:r>
              <w:rPr>
                <w:color w:val="000000"/>
                <w:sz w:val="20"/>
                <w:szCs w:val="20"/>
              </w:rPr>
              <w:t>Aggarwal et al., 2017</w:t>
            </w:r>
          </w:p>
        </w:tc>
        <w:tc>
          <w:tcPr>
            <w:tcW w:w="1247" w:type="dxa"/>
            <w:tcBorders>
              <w:top w:val="nil"/>
              <w:left w:val="nil"/>
              <w:bottom w:val="single" w:sz="4" w:space="0" w:color="000000"/>
              <w:right w:val="single" w:sz="4" w:space="0" w:color="000000"/>
            </w:tcBorders>
            <w:shd w:val="clear" w:color="auto" w:fill="auto"/>
            <w:vAlign w:val="bottom"/>
          </w:tcPr>
          <w:p w14:paraId="350E8B5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A03439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A45F02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81A9CE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002EFA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BB01B41"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E125AB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12DF61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B47B11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862AC08" w14:textId="77777777" w:rsidR="005A043A" w:rsidRDefault="005A043A" w:rsidP="00286762">
            <w:pPr>
              <w:spacing w:after="0"/>
              <w:jc w:val="right"/>
              <w:rPr>
                <w:color w:val="000000"/>
                <w:sz w:val="20"/>
                <w:szCs w:val="20"/>
              </w:rPr>
            </w:pPr>
            <w:r>
              <w:rPr>
                <w:color w:val="000000"/>
                <w:sz w:val="20"/>
                <w:szCs w:val="20"/>
              </w:rPr>
              <w:t>4</w:t>
            </w:r>
          </w:p>
        </w:tc>
      </w:tr>
      <w:tr w:rsidR="005A043A" w14:paraId="2C5C04B1"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67C2F615" w14:textId="77777777" w:rsidR="005A043A" w:rsidRDefault="005A043A" w:rsidP="00286762">
            <w:pPr>
              <w:spacing w:after="0"/>
              <w:jc w:val="center"/>
              <w:rPr>
                <w:color w:val="000000"/>
                <w:sz w:val="20"/>
                <w:szCs w:val="20"/>
              </w:rPr>
            </w:pPr>
            <w:proofErr w:type="spellStart"/>
            <w:r>
              <w:rPr>
                <w:color w:val="000000"/>
                <w:sz w:val="20"/>
                <w:szCs w:val="20"/>
              </w:rPr>
              <w:t>Aschner</w:t>
            </w:r>
            <w:proofErr w:type="spellEnd"/>
            <w:r>
              <w:rPr>
                <w:color w:val="000000"/>
                <w:sz w:val="20"/>
                <w:szCs w:val="20"/>
              </w:rPr>
              <w:t xml:space="preserve"> et al., 2010</w:t>
            </w:r>
          </w:p>
        </w:tc>
        <w:tc>
          <w:tcPr>
            <w:tcW w:w="1247" w:type="dxa"/>
            <w:tcBorders>
              <w:top w:val="nil"/>
              <w:left w:val="nil"/>
              <w:bottom w:val="single" w:sz="4" w:space="0" w:color="000000"/>
              <w:right w:val="single" w:sz="4" w:space="0" w:color="000000"/>
            </w:tcBorders>
            <w:shd w:val="clear" w:color="auto" w:fill="auto"/>
            <w:vAlign w:val="bottom"/>
          </w:tcPr>
          <w:p w14:paraId="3D67716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47633D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5B08F0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16B24E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672ADD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8832236"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39C4520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B8C8DC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A28931E"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1A0AEBB" w14:textId="77777777" w:rsidR="005A043A" w:rsidRDefault="005A043A" w:rsidP="00286762">
            <w:pPr>
              <w:spacing w:after="0"/>
              <w:jc w:val="right"/>
              <w:rPr>
                <w:color w:val="000000"/>
                <w:sz w:val="20"/>
                <w:szCs w:val="20"/>
              </w:rPr>
            </w:pPr>
            <w:r>
              <w:rPr>
                <w:color w:val="000000"/>
                <w:sz w:val="20"/>
                <w:szCs w:val="20"/>
              </w:rPr>
              <w:t>6</w:t>
            </w:r>
          </w:p>
        </w:tc>
      </w:tr>
      <w:tr w:rsidR="005A043A" w14:paraId="43BC1E60" w14:textId="77777777" w:rsidTr="00286762">
        <w:trPr>
          <w:trHeight w:val="315"/>
        </w:trPr>
        <w:tc>
          <w:tcPr>
            <w:tcW w:w="1587" w:type="dxa"/>
            <w:tcBorders>
              <w:top w:val="nil"/>
              <w:left w:val="single" w:sz="4" w:space="0" w:color="000000"/>
              <w:bottom w:val="single" w:sz="4" w:space="0" w:color="000000"/>
              <w:right w:val="single" w:sz="4" w:space="0" w:color="000000"/>
            </w:tcBorders>
            <w:shd w:val="clear" w:color="auto" w:fill="auto"/>
            <w:vAlign w:val="bottom"/>
          </w:tcPr>
          <w:p w14:paraId="612CBC16" w14:textId="77777777" w:rsidR="005A043A" w:rsidRDefault="005A043A" w:rsidP="00286762">
            <w:pPr>
              <w:spacing w:after="0"/>
              <w:jc w:val="center"/>
              <w:rPr>
                <w:color w:val="000000"/>
                <w:sz w:val="20"/>
                <w:szCs w:val="20"/>
              </w:rPr>
            </w:pPr>
            <w:r>
              <w:rPr>
                <w:color w:val="000000"/>
                <w:sz w:val="20"/>
                <w:szCs w:val="20"/>
              </w:rPr>
              <w:t>Bailey et al., 2005</w:t>
            </w:r>
          </w:p>
        </w:tc>
        <w:tc>
          <w:tcPr>
            <w:tcW w:w="1247" w:type="dxa"/>
            <w:tcBorders>
              <w:top w:val="nil"/>
              <w:left w:val="nil"/>
              <w:bottom w:val="single" w:sz="4" w:space="0" w:color="000000"/>
              <w:right w:val="single" w:sz="4" w:space="0" w:color="000000"/>
            </w:tcBorders>
            <w:shd w:val="clear" w:color="auto" w:fill="auto"/>
            <w:vAlign w:val="bottom"/>
          </w:tcPr>
          <w:p w14:paraId="0C38844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F36EA3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8C4EF3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619EEB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BE7C53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5867813"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62B92C3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4E3415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D4E288E"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A769EEF" w14:textId="77777777" w:rsidR="005A043A" w:rsidRDefault="005A043A" w:rsidP="00286762">
            <w:pPr>
              <w:spacing w:after="0"/>
              <w:jc w:val="right"/>
              <w:rPr>
                <w:color w:val="000000"/>
                <w:sz w:val="20"/>
                <w:szCs w:val="20"/>
              </w:rPr>
            </w:pPr>
            <w:r>
              <w:rPr>
                <w:color w:val="000000"/>
                <w:sz w:val="20"/>
                <w:szCs w:val="20"/>
              </w:rPr>
              <w:t>6</w:t>
            </w:r>
          </w:p>
        </w:tc>
      </w:tr>
      <w:tr w:rsidR="005A043A" w14:paraId="3F4517F2"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22E623C4" w14:textId="77777777" w:rsidR="005A043A" w:rsidRDefault="005A043A" w:rsidP="00286762">
            <w:pPr>
              <w:spacing w:after="0"/>
              <w:jc w:val="center"/>
              <w:rPr>
                <w:color w:val="000000"/>
                <w:sz w:val="20"/>
                <w:szCs w:val="20"/>
              </w:rPr>
            </w:pPr>
            <w:r>
              <w:rPr>
                <w:color w:val="000000"/>
                <w:sz w:val="20"/>
                <w:szCs w:val="20"/>
              </w:rPr>
              <w:t>Blonde et al., 2002</w:t>
            </w:r>
          </w:p>
        </w:tc>
        <w:tc>
          <w:tcPr>
            <w:tcW w:w="1247" w:type="dxa"/>
            <w:tcBorders>
              <w:top w:val="nil"/>
              <w:left w:val="nil"/>
              <w:bottom w:val="single" w:sz="4" w:space="0" w:color="000000"/>
              <w:right w:val="single" w:sz="4" w:space="0" w:color="000000"/>
            </w:tcBorders>
            <w:shd w:val="clear" w:color="auto" w:fill="auto"/>
            <w:vAlign w:val="bottom"/>
          </w:tcPr>
          <w:p w14:paraId="71F6D65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589B40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ECC441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D5CEE2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1288F0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C02EE8F"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0786AB9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4713F7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79D2F0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4229F47" w14:textId="77777777" w:rsidR="005A043A" w:rsidRDefault="005A043A" w:rsidP="00286762">
            <w:pPr>
              <w:spacing w:after="0"/>
              <w:jc w:val="right"/>
              <w:rPr>
                <w:color w:val="000000"/>
                <w:sz w:val="20"/>
                <w:szCs w:val="20"/>
              </w:rPr>
            </w:pPr>
            <w:r>
              <w:rPr>
                <w:color w:val="000000"/>
                <w:sz w:val="20"/>
                <w:szCs w:val="20"/>
              </w:rPr>
              <w:t>5</w:t>
            </w:r>
          </w:p>
        </w:tc>
      </w:tr>
      <w:tr w:rsidR="005A043A" w14:paraId="506FB35E"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58B47EBF" w14:textId="77777777" w:rsidR="005A043A" w:rsidRDefault="005A043A" w:rsidP="00286762">
            <w:pPr>
              <w:spacing w:after="0"/>
              <w:jc w:val="center"/>
              <w:rPr>
                <w:color w:val="000000"/>
                <w:sz w:val="20"/>
                <w:szCs w:val="20"/>
              </w:rPr>
            </w:pPr>
            <w:proofErr w:type="spellStart"/>
            <w:r>
              <w:rPr>
                <w:color w:val="000000"/>
                <w:sz w:val="20"/>
                <w:szCs w:val="20"/>
              </w:rPr>
              <w:t>Ferrannini</w:t>
            </w:r>
            <w:proofErr w:type="spellEnd"/>
            <w:r>
              <w:rPr>
                <w:color w:val="000000"/>
                <w:sz w:val="20"/>
                <w:szCs w:val="20"/>
              </w:rPr>
              <w:t xml:space="preserve"> et al., 2013</w:t>
            </w:r>
          </w:p>
        </w:tc>
        <w:tc>
          <w:tcPr>
            <w:tcW w:w="1247" w:type="dxa"/>
            <w:tcBorders>
              <w:top w:val="nil"/>
              <w:left w:val="nil"/>
              <w:bottom w:val="single" w:sz="4" w:space="0" w:color="000000"/>
              <w:right w:val="single" w:sz="4" w:space="0" w:color="000000"/>
            </w:tcBorders>
            <w:shd w:val="clear" w:color="auto" w:fill="auto"/>
            <w:vAlign w:val="bottom"/>
          </w:tcPr>
          <w:p w14:paraId="1F6F4B71"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BADF0AA"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AF66F9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B23D8C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9406432"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650AF72"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067AE1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48E5DA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4AAC8F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6EBD5A3" w14:textId="77777777" w:rsidR="005A043A" w:rsidRDefault="005A043A" w:rsidP="00286762">
            <w:pPr>
              <w:spacing w:after="0"/>
              <w:jc w:val="right"/>
              <w:rPr>
                <w:color w:val="000000"/>
                <w:sz w:val="20"/>
                <w:szCs w:val="20"/>
              </w:rPr>
            </w:pPr>
            <w:r>
              <w:rPr>
                <w:color w:val="000000"/>
                <w:sz w:val="20"/>
                <w:szCs w:val="20"/>
              </w:rPr>
              <w:t>4</w:t>
            </w:r>
          </w:p>
        </w:tc>
      </w:tr>
      <w:tr w:rsidR="005A043A" w14:paraId="4B4F3E7D"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6840FF61" w14:textId="77777777" w:rsidR="005A043A" w:rsidRDefault="005A043A" w:rsidP="00286762">
            <w:pPr>
              <w:spacing w:after="0"/>
              <w:jc w:val="center"/>
              <w:rPr>
                <w:color w:val="000000"/>
                <w:sz w:val="20"/>
                <w:szCs w:val="20"/>
              </w:rPr>
            </w:pPr>
            <w:proofErr w:type="spellStart"/>
            <w:r>
              <w:rPr>
                <w:color w:val="000000"/>
                <w:sz w:val="20"/>
                <w:szCs w:val="20"/>
              </w:rPr>
              <w:t>Bosi</w:t>
            </w:r>
            <w:proofErr w:type="spellEnd"/>
            <w:r>
              <w:rPr>
                <w:color w:val="000000"/>
                <w:sz w:val="20"/>
                <w:szCs w:val="20"/>
              </w:rPr>
              <w:t xml:space="preserve"> et al., 2009</w:t>
            </w:r>
          </w:p>
        </w:tc>
        <w:tc>
          <w:tcPr>
            <w:tcW w:w="1247" w:type="dxa"/>
            <w:tcBorders>
              <w:top w:val="nil"/>
              <w:left w:val="nil"/>
              <w:bottom w:val="single" w:sz="4" w:space="0" w:color="000000"/>
              <w:right w:val="single" w:sz="4" w:space="0" w:color="000000"/>
            </w:tcBorders>
            <w:shd w:val="clear" w:color="auto" w:fill="auto"/>
            <w:vAlign w:val="bottom"/>
          </w:tcPr>
          <w:p w14:paraId="20920B1A"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DC09646"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051CD4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D3BF79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095AEC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95DD6A3"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500011B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DB485E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181C26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A0B3724" w14:textId="77777777" w:rsidR="005A043A" w:rsidRDefault="005A043A" w:rsidP="00286762">
            <w:pPr>
              <w:spacing w:after="0"/>
              <w:jc w:val="right"/>
              <w:rPr>
                <w:color w:val="000000"/>
                <w:sz w:val="20"/>
                <w:szCs w:val="20"/>
              </w:rPr>
            </w:pPr>
            <w:r>
              <w:rPr>
                <w:color w:val="000000"/>
                <w:sz w:val="20"/>
                <w:szCs w:val="20"/>
              </w:rPr>
              <w:t>5</w:t>
            </w:r>
          </w:p>
        </w:tc>
      </w:tr>
      <w:tr w:rsidR="005A043A" w14:paraId="0512C393"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3A1D219E" w14:textId="77777777" w:rsidR="005A043A" w:rsidRDefault="005A043A" w:rsidP="00286762">
            <w:pPr>
              <w:spacing w:after="0"/>
              <w:jc w:val="center"/>
              <w:rPr>
                <w:color w:val="000000"/>
                <w:sz w:val="20"/>
                <w:szCs w:val="20"/>
              </w:rPr>
            </w:pPr>
            <w:proofErr w:type="spellStart"/>
            <w:r>
              <w:rPr>
                <w:color w:val="000000"/>
                <w:sz w:val="20"/>
                <w:szCs w:val="20"/>
              </w:rPr>
              <w:t>DeFronzo</w:t>
            </w:r>
            <w:proofErr w:type="spellEnd"/>
            <w:r>
              <w:rPr>
                <w:color w:val="000000"/>
                <w:sz w:val="20"/>
                <w:szCs w:val="20"/>
              </w:rPr>
              <w:t xml:space="preserve"> et al., 2016</w:t>
            </w:r>
          </w:p>
        </w:tc>
        <w:tc>
          <w:tcPr>
            <w:tcW w:w="1247" w:type="dxa"/>
            <w:tcBorders>
              <w:top w:val="nil"/>
              <w:left w:val="nil"/>
              <w:bottom w:val="single" w:sz="4" w:space="0" w:color="000000"/>
              <w:right w:val="single" w:sz="4" w:space="0" w:color="000000"/>
            </w:tcBorders>
            <w:shd w:val="clear" w:color="auto" w:fill="auto"/>
            <w:vAlign w:val="bottom"/>
          </w:tcPr>
          <w:p w14:paraId="0A9F8CE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5EE5AD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41F6516" w14:textId="77777777" w:rsidR="005A043A" w:rsidRDefault="005A043A" w:rsidP="00286762">
            <w:pPr>
              <w:spacing w:after="0"/>
              <w:rPr>
                <w:color w:val="000000"/>
                <w:sz w:val="20"/>
                <w:szCs w:val="20"/>
              </w:rPr>
            </w:pPr>
            <w:r>
              <w:rPr>
                <w:color w:val="000000"/>
                <w:sz w:val="20"/>
                <w:szCs w:val="20"/>
              </w:rPr>
              <w:t xml:space="preserve">L </w:t>
            </w:r>
          </w:p>
        </w:tc>
        <w:tc>
          <w:tcPr>
            <w:tcW w:w="1247" w:type="dxa"/>
            <w:tcBorders>
              <w:top w:val="nil"/>
              <w:left w:val="nil"/>
              <w:bottom w:val="single" w:sz="4" w:space="0" w:color="000000"/>
              <w:right w:val="single" w:sz="4" w:space="0" w:color="000000"/>
            </w:tcBorders>
            <w:shd w:val="clear" w:color="auto" w:fill="auto"/>
            <w:vAlign w:val="bottom"/>
          </w:tcPr>
          <w:p w14:paraId="0375D05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9C5664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4F27EA1"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65F0941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96F347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A3D875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57DC59C" w14:textId="77777777" w:rsidR="005A043A" w:rsidRDefault="005A043A" w:rsidP="00286762">
            <w:pPr>
              <w:spacing w:after="0"/>
              <w:jc w:val="right"/>
              <w:rPr>
                <w:color w:val="000000"/>
                <w:sz w:val="20"/>
                <w:szCs w:val="20"/>
              </w:rPr>
            </w:pPr>
            <w:r>
              <w:rPr>
                <w:color w:val="000000"/>
                <w:sz w:val="20"/>
                <w:szCs w:val="20"/>
              </w:rPr>
              <w:t>7</w:t>
            </w:r>
          </w:p>
        </w:tc>
      </w:tr>
      <w:tr w:rsidR="005A043A" w14:paraId="39B6DDFE"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3BE57FF9" w14:textId="77777777" w:rsidR="005A043A" w:rsidRDefault="005A043A" w:rsidP="00286762">
            <w:pPr>
              <w:spacing w:after="0"/>
              <w:jc w:val="center"/>
              <w:rPr>
                <w:color w:val="000000"/>
                <w:sz w:val="20"/>
                <w:szCs w:val="20"/>
              </w:rPr>
            </w:pPr>
            <w:proofErr w:type="spellStart"/>
            <w:r>
              <w:rPr>
                <w:color w:val="000000"/>
                <w:sz w:val="20"/>
                <w:szCs w:val="20"/>
              </w:rPr>
              <w:t>DeFronzo</w:t>
            </w:r>
            <w:proofErr w:type="spellEnd"/>
            <w:r>
              <w:rPr>
                <w:color w:val="000000"/>
                <w:sz w:val="20"/>
                <w:szCs w:val="20"/>
              </w:rPr>
              <w:t xml:space="preserve"> et al., 1995</w:t>
            </w:r>
          </w:p>
        </w:tc>
        <w:tc>
          <w:tcPr>
            <w:tcW w:w="1247" w:type="dxa"/>
            <w:tcBorders>
              <w:top w:val="nil"/>
              <w:left w:val="nil"/>
              <w:bottom w:val="single" w:sz="4" w:space="0" w:color="000000"/>
              <w:right w:val="single" w:sz="4" w:space="0" w:color="000000"/>
            </w:tcBorders>
            <w:shd w:val="clear" w:color="auto" w:fill="auto"/>
            <w:vAlign w:val="bottom"/>
          </w:tcPr>
          <w:p w14:paraId="6E6B3551"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1E957A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FD4FCB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8EE9CF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5079B7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FE352C9"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0EEBB1E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315A0D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FC77C51"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2F91C13" w14:textId="77777777" w:rsidR="005A043A" w:rsidRDefault="005A043A" w:rsidP="00286762">
            <w:pPr>
              <w:spacing w:after="0"/>
              <w:jc w:val="right"/>
              <w:rPr>
                <w:color w:val="000000"/>
                <w:sz w:val="20"/>
                <w:szCs w:val="20"/>
              </w:rPr>
            </w:pPr>
            <w:r>
              <w:rPr>
                <w:color w:val="000000"/>
                <w:sz w:val="20"/>
                <w:szCs w:val="20"/>
              </w:rPr>
              <w:t>5</w:t>
            </w:r>
          </w:p>
        </w:tc>
      </w:tr>
      <w:tr w:rsidR="005A043A" w14:paraId="7757E9A7"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376F31FD" w14:textId="77777777" w:rsidR="005A043A" w:rsidRDefault="005A043A" w:rsidP="00286762">
            <w:pPr>
              <w:spacing w:after="0"/>
              <w:jc w:val="center"/>
              <w:rPr>
                <w:color w:val="000000"/>
                <w:sz w:val="20"/>
                <w:szCs w:val="20"/>
              </w:rPr>
            </w:pPr>
            <w:r>
              <w:rPr>
                <w:color w:val="000000"/>
                <w:sz w:val="20"/>
                <w:szCs w:val="20"/>
              </w:rPr>
              <w:t>Del Prato et al., 2002</w:t>
            </w:r>
          </w:p>
        </w:tc>
        <w:tc>
          <w:tcPr>
            <w:tcW w:w="1247" w:type="dxa"/>
            <w:tcBorders>
              <w:top w:val="nil"/>
              <w:left w:val="nil"/>
              <w:bottom w:val="single" w:sz="4" w:space="0" w:color="000000"/>
              <w:right w:val="single" w:sz="4" w:space="0" w:color="000000"/>
            </w:tcBorders>
            <w:shd w:val="clear" w:color="auto" w:fill="auto"/>
            <w:vAlign w:val="bottom"/>
          </w:tcPr>
          <w:p w14:paraId="3FDD9326"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262E34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6B6302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66115D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58FA742"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31053C2"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046A2FF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8BDEAB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8E186B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EF991B6" w14:textId="77777777" w:rsidR="005A043A" w:rsidRDefault="005A043A" w:rsidP="00286762">
            <w:pPr>
              <w:spacing w:after="0"/>
              <w:jc w:val="right"/>
              <w:rPr>
                <w:color w:val="000000"/>
                <w:sz w:val="20"/>
                <w:szCs w:val="20"/>
              </w:rPr>
            </w:pPr>
            <w:r>
              <w:rPr>
                <w:color w:val="000000"/>
                <w:sz w:val="20"/>
                <w:szCs w:val="20"/>
              </w:rPr>
              <w:t>4</w:t>
            </w:r>
          </w:p>
        </w:tc>
      </w:tr>
      <w:tr w:rsidR="005A043A" w14:paraId="2A02E0BC"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02AB934C" w14:textId="77777777" w:rsidR="005A043A" w:rsidRDefault="005A043A" w:rsidP="00286762">
            <w:pPr>
              <w:spacing w:after="0"/>
              <w:jc w:val="center"/>
              <w:rPr>
                <w:color w:val="000000"/>
                <w:sz w:val="20"/>
                <w:szCs w:val="20"/>
              </w:rPr>
            </w:pPr>
            <w:proofErr w:type="spellStart"/>
            <w:r>
              <w:rPr>
                <w:color w:val="000000"/>
                <w:sz w:val="20"/>
                <w:szCs w:val="20"/>
              </w:rPr>
              <w:t>Derosa</w:t>
            </w:r>
            <w:proofErr w:type="spellEnd"/>
            <w:r>
              <w:rPr>
                <w:color w:val="000000"/>
                <w:sz w:val="20"/>
                <w:szCs w:val="20"/>
              </w:rPr>
              <w:t xml:space="preserve"> et al., 2017</w:t>
            </w:r>
          </w:p>
        </w:tc>
        <w:tc>
          <w:tcPr>
            <w:tcW w:w="1247" w:type="dxa"/>
            <w:tcBorders>
              <w:top w:val="nil"/>
              <w:left w:val="nil"/>
              <w:bottom w:val="single" w:sz="4" w:space="0" w:color="000000"/>
              <w:right w:val="single" w:sz="4" w:space="0" w:color="000000"/>
            </w:tcBorders>
            <w:shd w:val="clear" w:color="auto" w:fill="auto"/>
            <w:vAlign w:val="bottom"/>
          </w:tcPr>
          <w:p w14:paraId="0B3E862E"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8AE55B2"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31A8D55"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3CACD45D"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4D5BCF7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6342190"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28F876C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EF114C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1B7968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B175ACA" w14:textId="77777777" w:rsidR="005A043A" w:rsidRDefault="005A043A" w:rsidP="00286762">
            <w:pPr>
              <w:spacing w:after="0"/>
              <w:jc w:val="right"/>
              <w:rPr>
                <w:color w:val="000000"/>
                <w:sz w:val="20"/>
                <w:szCs w:val="20"/>
              </w:rPr>
            </w:pPr>
            <w:r>
              <w:rPr>
                <w:color w:val="000000"/>
                <w:sz w:val="20"/>
                <w:szCs w:val="20"/>
              </w:rPr>
              <w:t>2</w:t>
            </w:r>
          </w:p>
        </w:tc>
      </w:tr>
      <w:tr w:rsidR="005A043A" w14:paraId="5311C1DC"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4B744E9C" w14:textId="77777777" w:rsidR="005A043A" w:rsidRDefault="005A043A" w:rsidP="00286762">
            <w:pPr>
              <w:spacing w:after="0"/>
              <w:jc w:val="center"/>
              <w:rPr>
                <w:color w:val="000000"/>
                <w:sz w:val="20"/>
                <w:szCs w:val="20"/>
              </w:rPr>
            </w:pPr>
            <w:r>
              <w:rPr>
                <w:color w:val="000000"/>
                <w:sz w:val="20"/>
                <w:szCs w:val="20"/>
              </w:rPr>
              <w:t>Dou et al., 2017</w:t>
            </w:r>
          </w:p>
        </w:tc>
        <w:tc>
          <w:tcPr>
            <w:tcW w:w="1247" w:type="dxa"/>
            <w:tcBorders>
              <w:top w:val="nil"/>
              <w:left w:val="nil"/>
              <w:bottom w:val="single" w:sz="4" w:space="0" w:color="000000"/>
              <w:right w:val="single" w:sz="4" w:space="0" w:color="000000"/>
            </w:tcBorders>
            <w:shd w:val="clear" w:color="auto" w:fill="auto"/>
            <w:vAlign w:val="bottom"/>
          </w:tcPr>
          <w:p w14:paraId="47F886F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45FB3B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67D329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C0B9C6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47C26C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9E8C12B"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147416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5A5ABE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FC12E7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1213C43" w14:textId="77777777" w:rsidR="005A043A" w:rsidRDefault="005A043A" w:rsidP="00286762">
            <w:pPr>
              <w:spacing w:after="0"/>
              <w:jc w:val="right"/>
              <w:rPr>
                <w:color w:val="000000"/>
                <w:sz w:val="20"/>
                <w:szCs w:val="20"/>
              </w:rPr>
            </w:pPr>
            <w:r>
              <w:rPr>
                <w:color w:val="000000"/>
                <w:sz w:val="20"/>
                <w:szCs w:val="20"/>
              </w:rPr>
              <w:t>5</w:t>
            </w:r>
          </w:p>
        </w:tc>
      </w:tr>
      <w:tr w:rsidR="005A043A" w14:paraId="34EA944C"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6B4707DC" w14:textId="77777777" w:rsidR="005A043A" w:rsidRDefault="005A043A" w:rsidP="00286762">
            <w:pPr>
              <w:spacing w:after="0"/>
              <w:jc w:val="center"/>
              <w:rPr>
                <w:color w:val="000000"/>
                <w:sz w:val="20"/>
                <w:szCs w:val="20"/>
              </w:rPr>
            </w:pPr>
            <w:r>
              <w:rPr>
                <w:color w:val="000000"/>
                <w:sz w:val="20"/>
                <w:szCs w:val="20"/>
              </w:rPr>
              <w:lastRenderedPageBreak/>
              <w:t>Henry et al., 2018</w:t>
            </w:r>
          </w:p>
        </w:tc>
        <w:tc>
          <w:tcPr>
            <w:tcW w:w="1247" w:type="dxa"/>
            <w:tcBorders>
              <w:top w:val="nil"/>
              <w:left w:val="nil"/>
              <w:bottom w:val="single" w:sz="4" w:space="0" w:color="000000"/>
              <w:right w:val="single" w:sz="4" w:space="0" w:color="000000"/>
            </w:tcBorders>
            <w:shd w:val="clear" w:color="auto" w:fill="auto"/>
            <w:vAlign w:val="bottom"/>
          </w:tcPr>
          <w:p w14:paraId="1F05753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F6D8C6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8B1113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BEDEF6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206116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DD61466"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28D97C8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A8BEB7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4D5F21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EB4B0AC" w14:textId="77777777" w:rsidR="005A043A" w:rsidRDefault="005A043A" w:rsidP="00286762">
            <w:pPr>
              <w:spacing w:after="0"/>
              <w:jc w:val="right"/>
              <w:rPr>
                <w:color w:val="000000"/>
                <w:sz w:val="20"/>
                <w:szCs w:val="20"/>
              </w:rPr>
            </w:pPr>
            <w:r>
              <w:rPr>
                <w:color w:val="000000"/>
                <w:sz w:val="20"/>
                <w:szCs w:val="20"/>
              </w:rPr>
              <w:t>6</w:t>
            </w:r>
          </w:p>
        </w:tc>
      </w:tr>
      <w:tr w:rsidR="005A043A" w14:paraId="603716CA"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2647EAF9" w14:textId="77777777" w:rsidR="005A043A" w:rsidRDefault="005A043A" w:rsidP="00286762">
            <w:pPr>
              <w:spacing w:after="0"/>
              <w:jc w:val="center"/>
              <w:rPr>
                <w:color w:val="000000"/>
                <w:sz w:val="20"/>
                <w:szCs w:val="20"/>
              </w:rPr>
            </w:pPr>
            <w:proofErr w:type="spellStart"/>
            <w:r>
              <w:rPr>
                <w:color w:val="000000"/>
                <w:sz w:val="20"/>
                <w:szCs w:val="20"/>
              </w:rPr>
              <w:t>Feinglos</w:t>
            </w:r>
            <w:proofErr w:type="spellEnd"/>
            <w:r>
              <w:rPr>
                <w:color w:val="000000"/>
                <w:sz w:val="20"/>
                <w:szCs w:val="20"/>
              </w:rPr>
              <w:t xml:space="preserve"> et al., 2005</w:t>
            </w:r>
          </w:p>
        </w:tc>
        <w:tc>
          <w:tcPr>
            <w:tcW w:w="1247" w:type="dxa"/>
            <w:tcBorders>
              <w:top w:val="nil"/>
              <w:left w:val="nil"/>
              <w:bottom w:val="single" w:sz="4" w:space="0" w:color="000000"/>
              <w:right w:val="single" w:sz="4" w:space="0" w:color="000000"/>
            </w:tcBorders>
            <w:shd w:val="clear" w:color="auto" w:fill="auto"/>
            <w:vAlign w:val="bottom"/>
          </w:tcPr>
          <w:p w14:paraId="300E114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6B87FF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F121E0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5165FE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669588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2766E24"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646C23E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3AA6A6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BC0B33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AA7BE2A" w14:textId="77777777" w:rsidR="005A043A" w:rsidRDefault="005A043A" w:rsidP="00286762">
            <w:pPr>
              <w:spacing w:after="0"/>
              <w:jc w:val="right"/>
              <w:rPr>
                <w:color w:val="000000"/>
                <w:sz w:val="20"/>
                <w:szCs w:val="20"/>
              </w:rPr>
            </w:pPr>
            <w:r>
              <w:rPr>
                <w:color w:val="000000"/>
                <w:sz w:val="20"/>
                <w:szCs w:val="20"/>
              </w:rPr>
              <w:t>4</w:t>
            </w:r>
          </w:p>
        </w:tc>
      </w:tr>
      <w:tr w:rsidR="005A043A" w14:paraId="2402B8C7"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3C7232CD" w14:textId="77777777" w:rsidR="005A043A" w:rsidRDefault="005A043A" w:rsidP="00286762">
            <w:pPr>
              <w:spacing w:after="0"/>
              <w:jc w:val="center"/>
              <w:rPr>
                <w:color w:val="000000"/>
                <w:sz w:val="20"/>
                <w:szCs w:val="20"/>
              </w:rPr>
            </w:pPr>
            <w:r>
              <w:rPr>
                <w:color w:val="000000"/>
                <w:sz w:val="20"/>
                <w:szCs w:val="20"/>
              </w:rPr>
              <w:t>Fonseca et al., 2011</w:t>
            </w:r>
          </w:p>
        </w:tc>
        <w:tc>
          <w:tcPr>
            <w:tcW w:w="1247" w:type="dxa"/>
            <w:tcBorders>
              <w:top w:val="nil"/>
              <w:left w:val="nil"/>
              <w:bottom w:val="single" w:sz="4" w:space="0" w:color="000000"/>
              <w:right w:val="single" w:sz="4" w:space="0" w:color="000000"/>
            </w:tcBorders>
            <w:shd w:val="clear" w:color="auto" w:fill="auto"/>
            <w:vAlign w:val="bottom"/>
          </w:tcPr>
          <w:p w14:paraId="0413C02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4BEB42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311901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3D2638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94023D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CAB5F72"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357973A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F5796D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E421AD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90C32B9" w14:textId="77777777" w:rsidR="005A043A" w:rsidRDefault="005A043A" w:rsidP="00286762">
            <w:pPr>
              <w:spacing w:after="0"/>
              <w:jc w:val="right"/>
              <w:rPr>
                <w:color w:val="000000"/>
                <w:sz w:val="20"/>
                <w:szCs w:val="20"/>
              </w:rPr>
            </w:pPr>
            <w:r>
              <w:rPr>
                <w:color w:val="000000"/>
                <w:sz w:val="20"/>
                <w:szCs w:val="20"/>
              </w:rPr>
              <w:t>5</w:t>
            </w:r>
          </w:p>
        </w:tc>
      </w:tr>
      <w:tr w:rsidR="005A043A" w14:paraId="7E0A5447"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17776E68" w14:textId="77777777" w:rsidR="005A043A" w:rsidRDefault="005A043A" w:rsidP="00286762">
            <w:pPr>
              <w:spacing w:after="0"/>
              <w:jc w:val="center"/>
              <w:rPr>
                <w:color w:val="000000"/>
                <w:sz w:val="20"/>
                <w:szCs w:val="20"/>
              </w:rPr>
            </w:pPr>
            <w:proofErr w:type="spellStart"/>
            <w:r>
              <w:rPr>
                <w:color w:val="000000"/>
                <w:sz w:val="20"/>
                <w:szCs w:val="20"/>
              </w:rPr>
              <w:t>Fuangchan</w:t>
            </w:r>
            <w:proofErr w:type="spellEnd"/>
            <w:r>
              <w:rPr>
                <w:color w:val="000000"/>
                <w:sz w:val="20"/>
                <w:szCs w:val="20"/>
              </w:rPr>
              <w:t xml:space="preserve"> et al., 2011</w:t>
            </w:r>
          </w:p>
        </w:tc>
        <w:tc>
          <w:tcPr>
            <w:tcW w:w="1247" w:type="dxa"/>
            <w:tcBorders>
              <w:top w:val="nil"/>
              <w:left w:val="nil"/>
              <w:bottom w:val="single" w:sz="4" w:space="0" w:color="000000"/>
              <w:right w:val="single" w:sz="4" w:space="0" w:color="000000"/>
            </w:tcBorders>
            <w:shd w:val="clear" w:color="auto" w:fill="auto"/>
            <w:vAlign w:val="bottom"/>
          </w:tcPr>
          <w:p w14:paraId="5BD3438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2D2714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E50857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21CE37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94E75B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205C2A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2090864"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7F938CA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A873EC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18031FC" w14:textId="77777777" w:rsidR="005A043A" w:rsidRDefault="005A043A" w:rsidP="00286762">
            <w:pPr>
              <w:spacing w:after="0"/>
              <w:jc w:val="right"/>
              <w:rPr>
                <w:color w:val="000000"/>
                <w:sz w:val="20"/>
                <w:szCs w:val="20"/>
              </w:rPr>
            </w:pPr>
            <w:r>
              <w:rPr>
                <w:color w:val="000000"/>
                <w:sz w:val="20"/>
                <w:szCs w:val="20"/>
              </w:rPr>
              <w:t>5</w:t>
            </w:r>
          </w:p>
        </w:tc>
      </w:tr>
      <w:tr w:rsidR="005A043A" w14:paraId="41082088"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6D502FC9" w14:textId="77777777" w:rsidR="005A043A" w:rsidRDefault="005A043A" w:rsidP="00286762">
            <w:pPr>
              <w:spacing w:after="0"/>
              <w:jc w:val="center"/>
              <w:rPr>
                <w:color w:val="000000"/>
                <w:sz w:val="20"/>
                <w:szCs w:val="20"/>
              </w:rPr>
            </w:pPr>
            <w:r>
              <w:rPr>
                <w:color w:val="000000"/>
                <w:sz w:val="20"/>
                <w:szCs w:val="20"/>
              </w:rPr>
              <w:t>Fujioka et al., 2005</w:t>
            </w:r>
          </w:p>
        </w:tc>
        <w:tc>
          <w:tcPr>
            <w:tcW w:w="1247" w:type="dxa"/>
            <w:tcBorders>
              <w:top w:val="nil"/>
              <w:left w:val="nil"/>
              <w:bottom w:val="single" w:sz="4" w:space="0" w:color="000000"/>
              <w:right w:val="single" w:sz="4" w:space="0" w:color="000000"/>
            </w:tcBorders>
            <w:shd w:val="clear" w:color="auto" w:fill="auto"/>
            <w:vAlign w:val="bottom"/>
          </w:tcPr>
          <w:p w14:paraId="384625E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62A1BA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8741A6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926C78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FC055A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0A31E45"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2CCD09C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0FD8A9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9BA6E2A"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0211AA5" w14:textId="77777777" w:rsidR="005A043A" w:rsidRDefault="005A043A" w:rsidP="00286762">
            <w:pPr>
              <w:spacing w:after="0"/>
              <w:jc w:val="right"/>
              <w:rPr>
                <w:color w:val="000000"/>
                <w:sz w:val="20"/>
                <w:szCs w:val="20"/>
              </w:rPr>
            </w:pPr>
            <w:r>
              <w:rPr>
                <w:color w:val="000000"/>
                <w:sz w:val="20"/>
                <w:szCs w:val="20"/>
              </w:rPr>
              <w:t>4</w:t>
            </w:r>
          </w:p>
        </w:tc>
      </w:tr>
      <w:tr w:rsidR="005A043A" w14:paraId="489F21C3"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6FD4CD28" w14:textId="77777777" w:rsidR="005A043A" w:rsidRDefault="005A043A" w:rsidP="00286762">
            <w:pPr>
              <w:spacing w:after="0"/>
              <w:jc w:val="center"/>
              <w:rPr>
                <w:color w:val="000000"/>
                <w:sz w:val="20"/>
                <w:szCs w:val="20"/>
              </w:rPr>
            </w:pPr>
            <w:r>
              <w:rPr>
                <w:color w:val="000000"/>
                <w:sz w:val="20"/>
                <w:szCs w:val="20"/>
              </w:rPr>
              <w:t>Fujioka et al., 2003</w:t>
            </w:r>
          </w:p>
        </w:tc>
        <w:tc>
          <w:tcPr>
            <w:tcW w:w="1247" w:type="dxa"/>
            <w:tcBorders>
              <w:top w:val="nil"/>
              <w:left w:val="nil"/>
              <w:bottom w:val="single" w:sz="4" w:space="0" w:color="000000"/>
              <w:right w:val="single" w:sz="4" w:space="0" w:color="000000"/>
            </w:tcBorders>
            <w:shd w:val="clear" w:color="auto" w:fill="auto"/>
            <w:vAlign w:val="bottom"/>
          </w:tcPr>
          <w:p w14:paraId="51CF69D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D1D710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D86957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F20508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5BEB05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F7F3319"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5DD822D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7BD8D5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DE4FAE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47A731E" w14:textId="77777777" w:rsidR="005A043A" w:rsidRDefault="005A043A" w:rsidP="00286762">
            <w:pPr>
              <w:spacing w:after="0"/>
              <w:jc w:val="right"/>
              <w:rPr>
                <w:color w:val="000000"/>
                <w:sz w:val="20"/>
                <w:szCs w:val="20"/>
              </w:rPr>
            </w:pPr>
            <w:r>
              <w:rPr>
                <w:color w:val="000000"/>
                <w:sz w:val="20"/>
                <w:szCs w:val="20"/>
              </w:rPr>
              <w:t>2</w:t>
            </w:r>
          </w:p>
        </w:tc>
      </w:tr>
      <w:tr w:rsidR="005A043A" w14:paraId="2442CB38"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1BDF03D8" w14:textId="77777777" w:rsidR="005A043A" w:rsidRDefault="005A043A" w:rsidP="00286762">
            <w:pPr>
              <w:spacing w:after="0"/>
              <w:jc w:val="center"/>
              <w:rPr>
                <w:color w:val="000000"/>
                <w:sz w:val="20"/>
                <w:szCs w:val="20"/>
              </w:rPr>
            </w:pPr>
            <w:r>
              <w:rPr>
                <w:color w:val="000000"/>
                <w:sz w:val="20"/>
                <w:szCs w:val="20"/>
              </w:rPr>
              <w:t>Gao et al., 2008</w:t>
            </w:r>
          </w:p>
        </w:tc>
        <w:tc>
          <w:tcPr>
            <w:tcW w:w="1247" w:type="dxa"/>
            <w:tcBorders>
              <w:top w:val="nil"/>
              <w:left w:val="nil"/>
              <w:bottom w:val="single" w:sz="4" w:space="0" w:color="000000"/>
              <w:right w:val="single" w:sz="4" w:space="0" w:color="000000"/>
            </w:tcBorders>
            <w:shd w:val="clear" w:color="auto" w:fill="auto"/>
            <w:vAlign w:val="bottom"/>
          </w:tcPr>
          <w:p w14:paraId="55A32C51"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FE7F7C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118F9F6"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263A319A"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218DB59E"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47D2B9D"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60FF0F3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3F84B8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7769F5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CCB748A" w14:textId="77777777" w:rsidR="005A043A" w:rsidRDefault="005A043A" w:rsidP="00286762">
            <w:pPr>
              <w:spacing w:after="0"/>
              <w:jc w:val="right"/>
              <w:rPr>
                <w:color w:val="000000"/>
                <w:sz w:val="20"/>
                <w:szCs w:val="20"/>
              </w:rPr>
            </w:pPr>
            <w:r>
              <w:rPr>
                <w:color w:val="000000"/>
                <w:sz w:val="20"/>
                <w:szCs w:val="20"/>
              </w:rPr>
              <w:t>2</w:t>
            </w:r>
          </w:p>
        </w:tc>
      </w:tr>
      <w:tr w:rsidR="005A043A" w14:paraId="5CFB41D0"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317AEB34" w14:textId="77777777" w:rsidR="005A043A" w:rsidRDefault="005A043A" w:rsidP="00286762">
            <w:pPr>
              <w:spacing w:after="0"/>
              <w:jc w:val="center"/>
              <w:rPr>
                <w:color w:val="000000"/>
                <w:sz w:val="20"/>
                <w:szCs w:val="20"/>
              </w:rPr>
            </w:pPr>
            <w:r>
              <w:rPr>
                <w:color w:val="000000"/>
                <w:sz w:val="20"/>
                <w:szCs w:val="20"/>
              </w:rPr>
              <w:t>Gao et al., 2020</w:t>
            </w:r>
          </w:p>
        </w:tc>
        <w:tc>
          <w:tcPr>
            <w:tcW w:w="1247" w:type="dxa"/>
            <w:tcBorders>
              <w:top w:val="nil"/>
              <w:left w:val="nil"/>
              <w:bottom w:val="single" w:sz="4" w:space="0" w:color="000000"/>
              <w:right w:val="single" w:sz="4" w:space="0" w:color="000000"/>
            </w:tcBorders>
            <w:shd w:val="clear" w:color="auto" w:fill="auto"/>
            <w:vAlign w:val="bottom"/>
          </w:tcPr>
          <w:p w14:paraId="539DE4C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B5EC40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D92B4DB"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70310282"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233A23F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882CCEB"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CFC157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DD00B4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14DCAF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06EFD61" w14:textId="77777777" w:rsidR="005A043A" w:rsidRDefault="005A043A" w:rsidP="00286762">
            <w:pPr>
              <w:spacing w:after="0"/>
              <w:jc w:val="right"/>
              <w:rPr>
                <w:color w:val="000000"/>
                <w:sz w:val="20"/>
                <w:szCs w:val="20"/>
              </w:rPr>
            </w:pPr>
            <w:r>
              <w:rPr>
                <w:color w:val="000000"/>
                <w:sz w:val="20"/>
                <w:szCs w:val="20"/>
              </w:rPr>
              <w:t>2</w:t>
            </w:r>
          </w:p>
        </w:tc>
      </w:tr>
      <w:tr w:rsidR="005A043A" w14:paraId="11AE3A8D"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2E18AA28" w14:textId="77777777" w:rsidR="005A043A" w:rsidRDefault="005A043A" w:rsidP="00286762">
            <w:pPr>
              <w:spacing w:after="0"/>
              <w:jc w:val="center"/>
              <w:rPr>
                <w:color w:val="000000"/>
                <w:sz w:val="20"/>
                <w:szCs w:val="20"/>
              </w:rPr>
            </w:pPr>
            <w:r>
              <w:rPr>
                <w:color w:val="000000"/>
                <w:sz w:val="20"/>
                <w:szCs w:val="20"/>
              </w:rPr>
              <w:t xml:space="preserve">Garber et al., 1997 </w:t>
            </w:r>
          </w:p>
        </w:tc>
        <w:tc>
          <w:tcPr>
            <w:tcW w:w="1247" w:type="dxa"/>
            <w:tcBorders>
              <w:top w:val="nil"/>
              <w:left w:val="nil"/>
              <w:bottom w:val="single" w:sz="4" w:space="0" w:color="000000"/>
              <w:right w:val="single" w:sz="4" w:space="0" w:color="000000"/>
            </w:tcBorders>
            <w:shd w:val="clear" w:color="auto" w:fill="auto"/>
            <w:vAlign w:val="bottom"/>
          </w:tcPr>
          <w:p w14:paraId="03449DB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A645A5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6EB818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3D5A7A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68DC31A"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782ABF0"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2B0AFAD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F44FB9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474BD9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D9B80F0" w14:textId="77777777" w:rsidR="005A043A" w:rsidRDefault="005A043A" w:rsidP="00286762">
            <w:pPr>
              <w:spacing w:after="0"/>
              <w:jc w:val="right"/>
              <w:rPr>
                <w:color w:val="000000"/>
                <w:sz w:val="20"/>
                <w:szCs w:val="20"/>
              </w:rPr>
            </w:pPr>
            <w:r>
              <w:rPr>
                <w:color w:val="000000"/>
                <w:sz w:val="20"/>
                <w:szCs w:val="20"/>
              </w:rPr>
              <w:t>4</w:t>
            </w:r>
          </w:p>
        </w:tc>
      </w:tr>
      <w:tr w:rsidR="005A043A" w14:paraId="109EFB22"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6408F203" w14:textId="77777777" w:rsidR="005A043A" w:rsidRDefault="005A043A" w:rsidP="00286762">
            <w:pPr>
              <w:spacing w:after="0"/>
              <w:jc w:val="center"/>
              <w:rPr>
                <w:color w:val="000000"/>
                <w:sz w:val="20"/>
                <w:szCs w:val="20"/>
              </w:rPr>
            </w:pPr>
            <w:r>
              <w:rPr>
                <w:color w:val="000000"/>
                <w:sz w:val="20"/>
                <w:szCs w:val="20"/>
              </w:rPr>
              <w:t xml:space="preserve">Garber et al., 2003 </w:t>
            </w:r>
          </w:p>
        </w:tc>
        <w:tc>
          <w:tcPr>
            <w:tcW w:w="1247" w:type="dxa"/>
            <w:tcBorders>
              <w:top w:val="nil"/>
              <w:left w:val="nil"/>
              <w:bottom w:val="single" w:sz="4" w:space="0" w:color="000000"/>
              <w:right w:val="single" w:sz="4" w:space="0" w:color="000000"/>
            </w:tcBorders>
            <w:shd w:val="clear" w:color="auto" w:fill="auto"/>
            <w:vAlign w:val="bottom"/>
          </w:tcPr>
          <w:p w14:paraId="46393F2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D394BE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A21E3B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129B48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800739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45F570D"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89B567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A516E7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107DDDE"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5D7532E" w14:textId="77777777" w:rsidR="005A043A" w:rsidRDefault="005A043A" w:rsidP="00286762">
            <w:pPr>
              <w:spacing w:after="0"/>
              <w:jc w:val="right"/>
              <w:rPr>
                <w:color w:val="000000"/>
                <w:sz w:val="20"/>
                <w:szCs w:val="20"/>
              </w:rPr>
            </w:pPr>
            <w:r>
              <w:rPr>
                <w:color w:val="000000"/>
                <w:sz w:val="20"/>
                <w:szCs w:val="20"/>
              </w:rPr>
              <w:t>6</w:t>
            </w:r>
          </w:p>
        </w:tc>
      </w:tr>
      <w:tr w:rsidR="005A043A" w14:paraId="16FF832D"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3E14FEA6" w14:textId="77777777" w:rsidR="005A043A" w:rsidRDefault="005A043A" w:rsidP="00286762">
            <w:pPr>
              <w:spacing w:after="0"/>
              <w:jc w:val="center"/>
              <w:rPr>
                <w:color w:val="000000"/>
                <w:sz w:val="20"/>
                <w:szCs w:val="20"/>
              </w:rPr>
            </w:pPr>
            <w:r>
              <w:rPr>
                <w:color w:val="000000"/>
                <w:sz w:val="20"/>
                <w:szCs w:val="20"/>
              </w:rPr>
              <w:t>Ghosh et al., 2014</w:t>
            </w:r>
          </w:p>
        </w:tc>
        <w:tc>
          <w:tcPr>
            <w:tcW w:w="1247" w:type="dxa"/>
            <w:tcBorders>
              <w:top w:val="nil"/>
              <w:left w:val="nil"/>
              <w:bottom w:val="single" w:sz="4" w:space="0" w:color="000000"/>
              <w:right w:val="single" w:sz="4" w:space="0" w:color="000000"/>
            </w:tcBorders>
            <w:shd w:val="clear" w:color="auto" w:fill="auto"/>
            <w:vAlign w:val="bottom"/>
          </w:tcPr>
          <w:p w14:paraId="467A021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1AF19C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57BBC15"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36EB4998"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7B732F7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CF20ED4"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3D2F9FE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7152B7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2306A7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670231B" w14:textId="77777777" w:rsidR="005A043A" w:rsidRDefault="005A043A" w:rsidP="00286762">
            <w:pPr>
              <w:spacing w:after="0"/>
              <w:jc w:val="right"/>
              <w:rPr>
                <w:color w:val="000000"/>
                <w:sz w:val="20"/>
                <w:szCs w:val="20"/>
              </w:rPr>
            </w:pPr>
            <w:r>
              <w:rPr>
                <w:color w:val="000000"/>
                <w:sz w:val="20"/>
                <w:szCs w:val="20"/>
              </w:rPr>
              <w:t>3</w:t>
            </w:r>
          </w:p>
        </w:tc>
      </w:tr>
      <w:tr w:rsidR="005A043A" w14:paraId="540FC387"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635809F2" w14:textId="77777777" w:rsidR="005A043A" w:rsidRDefault="005A043A" w:rsidP="00286762">
            <w:pPr>
              <w:spacing w:after="0"/>
              <w:jc w:val="center"/>
              <w:rPr>
                <w:color w:val="000000"/>
                <w:sz w:val="20"/>
                <w:szCs w:val="20"/>
              </w:rPr>
            </w:pPr>
            <w:proofErr w:type="spellStart"/>
            <w:r>
              <w:rPr>
                <w:color w:val="000000"/>
                <w:sz w:val="20"/>
                <w:szCs w:val="20"/>
              </w:rPr>
              <w:t>Göke</w:t>
            </w:r>
            <w:proofErr w:type="spellEnd"/>
            <w:r>
              <w:rPr>
                <w:color w:val="000000"/>
                <w:sz w:val="20"/>
                <w:szCs w:val="20"/>
              </w:rPr>
              <w:t xml:space="preserve"> et al., 2008</w:t>
            </w:r>
          </w:p>
        </w:tc>
        <w:tc>
          <w:tcPr>
            <w:tcW w:w="1247" w:type="dxa"/>
            <w:tcBorders>
              <w:top w:val="nil"/>
              <w:left w:val="nil"/>
              <w:bottom w:val="single" w:sz="4" w:space="0" w:color="000000"/>
              <w:right w:val="single" w:sz="4" w:space="0" w:color="000000"/>
            </w:tcBorders>
            <w:shd w:val="clear" w:color="auto" w:fill="auto"/>
            <w:vAlign w:val="bottom"/>
          </w:tcPr>
          <w:p w14:paraId="43827662"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F0475E6"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92BF2C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60D069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CC1DFD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4B4010F"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489975C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247A77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1F029B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57E29A1" w14:textId="77777777" w:rsidR="005A043A" w:rsidRDefault="005A043A" w:rsidP="00286762">
            <w:pPr>
              <w:spacing w:after="0"/>
              <w:jc w:val="right"/>
              <w:rPr>
                <w:color w:val="000000"/>
                <w:sz w:val="20"/>
                <w:szCs w:val="20"/>
              </w:rPr>
            </w:pPr>
            <w:r>
              <w:rPr>
                <w:color w:val="000000"/>
                <w:sz w:val="20"/>
                <w:szCs w:val="20"/>
              </w:rPr>
              <w:t>5</w:t>
            </w:r>
          </w:p>
        </w:tc>
      </w:tr>
      <w:tr w:rsidR="005A043A" w14:paraId="26145615"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7BCCFB2A" w14:textId="77777777" w:rsidR="005A043A" w:rsidRDefault="005A043A" w:rsidP="00286762">
            <w:pPr>
              <w:spacing w:after="0"/>
              <w:jc w:val="center"/>
              <w:rPr>
                <w:color w:val="000000"/>
                <w:sz w:val="20"/>
                <w:szCs w:val="20"/>
              </w:rPr>
            </w:pPr>
            <w:r>
              <w:rPr>
                <w:color w:val="000000"/>
                <w:sz w:val="20"/>
                <w:szCs w:val="20"/>
              </w:rPr>
              <w:t>Goldstein et al., 2003</w:t>
            </w:r>
          </w:p>
        </w:tc>
        <w:tc>
          <w:tcPr>
            <w:tcW w:w="1247" w:type="dxa"/>
            <w:tcBorders>
              <w:top w:val="nil"/>
              <w:left w:val="nil"/>
              <w:bottom w:val="single" w:sz="4" w:space="0" w:color="000000"/>
              <w:right w:val="single" w:sz="4" w:space="0" w:color="000000"/>
            </w:tcBorders>
            <w:shd w:val="clear" w:color="auto" w:fill="auto"/>
            <w:vAlign w:val="bottom"/>
          </w:tcPr>
          <w:p w14:paraId="01CC746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B99FD2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D92101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7815A4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870B6D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7237BFF"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3758C55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396B2E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75A392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B4EB8CC" w14:textId="77777777" w:rsidR="005A043A" w:rsidRDefault="005A043A" w:rsidP="00286762">
            <w:pPr>
              <w:spacing w:after="0"/>
              <w:jc w:val="right"/>
              <w:rPr>
                <w:color w:val="000000"/>
                <w:sz w:val="20"/>
                <w:szCs w:val="20"/>
              </w:rPr>
            </w:pPr>
            <w:r>
              <w:rPr>
                <w:color w:val="000000"/>
                <w:sz w:val="20"/>
                <w:szCs w:val="20"/>
              </w:rPr>
              <w:t>5</w:t>
            </w:r>
          </w:p>
        </w:tc>
      </w:tr>
      <w:tr w:rsidR="005A043A" w14:paraId="5838E774"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753733A6" w14:textId="77777777" w:rsidR="005A043A" w:rsidRDefault="005A043A" w:rsidP="00286762">
            <w:pPr>
              <w:spacing w:after="0"/>
              <w:jc w:val="center"/>
              <w:rPr>
                <w:color w:val="000000"/>
                <w:sz w:val="20"/>
                <w:szCs w:val="20"/>
              </w:rPr>
            </w:pPr>
            <w:r>
              <w:rPr>
                <w:color w:val="000000"/>
                <w:sz w:val="20"/>
                <w:szCs w:val="20"/>
              </w:rPr>
              <w:t>Gottschalk et al., 2007</w:t>
            </w:r>
          </w:p>
        </w:tc>
        <w:tc>
          <w:tcPr>
            <w:tcW w:w="1247" w:type="dxa"/>
            <w:tcBorders>
              <w:top w:val="nil"/>
              <w:left w:val="nil"/>
              <w:bottom w:val="single" w:sz="4" w:space="0" w:color="000000"/>
              <w:right w:val="single" w:sz="4" w:space="0" w:color="000000"/>
            </w:tcBorders>
            <w:shd w:val="clear" w:color="auto" w:fill="auto"/>
            <w:vAlign w:val="bottom"/>
          </w:tcPr>
          <w:p w14:paraId="61C5673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D15387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2250440"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4120FA5E"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2931D04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710DFE1"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5D69A6A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92A844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F2128BA"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624435C" w14:textId="77777777" w:rsidR="005A043A" w:rsidRDefault="005A043A" w:rsidP="00286762">
            <w:pPr>
              <w:spacing w:after="0"/>
              <w:jc w:val="right"/>
              <w:rPr>
                <w:color w:val="000000"/>
                <w:sz w:val="20"/>
                <w:szCs w:val="20"/>
              </w:rPr>
            </w:pPr>
            <w:r>
              <w:rPr>
                <w:color w:val="000000"/>
                <w:sz w:val="20"/>
                <w:szCs w:val="20"/>
              </w:rPr>
              <w:t>2</w:t>
            </w:r>
          </w:p>
        </w:tc>
      </w:tr>
      <w:tr w:rsidR="005A043A" w14:paraId="5A1AC0EA"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1A142E7A" w14:textId="77777777" w:rsidR="005A043A" w:rsidRDefault="005A043A" w:rsidP="00286762">
            <w:pPr>
              <w:spacing w:after="0"/>
              <w:jc w:val="center"/>
              <w:rPr>
                <w:color w:val="000000"/>
                <w:sz w:val="20"/>
                <w:szCs w:val="20"/>
              </w:rPr>
            </w:pPr>
            <w:proofErr w:type="spellStart"/>
            <w:r>
              <w:rPr>
                <w:color w:val="000000"/>
                <w:sz w:val="20"/>
                <w:szCs w:val="20"/>
              </w:rPr>
              <w:t>Haak</w:t>
            </w:r>
            <w:proofErr w:type="spellEnd"/>
            <w:r>
              <w:rPr>
                <w:color w:val="000000"/>
                <w:sz w:val="20"/>
                <w:szCs w:val="20"/>
              </w:rPr>
              <w:t xml:space="preserve"> et al., 2012a</w:t>
            </w:r>
          </w:p>
        </w:tc>
        <w:tc>
          <w:tcPr>
            <w:tcW w:w="1247" w:type="dxa"/>
            <w:tcBorders>
              <w:top w:val="nil"/>
              <w:left w:val="nil"/>
              <w:bottom w:val="single" w:sz="4" w:space="0" w:color="000000"/>
              <w:right w:val="single" w:sz="4" w:space="0" w:color="000000"/>
            </w:tcBorders>
            <w:shd w:val="clear" w:color="auto" w:fill="auto"/>
            <w:vAlign w:val="bottom"/>
          </w:tcPr>
          <w:p w14:paraId="1347AFE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034D40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5B66AC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22B3F8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030820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FF8D634"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383E784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F9A4C6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D73211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4C8E589" w14:textId="77777777" w:rsidR="005A043A" w:rsidRDefault="005A043A" w:rsidP="00286762">
            <w:pPr>
              <w:spacing w:after="0"/>
              <w:jc w:val="right"/>
              <w:rPr>
                <w:color w:val="000000"/>
                <w:sz w:val="20"/>
                <w:szCs w:val="20"/>
              </w:rPr>
            </w:pPr>
            <w:r>
              <w:rPr>
                <w:color w:val="000000"/>
                <w:sz w:val="20"/>
                <w:szCs w:val="20"/>
              </w:rPr>
              <w:t>5</w:t>
            </w:r>
          </w:p>
        </w:tc>
      </w:tr>
      <w:tr w:rsidR="005A043A" w14:paraId="4F9137D8"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4F67AC7F" w14:textId="77777777" w:rsidR="005A043A" w:rsidRDefault="005A043A" w:rsidP="00286762">
            <w:pPr>
              <w:spacing w:after="0"/>
              <w:jc w:val="center"/>
              <w:rPr>
                <w:color w:val="000000"/>
                <w:sz w:val="20"/>
                <w:szCs w:val="20"/>
              </w:rPr>
            </w:pPr>
            <w:proofErr w:type="spellStart"/>
            <w:r>
              <w:rPr>
                <w:color w:val="000000"/>
                <w:sz w:val="20"/>
                <w:szCs w:val="20"/>
              </w:rPr>
              <w:t>Haak</w:t>
            </w:r>
            <w:proofErr w:type="spellEnd"/>
            <w:r>
              <w:rPr>
                <w:color w:val="000000"/>
                <w:sz w:val="20"/>
                <w:szCs w:val="20"/>
              </w:rPr>
              <w:t xml:space="preserve"> et al., 2012b</w:t>
            </w:r>
          </w:p>
        </w:tc>
        <w:tc>
          <w:tcPr>
            <w:tcW w:w="1247" w:type="dxa"/>
            <w:tcBorders>
              <w:top w:val="nil"/>
              <w:left w:val="nil"/>
              <w:bottom w:val="single" w:sz="4" w:space="0" w:color="000000"/>
              <w:right w:val="single" w:sz="4" w:space="0" w:color="000000"/>
            </w:tcBorders>
            <w:shd w:val="clear" w:color="auto" w:fill="auto"/>
            <w:vAlign w:val="bottom"/>
          </w:tcPr>
          <w:p w14:paraId="575155A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64FFFD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616FE4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B269AF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3143BD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A488AD5"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7C03049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AD3EE5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F6A9522"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6E80EEB" w14:textId="77777777" w:rsidR="005A043A" w:rsidRDefault="005A043A" w:rsidP="00286762">
            <w:pPr>
              <w:spacing w:after="0"/>
              <w:jc w:val="right"/>
              <w:rPr>
                <w:color w:val="000000"/>
                <w:sz w:val="20"/>
                <w:szCs w:val="20"/>
              </w:rPr>
            </w:pPr>
            <w:r>
              <w:rPr>
                <w:color w:val="000000"/>
                <w:sz w:val="20"/>
                <w:szCs w:val="20"/>
              </w:rPr>
              <w:t>5</w:t>
            </w:r>
          </w:p>
        </w:tc>
      </w:tr>
      <w:tr w:rsidR="005A043A" w14:paraId="6467A382"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11183795" w14:textId="77777777" w:rsidR="005A043A" w:rsidRDefault="005A043A" w:rsidP="00286762">
            <w:pPr>
              <w:spacing w:after="0"/>
              <w:jc w:val="center"/>
              <w:rPr>
                <w:color w:val="000000"/>
                <w:sz w:val="20"/>
                <w:szCs w:val="20"/>
              </w:rPr>
            </w:pPr>
            <w:r>
              <w:rPr>
                <w:color w:val="000000"/>
                <w:sz w:val="20"/>
                <w:szCs w:val="20"/>
              </w:rPr>
              <w:lastRenderedPageBreak/>
              <w:t>Henry et al., 2012a</w:t>
            </w:r>
          </w:p>
        </w:tc>
        <w:tc>
          <w:tcPr>
            <w:tcW w:w="1247" w:type="dxa"/>
            <w:tcBorders>
              <w:top w:val="nil"/>
              <w:left w:val="nil"/>
              <w:bottom w:val="single" w:sz="4" w:space="0" w:color="000000"/>
              <w:right w:val="single" w:sz="4" w:space="0" w:color="000000"/>
            </w:tcBorders>
            <w:shd w:val="clear" w:color="auto" w:fill="auto"/>
            <w:vAlign w:val="bottom"/>
          </w:tcPr>
          <w:p w14:paraId="691907F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054BCA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DD6CFB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4EAEF3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3E86D3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6B1EAF0"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728EAF8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6F0028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09D583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F4D52A0" w14:textId="77777777" w:rsidR="005A043A" w:rsidRDefault="005A043A" w:rsidP="00286762">
            <w:pPr>
              <w:spacing w:after="0"/>
              <w:jc w:val="right"/>
              <w:rPr>
                <w:color w:val="000000"/>
                <w:sz w:val="20"/>
                <w:szCs w:val="20"/>
              </w:rPr>
            </w:pPr>
            <w:r>
              <w:rPr>
                <w:color w:val="000000"/>
                <w:sz w:val="20"/>
                <w:szCs w:val="20"/>
              </w:rPr>
              <w:t>6</w:t>
            </w:r>
          </w:p>
        </w:tc>
      </w:tr>
      <w:tr w:rsidR="005A043A" w14:paraId="701BD552"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76F894D4" w14:textId="77777777" w:rsidR="005A043A" w:rsidRDefault="005A043A" w:rsidP="00286762">
            <w:pPr>
              <w:spacing w:after="0"/>
              <w:jc w:val="center"/>
              <w:rPr>
                <w:color w:val="000000"/>
                <w:sz w:val="20"/>
                <w:szCs w:val="20"/>
              </w:rPr>
            </w:pPr>
            <w:r>
              <w:rPr>
                <w:color w:val="000000"/>
                <w:sz w:val="20"/>
                <w:szCs w:val="20"/>
              </w:rPr>
              <w:t>Henry et al., 2012b</w:t>
            </w:r>
          </w:p>
        </w:tc>
        <w:tc>
          <w:tcPr>
            <w:tcW w:w="1247" w:type="dxa"/>
            <w:tcBorders>
              <w:top w:val="nil"/>
              <w:left w:val="nil"/>
              <w:bottom w:val="single" w:sz="4" w:space="0" w:color="000000"/>
              <w:right w:val="single" w:sz="4" w:space="0" w:color="000000"/>
            </w:tcBorders>
            <w:shd w:val="clear" w:color="auto" w:fill="auto"/>
            <w:vAlign w:val="bottom"/>
          </w:tcPr>
          <w:p w14:paraId="39728AB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A40788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65BC78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A0257C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6EEC0B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0650321"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2E35D51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23DA85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270775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F9EF4A2" w14:textId="77777777" w:rsidR="005A043A" w:rsidRDefault="005A043A" w:rsidP="00286762">
            <w:pPr>
              <w:spacing w:after="0"/>
              <w:jc w:val="right"/>
              <w:rPr>
                <w:color w:val="000000"/>
                <w:sz w:val="20"/>
                <w:szCs w:val="20"/>
              </w:rPr>
            </w:pPr>
            <w:r>
              <w:rPr>
                <w:color w:val="000000"/>
                <w:sz w:val="20"/>
                <w:szCs w:val="20"/>
              </w:rPr>
              <w:t>6</w:t>
            </w:r>
          </w:p>
        </w:tc>
      </w:tr>
      <w:tr w:rsidR="005A043A" w14:paraId="27000578"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76D3AF42" w14:textId="77777777" w:rsidR="005A043A" w:rsidRDefault="005A043A" w:rsidP="00286762">
            <w:pPr>
              <w:spacing w:after="0"/>
              <w:jc w:val="center"/>
              <w:rPr>
                <w:color w:val="000000"/>
                <w:sz w:val="20"/>
                <w:szCs w:val="20"/>
              </w:rPr>
            </w:pPr>
            <w:r>
              <w:rPr>
                <w:color w:val="000000"/>
                <w:sz w:val="20"/>
                <w:szCs w:val="20"/>
              </w:rPr>
              <w:t>Hemans et al., 2012</w:t>
            </w:r>
          </w:p>
        </w:tc>
        <w:tc>
          <w:tcPr>
            <w:tcW w:w="1247" w:type="dxa"/>
            <w:tcBorders>
              <w:top w:val="nil"/>
              <w:left w:val="nil"/>
              <w:bottom w:val="single" w:sz="4" w:space="0" w:color="000000"/>
              <w:right w:val="single" w:sz="4" w:space="0" w:color="000000"/>
            </w:tcBorders>
            <w:shd w:val="clear" w:color="auto" w:fill="auto"/>
            <w:vAlign w:val="bottom"/>
          </w:tcPr>
          <w:p w14:paraId="31F77C9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E72E82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940BDF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3C5782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99EBFC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A2F8F01"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D8DFA2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AC3378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E365C8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688BE79" w14:textId="77777777" w:rsidR="005A043A" w:rsidRDefault="005A043A" w:rsidP="00286762">
            <w:pPr>
              <w:spacing w:after="0"/>
              <w:jc w:val="right"/>
              <w:rPr>
                <w:color w:val="000000"/>
                <w:sz w:val="20"/>
                <w:szCs w:val="20"/>
              </w:rPr>
            </w:pPr>
            <w:r>
              <w:rPr>
                <w:color w:val="000000"/>
                <w:sz w:val="20"/>
                <w:szCs w:val="20"/>
              </w:rPr>
              <w:t>5</w:t>
            </w:r>
          </w:p>
        </w:tc>
      </w:tr>
      <w:tr w:rsidR="005A043A" w14:paraId="40B06BFD"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46DE9A72" w14:textId="77777777" w:rsidR="005A043A" w:rsidRDefault="005A043A" w:rsidP="00286762">
            <w:pPr>
              <w:spacing w:after="0"/>
              <w:jc w:val="center"/>
              <w:rPr>
                <w:color w:val="000000"/>
                <w:sz w:val="20"/>
                <w:szCs w:val="20"/>
              </w:rPr>
            </w:pPr>
            <w:r>
              <w:rPr>
                <w:color w:val="000000"/>
                <w:sz w:val="20"/>
                <w:szCs w:val="20"/>
              </w:rPr>
              <w:t>Horton et al., 2004</w:t>
            </w:r>
          </w:p>
        </w:tc>
        <w:tc>
          <w:tcPr>
            <w:tcW w:w="1247" w:type="dxa"/>
            <w:tcBorders>
              <w:top w:val="nil"/>
              <w:left w:val="nil"/>
              <w:bottom w:val="single" w:sz="4" w:space="0" w:color="000000"/>
              <w:right w:val="single" w:sz="4" w:space="0" w:color="000000"/>
            </w:tcBorders>
            <w:shd w:val="clear" w:color="auto" w:fill="auto"/>
            <w:vAlign w:val="bottom"/>
          </w:tcPr>
          <w:p w14:paraId="64D7D6B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753FE8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C58135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9EA3D4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A3DBCD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D81403D"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628A6BB4"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7352C8D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9F06C0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76DF72E" w14:textId="77777777" w:rsidR="005A043A" w:rsidRDefault="005A043A" w:rsidP="00286762">
            <w:pPr>
              <w:spacing w:after="0"/>
              <w:jc w:val="right"/>
              <w:rPr>
                <w:color w:val="000000"/>
                <w:sz w:val="20"/>
                <w:szCs w:val="20"/>
              </w:rPr>
            </w:pPr>
            <w:r>
              <w:rPr>
                <w:color w:val="000000"/>
                <w:sz w:val="20"/>
                <w:szCs w:val="20"/>
              </w:rPr>
              <w:t>3</w:t>
            </w:r>
          </w:p>
        </w:tc>
      </w:tr>
      <w:tr w:rsidR="005A043A" w14:paraId="6A959681"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4B2B9F4D" w14:textId="77777777" w:rsidR="005A043A" w:rsidRDefault="005A043A" w:rsidP="00286762">
            <w:pPr>
              <w:spacing w:after="0"/>
              <w:jc w:val="center"/>
              <w:rPr>
                <w:color w:val="000000"/>
                <w:sz w:val="20"/>
                <w:szCs w:val="20"/>
              </w:rPr>
            </w:pPr>
            <w:proofErr w:type="spellStart"/>
            <w:r>
              <w:rPr>
                <w:color w:val="000000"/>
                <w:sz w:val="20"/>
                <w:szCs w:val="20"/>
              </w:rPr>
              <w:t>Jadzinsky</w:t>
            </w:r>
            <w:proofErr w:type="spellEnd"/>
            <w:r>
              <w:rPr>
                <w:color w:val="000000"/>
                <w:sz w:val="20"/>
                <w:szCs w:val="20"/>
              </w:rPr>
              <w:t xml:space="preserve"> et al., 2009</w:t>
            </w:r>
          </w:p>
        </w:tc>
        <w:tc>
          <w:tcPr>
            <w:tcW w:w="1247" w:type="dxa"/>
            <w:tcBorders>
              <w:top w:val="nil"/>
              <w:left w:val="nil"/>
              <w:bottom w:val="single" w:sz="4" w:space="0" w:color="000000"/>
              <w:right w:val="single" w:sz="4" w:space="0" w:color="000000"/>
            </w:tcBorders>
            <w:shd w:val="clear" w:color="auto" w:fill="auto"/>
            <w:vAlign w:val="bottom"/>
          </w:tcPr>
          <w:p w14:paraId="638B375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ED80EA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1B7000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488BAA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C6C5AE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3E7198B"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3CBBEF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A6AD36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F3D6BB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25B1085" w14:textId="77777777" w:rsidR="005A043A" w:rsidRDefault="005A043A" w:rsidP="00286762">
            <w:pPr>
              <w:spacing w:after="0"/>
              <w:jc w:val="right"/>
              <w:rPr>
                <w:color w:val="000000"/>
                <w:sz w:val="20"/>
                <w:szCs w:val="20"/>
              </w:rPr>
            </w:pPr>
            <w:r>
              <w:rPr>
                <w:color w:val="000000"/>
                <w:sz w:val="20"/>
                <w:szCs w:val="20"/>
              </w:rPr>
              <w:t>6</w:t>
            </w:r>
          </w:p>
        </w:tc>
      </w:tr>
      <w:tr w:rsidR="005A043A" w14:paraId="1591799A"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07BBCB0D" w14:textId="77777777" w:rsidR="005A043A" w:rsidRDefault="005A043A" w:rsidP="00286762">
            <w:pPr>
              <w:spacing w:after="0"/>
              <w:jc w:val="center"/>
              <w:rPr>
                <w:color w:val="000000"/>
                <w:sz w:val="20"/>
                <w:szCs w:val="20"/>
              </w:rPr>
            </w:pPr>
            <w:r>
              <w:rPr>
                <w:color w:val="000000"/>
                <w:sz w:val="20"/>
                <w:szCs w:val="20"/>
              </w:rPr>
              <w:t>Ji et al., 2016a</w:t>
            </w:r>
          </w:p>
        </w:tc>
        <w:tc>
          <w:tcPr>
            <w:tcW w:w="1247" w:type="dxa"/>
            <w:tcBorders>
              <w:top w:val="nil"/>
              <w:left w:val="nil"/>
              <w:bottom w:val="single" w:sz="4" w:space="0" w:color="000000"/>
              <w:right w:val="single" w:sz="4" w:space="0" w:color="000000"/>
            </w:tcBorders>
            <w:shd w:val="clear" w:color="auto" w:fill="auto"/>
            <w:vAlign w:val="bottom"/>
          </w:tcPr>
          <w:p w14:paraId="4A6972A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A618FE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BDB1D3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FFD721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90EE0C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AD12461"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546D762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65B8D7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14FD8E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F406C8E" w14:textId="77777777" w:rsidR="005A043A" w:rsidRDefault="005A043A" w:rsidP="00286762">
            <w:pPr>
              <w:spacing w:after="0"/>
              <w:jc w:val="right"/>
              <w:rPr>
                <w:color w:val="000000"/>
                <w:sz w:val="20"/>
                <w:szCs w:val="20"/>
              </w:rPr>
            </w:pPr>
            <w:r>
              <w:rPr>
                <w:color w:val="000000"/>
                <w:sz w:val="20"/>
                <w:szCs w:val="20"/>
              </w:rPr>
              <w:t>5</w:t>
            </w:r>
          </w:p>
        </w:tc>
      </w:tr>
      <w:tr w:rsidR="005A043A" w14:paraId="07D45830"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08F2CB43" w14:textId="77777777" w:rsidR="005A043A" w:rsidRDefault="005A043A" w:rsidP="00286762">
            <w:pPr>
              <w:spacing w:after="0"/>
              <w:jc w:val="center"/>
              <w:rPr>
                <w:color w:val="000000"/>
                <w:sz w:val="20"/>
                <w:szCs w:val="20"/>
              </w:rPr>
            </w:pPr>
            <w:r>
              <w:rPr>
                <w:color w:val="000000"/>
                <w:sz w:val="20"/>
                <w:szCs w:val="20"/>
              </w:rPr>
              <w:t>Ji et al., 2016b</w:t>
            </w:r>
          </w:p>
        </w:tc>
        <w:tc>
          <w:tcPr>
            <w:tcW w:w="1247" w:type="dxa"/>
            <w:tcBorders>
              <w:top w:val="nil"/>
              <w:left w:val="nil"/>
              <w:bottom w:val="single" w:sz="4" w:space="0" w:color="000000"/>
              <w:right w:val="single" w:sz="4" w:space="0" w:color="000000"/>
            </w:tcBorders>
            <w:shd w:val="clear" w:color="auto" w:fill="auto"/>
            <w:vAlign w:val="bottom"/>
          </w:tcPr>
          <w:p w14:paraId="656C734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C90200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02951D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C3629E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4F37476"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AC7CD5F"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0E1EB50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B14207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E2E5B4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370C222" w14:textId="77777777" w:rsidR="005A043A" w:rsidRDefault="005A043A" w:rsidP="00286762">
            <w:pPr>
              <w:spacing w:after="0"/>
              <w:jc w:val="right"/>
              <w:rPr>
                <w:color w:val="000000"/>
                <w:sz w:val="20"/>
                <w:szCs w:val="20"/>
              </w:rPr>
            </w:pPr>
            <w:r>
              <w:rPr>
                <w:color w:val="000000"/>
                <w:sz w:val="20"/>
                <w:szCs w:val="20"/>
              </w:rPr>
              <w:t>5</w:t>
            </w:r>
          </w:p>
        </w:tc>
      </w:tr>
      <w:tr w:rsidR="005A043A" w14:paraId="7C3133AF"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7847E800" w14:textId="77777777" w:rsidR="005A043A" w:rsidRDefault="005A043A" w:rsidP="00286762">
            <w:pPr>
              <w:spacing w:after="0"/>
              <w:jc w:val="center"/>
              <w:rPr>
                <w:color w:val="000000"/>
                <w:sz w:val="20"/>
                <w:szCs w:val="20"/>
              </w:rPr>
            </w:pPr>
            <w:r>
              <w:rPr>
                <w:color w:val="000000"/>
                <w:sz w:val="20"/>
                <w:szCs w:val="20"/>
              </w:rPr>
              <w:t>Ji et al., 2017</w:t>
            </w:r>
          </w:p>
        </w:tc>
        <w:tc>
          <w:tcPr>
            <w:tcW w:w="1247" w:type="dxa"/>
            <w:tcBorders>
              <w:top w:val="nil"/>
              <w:left w:val="nil"/>
              <w:bottom w:val="single" w:sz="4" w:space="0" w:color="000000"/>
              <w:right w:val="single" w:sz="4" w:space="0" w:color="000000"/>
            </w:tcBorders>
            <w:shd w:val="clear" w:color="auto" w:fill="auto"/>
            <w:vAlign w:val="bottom"/>
          </w:tcPr>
          <w:p w14:paraId="799C3B8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9A4FA91"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92D79FF"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70AE0613"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5F2BE9F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2BB3AF0"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53D0E85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06E6C0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733569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78E6123" w14:textId="77777777" w:rsidR="005A043A" w:rsidRDefault="005A043A" w:rsidP="00286762">
            <w:pPr>
              <w:spacing w:after="0"/>
              <w:jc w:val="right"/>
              <w:rPr>
                <w:color w:val="000000"/>
                <w:sz w:val="20"/>
                <w:szCs w:val="20"/>
              </w:rPr>
            </w:pPr>
            <w:r>
              <w:rPr>
                <w:color w:val="000000"/>
                <w:sz w:val="20"/>
                <w:szCs w:val="20"/>
              </w:rPr>
              <w:t>3</w:t>
            </w:r>
          </w:p>
        </w:tc>
      </w:tr>
      <w:tr w:rsidR="005A043A" w14:paraId="41A39607"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0698B4B8" w14:textId="77777777" w:rsidR="005A043A" w:rsidRDefault="005A043A" w:rsidP="00286762">
            <w:pPr>
              <w:spacing w:after="0"/>
              <w:jc w:val="center"/>
              <w:rPr>
                <w:color w:val="000000"/>
                <w:sz w:val="20"/>
                <w:szCs w:val="20"/>
              </w:rPr>
            </w:pPr>
            <w:r>
              <w:rPr>
                <w:color w:val="000000"/>
                <w:sz w:val="20"/>
                <w:szCs w:val="20"/>
              </w:rPr>
              <w:t>Ji et al., 2015</w:t>
            </w:r>
          </w:p>
        </w:tc>
        <w:tc>
          <w:tcPr>
            <w:tcW w:w="1247" w:type="dxa"/>
            <w:tcBorders>
              <w:top w:val="nil"/>
              <w:left w:val="nil"/>
              <w:bottom w:val="single" w:sz="4" w:space="0" w:color="000000"/>
              <w:right w:val="single" w:sz="4" w:space="0" w:color="000000"/>
            </w:tcBorders>
            <w:shd w:val="clear" w:color="auto" w:fill="auto"/>
            <w:vAlign w:val="bottom"/>
          </w:tcPr>
          <w:p w14:paraId="2B5998F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74CFB7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F57DA9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86AF02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98C2C0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18238B3"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0BC6064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6EC27D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CC2211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E7CB7C9" w14:textId="77777777" w:rsidR="005A043A" w:rsidRDefault="005A043A" w:rsidP="00286762">
            <w:pPr>
              <w:spacing w:after="0"/>
              <w:jc w:val="right"/>
              <w:rPr>
                <w:color w:val="000000"/>
                <w:sz w:val="20"/>
                <w:szCs w:val="20"/>
              </w:rPr>
            </w:pPr>
            <w:r>
              <w:rPr>
                <w:color w:val="000000"/>
                <w:sz w:val="20"/>
                <w:szCs w:val="20"/>
              </w:rPr>
              <w:t>4</w:t>
            </w:r>
          </w:p>
        </w:tc>
      </w:tr>
      <w:tr w:rsidR="005A043A" w14:paraId="1ED23968"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3BBF55B2" w14:textId="77777777" w:rsidR="005A043A" w:rsidRDefault="005A043A" w:rsidP="00286762">
            <w:pPr>
              <w:spacing w:after="0"/>
              <w:jc w:val="center"/>
              <w:rPr>
                <w:color w:val="000000"/>
                <w:sz w:val="20"/>
                <w:szCs w:val="20"/>
              </w:rPr>
            </w:pPr>
            <w:r>
              <w:rPr>
                <w:color w:val="000000"/>
                <w:sz w:val="20"/>
                <w:szCs w:val="20"/>
              </w:rPr>
              <w:t>Kahn et al., 2006</w:t>
            </w:r>
          </w:p>
        </w:tc>
        <w:tc>
          <w:tcPr>
            <w:tcW w:w="1247" w:type="dxa"/>
            <w:tcBorders>
              <w:top w:val="nil"/>
              <w:left w:val="nil"/>
              <w:bottom w:val="single" w:sz="4" w:space="0" w:color="000000"/>
              <w:right w:val="single" w:sz="4" w:space="0" w:color="000000"/>
            </w:tcBorders>
            <w:shd w:val="clear" w:color="auto" w:fill="auto"/>
            <w:vAlign w:val="bottom"/>
          </w:tcPr>
          <w:p w14:paraId="36476E9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D6BA53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5AF59C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313CC6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994A21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61A578C"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3B9D428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B0DA5A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599FB5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F4C57D4" w14:textId="77777777" w:rsidR="005A043A" w:rsidRDefault="005A043A" w:rsidP="00286762">
            <w:pPr>
              <w:spacing w:after="0"/>
              <w:jc w:val="right"/>
              <w:rPr>
                <w:color w:val="000000"/>
                <w:sz w:val="20"/>
                <w:szCs w:val="20"/>
              </w:rPr>
            </w:pPr>
            <w:r>
              <w:rPr>
                <w:color w:val="000000"/>
                <w:sz w:val="20"/>
                <w:szCs w:val="20"/>
              </w:rPr>
              <w:t>7</w:t>
            </w:r>
          </w:p>
        </w:tc>
      </w:tr>
      <w:tr w:rsidR="005A043A" w14:paraId="727EBAA8"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01F11903" w14:textId="77777777" w:rsidR="005A043A" w:rsidRDefault="005A043A" w:rsidP="00286762">
            <w:pPr>
              <w:spacing w:after="0"/>
              <w:jc w:val="center"/>
              <w:rPr>
                <w:color w:val="000000"/>
                <w:sz w:val="20"/>
                <w:szCs w:val="20"/>
              </w:rPr>
            </w:pPr>
            <w:r>
              <w:rPr>
                <w:color w:val="000000"/>
                <w:sz w:val="20"/>
                <w:szCs w:val="20"/>
              </w:rPr>
              <w:t>Kim et al., 2014</w:t>
            </w:r>
          </w:p>
        </w:tc>
        <w:tc>
          <w:tcPr>
            <w:tcW w:w="1247" w:type="dxa"/>
            <w:tcBorders>
              <w:top w:val="nil"/>
              <w:left w:val="nil"/>
              <w:bottom w:val="single" w:sz="4" w:space="0" w:color="000000"/>
              <w:right w:val="single" w:sz="4" w:space="0" w:color="000000"/>
            </w:tcBorders>
            <w:shd w:val="clear" w:color="auto" w:fill="auto"/>
            <w:vAlign w:val="bottom"/>
          </w:tcPr>
          <w:p w14:paraId="19592D7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D3293A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857B247"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075F3F9D"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6C181A2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3AFA214"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33E9D2B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C45EDF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1C789C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EFE7296" w14:textId="77777777" w:rsidR="005A043A" w:rsidRDefault="005A043A" w:rsidP="00286762">
            <w:pPr>
              <w:spacing w:after="0"/>
              <w:jc w:val="right"/>
              <w:rPr>
                <w:color w:val="000000"/>
                <w:sz w:val="20"/>
                <w:szCs w:val="20"/>
              </w:rPr>
            </w:pPr>
            <w:r>
              <w:rPr>
                <w:color w:val="000000"/>
                <w:sz w:val="20"/>
                <w:szCs w:val="20"/>
              </w:rPr>
              <w:t>3</w:t>
            </w:r>
          </w:p>
        </w:tc>
      </w:tr>
      <w:tr w:rsidR="005A043A" w14:paraId="1D8519B7"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02CBBAE4" w14:textId="77777777" w:rsidR="005A043A" w:rsidRDefault="005A043A" w:rsidP="00286762">
            <w:pPr>
              <w:spacing w:after="0"/>
              <w:jc w:val="center"/>
              <w:rPr>
                <w:color w:val="000000"/>
                <w:sz w:val="20"/>
                <w:szCs w:val="20"/>
              </w:rPr>
            </w:pPr>
            <w:r>
              <w:rPr>
                <w:color w:val="000000"/>
                <w:sz w:val="20"/>
                <w:szCs w:val="20"/>
              </w:rPr>
              <w:t>Lim et al., 2016</w:t>
            </w:r>
          </w:p>
        </w:tc>
        <w:tc>
          <w:tcPr>
            <w:tcW w:w="1247" w:type="dxa"/>
            <w:tcBorders>
              <w:top w:val="nil"/>
              <w:left w:val="nil"/>
              <w:bottom w:val="single" w:sz="4" w:space="0" w:color="000000"/>
              <w:right w:val="single" w:sz="4" w:space="0" w:color="000000"/>
            </w:tcBorders>
            <w:shd w:val="clear" w:color="auto" w:fill="auto"/>
            <w:vAlign w:val="bottom"/>
          </w:tcPr>
          <w:p w14:paraId="5CCD7A0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1CFE132"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EFF2CE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E6A8FC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91ABAC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17C5D4E"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B143A3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20A821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82D621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019EC25" w14:textId="77777777" w:rsidR="005A043A" w:rsidRDefault="005A043A" w:rsidP="00286762">
            <w:pPr>
              <w:spacing w:after="0"/>
              <w:jc w:val="right"/>
              <w:rPr>
                <w:color w:val="000000"/>
                <w:sz w:val="20"/>
                <w:szCs w:val="20"/>
              </w:rPr>
            </w:pPr>
            <w:r>
              <w:rPr>
                <w:color w:val="000000"/>
                <w:sz w:val="20"/>
                <w:szCs w:val="20"/>
              </w:rPr>
              <w:t>4</w:t>
            </w:r>
          </w:p>
        </w:tc>
      </w:tr>
      <w:tr w:rsidR="005A043A" w14:paraId="6052BD0D"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163845E5" w14:textId="77777777" w:rsidR="005A043A" w:rsidRDefault="005A043A" w:rsidP="00286762">
            <w:pPr>
              <w:spacing w:after="0"/>
              <w:jc w:val="center"/>
              <w:rPr>
                <w:color w:val="000000"/>
                <w:sz w:val="20"/>
                <w:szCs w:val="20"/>
              </w:rPr>
            </w:pPr>
            <w:r>
              <w:rPr>
                <w:color w:val="000000"/>
                <w:sz w:val="20"/>
                <w:szCs w:val="20"/>
              </w:rPr>
              <w:t>Ma et al., 2014</w:t>
            </w:r>
          </w:p>
        </w:tc>
        <w:tc>
          <w:tcPr>
            <w:tcW w:w="1247" w:type="dxa"/>
            <w:tcBorders>
              <w:top w:val="nil"/>
              <w:left w:val="nil"/>
              <w:bottom w:val="single" w:sz="4" w:space="0" w:color="000000"/>
              <w:right w:val="single" w:sz="4" w:space="0" w:color="000000"/>
            </w:tcBorders>
            <w:shd w:val="clear" w:color="auto" w:fill="auto"/>
            <w:vAlign w:val="bottom"/>
          </w:tcPr>
          <w:p w14:paraId="07DE0F7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D037D86"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9F37A36"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CA43F4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41BB86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67EBADC"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06D3698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784578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B1FB19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9EBA62B" w14:textId="77777777" w:rsidR="005A043A" w:rsidRDefault="005A043A" w:rsidP="00286762">
            <w:pPr>
              <w:spacing w:after="0"/>
              <w:jc w:val="right"/>
              <w:rPr>
                <w:color w:val="000000"/>
                <w:sz w:val="20"/>
                <w:szCs w:val="20"/>
              </w:rPr>
            </w:pPr>
            <w:r>
              <w:rPr>
                <w:color w:val="000000"/>
                <w:sz w:val="20"/>
                <w:szCs w:val="20"/>
              </w:rPr>
              <w:t>1</w:t>
            </w:r>
          </w:p>
        </w:tc>
      </w:tr>
      <w:tr w:rsidR="005A043A" w14:paraId="3A71B054"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612B7842" w14:textId="77777777" w:rsidR="005A043A" w:rsidRDefault="005A043A" w:rsidP="00286762">
            <w:pPr>
              <w:spacing w:after="0"/>
              <w:jc w:val="center"/>
              <w:rPr>
                <w:color w:val="000000"/>
                <w:sz w:val="20"/>
                <w:szCs w:val="20"/>
              </w:rPr>
            </w:pPr>
            <w:r>
              <w:rPr>
                <w:color w:val="000000"/>
                <w:sz w:val="20"/>
                <w:szCs w:val="20"/>
              </w:rPr>
              <w:t>Moses et al., 1999</w:t>
            </w:r>
          </w:p>
        </w:tc>
        <w:tc>
          <w:tcPr>
            <w:tcW w:w="1247" w:type="dxa"/>
            <w:tcBorders>
              <w:top w:val="nil"/>
              <w:left w:val="nil"/>
              <w:bottom w:val="single" w:sz="4" w:space="0" w:color="000000"/>
              <w:right w:val="single" w:sz="4" w:space="0" w:color="000000"/>
            </w:tcBorders>
            <w:shd w:val="clear" w:color="auto" w:fill="auto"/>
            <w:vAlign w:val="bottom"/>
          </w:tcPr>
          <w:p w14:paraId="5BB1625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F160F0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C4A4EB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9BA828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32EF3F2"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B5188DF"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21FC9374"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71B184B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23CFD1A"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8C6B745" w14:textId="77777777" w:rsidR="005A043A" w:rsidRDefault="005A043A" w:rsidP="00286762">
            <w:pPr>
              <w:spacing w:after="0"/>
              <w:jc w:val="right"/>
              <w:rPr>
                <w:color w:val="000000"/>
                <w:sz w:val="20"/>
                <w:szCs w:val="20"/>
              </w:rPr>
            </w:pPr>
            <w:r>
              <w:rPr>
                <w:color w:val="000000"/>
                <w:sz w:val="20"/>
                <w:szCs w:val="20"/>
              </w:rPr>
              <w:t>2</w:t>
            </w:r>
          </w:p>
        </w:tc>
      </w:tr>
      <w:tr w:rsidR="005A043A" w14:paraId="1177A2EC"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36864D53" w14:textId="77777777" w:rsidR="005A043A" w:rsidRDefault="005A043A" w:rsidP="00286762">
            <w:pPr>
              <w:spacing w:after="0"/>
              <w:jc w:val="center"/>
              <w:rPr>
                <w:color w:val="000000"/>
                <w:sz w:val="20"/>
                <w:szCs w:val="20"/>
              </w:rPr>
            </w:pPr>
            <w:proofErr w:type="spellStart"/>
            <w:r>
              <w:rPr>
                <w:color w:val="000000"/>
                <w:sz w:val="20"/>
                <w:szCs w:val="20"/>
              </w:rPr>
              <w:t>Nauck</w:t>
            </w:r>
            <w:proofErr w:type="spellEnd"/>
            <w:r>
              <w:rPr>
                <w:color w:val="000000"/>
                <w:sz w:val="20"/>
                <w:szCs w:val="20"/>
              </w:rPr>
              <w:t xml:space="preserve"> et al., 2012</w:t>
            </w:r>
          </w:p>
        </w:tc>
        <w:tc>
          <w:tcPr>
            <w:tcW w:w="1247" w:type="dxa"/>
            <w:tcBorders>
              <w:top w:val="nil"/>
              <w:left w:val="nil"/>
              <w:bottom w:val="single" w:sz="4" w:space="0" w:color="000000"/>
              <w:right w:val="single" w:sz="4" w:space="0" w:color="000000"/>
            </w:tcBorders>
            <w:shd w:val="clear" w:color="auto" w:fill="auto"/>
            <w:vAlign w:val="bottom"/>
          </w:tcPr>
          <w:p w14:paraId="5951359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B81531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B5DA1E0"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6217E644"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49E99B0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1ECB9E7"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1A4976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2512501"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E05885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54CE19A" w14:textId="77777777" w:rsidR="005A043A" w:rsidRDefault="005A043A" w:rsidP="00286762">
            <w:pPr>
              <w:spacing w:after="0"/>
              <w:jc w:val="right"/>
              <w:rPr>
                <w:color w:val="000000"/>
                <w:sz w:val="20"/>
                <w:szCs w:val="20"/>
              </w:rPr>
            </w:pPr>
            <w:r>
              <w:rPr>
                <w:color w:val="000000"/>
                <w:sz w:val="20"/>
                <w:szCs w:val="20"/>
              </w:rPr>
              <w:t>2</w:t>
            </w:r>
          </w:p>
        </w:tc>
      </w:tr>
      <w:tr w:rsidR="005A043A" w14:paraId="40B2B17E"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35B1E046" w14:textId="77777777" w:rsidR="005A043A" w:rsidRDefault="005A043A" w:rsidP="00286762">
            <w:pPr>
              <w:spacing w:after="0"/>
              <w:jc w:val="center"/>
              <w:rPr>
                <w:color w:val="000000"/>
                <w:sz w:val="20"/>
                <w:szCs w:val="20"/>
              </w:rPr>
            </w:pPr>
            <w:proofErr w:type="spellStart"/>
            <w:r>
              <w:rPr>
                <w:color w:val="000000"/>
                <w:sz w:val="20"/>
                <w:szCs w:val="20"/>
              </w:rPr>
              <w:t>Nauck</w:t>
            </w:r>
            <w:proofErr w:type="spellEnd"/>
            <w:r>
              <w:rPr>
                <w:color w:val="000000"/>
                <w:sz w:val="20"/>
                <w:szCs w:val="20"/>
              </w:rPr>
              <w:t xml:space="preserve"> et al., 2008</w:t>
            </w:r>
          </w:p>
        </w:tc>
        <w:tc>
          <w:tcPr>
            <w:tcW w:w="1247" w:type="dxa"/>
            <w:tcBorders>
              <w:top w:val="nil"/>
              <w:left w:val="nil"/>
              <w:bottom w:val="single" w:sz="4" w:space="0" w:color="000000"/>
              <w:right w:val="single" w:sz="4" w:space="0" w:color="000000"/>
            </w:tcBorders>
            <w:shd w:val="clear" w:color="auto" w:fill="auto"/>
            <w:vAlign w:val="bottom"/>
          </w:tcPr>
          <w:p w14:paraId="03F59B2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04EB43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665460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63D3BE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630440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4AF3124"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4FFCEF1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56C59D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8BF277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85A711F" w14:textId="77777777" w:rsidR="005A043A" w:rsidRDefault="005A043A" w:rsidP="00286762">
            <w:pPr>
              <w:spacing w:after="0"/>
              <w:jc w:val="right"/>
              <w:rPr>
                <w:color w:val="000000"/>
                <w:sz w:val="20"/>
                <w:szCs w:val="20"/>
              </w:rPr>
            </w:pPr>
            <w:r>
              <w:rPr>
                <w:color w:val="000000"/>
                <w:sz w:val="20"/>
                <w:szCs w:val="20"/>
              </w:rPr>
              <w:t>6</w:t>
            </w:r>
          </w:p>
        </w:tc>
      </w:tr>
      <w:tr w:rsidR="005A043A" w14:paraId="2934BCF0"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224FF2BC" w14:textId="77777777" w:rsidR="005A043A" w:rsidRDefault="005A043A" w:rsidP="00286762">
            <w:pPr>
              <w:spacing w:after="0"/>
              <w:jc w:val="center"/>
              <w:rPr>
                <w:color w:val="000000"/>
                <w:sz w:val="20"/>
                <w:szCs w:val="20"/>
              </w:rPr>
            </w:pPr>
            <w:proofErr w:type="spellStart"/>
            <w:r>
              <w:rPr>
                <w:color w:val="000000"/>
                <w:sz w:val="20"/>
                <w:szCs w:val="20"/>
              </w:rPr>
              <w:t>Neutel</w:t>
            </w:r>
            <w:proofErr w:type="spellEnd"/>
            <w:r>
              <w:rPr>
                <w:color w:val="000000"/>
                <w:sz w:val="20"/>
                <w:szCs w:val="20"/>
              </w:rPr>
              <w:t xml:space="preserve"> et al., 2013</w:t>
            </w:r>
          </w:p>
        </w:tc>
        <w:tc>
          <w:tcPr>
            <w:tcW w:w="1247" w:type="dxa"/>
            <w:tcBorders>
              <w:top w:val="nil"/>
              <w:left w:val="nil"/>
              <w:bottom w:val="single" w:sz="4" w:space="0" w:color="000000"/>
              <w:right w:val="single" w:sz="4" w:space="0" w:color="000000"/>
            </w:tcBorders>
            <w:shd w:val="clear" w:color="auto" w:fill="auto"/>
            <w:vAlign w:val="bottom"/>
          </w:tcPr>
          <w:p w14:paraId="701FE67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2D9711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AD3938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1CFB9F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91F538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1D592A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968EF42"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09AF8CD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EBB1A7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AF2A1C4" w14:textId="77777777" w:rsidR="005A043A" w:rsidRDefault="005A043A" w:rsidP="00286762">
            <w:pPr>
              <w:spacing w:after="0"/>
              <w:jc w:val="right"/>
              <w:rPr>
                <w:color w:val="000000"/>
                <w:sz w:val="20"/>
                <w:szCs w:val="20"/>
              </w:rPr>
            </w:pPr>
            <w:r>
              <w:rPr>
                <w:color w:val="000000"/>
                <w:sz w:val="20"/>
                <w:szCs w:val="20"/>
              </w:rPr>
              <w:t>7</w:t>
            </w:r>
          </w:p>
        </w:tc>
      </w:tr>
      <w:tr w:rsidR="005A043A" w14:paraId="6DAA37D2"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674109C5" w14:textId="77777777" w:rsidR="005A043A" w:rsidRDefault="005A043A" w:rsidP="00286762">
            <w:pPr>
              <w:spacing w:after="0"/>
              <w:jc w:val="center"/>
              <w:rPr>
                <w:color w:val="000000"/>
                <w:sz w:val="20"/>
                <w:szCs w:val="20"/>
              </w:rPr>
            </w:pPr>
            <w:r>
              <w:rPr>
                <w:color w:val="000000"/>
                <w:sz w:val="20"/>
                <w:szCs w:val="20"/>
              </w:rPr>
              <w:t>Matthews et al., 2019</w:t>
            </w:r>
          </w:p>
        </w:tc>
        <w:tc>
          <w:tcPr>
            <w:tcW w:w="1247" w:type="dxa"/>
            <w:tcBorders>
              <w:top w:val="nil"/>
              <w:left w:val="nil"/>
              <w:bottom w:val="single" w:sz="4" w:space="0" w:color="000000"/>
              <w:right w:val="single" w:sz="4" w:space="0" w:color="000000"/>
            </w:tcBorders>
            <w:shd w:val="clear" w:color="auto" w:fill="auto"/>
            <w:vAlign w:val="bottom"/>
          </w:tcPr>
          <w:p w14:paraId="4520A87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0EB347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A48C0A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4129C9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90DCD8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192A63C"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32001EB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9A83BC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60A62EA"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7817D21" w14:textId="77777777" w:rsidR="005A043A" w:rsidRDefault="005A043A" w:rsidP="00286762">
            <w:pPr>
              <w:spacing w:after="0"/>
              <w:jc w:val="right"/>
              <w:rPr>
                <w:color w:val="000000"/>
                <w:sz w:val="20"/>
                <w:szCs w:val="20"/>
              </w:rPr>
            </w:pPr>
            <w:r>
              <w:rPr>
                <w:color w:val="000000"/>
                <w:sz w:val="20"/>
                <w:szCs w:val="20"/>
              </w:rPr>
              <w:t>7</w:t>
            </w:r>
          </w:p>
        </w:tc>
      </w:tr>
      <w:tr w:rsidR="005A043A" w14:paraId="032DB434"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362C7584" w14:textId="77777777" w:rsidR="005A043A" w:rsidRDefault="005A043A" w:rsidP="00286762">
            <w:pPr>
              <w:spacing w:after="0"/>
              <w:jc w:val="center"/>
              <w:rPr>
                <w:color w:val="000000"/>
                <w:sz w:val="20"/>
                <w:szCs w:val="20"/>
              </w:rPr>
            </w:pPr>
            <w:r>
              <w:rPr>
                <w:color w:val="000000"/>
                <w:sz w:val="20"/>
                <w:szCs w:val="20"/>
              </w:rPr>
              <w:lastRenderedPageBreak/>
              <w:t>Oh et al., 2019</w:t>
            </w:r>
          </w:p>
        </w:tc>
        <w:tc>
          <w:tcPr>
            <w:tcW w:w="1247" w:type="dxa"/>
            <w:tcBorders>
              <w:top w:val="nil"/>
              <w:left w:val="nil"/>
              <w:bottom w:val="single" w:sz="4" w:space="0" w:color="000000"/>
              <w:right w:val="single" w:sz="4" w:space="0" w:color="000000"/>
            </w:tcBorders>
            <w:shd w:val="clear" w:color="auto" w:fill="auto"/>
            <w:vAlign w:val="bottom"/>
          </w:tcPr>
          <w:p w14:paraId="62A5171A"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2742B9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DB9365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565A20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70505C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6BCC35E"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429FDFF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A5EDE8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48B501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F8D1A11" w14:textId="77777777" w:rsidR="005A043A" w:rsidRDefault="005A043A" w:rsidP="00286762">
            <w:pPr>
              <w:spacing w:after="0"/>
              <w:jc w:val="right"/>
              <w:rPr>
                <w:color w:val="000000"/>
                <w:sz w:val="20"/>
                <w:szCs w:val="20"/>
              </w:rPr>
            </w:pPr>
            <w:r>
              <w:rPr>
                <w:color w:val="000000"/>
                <w:sz w:val="20"/>
                <w:szCs w:val="20"/>
              </w:rPr>
              <w:t>4</w:t>
            </w:r>
          </w:p>
        </w:tc>
      </w:tr>
      <w:tr w:rsidR="005A043A" w14:paraId="54678DEA"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0B66E0F2" w14:textId="77777777" w:rsidR="005A043A" w:rsidRDefault="005A043A" w:rsidP="00286762">
            <w:pPr>
              <w:spacing w:after="0"/>
              <w:jc w:val="center"/>
              <w:rPr>
                <w:color w:val="000000"/>
                <w:sz w:val="20"/>
                <w:szCs w:val="20"/>
              </w:rPr>
            </w:pPr>
            <w:proofErr w:type="spellStart"/>
            <w:r>
              <w:rPr>
                <w:color w:val="000000"/>
                <w:sz w:val="20"/>
                <w:szCs w:val="20"/>
              </w:rPr>
              <w:t>Pavo</w:t>
            </w:r>
            <w:proofErr w:type="spellEnd"/>
            <w:r>
              <w:rPr>
                <w:color w:val="000000"/>
                <w:sz w:val="20"/>
                <w:szCs w:val="20"/>
              </w:rPr>
              <w:t xml:space="preserve"> et al., 2003</w:t>
            </w:r>
          </w:p>
        </w:tc>
        <w:tc>
          <w:tcPr>
            <w:tcW w:w="1247" w:type="dxa"/>
            <w:tcBorders>
              <w:top w:val="nil"/>
              <w:left w:val="nil"/>
              <w:bottom w:val="single" w:sz="4" w:space="0" w:color="000000"/>
              <w:right w:val="single" w:sz="4" w:space="0" w:color="000000"/>
            </w:tcBorders>
            <w:shd w:val="clear" w:color="auto" w:fill="auto"/>
            <w:vAlign w:val="bottom"/>
          </w:tcPr>
          <w:p w14:paraId="04D0644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9A3E9C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04B3FE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1DF22A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840970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0EE3916"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2E10E98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9DB55B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E73B1AE"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7745181" w14:textId="77777777" w:rsidR="005A043A" w:rsidRDefault="005A043A" w:rsidP="00286762">
            <w:pPr>
              <w:spacing w:after="0"/>
              <w:jc w:val="right"/>
              <w:rPr>
                <w:color w:val="000000"/>
                <w:sz w:val="20"/>
                <w:szCs w:val="20"/>
              </w:rPr>
            </w:pPr>
            <w:r>
              <w:rPr>
                <w:color w:val="000000"/>
                <w:sz w:val="20"/>
                <w:szCs w:val="20"/>
              </w:rPr>
              <w:t>3</w:t>
            </w:r>
          </w:p>
        </w:tc>
      </w:tr>
      <w:tr w:rsidR="005A043A" w14:paraId="1A1F0340"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23BC31DC" w14:textId="77777777" w:rsidR="005A043A" w:rsidRDefault="005A043A" w:rsidP="00286762">
            <w:pPr>
              <w:spacing w:after="0"/>
              <w:jc w:val="center"/>
              <w:rPr>
                <w:color w:val="000000"/>
                <w:sz w:val="20"/>
                <w:szCs w:val="20"/>
              </w:rPr>
            </w:pPr>
            <w:r>
              <w:rPr>
                <w:color w:val="000000"/>
                <w:sz w:val="20"/>
                <w:szCs w:val="20"/>
              </w:rPr>
              <w:t>Perez et al., 2009</w:t>
            </w:r>
          </w:p>
        </w:tc>
        <w:tc>
          <w:tcPr>
            <w:tcW w:w="1247" w:type="dxa"/>
            <w:tcBorders>
              <w:top w:val="nil"/>
              <w:left w:val="nil"/>
              <w:bottom w:val="single" w:sz="4" w:space="0" w:color="000000"/>
              <w:right w:val="single" w:sz="4" w:space="0" w:color="000000"/>
            </w:tcBorders>
            <w:shd w:val="clear" w:color="auto" w:fill="auto"/>
            <w:vAlign w:val="bottom"/>
          </w:tcPr>
          <w:p w14:paraId="05D1955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45A40CE"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5750CC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67733D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60D606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A383551"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596265D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EE9442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5E8EA6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37567E2" w14:textId="77777777" w:rsidR="005A043A" w:rsidRDefault="005A043A" w:rsidP="00286762">
            <w:pPr>
              <w:spacing w:after="0"/>
              <w:jc w:val="right"/>
              <w:rPr>
                <w:color w:val="000000"/>
                <w:sz w:val="20"/>
                <w:szCs w:val="20"/>
              </w:rPr>
            </w:pPr>
            <w:r>
              <w:rPr>
                <w:color w:val="000000"/>
                <w:sz w:val="20"/>
                <w:szCs w:val="20"/>
              </w:rPr>
              <w:t>4</w:t>
            </w:r>
          </w:p>
        </w:tc>
      </w:tr>
      <w:tr w:rsidR="005A043A" w14:paraId="11CD41C7"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32CC5FEE" w14:textId="77777777" w:rsidR="005A043A" w:rsidRDefault="005A043A" w:rsidP="00286762">
            <w:pPr>
              <w:spacing w:after="0"/>
              <w:jc w:val="center"/>
              <w:rPr>
                <w:color w:val="000000"/>
                <w:sz w:val="20"/>
                <w:szCs w:val="20"/>
              </w:rPr>
            </w:pPr>
            <w:r>
              <w:rPr>
                <w:color w:val="000000"/>
                <w:sz w:val="20"/>
                <w:szCs w:val="20"/>
              </w:rPr>
              <w:t>Pratley et al., 2014a</w:t>
            </w:r>
          </w:p>
        </w:tc>
        <w:tc>
          <w:tcPr>
            <w:tcW w:w="1247" w:type="dxa"/>
            <w:tcBorders>
              <w:top w:val="nil"/>
              <w:left w:val="nil"/>
              <w:bottom w:val="single" w:sz="4" w:space="0" w:color="000000"/>
              <w:right w:val="single" w:sz="4" w:space="0" w:color="000000"/>
            </w:tcBorders>
            <w:shd w:val="clear" w:color="auto" w:fill="auto"/>
            <w:vAlign w:val="bottom"/>
          </w:tcPr>
          <w:p w14:paraId="6588F15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19FAC8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5AAEF5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9ADBCB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92CC08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4E28F93"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22AACB6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D49EF7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874287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B40D8E2" w14:textId="77777777" w:rsidR="005A043A" w:rsidRDefault="005A043A" w:rsidP="00286762">
            <w:pPr>
              <w:spacing w:after="0"/>
              <w:jc w:val="right"/>
              <w:rPr>
                <w:color w:val="000000"/>
                <w:sz w:val="20"/>
                <w:szCs w:val="20"/>
              </w:rPr>
            </w:pPr>
            <w:r>
              <w:rPr>
                <w:color w:val="000000"/>
                <w:sz w:val="20"/>
                <w:szCs w:val="20"/>
              </w:rPr>
              <w:t>3</w:t>
            </w:r>
          </w:p>
        </w:tc>
      </w:tr>
      <w:tr w:rsidR="005A043A" w14:paraId="10E5D41C"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0A612372" w14:textId="77777777" w:rsidR="005A043A" w:rsidRDefault="005A043A" w:rsidP="00286762">
            <w:pPr>
              <w:spacing w:after="0"/>
              <w:jc w:val="center"/>
              <w:rPr>
                <w:color w:val="000000"/>
                <w:sz w:val="20"/>
                <w:szCs w:val="20"/>
              </w:rPr>
            </w:pPr>
            <w:r>
              <w:rPr>
                <w:color w:val="000000"/>
                <w:sz w:val="20"/>
                <w:szCs w:val="20"/>
              </w:rPr>
              <w:t>Pratley et al., 2014b</w:t>
            </w:r>
          </w:p>
        </w:tc>
        <w:tc>
          <w:tcPr>
            <w:tcW w:w="1247" w:type="dxa"/>
            <w:tcBorders>
              <w:top w:val="nil"/>
              <w:left w:val="nil"/>
              <w:bottom w:val="single" w:sz="4" w:space="0" w:color="000000"/>
              <w:right w:val="single" w:sz="4" w:space="0" w:color="000000"/>
            </w:tcBorders>
            <w:shd w:val="clear" w:color="auto" w:fill="auto"/>
            <w:vAlign w:val="bottom"/>
          </w:tcPr>
          <w:p w14:paraId="4B99901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D39039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F4AA34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D6686D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1502B8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BA33EDF"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40AFE6E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738FA1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FE0031A"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FE3CABE" w14:textId="77777777" w:rsidR="005A043A" w:rsidRDefault="005A043A" w:rsidP="00286762">
            <w:pPr>
              <w:spacing w:after="0"/>
              <w:jc w:val="right"/>
              <w:rPr>
                <w:color w:val="000000"/>
                <w:sz w:val="20"/>
                <w:szCs w:val="20"/>
              </w:rPr>
            </w:pPr>
            <w:r>
              <w:rPr>
                <w:color w:val="000000"/>
                <w:sz w:val="20"/>
                <w:szCs w:val="20"/>
              </w:rPr>
              <w:t>3</w:t>
            </w:r>
          </w:p>
        </w:tc>
      </w:tr>
      <w:tr w:rsidR="005A043A" w14:paraId="260DF0A4"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5C06FE07" w14:textId="77777777" w:rsidR="005A043A" w:rsidRDefault="005A043A" w:rsidP="00286762">
            <w:pPr>
              <w:spacing w:after="0"/>
              <w:jc w:val="center"/>
              <w:rPr>
                <w:color w:val="000000"/>
                <w:sz w:val="20"/>
                <w:szCs w:val="20"/>
              </w:rPr>
            </w:pPr>
            <w:proofErr w:type="spellStart"/>
            <w:r>
              <w:rPr>
                <w:color w:val="000000"/>
                <w:sz w:val="20"/>
                <w:szCs w:val="20"/>
              </w:rPr>
              <w:t>Reasner</w:t>
            </w:r>
            <w:proofErr w:type="spellEnd"/>
            <w:r>
              <w:rPr>
                <w:color w:val="000000"/>
                <w:sz w:val="20"/>
                <w:szCs w:val="20"/>
              </w:rPr>
              <w:t xml:space="preserve"> et al., 2011</w:t>
            </w:r>
          </w:p>
        </w:tc>
        <w:tc>
          <w:tcPr>
            <w:tcW w:w="1247" w:type="dxa"/>
            <w:tcBorders>
              <w:top w:val="nil"/>
              <w:left w:val="nil"/>
              <w:bottom w:val="single" w:sz="4" w:space="0" w:color="000000"/>
              <w:right w:val="single" w:sz="4" w:space="0" w:color="000000"/>
            </w:tcBorders>
            <w:shd w:val="clear" w:color="auto" w:fill="auto"/>
            <w:vAlign w:val="bottom"/>
          </w:tcPr>
          <w:p w14:paraId="134C33CE"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D6C107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5C0B2F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C9FAD9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4D3423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7A0E378"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32434D1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AF1EED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E643C0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6604398" w14:textId="77777777" w:rsidR="005A043A" w:rsidRDefault="005A043A" w:rsidP="00286762">
            <w:pPr>
              <w:spacing w:after="0"/>
              <w:jc w:val="right"/>
              <w:rPr>
                <w:color w:val="000000"/>
                <w:sz w:val="20"/>
                <w:szCs w:val="20"/>
              </w:rPr>
            </w:pPr>
            <w:r>
              <w:rPr>
                <w:color w:val="000000"/>
                <w:sz w:val="20"/>
                <w:szCs w:val="20"/>
              </w:rPr>
              <w:t>5</w:t>
            </w:r>
          </w:p>
        </w:tc>
      </w:tr>
      <w:tr w:rsidR="005A043A" w14:paraId="18648169"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7FD595EC" w14:textId="77777777" w:rsidR="005A043A" w:rsidRDefault="005A043A" w:rsidP="00286762">
            <w:pPr>
              <w:spacing w:after="0"/>
              <w:jc w:val="center"/>
              <w:rPr>
                <w:color w:val="000000"/>
                <w:sz w:val="20"/>
                <w:szCs w:val="20"/>
              </w:rPr>
            </w:pPr>
            <w:r>
              <w:rPr>
                <w:color w:val="000000"/>
                <w:sz w:val="20"/>
                <w:szCs w:val="20"/>
              </w:rPr>
              <w:t xml:space="preserve">Rosenstock, </w:t>
            </w:r>
            <w:proofErr w:type="spellStart"/>
            <w:r>
              <w:rPr>
                <w:color w:val="000000"/>
                <w:sz w:val="20"/>
                <w:szCs w:val="20"/>
              </w:rPr>
              <w:t>Banarer</w:t>
            </w:r>
            <w:proofErr w:type="spellEnd"/>
            <w:r>
              <w:rPr>
                <w:color w:val="000000"/>
                <w:sz w:val="20"/>
                <w:szCs w:val="20"/>
              </w:rPr>
              <w:t xml:space="preserve"> et al., 2010</w:t>
            </w:r>
          </w:p>
        </w:tc>
        <w:tc>
          <w:tcPr>
            <w:tcW w:w="1247" w:type="dxa"/>
            <w:tcBorders>
              <w:top w:val="nil"/>
              <w:left w:val="nil"/>
              <w:bottom w:val="single" w:sz="4" w:space="0" w:color="000000"/>
              <w:right w:val="single" w:sz="4" w:space="0" w:color="000000"/>
            </w:tcBorders>
            <w:shd w:val="clear" w:color="auto" w:fill="auto"/>
            <w:vAlign w:val="bottom"/>
          </w:tcPr>
          <w:p w14:paraId="3FE5707A"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018C7F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1BC522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0A892F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E19C2D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D53F6FD"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593715C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14AA91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8469E1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82CC3E8" w14:textId="77777777" w:rsidR="005A043A" w:rsidRDefault="005A043A" w:rsidP="00286762">
            <w:pPr>
              <w:spacing w:after="0"/>
              <w:jc w:val="right"/>
              <w:rPr>
                <w:color w:val="000000"/>
                <w:sz w:val="20"/>
                <w:szCs w:val="20"/>
              </w:rPr>
            </w:pPr>
            <w:r>
              <w:rPr>
                <w:color w:val="000000"/>
                <w:sz w:val="20"/>
                <w:szCs w:val="20"/>
              </w:rPr>
              <w:t>5</w:t>
            </w:r>
          </w:p>
        </w:tc>
      </w:tr>
      <w:tr w:rsidR="005A043A" w14:paraId="3D1747DF"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bottom"/>
          </w:tcPr>
          <w:p w14:paraId="62C562B9" w14:textId="77777777" w:rsidR="005A043A" w:rsidRDefault="005A043A" w:rsidP="00286762">
            <w:pPr>
              <w:spacing w:after="0"/>
              <w:jc w:val="center"/>
              <w:rPr>
                <w:color w:val="000000"/>
                <w:sz w:val="20"/>
                <w:szCs w:val="20"/>
              </w:rPr>
            </w:pPr>
            <w:r>
              <w:rPr>
                <w:color w:val="000000"/>
                <w:sz w:val="20"/>
                <w:szCs w:val="20"/>
              </w:rPr>
              <w:t>Rosenstock, Fonseca et al., 2010</w:t>
            </w:r>
          </w:p>
        </w:tc>
        <w:tc>
          <w:tcPr>
            <w:tcW w:w="1247" w:type="dxa"/>
            <w:tcBorders>
              <w:top w:val="nil"/>
              <w:left w:val="nil"/>
              <w:bottom w:val="single" w:sz="4" w:space="0" w:color="000000"/>
              <w:right w:val="single" w:sz="4" w:space="0" w:color="000000"/>
            </w:tcBorders>
            <w:shd w:val="clear" w:color="auto" w:fill="auto"/>
            <w:vAlign w:val="bottom"/>
          </w:tcPr>
          <w:p w14:paraId="49693B4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5141E7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FE15E8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3F4035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331C19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6DD2156"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C54CBC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C19EAD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953A66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9249FE7" w14:textId="77777777" w:rsidR="005A043A" w:rsidRDefault="005A043A" w:rsidP="00286762">
            <w:pPr>
              <w:spacing w:after="0"/>
              <w:jc w:val="right"/>
              <w:rPr>
                <w:color w:val="000000"/>
                <w:sz w:val="20"/>
                <w:szCs w:val="20"/>
              </w:rPr>
            </w:pPr>
            <w:r>
              <w:rPr>
                <w:color w:val="000000"/>
                <w:sz w:val="20"/>
                <w:szCs w:val="20"/>
              </w:rPr>
              <w:t>4</w:t>
            </w:r>
          </w:p>
        </w:tc>
      </w:tr>
      <w:tr w:rsidR="005A043A" w14:paraId="22807F6B"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412CFF84"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Rosenstock et al., 2016</w:t>
            </w:r>
          </w:p>
        </w:tc>
        <w:tc>
          <w:tcPr>
            <w:tcW w:w="1247" w:type="dxa"/>
            <w:tcBorders>
              <w:top w:val="nil"/>
              <w:left w:val="nil"/>
              <w:bottom w:val="single" w:sz="4" w:space="0" w:color="000000"/>
              <w:right w:val="single" w:sz="4" w:space="0" w:color="000000"/>
            </w:tcBorders>
            <w:shd w:val="clear" w:color="auto" w:fill="auto"/>
            <w:vAlign w:val="bottom"/>
          </w:tcPr>
          <w:p w14:paraId="76534C0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499C4D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A228EB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ACA6F2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31809F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C43CCF5"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01AA6A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97716D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8B5658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2055AFE" w14:textId="77777777" w:rsidR="005A043A" w:rsidRDefault="005A043A" w:rsidP="00286762">
            <w:pPr>
              <w:spacing w:after="0"/>
              <w:jc w:val="right"/>
              <w:rPr>
                <w:color w:val="000000"/>
                <w:sz w:val="20"/>
                <w:szCs w:val="20"/>
              </w:rPr>
            </w:pPr>
            <w:r>
              <w:rPr>
                <w:color w:val="000000"/>
                <w:sz w:val="20"/>
                <w:szCs w:val="20"/>
              </w:rPr>
              <w:t>5</w:t>
            </w:r>
          </w:p>
        </w:tc>
      </w:tr>
      <w:tr w:rsidR="005A043A" w14:paraId="39528223"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36A4E7BE"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Rosenstock et al., 2006</w:t>
            </w:r>
          </w:p>
        </w:tc>
        <w:tc>
          <w:tcPr>
            <w:tcW w:w="1247" w:type="dxa"/>
            <w:tcBorders>
              <w:top w:val="nil"/>
              <w:left w:val="nil"/>
              <w:bottom w:val="single" w:sz="4" w:space="0" w:color="000000"/>
              <w:right w:val="single" w:sz="4" w:space="0" w:color="000000"/>
            </w:tcBorders>
            <w:shd w:val="clear" w:color="auto" w:fill="auto"/>
            <w:vAlign w:val="bottom"/>
          </w:tcPr>
          <w:p w14:paraId="6F5B3385"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18D46ACF"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2812337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D4DDCE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F21A23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8587584"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4A10D8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1903C2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5604451"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92987FB" w14:textId="77777777" w:rsidR="005A043A" w:rsidRDefault="005A043A" w:rsidP="00286762">
            <w:pPr>
              <w:spacing w:after="0"/>
              <w:jc w:val="right"/>
              <w:rPr>
                <w:color w:val="000000"/>
                <w:sz w:val="20"/>
                <w:szCs w:val="20"/>
              </w:rPr>
            </w:pPr>
            <w:r>
              <w:rPr>
                <w:color w:val="000000"/>
                <w:sz w:val="20"/>
                <w:szCs w:val="20"/>
              </w:rPr>
              <w:t>4</w:t>
            </w:r>
          </w:p>
        </w:tc>
      </w:tr>
      <w:tr w:rsidR="005A043A" w14:paraId="5B4EA837"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2D5741A9"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 xml:space="preserve">Russell-Jones et al., 2012 </w:t>
            </w:r>
          </w:p>
        </w:tc>
        <w:tc>
          <w:tcPr>
            <w:tcW w:w="1247" w:type="dxa"/>
            <w:tcBorders>
              <w:top w:val="nil"/>
              <w:left w:val="nil"/>
              <w:bottom w:val="single" w:sz="4" w:space="0" w:color="000000"/>
              <w:right w:val="single" w:sz="4" w:space="0" w:color="000000"/>
            </w:tcBorders>
            <w:shd w:val="clear" w:color="auto" w:fill="auto"/>
            <w:vAlign w:val="bottom"/>
          </w:tcPr>
          <w:p w14:paraId="077EB06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2417E17"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58EEDB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741F8D2"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8F34F61"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93913D5"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6DBA92D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99F3DD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D14E3F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57B03D5" w14:textId="77777777" w:rsidR="005A043A" w:rsidRDefault="005A043A" w:rsidP="00286762">
            <w:pPr>
              <w:spacing w:after="0"/>
              <w:jc w:val="right"/>
              <w:rPr>
                <w:color w:val="000000"/>
                <w:sz w:val="20"/>
                <w:szCs w:val="20"/>
              </w:rPr>
            </w:pPr>
            <w:r>
              <w:rPr>
                <w:color w:val="000000"/>
                <w:sz w:val="20"/>
                <w:szCs w:val="20"/>
              </w:rPr>
              <w:t>4</w:t>
            </w:r>
          </w:p>
        </w:tc>
      </w:tr>
      <w:tr w:rsidR="005A043A" w14:paraId="3FF139C2"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73983BC4" w14:textId="77777777" w:rsidR="005A043A" w:rsidRDefault="005A043A" w:rsidP="00286762">
            <w:pPr>
              <w:spacing w:after="0"/>
              <w:jc w:val="center"/>
              <w:rPr>
                <w:rFonts w:eastAsia="Times New Roman" w:cs="Times New Roman"/>
                <w:sz w:val="20"/>
                <w:szCs w:val="20"/>
              </w:rPr>
            </w:pPr>
            <w:proofErr w:type="spellStart"/>
            <w:r>
              <w:rPr>
                <w:rFonts w:eastAsia="Times New Roman" w:cs="Times New Roman"/>
                <w:sz w:val="20"/>
                <w:szCs w:val="20"/>
              </w:rPr>
              <w:t>Schernthaner</w:t>
            </w:r>
            <w:proofErr w:type="spellEnd"/>
            <w:r>
              <w:rPr>
                <w:rFonts w:eastAsia="Times New Roman" w:cs="Times New Roman"/>
                <w:sz w:val="20"/>
                <w:szCs w:val="20"/>
              </w:rPr>
              <w:t xml:space="preserve"> et al., 2004</w:t>
            </w:r>
          </w:p>
        </w:tc>
        <w:tc>
          <w:tcPr>
            <w:tcW w:w="1247" w:type="dxa"/>
            <w:tcBorders>
              <w:top w:val="nil"/>
              <w:left w:val="nil"/>
              <w:bottom w:val="single" w:sz="4" w:space="0" w:color="000000"/>
              <w:right w:val="single" w:sz="4" w:space="0" w:color="000000"/>
            </w:tcBorders>
            <w:shd w:val="clear" w:color="auto" w:fill="auto"/>
            <w:vAlign w:val="bottom"/>
          </w:tcPr>
          <w:p w14:paraId="3239BCB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C09DC0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14BA63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E33FDD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B9D2E7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80C6885"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7F126F4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14338F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AEDAE5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B46A33D" w14:textId="77777777" w:rsidR="005A043A" w:rsidRDefault="005A043A" w:rsidP="00286762">
            <w:pPr>
              <w:spacing w:after="0"/>
              <w:jc w:val="right"/>
              <w:rPr>
                <w:color w:val="000000"/>
                <w:sz w:val="20"/>
                <w:szCs w:val="20"/>
              </w:rPr>
            </w:pPr>
            <w:r>
              <w:rPr>
                <w:color w:val="000000"/>
                <w:sz w:val="20"/>
                <w:szCs w:val="20"/>
              </w:rPr>
              <w:t>6</w:t>
            </w:r>
          </w:p>
        </w:tc>
      </w:tr>
      <w:tr w:rsidR="005A043A" w14:paraId="3A7A1C1C"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24419A80"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Schwartz et al., 2006</w:t>
            </w:r>
          </w:p>
        </w:tc>
        <w:tc>
          <w:tcPr>
            <w:tcW w:w="1247" w:type="dxa"/>
            <w:tcBorders>
              <w:top w:val="nil"/>
              <w:left w:val="nil"/>
              <w:bottom w:val="single" w:sz="4" w:space="0" w:color="000000"/>
              <w:right w:val="single" w:sz="4" w:space="0" w:color="000000"/>
            </w:tcBorders>
            <w:shd w:val="clear" w:color="auto" w:fill="auto"/>
            <w:vAlign w:val="bottom"/>
          </w:tcPr>
          <w:p w14:paraId="03D0DDD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EDC5E6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71F27B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1440A5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A4CE06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248B4FE"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0A54404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D31B82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771C4D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29A74A8" w14:textId="77777777" w:rsidR="005A043A" w:rsidRDefault="005A043A" w:rsidP="00286762">
            <w:pPr>
              <w:spacing w:after="0"/>
              <w:jc w:val="right"/>
              <w:rPr>
                <w:color w:val="000000"/>
                <w:sz w:val="20"/>
                <w:szCs w:val="20"/>
              </w:rPr>
            </w:pPr>
            <w:r>
              <w:rPr>
                <w:color w:val="000000"/>
                <w:sz w:val="20"/>
                <w:szCs w:val="20"/>
              </w:rPr>
              <w:t>5</w:t>
            </w:r>
          </w:p>
        </w:tc>
      </w:tr>
      <w:tr w:rsidR="005A043A" w14:paraId="246ED126"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79953828"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Schweizer et al., 2007</w:t>
            </w:r>
          </w:p>
        </w:tc>
        <w:tc>
          <w:tcPr>
            <w:tcW w:w="1247" w:type="dxa"/>
            <w:tcBorders>
              <w:top w:val="nil"/>
              <w:left w:val="nil"/>
              <w:bottom w:val="single" w:sz="4" w:space="0" w:color="000000"/>
              <w:right w:val="single" w:sz="4" w:space="0" w:color="000000"/>
            </w:tcBorders>
            <w:shd w:val="clear" w:color="auto" w:fill="auto"/>
            <w:vAlign w:val="bottom"/>
          </w:tcPr>
          <w:p w14:paraId="6C985C8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C21920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EEB4C2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3D4CCC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5BFF37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FECC10D"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78B6E3D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B5094D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D69CF6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F463BBE" w14:textId="77777777" w:rsidR="005A043A" w:rsidRDefault="005A043A" w:rsidP="00286762">
            <w:pPr>
              <w:spacing w:after="0"/>
              <w:jc w:val="right"/>
              <w:rPr>
                <w:color w:val="000000"/>
                <w:sz w:val="20"/>
                <w:szCs w:val="20"/>
              </w:rPr>
            </w:pPr>
            <w:r>
              <w:rPr>
                <w:color w:val="000000"/>
                <w:sz w:val="20"/>
                <w:szCs w:val="20"/>
              </w:rPr>
              <w:t>4</w:t>
            </w:r>
          </w:p>
        </w:tc>
      </w:tr>
      <w:tr w:rsidR="005A043A" w14:paraId="4EE525B2"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4A5A7293"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Schweizer et al., 2009</w:t>
            </w:r>
          </w:p>
        </w:tc>
        <w:tc>
          <w:tcPr>
            <w:tcW w:w="1247" w:type="dxa"/>
            <w:tcBorders>
              <w:top w:val="nil"/>
              <w:left w:val="nil"/>
              <w:bottom w:val="single" w:sz="4" w:space="0" w:color="000000"/>
              <w:right w:val="single" w:sz="4" w:space="0" w:color="000000"/>
            </w:tcBorders>
            <w:shd w:val="clear" w:color="auto" w:fill="auto"/>
            <w:vAlign w:val="bottom"/>
          </w:tcPr>
          <w:p w14:paraId="0AEA4E1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59C2964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90C1E6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0F70B8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081A65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8D713DA"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5E2152A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F6D62B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27100E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43CE335" w14:textId="77777777" w:rsidR="005A043A" w:rsidRDefault="005A043A" w:rsidP="00286762">
            <w:pPr>
              <w:spacing w:after="0"/>
              <w:jc w:val="right"/>
              <w:rPr>
                <w:color w:val="000000"/>
                <w:sz w:val="20"/>
                <w:szCs w:val="20"/>
              </w:rPr>
            </w:pPr>
            <w:r>
              <w:rPr>
                <w:color w:val="000000"/>
                <w:sz w:val="20"/>
                <w:szCs w:val="20"/>
              </w:rPr>
              <w:t>5</w:t>
            </w:r>
          </w:p>
        </w:tc>
      </w:tr>
      <w:tr w:rsidR="005A043A" w14:paraId="64CFF6DA"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47E3F568"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lastRenderedPageBreak/>
              <w:t xml:space="preserve">Seino et al., 2012 </w:t>
            </w:r>
          </w:p>
        </w:tc>
        <w:tc>
          <w:tcPr>
            <w:tcW w:w="1247" w:type="dxa"/>
            <w:tcBorders>
              <w:top w:val="nil"/>
              <w:left w:val="nil"/>
              <w:bottom w:val="single" w:sz="4" w:space="0" w:color="000000"/>
              <w:right w:val="single" w:sz="4" w:space="0" w:color="000000"/>
            </w:tcBorders>
            <w:shd w:val="clear" w:color="auto" w:fill="auto"/>
            <w:vAlign w:val="bottom"/>
          </w:tcPr>
          <w:p w14:paraId="0F4A652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417893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5F8137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90EB7A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4A9820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5EEFF84"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4CCD6024"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DEE223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3A3695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F0D85BA" w14:textId="77777777" w:rsidR="005A043A" w:rsidRDefault="005A043A" w:rsidP="00286762">
            <w:pPr>
              <w:spacing w:after="0"/>
              <w:jc w:val="right"/>
              <w:rPr>
                <w:color w:val="000000"/>
                <w:sz w:val="20"/>
                <w:szCs w:val="20"/>
              </w:rPr>
            </w:pPr>
            <w:r>
              <w:rPr>
                <w:color w:val="000000"/>
                <w:sz w:val="20"/>
                <w:szCs w:val="20"/>
              </w:rPr>
              <w:t>5</w:t>
            </w:r>
          </w:p>
        </w:tc>
      </w:tr>
      <w:tr w:rsidR="005A043A" w14:paraId="14AC70ED"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193DF193" w14:textId="77777777" w:rsidR="005A043A" w:rsidRDefault="005A043A" w:rsidP="00286762">
            <w:pPr>
              <w:spacing w:after="0"/>
              <w:jc w:val="center"/>
              <w:rPr>
                <w:rFonts w:eastAsia="Times New Roman" w:cs="Times New Roman"/>
                <w:sz w:val="20"/>
                <w:szCs w:val="20"/>
              </w:rPr>
            </w:pPr>
            <w:proofErr w:type="spellStart"/>
            <w:r>
              <w:rPr>
                <w:rFonts w:eastAsia="Times New Roman" w:cs="Times New Roman"/>
                <w:sz w:val="20"/>
                <w:szCs w:val="20"/>
              </w:rPr>
              <w:t>Stewartet</w:t>
            </w:r>
            <w:proofErr w:type="spellEnd"/>
            <w:r>
              <w:rPr>
                <w:rFonts w:eastAsia="Times New Roman" w:cs="Times New Roman"/>
                <w:sz w:val="20"/>
                <w:szCs w:val="20"/>
              </w:rPr>
              <w:t xml:space="preserve"> al., 2006</w:t>
            </w:r>
          </w:p>
        </w:tc>
        <w:tc>
          <w:tcPr>
            <w:tcW w:w="1247" w:type="dxa"/>
            <w:tcBorders>
              <w:top w:val="nil"/>
              <w:left w:val="nil"/>
              <w:bottom w:val="single" w:sz="4" w:space="0" w:color="000000"/>
              <w:right w:val="single" w:sz="4" w:space="0" w:color="000000"/>
            </w:tcBorders>
            <w:shd w:val="clear" w:color="auto" w:fill="auto"/>
            <w:vAlign w:val="bottom"/>
          </w:tcPr>
          <w:p w14:paraId="786948D9"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7A1CB2BA"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3A017A3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5B95D9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347BDF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24EDC2F"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6661C6C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014642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9527F5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CECD4CC" w14:textId="77777777" w:rsidR="005A043A" w:rsidRDefault="005A043A" w:rsidP="00286762">
            <w:pPr>
              <w:spacing w:after="0"/>
              <w:jc w:val="right"/>
              <w:rPr>
                <w:color w:val="000000"/>
                <w:sz w:val="20"/>
                <w:szCs w:val="20"/>
              </w:rPr>
            </w:pPr>
            <w:r>
              <w:rPr>
                <w:color w:val="000000"/>
                <w:sz w:val="20"/>
                <w:szCs w:val="20"/>
              </w:rPr>
              <w:t>5</w:t>
            </w:r>
          </w:p>
        </w:tc>
      </w:tr>
      <w:tr w:rsidR="005A043A" w14:paraId="51BBA2F5" w14:textId="77777777" w:rsidTr="00286762">
        <w:trPr>
          <w:trHeight w:val="1020"/>
        </w:trPr>
        <w:tc>
          <w:tcPr>
            <w:tcW w:w="1587" w:type="dxa"/>
            <w:tcBorders>
              <w:top w:val="nil"/>
              <w:left w:val="single" w:sz="4" w:space="0" w:color="000000"/>
              <w:bottom w:val="single" w:sz="4" w:space="0" w:color="000000"/>
              <w:right w:val="single" w:sz="4" w:space="0" w:color="000000"/>
            </w:tcBorders>
            <w:shd w:val="clear" w:color="auto" w:fill="auto"/>
            <w:vAlign w:val="center"/>
          </w:tcPr>
          <w:p w14:paraId="3674ED45" w14:textId="77777777" w:rsidR="005A043A" w:rsidRPr="00277A9D" w:rsidRDefault="005A043A" w:rsidP="00286762">
            <w:pPr>
              <w:spacing w:after="0"/>
              <w:jc w:val="center"/>
              <w:rPr>
                <w:rFonts w:eastAsia="Times New Roman" w:cs="Times New Roman"/>
                <w:sz w:val="20"/>
                <w:szCs w:val="20"/>
                <w:lang w:val="en-GB"/>
              </w:rPr>
            </w:pPr>
            <w:r w:rsidRPr="00277A9D">
              <w:rPr>
                <w:rFonts w:eastAsia="Times New Roman" w:cs="Times New Roman"/>
                <w:sz w:val="20"/>
                <w:szCs w:val="20"/>
                <w:lang w:val="en-GB"/>
              </w:rPr>
              <w:t xml:space="preserve">Study of Dapagliflozin in Combination With Metformin XR to Initiate the Treatment of Type 2 Diabetes[cited 2020 Dec 7]; </w:t>
            </w:r>
          </w:p>
        </w:tc>
        <w:tc>
          <w:tcPr>
            <w:tcW w:w="1247" w:type="dxa"/>
            <w:tcBorders>
              <w:top w:val="nil"/>
              <w:left w:val="nil"/>
              <w:bottom w:val="single" w:sz="4" w:space="0" w:color="000000"/>
              <w:right w:val="single" w:sz="4" w:space="0" w:color="000000"/>
            </w:tcBorders>
            <w:shd w:val="clear" w:color="auto" w:fill="auto"/>
            <w:vAlign w:val="bottom"/>
          </w:tcPr>
          <w:p w14:paraId="3EBF3A3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92A55F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83168E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A9172C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8EC290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6F00135"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706B498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EEFF8C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7281AE6"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89CC844" w14:textId="77777777" w:rsidR="005A043A" w:rsidRDefault="005A043A" w:rsidP="00286762">
            <w:pPr>
              <w:spacing w:after="0"/>
              <w:jc w:val="right"/>
              <w:rPr>
                <w:color w:val="000000"/>
                <w:sz w:val="20"/>
                <w:szCs w:val="20"/>
              </w:rPr>
            </w:pPr>
            <w:r>
              <w:rPr>
                <w:color w:val="000000"/>
                <w:sz w:val="20"/>
                <w:szCs w:val="20"/>
              </w:rPr>
              <w:t>5</w:t>
            </w:r>
          </w:p>
        </w:tc>
      </w:tr>
      <w:tr w:rsidR="005A043A" w14:paraId="33796065"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26676B12"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Sun et al., 2016</w:t>
            </w:r>
          </w:p>
        </w:tc>
        <w:tc>
          <w:tcPr>
            <w:tcW w:w="1247" w:type="dxa"/>
            <w:tcBorders>
              <w:top w:val="nil"/>
              <w:left w:val="nil"/>
              <w:bottom w:val="single" w:sz="4" w:space="0" w:color="000000"/>
              <w:right w:val="single" w:sz="4" w:space="0" w:color="000000"/>
            </w:tcBorders>
            <w:shd w:val="clear" w:color="auto" w:fill="auto"/>
            <w:vAlign w:val="bottom"/>
          </w:tcPr>
          <w:p w14:paraId="688351C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0E4262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B98026E"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1A1F726"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D9347B2"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63237CE"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4F939FE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D69E7A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2E9259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5533087" w14:textId="77777777" w:rsidR="005A043A" w:rsidRDefault="005A043A" w:rsidP="00286762">
            <w:pPr>
              <w:spacing w:after="0"/>
              <w:jc w:val="right"/>
              <w:rPr>
                <w:color w:val="000000"/>
                <w:sz w:val="20"/>
                <w:szCs w:val="20"/>
              </w:rPr>
            </w:pPr>
            <w:r>
              <w:rPr>
                <w:color w:val="000000"/>
                <w:sz w:val="20"/>
                <w:szCs w:val="20"/>
              </w:rPr>
              <w:t>2</w:t>
            </w:r>
          </w:p>
        </w:tc>
      </w:tr>
      <w:tr w:rsidR="005A043A" w14:paraId="0C912D71"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5273C2C1"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Takeda et al., 2016</w:t>
            </w:r>
          </w:p>
        </w:tc>
        <w:tc>
          <w:tcPr>
            <w:tcW w:w="1247" w:type="dxa"/>
            <w:tcBorders>
              <w:top w:val="nil"/>
              <w:left w:val="nil"/>
              <w:bottom w:val="single" w:sz="4" w:space="0" w:color="000000"/>
              <w:right w:val="single" w:sz="4" w:space="0" w:color="000000"/>
            </w:tcBorders>
            <w:shd w:val="clear" w:color="auto" w:fill="auto"/>
            <w:vAlign w:val="bottom"/>
          </w:tcPr>
          <w:p w14:paraId="3E034B9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F76D14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C47048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B84AAC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B99171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B17DC64"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0D6EDF1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1714B7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268494E"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5D0F69A" w14:textId="77777777" w:rsidR="005A043A" w:rsidRDefault="005A043A" w:rsidP="00286762">
            <w:pPr>
              <w:spacing w:after="0"/>
              <w:jc w:val="right"/>
              <w:rPr>
                <w:color w:val="000000"/>
                <w:sz w:val="20"/>
                <w:szCs w:val="20"/>
              </w:rPr>
            </w:pPr>
            <w:r>
              <w:rPr>
                <w:color w:val="000000"/>
                <w:sz w:val="20"/>
                <w:szCs w:val="20"/>
              </w:rPr>
              <w:t>7</w:t>
            </w:r>
          </w:p>
        </w:tc>
      </w:tr>
      <w:tr w:rsidR="005A043A" w14:paraId="67223EB3"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38890412"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Takeshita et al., 2019</w:t>
            </w:r>
          </w:p>
        </w:tc>
        <w:tc>
          <w:tcPr>
            <w:tcW w:w="1247" w:type="dxa"/>
            <w:tcBorders>
              <w:top w:val="nil"/>
              <w:left w:val="nil"/>
              <w:bottom w:val="single" w:sz="4" w:space="0" w:color="000000"/>
              <w:right w:val="single" w:sz="4" w:space="0" w:color="000000"/>
            </w:tcBorders>
            <w:shd w:val="clear" w:color="auto" w:fill="auto"/>
            <w:vAlign w:val="bottom"/>
          </w:tcPr>
          <w:p w14:paraId="7B6DECF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328DC6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19C546E"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355FC0DA"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35762A36" w14:textId="77777777" w:rsidR="005A043A" w:rsidRDefault="005A043A" w:rsidP="00286762">
            <w:pPr>
              <w:spacing w:after="0"/>
              <w:rPr>
                <w:color w:val="000000"/>
                <w:sz w:val="20"/>
                <w:szCs w:val="20"/>
              </w:rPr>
            </w:pPr>
            <w:r>
              <w:rPr>
                <w:color w:val="000000"/>
                <w:sz w:val="20"/>
                <w:szCs w:val="20"/>
              </w:rPr>
              <w:t>H</w:t>
            </w:r>
          </w:p>
        </w:tc>
        <w:tc>
          <w:tcPr>
            <w:tcW w:w="1247" w:type="dxa"/>
            <w:tcBorders>
              <w:top w:val="nil"/>
              <w:left w:val="nil"/>
              <w:bottom w:val="single" w:sz="4" w:space="0" w:color="000000"/>
              <w:right w:val="single" w:sz="4" w:space="0" w:color="000000"/>
            </w:tcBorders>
            <w:shd w:val="clear" w:color="auto" w:fill="auto"/>
            <w:vAlign w:val="bottom"/>
          </w:tcPr>
          <w:p w14:paraId="113E2A3E"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8E7511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D1E742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45C1BF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CA8E9E8" w14:textId="77777777" w:rsidR="005A043A" w:rsidRDefault="005A043A" w:rsidP="00286762">
            <w:pPr>
              <w:spacing w:after="0"/>
              <w:jc w:val="right"/>
              <w:rPr>
                <w:color w:val="000000"/>
                <w:sz w:val="20"/>
                <w:szCs w:val="20"/>
              </w:rPr>
            </w:pPr>
            <w:r>
              <w:rPr>
                <w:color w:val="000000"/>
                <w:sz w:val="20"/>
                <w:szCs w:val="20"/>
              </w:rPr>
              <w:t>3</w:t>
            </w:r>
          </w:p>
        </w:tc>
      </w:tr>
      <w:tr w:rsidR="005A043A" w14:paraId="012FF704"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27CC3591" w14:textId="77777777" w:rsidR="005A043A" w:rsidRDefault="005A043A" w:rsidP="00286762">
            <w:pPr>
              <w:spacing w:after="0"/>
              <w:jc w:val="center"/>
              <w:rPr>
                <w:rFonts w:eastAsia="Times New Roman" w:cs="Times New Roman"/>
                <w:sz w:val="20"/>
                <w:szCs w:val="20"/>
              </w:rPr>
            </w:pPr>
            <w:proofErr w:type="spellStart"/>
            <w:r>
              <w:rPr>
                <w:rFonts w:eastAsia="Times New Roman" w:cs="Times New Roman"/>
                <w:sz w:val="20"/>
                <w:szCs w:val="20"/>
              </w:rPr>
              <w:t>Umpierrez</w:t>
            </w:r>
            <w:proofErr w:type="spellEnd"/>
            <w:r>
              <w:rPr>
                <w:rFonts w:eastAsia="Times New Roman" w:cs="Times New Roman"/>
                <w:sz w:val="20"/>
                <w:szCs w:val="20"/>
              </w:rPr>
              <w:t xml:space="preserve"> et al., 2014</w:t>
            </w:r>
          </w:p>
        </w:tc>
        <w:tc>
          <w:tcPr>
            <w:tcW w:w="1247" w:type="dxa"/>
            <w:tcBorders>
              <w:top w:val="nil"/>
              <w:left w:val="nil"/>
              <w:bottom w:val="single" w:sz="4" w:space="0" w:color="000000"/>
              <w:right w:val="single" w:sz="4" w:space="0" w:color="000000"/>
            </w:tcBorders>
            <w:shd w:val="clear" w:color="auto" w:fill="auto"/>
            <w:vAlign w:val="bottom"/>
          </w:tcPr>
          <w:p w14:paraId="602FBBA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23F473F"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09CF13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FDF713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A077D3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C5C455C"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ADD96B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1ECB2F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09A938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51BA905" w14:textId="77777777" w:rsidR="005A043A" w:rsidRDefault="005A043A" w:rsidP="00286762">
            <w:pPr>
              <w:spacing w:after="0"/>
              <w:jc w:val="right"/>
              <w:rPr>
                <w:color w:val="000000"/>
                <w:sz w:val="20"/>
                <w:szCs w:val="20"/>
              </w:rPr>
            </w:pPr>
            <w:r>
              <w:rPr>
                <w:color w:val="000000"/>
                <w:sz w:val="20"/>
                <w:szCs w:val="20"/>
              </w:rPr>
              <w:t>5</w:t>
            </w:r>
          </w:p>
        </w:tc>
      </w:tr>
      <w:tr w:rsidR="005A043A" w14:paraId="78A5ABC0"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282411E5"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Weissman et al.,2005</w:t>
            </w:r>
          </w:p>
        </w:tc>
        <w:tc>
          <w:tcPr>
            <w:tcW w:w="1247" w:type="dxa"/>
            <w:tcBorders>
              <w:top w:val="nil"/>
              <w:left w:val="nil"/>
              <w:bottom w:val="single" w:sz="4" w:space="0" w:color="000000"/>
              <w:right w:val="single" w:sz="4" w:space="0" w:color="000000"/>
            </w:tcBorders>
            <w:shd w:val="clear" w:color="auto" w:fill="auto"/>
            <w:vAlign w:val="bottom"/>
          </w:tcPr>
          <w:p w14:paraId="0ACF55F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F208BB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E9C3A5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3A77EC5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5B25DF6"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6CB5B1E"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027362F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FA7979C"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B70104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52CF452" w14:textId="77777777" w:rsidR="005A043A" w:rsidRDefault="005A043A" w:rsidP="00286762">
            <w:pPr>
              <w:spacing w:after="0"/>
              <w:jc w:val="right"/>
              <w:rPr>
                <w:color w:val="000000"/>
                <w:sz w:val="20"/>
                <w:szCs w:val="20"/>
              </w:rPr>
            </w:pPr>
            <w:r>
              <w:rPr>
                <w:color w:val="000000"/>
                <w:sz w:val="20"/>
                <w:szCs w:val="20"/>
              </w:rPr>
              <w:t>5</w:t>
            </w:r>
          </w:p>
        </w:tc>
      </w:tr>
      <w:tr w:rsidR="005A043A" w14:paraId="334E94F0"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06BAED46"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 xml:space="preserve">Williams-Herman et al. 2010 </w:t>
            </w:r>
          </w:p>
        </w:tc>
        <w:tc>
          <w:tcPr>
            <w:tcW w:w="1247" w:type="dxa"/>
            <w:tcBorders>
              <w:top w:val="nil"/>
              <w:left w:val="nil"/>
              <w:bottom w:val="single" w:sz="4" w:space="0" w:color="000000"/>
              <w:right w:val="single" w:sz="4" w:space="0" w:color="000000"/>
            </w:tcBorders>
            <w:shd w:val="clear" w:color="auto" w:fill="auto"/>
            <w:vAlign w:val="bottom"/>
          </w:tcPr>
          <w:p w14:paraId="4C2D481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0341E1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A71EEA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FDD684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BF5DAA2"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1D16234"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58B1273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F39C638"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676120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A9EA5E1" w14:textId="77777777" w:rsidR="005A043A" w:rsidRDefault="005A043A" w:rsidP="00286762">
            <w:pPr>
              <w:spacing w:after="0"/>
              <w:jc w:val="right"/>
              <w:rPr>
                <w:color w:val="000000"/>
                <w:sz w:val="20"/>
                <w:szCs w:val="20"/>
              </w:rPr>
            </w:pPr>
            <w:r>
              <w:rPr>
                <w:color w:val="000000"/>
                <w:sz w:val="20"/>
                <w:szCs w:val="20"/>
              </w:rPr>
              <w:t>6</w:t>
            </w:r>
          </w:p>
        </w:tc>
      </w:tr>
      <w:tr w:rsidR="005A043A" w14:paraId="42C84749"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68B479C0"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Yang et al., 2011</w:t>
            </w:r>
          </w:p>
        </w:tc>
        <w:tc>
          <w:tcPr>
            <w:tcW w:w="1247" w:type="dxa"/>
            <w:tcBorders>
              <w:top w:val="nil"/>
              <w:left w:val="nil"/>
              <w:bottom w:val="single" w:sz="4" w:space="0" w:color="000000"/>
              <w:right w:val="single" w:sz="4" w:space="0" w:color="000000"/>
            </w:tcBorders>
            <w:shd w:val="clear" w:color="auto" w:fill="auto"/>
            <w:vAlign w:val="bottom"/>
          </w:tcPr>
          <w:p w14:paraId="6EAFAE49"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4BE2A2B"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E64930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3686FF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89C586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0F95DE9"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1994877E"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21EAA10"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D6F17F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9F7CEE0" w14:textId="77777777" w:rsidR="005A043A" w:rsidRDefault="005A043A" w:rsidP="00286762">
            <w:pPr>
              <w:spacing w:after="0"/>
              <w:jc w:val="right"/>
              <w:rPr>
                <w:color w:val="000000"/>
                <w:sz w:val="20"/>
                <w:szCs w:val="20"/>
              </w:rPr>
            </w:pPr>
            <w:r>
              <w:rPr>
                <w:color w:val="000000"/>
                <w:sz w:val="20"/>
                <w:szCs w:val="20"/>
              </w:rPr>
              <w:t>5</w:t>
            </w:r>
          </w:p>
        </w:tc>
      </w:tr>
      <w:tr w:rsidR="005A043A" w14:paraId="54191C21"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1863822E"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Yoon KH et al., 2011</w:t>
            </w:r>
          </w:p>
        </w:tc>
        <w:tc>
          <w:tcPr>
            <w:tcW w:w="1247" w:type="dxa"/>
            <w:tcBorders>
              <w:top w:val="nil"/>
              <w:left w:val="nil"/>
              <w:bottom w:val="single" w:sz="4" w:space="0" w:color="000000"/>
              <w:right w:val="single" w:sz="4" w:space="0" w:color="000000"/>
            </w:tcBorders>
            <w:shd w:val="clear" w:color="auto" w:fill="auto"/>
            <w:vAlign w:val="bottom"/>
          </w:tcPr>
          <w:p w14:paraId="3C85DD3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683DA18"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B52D27D"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361E45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D81E322"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AF336D7"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6F8BA56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B545AD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E2D095F"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0CD6E9C" w14:textId="77777777" w:rsidR="005A043A" w:rsidRDefault="005A043A" w:rsidP="00286762">
            <w:pPr>
              <w:spacing w:after="0"/>
              <w:jc w:val="right"/>
              <w:rPr>
                <w:color w:val="000000"/>
                <w:sz w:val="20"/>
                <w:szCs w:val="20"/>
              </w:rPr>
            </w:pPr>
            <w:r>
              <w:rPr>
                <w:color w:val="000000"/>
                <w:sz w:val="20"/>
                <w:szCs w:val="20"/>
              </w:rPr>
              <w:t>4</w:t>
            </w:r>
          </w:p>
        </w:tc>
      </w:tr>
      <w:tr w:rsidR="005A043A" w14:paraId="7C064E99"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62590670"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Yuan  et al., 2012</w:t>
            </w:r>
          </w:p>
        </w:tc>
        <w:tc>
          <w:tcPr>
            <w:tcW w:w="1247" w:type="dxa"/>
            <w:tcBorders>
              <w:top w:val="nil"/>
              <w:left w:val="nil"/>
              <w:bottom w:val="single" w:sz="4" w:space="0" w:color="000000"/>
              <w:right w:val="single" w:sz="4" w:space="0" w:color="000000"/>
            </w:tcBorders>
            <w:shd w:val="clear" w:color="auto" w:fill="auto"/>
            <w:vAlign w:val="bottom"/>
          </w:tcPr>
          <w:p w14:paraId="0C58D87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7754F02"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A64CA47"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07B0FBBC"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BB60B2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1D799D0"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47347995"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3292BB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D7FBDA4"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89AF719" w14:textId="77777777" w:rsidR="005A043A" w:rsidRDefault="005A043A" w:rsidP="00286762">
            <w:pPr>
              <w:spacing w:after="0"/>
              <w:jc w:val="right"/>
              <w:rPr>
                <w:color w:val="000000"/>
                <w:sz w:val="20"/>
                <w:szCs w:val="20"/>
              </w:rPr>
            </w:pPr>
            <w:r>
              <w:rPr>
                <w:color w:val="000000"/>
                <w:sz w:val="20"/>
                <w:szCs w:val="20"/>
              </w:rPr>
              <w:t>4</w:t>
            </w:r>
          </w:p>
        </w:tc>
      </w:tr>
      <w:tr w:rsidR="005A043A" w14:paraId="3F5C1840"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19023F97" w14:textId="77777777" w:rsidR="005A043A" w:rsidRDefault="005A043A" w:rsidP="00286762">
            <w:pPr>
              <w:spacing w:after="0"/>
              <w:jc w:val="center"/>
              <w:rPr>
                <w:rFonts w:eastAsia="Times New Roman" w:cs="Times New Roman"/>
                <w:sz w:val="20"/>
                <w:szCs w:val="20"/>
              </w:rPr>
            </w:pPr>
            <w:proofErr w:type="spellStart"/>
            <w:r>
              <w:rPr>
                <w:rFonts w:eastAsia="Times New Roman" w:cs="Times New Roman"/>
                <w:sz w:val="20"/>
                <w:szCs w:val="20"/>
              </w:rPr>
              <w:lastRenderedPageBreak/>
              <w:t>Yuxin</w:t>
            </w:r>
            <w:proofErr w:type="spellEnd"/>
            <w:r>
              <w:rPr>
                <w:rFonts w:eastAsia="Times New Roman" w:cs="Times New Roman"/>
                <w:sz w:val="20"/>
                <w:szCs w:val="20"/>
              </w:rPr>
              <w:t xml:space="preserve"> et al., 2020</w:t>
            </w:r>
          </w:p>
        </w:tc>
        <w:tc>
          <w:tcPr>
            <w:tcW w:w="1247" w:type="dxa"/>
            <w:tcBorders>
              <w:top w:val="nil"/>
              <w:left w:val="nil"/>
              <w:bottom w:val="single" w:sz="4" w:space="0" w:color="000000"/>
              <w:right w:val="single" w:sz="4" w:space="0" w:color="000000"/>
            </w:tcBorders>
            <w:shd w:val="clear" w:color="auto" w:fill="auto"/>
            <w:vAlign w:val="bottom"/>
          </w:tcPr>
          <w:p w14:paraId="064E4F03"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0539E0B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186D7510"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A30B856"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7A1C86B1"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33683122"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3F31B08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704D25D1"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5AB0C4C6"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A79D7E4" w14:textId="77777777" w:rsidR="005A043A" w:rsidRDefault="005A043A" w:rsidP="00286762">
            <w:pPr>
              <w:spacing w:after="0"/>
              <w:jc w:val="right"/>
              <w:rPr>
                <w:color w:val="000000"/>
                <w:sz w:val="20"/>
                <w:szCs w:val="20"/>
              </w:rPr>
            </w:pPr>
            <w:r>
              <w:rPr>
                <w:color w:val="000000"/>
                <w:sz w:val="20"/>
                <w:szCs w:val="20"/>
              </w:rPr>
              <w:t>2</w:t>
            </w:r>
          </w:p>
        </w:tc>
      </w:tr>
      <w:tr w:rsidR="005A043A" w14:paraId="39B40A9E" w14:textId="77777777" w:rsidTr="00286762">
        <w:trPr>
          <w:trHeight w:val="255"/>
        </w:trPr>
        <w:tc>
          <w:tcPr>
            <w:tcW w:w="1587" w:type="dxa"/>
            <w:tcBorders>
              <w:top w:val="nil"/>
              <w:left w:val="single" w:sz="4" w:space="0" w:color="000000"/>
              <w:bottom w:val="single" w:sz="4" w:space="0" w:color="000000"/>
              <w:right w:val="single" w:sz="4" w:space="0" w:color="000000"/>
            </w:tcBorders>
            <w:shd w:val="clear" w:color="auto" w:fill="auto"/>
            <w:vAlign w:val="center"/>
          </w:tcPr>
          <w:p w14:paraId="4B1B2199" w14:textId="77777777" w:rsidR="005A043A" w:rsidRDefault="005A043A" w:rsidP="00286762">
            <w:pPr>
              <w:spacing w:after="0"/>
              <w:jc w:val="center"/>
              <w:rPr>
                <w:rFonts w:eastAsia="Times New Roman" w:cs="Times New Roman"/>
                <w:sz w:val="20"/>
                <w:szCs w:val="20"/>
              </w:rPr>
            </w:pPr>
            <w:r>
              <w:rPr>
                <w:rFonts w:eastAsia="Times New Roman" w:cs="Times New Roman"/>
                <w:sz w:val="20"/>
                <w:szCs w:val="20"/>
              </w:rPr>
              <w:t>Zack et al., 2015</w:t>
            </w:r>
          </w:p>
        </w:tc>
        <w:tc>
          <w:tcPr>
            <w:tcW w:w="1247" w:type="dxa"/>
            <w:tcBorders>
              <w:top w:val="nil"/>
              <w:left w:val="nil"/>
              <w:bottom w:val="single" w:sz="4" w:space="0" w:color="000000"/>
              <w:right w:val="single" w:sz="4" w:space="0" w:color="000000"/>
            </w:tcBorders>
            <w:shd w:val="clear" w:color="auto" w:fill="auto"/>
            <w:vAlign w:val="bottom"/>
          </w:tcPr>
          <w:p w14:paraId="6AE4B5F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63256DDD"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2DF4ACD9"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1E97DA7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42A42A8B"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F00FC40" w14:textId="77777777" w:rsidR="005A043A" w:rsidRDefault="005A043A" w:rsidP="00286762">
            <w:pPr>
              <w:spacing w:after="0"/>
              <w:rPr>
                <w:color w:val="000000"/>
                <w:sz w:val="20"/>
                <w:szCs w:val="20"/>
              </w:rPr>
            </w:pPr>
            <w:proofErr w:type="spellStart"/>
            <w:r>
              <w:rPr>
                <w:color w:val="000000"/>
                <w:sz w:val="20"/>
                <w:szCs w:val="20"/>
              </w:rPr>
              <w:t>na</w:t>
            </w:r>
            <w:proofErr w:type="spellEnd"/>
          </w:p>
        </w:tc>
        <w:tc>
          <w:tcPr>
            <w:tcW w:w="1247" w:type="dxa"/>
            <w:tcBorders>
              <w:top w:val="nil"/>
              <w:left w:val="nil"/>
              <w:bottom w:val="single" w:sz="4" w:space="0" w:color="000000"/>
              <w:right w:val="single" w:sz="4" w:space="0" w:color="000000"/>
            </w:tcBorders>
            <w:shd w:val="clear" w:color="auto" w:fill="auto"/>
            <w:vAlign w:val="bottom"/>
          </w:tcPr>
          <w:p w14:paraId="53D9F05A"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6AE68303" w14:textId="77777777" w:rsidR="005A043A" w:rsidRDefault="005A043A" w:rsidP="00286762">
            <w:pPr>
              <w:spacing w:after="0"/>
              <w:rPr>
                <w:color w:val="000000"/>
                <w:sz w:val="20"/>
                <w:szCs w:val="20"/>
              </w:rPr>
            </w:pPr>
            <w:r>
              <w:rPr>
                <w:color w:val="000000"/>
                <w:sz w:val="20"/>
                <w:szCs w:val="20"/>
              </w:rPr>
              <w:t>L</w:t>
            </w:r>
          </w:p>
        </w:tc>
        <w:tc>
          <w:tcPr>
            <w:tcW w:w="1247" w:type="dxa"/>
            <w:tcBorders>
              <w:top w:val="nil"/>
              <w:left w:val="nil"/>
              <w:bottom w:val="single" w:sz="4" w:space="0" w:color="000000"/>
              <w:right w:val="single" w:sz="4" w:space="0" w:color="000000"/>
            </w:tcBorders>
            <w:shd w:val="clear" w:color="auto" w:fill="auto"/>
            <w:vAlign w:val="bottom"/>
          </w:tcPr>
          <w:p w14:paraId="283CED85" w14:textId="77777777" w:rsidR="005A043A" w:rsidRDefault="005A043A" w:rsidP="00286762">
            <w:pPr>
              <w:spacing w:after="0"/>
              <w:rPr>
                <w:color w:val="000000"/>
                <w:sz w:val="20"/>
                <w:szCs w:val="20"/>
              </w:rPr>
            </w:pPr>
            <w:r>
              <w:rPr>
                <w:color w:val="000000"/>
                <w:sz w:val="20"/>
                <w:szCs w:val="20"/>
              </w:rPr>
              <w:t>?</w:t>
            </w:r>
          </w:p>
        </w:tc>
        <w:tc>
          <w:tcPr>
            <w:tcW w:w="1247" w:type="dxa"/>
            <w:tcBorders>
              <w:top w:val="nil"/>
              <w:left w:val="nil"/>
              <w:bottom w:val="single" w:sz="4" w:space="0" w:color="000000"/>
              <w:right w:val="single" w:sz="4" w:space="0" w:color="000000"/>
            </w:tcBorders>
            <w:shd w:val="clear" w:color="auto" w:fill="auto"/>
            <w:vAlign w:val="bottom"/>
          </w:tcPr>
          <w:p w14:paraId="4470E2A7" w14:textId="77777777" w:rsidR="005A043A" w:rsidRDefault="005A043A" w:rsidP="00286762">
            <w:pPr>
              <w:spacing w:after="0"/>
              <w:jc w:val="right"/>
              <w:rPr>
                <w:color w:val="000000"/>
                <w:sz w:val="20"/>
                <w:szCs w:val="20"/>
              </w:rPr>
            </w:pPr>
            <w:r>
              <w:rPr>
                <w:color w:val="000000"/>
                <w:sz w:val="20"/>
                <w:szCs w:val="20"/>
              </w:rPr>
              <w:t>5</w:t>
            </w:r>
          </w:p>
        </w:tc>
      </w:tr>
    </w:tbl>
    <w:p w14:paraId="4B082318" w14:textId="77777777" w:rsidR="005A043A" w:rsidRDefault="005A043A" w:rsidP="005A043A">
      <w:pPr>
        <w:rPr>
          <w:lang w:val="en-GB"/>
        </w:rPr>
      </w:pPr>
      <w:r w:rsidRPr="00277A9D">
        <w:rPr>
          <w:lang w:val="en-GB"/>
        </w:rPr>
        <w:t>Abbreviations: L - low risk of bias; ? - some concerns; H - high risk of bias</w:t>
      </w:r>
      <w:r>
        <w:rPr>
          <w:lang w:val="en-GB"/>
        </w:rPr>
        <w:t>;</w:t>
      </w:r>
      <w:r w:rsidRPr="003139A7">
        <w:rPr>
          <w:lang w:val="en-GB"/>
        </w:rPr>
        <w:t xml:space="preserve"> </w:t>
      </w:r>
      <w:proofErr w:type="spellStart"/>
      <w:r w:rsidRPr="00277A9D">
        <w:rPr>
          <w:lang w:val="en-GB"/>
        </w:rPr>
        <w:t>na</w:t>
      </w:r>
      <w:proofErr w:type="spellEnd"/>
      <w:r w:rsidRPr="00277A9D">
        <w:rPr>
          <w:lang w:val="en-GB"/>
        </w:rPr>
        <w:t xml:space="preserve"> - not applicable</w:t>
      </w:r>
    </w:p>
    <w:p w14:paraId="12372571" w14:textId="77777777" w:rsidR="005A043A" w:rsidRDefault="005A043A" w:rsidP="005A043A">
      <w:pPr>
        <w:rPr>
          <w:lang w:val="en-GB"/>
        </w:rPr>
        <w:sectPr w:rsidR="005A043A" w:rsidSect="00277A9D">
          <w:pgSz w:w="16838" w:h="11906" w:orient="landscape"/>
          <w:pgMar w:top="1417" w:right="1417" w:bottom="1417" w:left="1417" w:header="708" w:footer="708" w:gutter="0"/>
          <w:pgNumType w:start="1"/>
          <w:cols w:space="708"/>
          <w:docGrid w:linePitch="299"/>
        </w:sectPr>
      </w:pPr>
    </w:p>
    <w:p w14:paraId="68A40BBB" w14:textId="77777777" w:rsidR="005A043A" w:rsidRPr="00B52E0C" w:rsidRDefault="005A043A" w:rsidP="005A043A">
      <w:pPr>
        <w:rPr>
          <w:b/>
          <w:bCs/>
          <w:lang w:val="en-GB"/>
        </w:rPr>
      </w:pPr>
      <w:r w:rsidRPr="00B52E0C">
        <w:rPr>
          <w:b/>
          <w:bCs/>
          <w:lang w:val="en-GB"/>
        </w:rPr>
        <w:lastRenderedPageBreak/>
        <w:t>References</w:t>
      </w:r>
      <w:r>
        <w:rPr>
          <w:b/>
          <w:bCs/>
          <w:lang w:val="en-GB"/>
        </w:rPr>
        <w:t>:</w:t>
      </w:r>
    </w:p>
    <w:p w14:paraId="78630129" w14:textId="77777777" w:rsidR="005A043A" w:rsidRPr="0043160C" w:rsidRDefault="005A043A" w:rsidP="005A043A">
      <w:pPr>
        <w:widowControl w:val="0"/>
        <w:autoSpaceDE w:val="0"/>
        <w:autoSpaceDN w:val="0"/>
        <w:adjustRightInd w:val="0"/>
        <w:ind w:left="640" w:hanging="640"/>
        <w:rPr>
          <w:noProof/>
          <w:szCs w:val="24"/>
          <w:lang w:val="en-GB"/>
        </w:rPr>
      </w:pPr>
      <w:r>
        <w:rPr>
          <w:lang w:val="en-GB"/>
        </w:rPr>
        <w:fldChar w:fldCharType="begin" w:fldLock="1"/>
      </w:r>
      <w:r>
        <w:rPr>
          <w:lang w:val="en-GB"/>
        </w:rPr>
        <w:instrText xml:space="preserve">ADDIN Mendeley Bibliography CSL_BIBLIOGRAPHY </w:instrText>
      </w:r>
      <w:r>
        <w:rPr>
          <w:lang w:val="en-GB"/>
        </w:rPr>
        <w:fldChar w:fldCharType="separate"/>
      </w:r>
      <w:r w:rsidRPr="0043160C">
        <w:rPr>
          <w:noProof/>
          <w:szCs w:val="24"/>
          <w:lang w:val="en-GB"/>
        </w:rPr>
        <w:t>[1]</w:t>
      </w:r>
      <w:r w:rsidRPr="0043160C">
        <w:rPr>
          <w:noProof/>
          <w:szCs w:val="24"/>
          <w:lang w:val="en-GB"/>
        </w:rPr>
        <w:tab/>
        <w:t xml:space="preserve">P. Aschner </w:t>
      </w:r>
      <w:r w:rsidRPr="0043160C">
        <w:rPr>
          <w:i/>
          <w:iCs/>
          <w:noProof/>
          <w:szCs w:val="24"/>
          <w:lang w:val="en-GB"/>
        </w:rPr>
        <w:t>et al.</w:t>
      </w:r>
      <w:r w:rsidRPr="0043160C">
        <w:rPr>
          <w:noProof/>
          <w:szCs w:val="24"/>
          <w:lang w:val="en-GB"/>
        </w:rPr>
        <w:t xml:space="preserve">, ‘Efficacy and safety of monotherapy of sitagliptin compared with metformin in patients with type 2 diabetes’, </w:t>
      </w:r>
      <w:r w:rsidRPr="0043160C">
        <w:rPr>
          <w:i/>
          <w:iCs/>
          <w:noProof/>
          <w:szCs w:val="24"/>
          <w:lang w:val="en-GB"/>
        </w:rPr>
        <w:t>Diabetes, Obes. \&amp; Metab.</w:t>
      </w:r>
      <w:r w:rsidRPr="0043160C">
        <w:rPr>
          <w:noProof/>
          <w:szCs w:val="24"/>
          <w:lang w:val="en-GB"/>
        </w:rPr>
        <w:t>, vol. 12, no. 3, pp. 252–261, Mar. 2010, doi: 10.1111/j.1463-1326.2009.01187.x.</w:t>
      </w:r>
    </w:p>
    <w:p w14:paraId="0930883F"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[2]</w:t>
      </w:r>
      <w:r w:rsidRPr="0043160C">
        <w:rPr>
          <w:noProof/>
          <w:szCs w:val="24"/>
          <w:lang w:val="en-GB"/>
        </w:rPr>
        <w:tab/>
        <w:t xml:space="preserve">L. Blonde, J. Rosenstock, A. D. Mooradian, B.-A. Piper, and D. Henry, ‘Glyburide/metformin combination product is safe and efficacious in patients with type 2 diabetes failing sulphonylurea therapy’, </w:t>
      </w:r>
      <w:r w:rsidRPr="0043160C">
        <w:rPr>
          <w:i/>
          <w:iCs/>
          <w:noProof/>
          <w:szCs w:val="24"/>
          <w:lang w:val="en-GB"/>
        </w:rPr>
        <w:t>Diabetes, Obes. Metab.</w:t>
      </w:r>
      <w:r w:rsidRPr="0043160C">
        <w:rPr>
          <w:noProof/>
          <w:szCs w:val="24"/>
          <w:lang w:val="en-GB"/>
        </w:rPr>
        <w:t>, vol. 4, no. 6, pp. 368–375, 2002, doi: 10.1046/j.1463-1326.2002.00229.x.</w:t>
      </w:r>
    </w:p>
    <w:p w14:paraId="25E7803A"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[3]</w:t>
      </w:r>
      <w:r w:rsidRPr="0043160C">
        <w:rPr>
          <w:noProof/>
          <w:szCs w:val="24"/>
          <w:lang w:val="en-GB"/>
        </w:rPr>
        <w:tab/>
        <w:t xml:space="preserve">E. Ferrannini </w:t>
      </w:r>
      <w:r w:rsidRPr="0043160C">
        <w:rPr>
          <w:i/>
          <w:iCs/>
          <w:noProof/>
          <w:szCs w:val="24"/>
          <w:lang w:val="en-GB"/>
        </w:rPr>
        <w:t>et al.</w:t>
      </w:r>
      <w:r w:rsidRPr="0043160C">
        <w:rPr>
          <w:noProof/>
          <w:szCs w:val="24"/>
          <w:lang w:val="en-GB"/>
        </w:rPr>
        <w:t xml:space="preserve">, ‘Long-Term Safety and Efficacy of Empagliflozin, Sitagliptin, and MetforminAn active-controlled, parallel-group, randomized, 78-week open-label extension study in patients with type 2 diabetes’, </w:t>
      </w:r>
      <w:r w:rsidRPr="0043160C">
        <w:rPr>
          <w:i/>
          <w:iCs/>
          <w:noProof/>
          <w:szCs w:val="24"/>
          <w:lang w:val="en-GB"/>
        </w:rPr>
        <w:t>Diabetes Care</w:t>
      </w:r>
      <w:r w:rsidRPr="0043160C">
        <w:rPr>
          <w:noProof/>
          <w:szCs w:val="24"/>
          <w:lang w:val="en-GB"/>
        </w:rPr>
        <w:t>, vol. 36, no. 12, pp. 4015–4021, Dec. 2013, doi: 10.2337/DC13-0663.</w:t>
      </w:r>
    </w:p>
    <w:p w14:paraId="3D2EF269"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[4]</w:t>
      </w:r>
      <w:r w:rsidRPr="0043160C">
        <w:rPr>
          <w:noProof/>
          <w:szCs w:val="24"/>
          <w:lang w:val="en-GB"/>
        </w:rPr>
        <w:tab/>
        <w:t xml:space="preserve">E. Bosi, F. Dotta, Y. Jia, and M. Goodman, ‘Vildagliptin plus metformin combination therapy provides superior glycaemic control to individual monotherapy in treatment-naive patients with type 2 diabetes mellitus’, </w:t>
      </w:r>
      <w:r w:rsidRPr="0043160C">
        <w:rPr>
          <w:i/>
          <w:iCs/>
          <w:noProof/>
          <w:szCs w:val="24"/>
          <w:lang w:val="en-GB"/>
        </w:rPr>
        <w:t>Diabetes, Obes. Metab.</w:t>
      </w:r>
      <w:r w:rsidRPr="0043160C">
        <w:rPr>
          <w:noProof/>
          <w:szCs w:val="24"/>
          <w:lang w:val="en-GB"/>
        </w:rPr>
        <w:t>, vol. 11, no. 5, pp. 506–515, 2009, doi: 10.1111/j.1463-1326.2009.01040.x.</w:t>
      </w:r>
    </w:p>
    <w:p w14:paraId="4D16689B"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[5]</w:t>
      </w:r>
      <w:r w:rsidRPr="0043160C">
        <w:rPr>
          <w:noProof/>
          <w:szCs w:val="24"/>
          <w:lang w:val="en-GB"/>
        </w:rPr>
        <w:tab/>
        <w:t xml:space="preserve">R. A. Defronzo and A. M. Goodman, ‘Efficacy of metformin in patients with non-insulin-dependent diabetes mellitus’, </w:t>
      </w:r>
      <w:r w:rsidRPr="0043160C">
        <w:rPr>
          <w:i/>
          <w:iCs/>
          <w:noProof/>
          <w:szCs w:val="24"/>
          <w:lang w:val="en-GB"/>
        </w:rPr>
        <w:t>N. Engl. J. Med.</w:t>
      </w:r>
      <w:r w:rsidRPr="0043160C">
        <w:rPr>
          <w:noProof/>
          <w:szCs w:val="24"/>
          <w:lang w:val="en-GB"/>
        </w:rPr>
        <w:t>, vol. 333, no. 9, pp. 541–549, 1995, doi: 10.1056/NEJM199508313330902.</w:t>
      </w:r>
    </w:p>
    <w:p w14:paraId="6FB7E091"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[6]</w:t>
      </w:r>
      <w:r w:rsidRPr="0043160C">
        <w:rPr>
          <w:noProof/>
          <w:szCs w:val="24"/>
          <w:lang w:val="en-GB"/>
        </w:rPr>
        <w:tab/>
        <w:t xml:space="preserve">S. Del Prato, D. W. Erkelens, and M. Leutenegger, ‘Six-month efficacy of benfluorex vs. placebo or metformin in diet-failed type 2 diabetic patients’, </w:t>
      </w:r>
      <w:r w:rsidRPr="0043160C">
        <w:rPr>
          <w:i/>
          <w:iCs/>
          <w:noProof/>
          <w:szCs w:val="24"/>
          <w:lang w:val="en-GB"/>
        </w:rPr>
        <w:t>Acta Diabetol.</w:t>
      </w:r>
      <w:r w:rsidRPr="0043160C">
        <w:rPr>
          <w:noProof/>
          <w:szCs w:val="24"/>
          <w:lang w:val="en-GB"/>
        </w:rPr>
        <w:t>, vol. 40, no. 1, pp. 20–27, Mar. 2003, doi: 10.1007/s005920300004.</w:t>
      </w:r>
    </w:p>
    <w:p w14:paraId="7C2F07D8"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[7]</w:t>
      </w:r>
      <w:r w:rsidRPr="0043160C">
        <w:rPr>
          <w:noProof/>
          <w:szCs w:val="24"/>
          <w:lang w:val="en-GB"/>
        </w:rPr>
        <w:tab/>
        <w:t xml:space="preserve">J. Dou </w:t>
      </w:r>
      <w:r w:rsidRPr="0043160C">
        <w:rPr>
          <w:i/>
          <w:iCs/>
          <w:noProof/>
          <w:szCs w:val="24"/>
          <w:lang w:val="en-GB"/>
        </w:rPr>
        <w:t>et al.</w:t>
      </w:r>
      <w:r w:rsidRPr="0043160C">
        <w:rPr>
          <w:noProof/>
          <w:szCs w:val="24"/>
          <w:lang w:val="en-GB"/>
        </w:rPr>
        <w:t xml:space="preserve">, ‘Efficacy and safety of saxagliptin in combination with metformin as initial therapy in Chinese patients with type 2 diabetes: Results from the START study, a multicentre, randomized, double-blind, active-controlled, phase 3 trial’, </w:t>
      </w:r>
      <w:r w:rsidRPr="0043160C">
        <w:rPr>
          <w:i/>
          <w:iCs/>
          <w:noProof/>
          <w:szCs w:val="24"/>
          <w:lang w:val="en-GB"/>
        </w:rPr>
        <w:t>Diabetes. Obes. Metab.</w:t>
      </w:r>
      <w:r w:rsidRPr="0043160C">
        <w:rPr>
          <w:noProof/>
          <w:szCs w:val="24"/>
          <w:lang w:val="en-GB"/>
        </w:rPr>
        <w:t>, vol. 20, no. 3, pp. 590–598, Mar. 2018, doi: 10.1111/DOM.13117.</w:t>
      </w:r>
    </w:p>
    <w:p w14:paraId="334CDC56"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[8]</w:t>
      </w:r>
      <w:r w:rsidRPr="0043160C">
        <w:rPr>
          <w:noProof/>
          <w:szCs w:val="24"/>
          <w:lang w:val="en-GB"/>
        </w:rPr>
        <w:tab/>
        <w:t xml:space="preserve">R. R. Henry </w:t>
      </w:r>
      <w:r w:rsidRPr="0043160C">
        <w:rPr>
          <w:i/>
          <w:iCs/>
          <w:noProof/>
          <w:szCs w:val="24"/>
          <w:lang w:val="en-GB"/>
        </w:rPr>
        <w:t>et al.</w:t>
      </w:r>
      <w:r w:rsidRPr="0043160C">
        <w:rPr>
          <w:noProof/>
          <w:szCs w:val="24"/>
          <w:lang w:val="en-GB"/>
        </w:rPr>
        <w:t xml:space="preserve">, ‘Improved glycemic control with minimal systemic metformin exposure: Effects of Metformin Delayed-Release (Metformin DR) targeting the lower bowel over 16 weeks in a randomized trial in subjects with type 2 diabetes’, </w:t>
      </w:r>
      <w:r w:rsidRPr="0043160C">
        <w:rPr>
          <w:i/>
          <w:iCs/>
          <w:noProof/>
          <w:szCs w:val="24"/>
          <w:lang w:val="en-GB"/>
        </w:rPr>
        <w:t>PLoS One</w:t>
      </w:r>
      <w:r w:rsidRPr="0043160C">
        <w:rPr>
          <w:noProof/>
          <w:szCs w:val="24"/>
          <w:lang w:val="en-GB"/>
        </w:rPr>
        <w:t>, vol. 13, no. 9, p. e0203946, Feb. 2018, doi: 10.1371/journal.pone.0203946.</w:t>
      </w:r>
    </w:p>
    <w:p w14:paraId="26AD9441"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[9]</w:t>
      </w:r>
      <w:r w:rsidRPr="0043160C">
        <w:rPr>
          <w:noProof/>
          <w:szCs w:val="24"/>
          <w:lang w:val="en-GB"/>
        </w:rPr>
        <w:tab/>
        <w:t xml:space="preserve">M. N. Feinglos, M. F. Saad, F. X. Pi-Sunyer, B. An, and O. Santiago, ‘Effects of liraglutide (NN2211), a long-acting GLP-1 analogue, on glycaemic control and bodyweight in subjects with Type 2 diabetes’, </w:t>
      </w:r>
      <w:r w:rsidRPr="0043160C">
        <w:rPr>
          <w:i/>
          <w:iCs/>
          <w:noProof/>
          <w:szCs w:val="24"/>
          <w:lang w:val="en-GB"/>
        </w:rPr>
        <w:t>Diabet. Med.</w:t>
      </w:r>
      <w:r w:rsidRPr="0043160C">
        <w:rPr>
          <w:noProof/>
          <w:szCs w:val="24"/>
          <w:lang w:val="en-GB"/>
        </w:rPr>
        <w:t>, vol. 22, no. 8, pp. 1016–1023, Aug. 2005, doi: 10.1111/J.1464-5491.2005.01567.X.</w:t>
      </w:r>
    </w:p>
    <w:p w14:paraId="6C1D4040"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[10]</w:t>
      </w:r>
      <w:r w:rsidRPr="0043160C">
        <w:rPr>
          <w:noProof/>
          <w:szCs w:val="24"/>
          <w:lang w:val="en-GB"/>
        </w:rPr>
        <w:tab/>
        <w:t xml:space="preserve">A. Fuangchan </w:t>
      </w:r>
      <w:r w:rsidRPr="0043160C">
        <w:rPr>
          <w:i/>
          <w:iCs/>
          <w:noProof/>
          <w:szCs w:val="24"/>
          <w:lang w:val="en-GB"/>
        </w:rPr>
        <w:t>et al.</w:t>
      </w:r>
      <w:r w:rsidRPr="0043160C">
        <w:rPr>
          <w:noProof/>
          <w:szCs w:val="24"/>
          <w:lang w:val="en-GB"/>
        </w:rPr>
        <w:t xml:space="preserve">, ‘Hypoglycemic effect of bitter melon compared with metformin in newly diagnosed type 2 diabetes patients’, </w:t>
      </w:r>
      <w:r w:rsidRPr="0043160C">
        <w:rPr>
          <w:i/>
          <w:iCs/>
          <w:noProof/>
          <w:szCs w:val="24"/>
          <w:lang w:val="en-GB"/>
        </w:rPr>
        <w:t>J. Ethnopharmacol.</w:t>
      </w:r>
      <w:r w:rsidRPr="0043160C">
        <w:rPr>
          <w:noProof/>
          <w:szCs w:val="24"/>
          <w:lang w:val="en-GB"/>
        </w:rPr>
        <w:t>, vol. 134, no. 2, pp. 422–428, 2011, doi: 10.1016/j.jep.2010.12.045.</w:t>
      </w:r>
    </w:p>
    <w:p w14:paraId="3936D1C2"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lastRenderedPageBreak/>
        <w:t>[11]</w:t>
      </w:r>
      <w:r w:rsidRPr="0043160C">
        <w:rPr>
          <w:noProof/>
          <w:szCs w:val="24"/>
          <w:lang w:val="en-GB"/>
        </w:rPr>
        <w:tab/>
        <w:t xml:space="preserve">K. Fujioka </w:t>
      </w:r>
      <w:r w:rsidRPr="0043160C">
        <w:rPr>
          <w:i/>
          <w:iCs/>
          <w:noProof/>
          <w:szCs w:val="24"/>
          <w:lang w:val="en-GB"/>
        </w:rPr>
        <w:t>et al.</w:t>
      </w:r>
      <w:r w:rsidRPr="0043160C">
        <w:rPr>
          <w:noProof/>
          <w:szCs w:val="24"/>
          <w:lang w:val="en-GB"/>
        </w:rPr>
        <w:t xml:space="preserve">, ‘Efficacy, dose-response relationship and safety of once-daily extended-release metformin (Glucophage XR) in type 2 diabetic patients with inadequate glycaemic control despite prior treatment with diet and exercise: results from two double-blind, placebo-controlled studies’, </w:t>
      </w:r>
      <w:r w:rsidRPr="0043160C">
        <w:rPr>
          <w:i/>
          <w:iCs/>
          <w:noProof/>
          <w:szCs w:val="24"/>
          <w:lang w:val="en-GB"/>
        </w:rPr>
        <w:t>Diabetes. Obes. Metab.</w:t>
      </w:r>
      <w:r w:rsidRPr="0043160C">
        <w:rPr>
          <w:noProof/>
          <w:szCs w:val="24"/>
          <w:lang w:val="en-GB"/>
        </w:rPr>
        <w:t>, vol. 7, no. 1, pp. 28–39, 2005, doi: 10.1111/J.1463-1326.2004.00369.X.</w:t>
      </w:r>
    </w:p>
    <w:p w14:paraId="0719D8B8"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[12]</w:t>
      </w:r>
      <w:r w:rsidRPr="0043160C">
        <w:rPr>
          <w:noProof/>
          <w:szCs w:val="24"/>
          <w:lang w:val="en-GB"/>
        </w:rPr>
        <w:tab/>
        <w:t xml:space="preserve">A. J. Garber, T. G. Duncan, A. M. Goodman, D. J. Mills, and J. L. Rohlf, ‘Efficacy of Metformin in Type II Diabetes: Results of a Double-Blind, Placebo-controlled, Dose-Response Trial’, </w:t>
      </w:r>
      <w:r w:rsidRPr="0043160C">
        <w:rPr>
          <w:i/>
          <w:iCs/>
          <w:noProof/>
          <w:szCs w:val="24"/>
          <w:lang w:val="en-GB"/>
        </w:rPr>
        <w:t>Am. J. Med.</w:t>
      </w:r>
      <w:r w:rsidRPr="0043160C">
        <w:rPr>
          <w:noProof/>
          <w:szCs w:val="24"/>
          <w:lang w:val="en-GB"/>
        </w:rPr>
        <w:t>, vol. 103, no. 6, pp. 491–497, Dec. 1997, doi: 10.1016/S0002-9343(97)00254-4.</w:t>
      </w:r>
    </w:p>
    <w:p w14:paraId="059BCB23"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[13]</w:t>
      </w:r>
      <w:r w:rsidRPr="0043160C">
        <w:rPr>
          <w:noProof/>
          <w:szCs w:val="24"/>
          <w:lang w:val="en-GB"/>
        </w:rPr>
        <w:tab/>
        <w:t xml:space="preserve">A. J. Garber, D. S. Donovan Jr., P. Dandona, S. Bruce, and J.-S. Park, ‘Efficacy of glyburide/metformin tablets compared with initial monotherapy in type 2 diabetes’, </w:t>
      </w:r>
      <w:r w:rsidRPr="0043160C">
        <w:rPr>
          <w:i/>
          <w:iCs/>
          <w:noProof/>
          <w:szCs w:val="24"/>
          <w:lang w:val="en-GB"/>
        </w:rPr>
        <w:t>J. Clin. Endocrinol. Metab.</w:t>
      </w:r>
      <w:r w:rsidRPr="0043160C">
        <w:rPr>
          <w:noProof/>
          <w:szCs w:val="24"/>
          <w:lang w:val="en-GB"/>
        </w:rPr>
        <w:t>, vol. 88, no. 8, pp. 3598–3604, 2003, doi: 10.1210/jc.2002-021225.</w:t>
      </w:r>
    </w:p>
    <w:p w14:paraId="44CCAB59"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[14]</w:t>
      </w:r>
      <w:r w:rsidRPr="0043160C">
        <w:rPr>
          <w:noProof/>
          <w:szCs w:val="24"/>
          <w:lang w:val="en-GB"/>
        </w:rPr>
        <w:tab/>
        <w:t xml:space="preserve">B. Göke </w:t>
      </w:r>
      <w:r w:rsidRPr="0043160C">
        <w:rPr>
          <w:i/>
          <w:iCs/>
          <w:noProof/>
          <w:szCs w:val="24"/>
          <w:lang w:val="en-GB"/>
        </w:rPr>
        <w:t>et al.</w:t>
      </w:r>
      <w:r w:rsidRPr="0043160C">
        <w:rPr>
          <w:noProof/>
          <w:szCs w:val="24"/>
          <w:lang w:val="en-GB"/>
        </w:rPr>
        <w:t xml:space="preserve">, ‘Efficacy and safety of vildagliptin monotherapy during 2-year treatment of drug-naïve patients with type 2 diabetes: Comparison with metformin’, </w:t>
      </w:r>
      <w:r w:rsidRPr="0043160C">
        <w:rPr>
          <w:i/>
          <w:iCs/>
          <w:noProof/>
          <w:szCs w:val="24"/>
          <w:lang w:val="en-GB"/>
        </w:rPr>
        <w:t>Horm. Metab. Res.</w:t>
      </w:r>
      <w:r w:rsidRPr="0043160C">
        <w:rPr>
          <w:noProof/>
          <w:szCs w:val="24"/>
          <w:lang w:val="en-GB"/>
        </w:rPr>
        <w:t>, vol. 40, no. 12, pp. 892–895, Dec. 2008, doi: 10.1055/S-0028-1082334/ID/11.</w:t>
      </w:r>
    </w:p>
    <w:p w14:paraId="7AD6408F"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[15]</w:t>
      </w:r>
      <w:r w:rsidRPr="0043160C">
        <w:rPr>
          <w:noProof/>
          <w:szCs w:val="24"/>
          <w:lang w:val="en-GB"/>
        </w:rPr>
        <w:tab/>
        <w:t xml:space="preserve">B. J. Goldstein, M. Pans, and C. J. Rubin, ‘Multicenter, randomized, double-masked, parallel-group assessment of simultaneous glipizide/metformin as second-line pharmacologic treatment for patients with type 2 diabetes mellitus that is inadequately controlled by a sulfonylurea’, </w:t>
      </w:r>
      <w:r w:rsidRPr="0043160C">
        <w:rPr>
          <w:i/>
          <w:iCs/>
          <w:noProof/>
          <w:szCs w:val="24"/>
          <w:lang w:val="en-GB"/>
        </w:rPr>
        <w:t>Clin. Ther.</w:t>
      </w:r>
      <w:r w:rsidRPr="0043160C">
        <w:rPr>
          <w:noProof/>
          <w:szCs w:val="24"/>
          <w:lang w:val="en-GB"/>
        </w:rPr>
        <w:t>, vol. 25, no. 3, pp. 890–903, 2003, doi: 10.1016/S0149-2918(03)80112-1.</w:t>
      </w:r>
    </w:p>
    <w:p w14:paraId="087795E1"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[16]</w:t>
      </w:r>
      <w:r w:rsidRPr="0043160C">
        <w:rPr>
          <w:noProof/>
          <w:szCs w:val="24"/>
          <w:lang w:val="en-GB"/>
        </w:rPr>
        <w:tab/>
        <w:t xml:space="preserve">T. Haak, T. Meinicke, R. Jones, S. Weber, M. V Eynatten, and H.-J. Woerle, ‘Initial combination of linagliptin and metformin improves glycaemic control in type 2 diabetes: {A} randomized, double-blind, placebo-controlled study’, </w:t>
      </w:r>
      <w:r w:rsidRPr="0043160C">
        <w:rPr>
          <w:i/>
          <w:iCs/>
          <w:noProof/>
          <w:szCs w:val="24"/>
          <w:lang w:val="en-GB"/>
        </w:rPr>
        <w:t>Diabetes, Obes. Metab.</w:t>
      </w:r>
      <w:r w:rsidRPr="0043160C">
        <w:rPr>
          <w:noProof/>
          <w:szCs w:val="24"/>
          <w:lang w:val="en-GB"/>
        </w:rPr>
        <w:t>, vol. 14, no. 6, pp. 565–574, 2012, doi: 10.1111/j.1463-1326.2012.01590.x.</w:t>
      </w:r>
    </w:p>
    <w:p w14:paraId="6EBD89D0"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[17]</w:t>
      </w:r>
      <w:r w:rsidRPr="0043160C">
        <w:rPr>
          <w:noProof/>
          <w:szCs w:val="24"/>
          <w:lang w:val="en-GB"/>
        </w:rPr>
        <w:tab/>
        <w:t xml:space="preserve">R. R. Henry, A. V Murray, M. H. Marmolejo, D. Hennicken, A. Ptaszynska, and J. F. List, ‘Dapagliflozin, metformin XR, or both: Initial pharmacotherapy for type 2 diabetes, a randomised controlled trial’, </w:t>
      </w:r>
      <w:r w:rsidRPr="0043160C">
        <w:rPr>
          <w:i/>
          <w:iCs/>
          <w:noProof/>
          <w:szCs w:val="24"/>
          <w:lang w:val="en-GB"/>
        </w:rPr>
        <w:t>Int. J. Clin. Pract.</w:t>
      </w:r>
      <w:r w:rsidRPr="0043160C">
        <w:rPr>
          <w:noProof/>
          <w:szCs w:val="24"/>
          <w:lang w:val="en-GB"/>
        </w:rPr>
        <w:t>, vol. 66, no. 5, pp. 446–456, 2012, doi: 10.1111/j.1742-1241.2012.02911.x.</w:t>
      </w:r>
    </w:p>
    <w:p w14:paraId="785CEFCA"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[18]</w:t>
      </w:r>
      <w:r w:rsidRPr="0043160C">
        <w:rPr>
          <w:noProof/>
          <w:szCs w:val="24"/>
          <w:lang w:val="en-GB"/>
        </w:rPr>
        <w:tab/>
        <w:t xml:space="preserve">E. S. Horton, J. E. Foley, S. G. Shen, and M. A. Baron, ‘Efficacy and tolerability of initial combination therapy with nateglinide and metformin in treatment-naïve patients with type 2 diabetes’, </w:t>
      </w:r>
      <w:r w:rsidRPr="0043160C">
        <w:rPr>
          <w:i/>
          <w:iCs/>
          <w:noProof/>
          <w:szCs w:val="24"/>
          <w:lang w:val="en-GB"/>
        </w:rPr>
        <w:t>Curr. Med. Res. Opin.</w:t>
      </w:r>
      <w:r w:rsidRPr="0043160C">
        <w:rPr>
          <w:noProof/>
          <w:szCs w:val="24"/>
          <w:lang w:val="en-GB"/>
        </w:rPr>
        <w:t>, vol. 20, no. 6, pp. 883–889, 2004, doi: 10.1185/030079903125003881.</w:t>
      </w:r>
    </w:p>
    <w:p w14:paraId="206802B5"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[19]</w:t>
      </w:r>
      <w:r w:rsidRPr="0043160C">
        <w:rPr>
          <w:noProof/>
          <w:szCs w:val="24"/>
          <w:lang w:val="en-GB"/>
        </w:rPr>
        <w:tab/>
        <w:t xml:space="preserve">M. Jadzinsky </w:t>
      </w:r>
      <w:r w:rsidRPr="0043160C">
        <w:rPr>
          <w:i/>
          <w:iCs/>
          <w:noProof/>
          <w:szCs w:val="24"/>
          <w:lang w:val="en-GB"/>
        </w:rPr>
        <w:t>et al.</w:t>
      </w:r>
      <w:r w:rsidRPr="0043160C">
        <w:rPr>
          <w:noProof/>
          <w:szCs w:val="24"/>
          <w:lang w:val="en-GB"/>
        </w:rPr>
        <w:t xml:space="preserve">, ‘Saxagliptin given in combination with metformin as initial therapy improves glycaemic control in patients with type 2 diabetes compared with either monotherapy: {A} randomized controlled trial’, </w:t>
      </w:r>
      <w:r w:rsidRPr="0043160C">
        <w:rPr>
          <w:i/>
          <w:iCs/>
          <w:noProof/>
          <w:szCs w:val="24"/>
          <w:lang w:val="en-GB"/>
        </w:rPr>
        <w:t>Diabetes, Obes. Metab.</w:t>
      </w:r>
      <w:r w:rsidRPr="0043160C">
        <w:rPr>
          <w:noProof/>
          <w:szCs w:val="24"/>
          <w:lang w:val="en-GB"/>
        </w:rPr>
        <w:t>, vol. 11, no. 6, pp. 611–622, 2009, doi: 10.1111/j.1463-1326.2009.01056.x.</w:t>
      </w:r>
    </w:p>
    <w:p w14:paraId="513CAA00"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[20]</w:t>
      </w:r>
      <w:r w:rsidRPr="0043160C">
        <w:rPr>
          <w:noProof/>
          <w:szCs w:val="24"/>
          <w:lang w:val="en-GB"/>
        </w:rPr>
        <w:tab/>
        <w:t xml:space="preserve">L. Ji </w:t>
      </w:r>
      <w:r w:rsidRPr="0043160C">
        <w:rPr>
          <w:i/>
          <w:iCs/>
          <w:noProof/>
          <w:szCs w:val="24"/>
          <w:lang w:val="en-GB"/>
        </w:rPr>
        <w:t>et al.</w:t>
      </w:r>
      <w:r w:rsidRPr="0043160C">
        <w:rPr>
          <w:noProof/>
          <w:szCs w:val="24"/>
          <w:lang w:val="en-GB"/>
        </w:rPr>
        <w:t xml:space="preserve">, ‘Randomized clinical trial of the safety and efficacy of sitagliptin and metformin co-administered to Chinese patients with type 2 diabetes mellitus’, </w:t>
      </w:r>
      <w:r w:rsidRPr="0043160C">
        <w:rPr>
          <w:i/>
          <w:iCs/>
          <w:noProof/>
          <w:szCs w:val="24"/>
          <w:lang w:val="en-GB"/>
        </w:rPr>
        <w:t>J. Diabetes Investig.</w:t>
      </w:r>
      <w:r w:rsidRPr="0043160C">
        <w:rPr>
          <w:noProof/>
          <w:szCs w:val="24"/>
          <w:lang w:val="en-GB"/>
        </w:rPr>
        <w:t>, vol. 7, no. 5, pp. 727–736, Sep. 2016, doi: 10.1111/JDI.12511.</w:t>
      </w:r>
    </w:p>
    <w:p w14:paraId="1F52B072"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lastRenderedPageBreak/>
        <w:t>[21]</w:t>
      </w:r>
      <w:r w:rsidRPr="0043160C">
        <w:rPr>
          <w:noProof/>
          <w:szCs w:val="24"/>
          <w:lang w:val="en-GB"/>
        </w:rPr>
        <w:tab/>
        <w:t xml:space="preserve">S. E. Kahn </w:t>
      </w:r>
      <w:r w:rsidRPr="0043160C">
        <w:rPr>
          <w:i/>
          <w:iCs/>
          <w:noProof/>
          <w:szCs w:val="24"/>
          <w:lang w:val="en-GB"/>
        </w:rPr>
        <w:t>et al.</w:t>
      </w:r>
      <w:r w:rsidRPr="0043160C">
        <w:rPr>
          <w:noProof/>
          <w:szCs w:val="24"/>
          <w:lang w:val="en-GB"/>
        </w:rPr>
        <w:t xml:space="preserve">, ‘Glycemic durability of rosiglitazone, metformin, or glyburide monotherapy’, </w:t>
      </w:r>
      <w:r w:rsidRPr="0043160C">
        <w:rPr>
          <w:i/>
          <w:iCs/>
          <w:noProof/>
          <w:szCs w:val="24"/>
          <w:lang w:val="en-GB"/>
        </w:rPr>
        <w:t>N. Engl. J. Med.</w:t>
      </w:r>
      <w:r w:rsidRPr="0043160C">
        <w:rPr>
          <w:noProof/>
          <w:szCs w:val="24"/>
          <w:lang w:val="en-GB"/>
        </w:rPr>
        <w:t>, vol. 355, no. 23, pp. 2427–2443, 2006, doi: 10.1056/NEJMoa066224.</w:t>
      </w:r>
    </w:p>
    <w:p w14:paraId="4247D536"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[22]</w:t>
      </w:r>
      <w:r w:rsidRPr="0043160C">
        <w:rPr>
          <w:noProof/>
          <w:szCs w:val="24"/>
          <w:lang w:val="en-GB"/>
        </w:rPr>
        <w:tab/>
        <w:t xml:space="preserve">S. Lim </w:t>
      </w:r>
      <w:r w:rsidRPr="0043160C">
        <w:rPr>
          <w:i/>
          <w:iCs/>
          <w:noProof/>
          <w:szCs w:val="24"/>
          <w:lang w:val="en-GB"/>
        </w:rPr>
        <w:t>et al.</w:t>
      </w:r>
      <w:r w:rsidRPr="0043160C">
        <w:rPr>
          <w:noProof/>
          <w:szCs w:val="24"/>
          <w:lang w:val="en-GB"/>
        </w:rPr>
        <w:t xml:space="preserve">, ‘Efficacy and safety of initial combination therapy with gemigliptin and metformin compared with monotherapy with either drug in patients with type 2 diabetes: A double‐blind randomized controlled trial (INICOM study)’, </w:t>
      </w:r>
      <w:r w:rsidRPr="0043160C">
        <w:rPr>
          <w:i/>
          <w:iCs/>
          <w:noProof/>
          <w:szCs w:val="24"/>
          <w:lang w:val="en-GB"/>
        </w:rPr>
        <w:t>Diabetes. Obes. Metab.</w:t>
      </w:r>
      <w:r w:rsidRPr="0043160C">
        <w:rPr>
          <w:noProof/>
          <w:szCs w:val="24"/>
          <w:lang w:val="en-GB"/>
        </w:rPr>
        <w:t>, vol. 19, no. 1, p. 87, Jan. 2017, doi: 10.1111/DOM.12787.</w:t>
      </w:r>
    </w:p>
    <w:p w14:paraId="58CB639D"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[23]</w:t>
      </w:r>
      <w:r w:rsidRPr="0043160C">
        <w:rPr>
          <w:noProof/>
          <w:szCs w:val="24"/>
          <w:lang w:val="en-GB"/>
        </w:rPr>
        <w:tab/>
        <w:t>‘Comparison of Metformin and Repaglinide Monotherapy in the Treatment of New Onset Type 2 Diabetes Mellitus in China - Full Text View - ClinicalTrials.gov’. https://clinicaltrials.gov/ct2/show/NCT02040246 (accessed May 02, 2022).</w:t>
      </w:r>
    </w:p>
    <w:p w14:paraId="0DB96690"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[24]</w:t>
      </w:r>
      <w:r w:rsidRPr="0043160C">
        <w:rPr>
          <w:noProof/>
          <w:szCs w:val="24"/>
          <w:lang w:val="en-GB"/>
        </w:rPr>
        <w:tab/>
        <w:t xml:space="preserve">R. Moses </w:t>
      </w:r>
      <w:r w:rsidRPr="0043160C">
        <w:rPr>
          <w:i/>
          <w:iCs/>
          <w:noProof/>
          <w:szCs w:val="24"/>
          <w:lang w:val="en-GB"/>
        </w:rPr>
        <w:t>et al.</w:t>
      </w:r>
      <w:r w:rsidRPr="0043160C">
        <w:rPr>
          <w:noProof/>
          <w:szCs w:val="24"/>
          <w:lang w:val="en-GB"/>
        </w:rPr>
        <w:t xml:space="preserve">, ‘Effect of repaglinide addition to metformin monotherapy on glycemic control in patients with type 2 diabetes’, </w:t>
      </w:r>
      <w:r w:rsidRPr="0043160C">
        <w:rPr>
          <w:i/>
          <w:iCs/>
          <w:noProof/>
          <w:szCs w:val="24"/>
          <w:lang w:val="en-GB"/>
        </w:rPr>
        <w:t>Diabetes Care</w:t>
      </w:r>
      <w:r w:rsidRPr="0043160C">
        <w:rPr>
          <w:noProof/>
          <w:szCs w:val="24"/>
          <w:lang w:val="en-GB"/>
        </w:rPr>
        <w:t>, vol. 22, no. 1, pp. 119–124, 1999, doi: 10.2337/diacare.22.1.119.</w:t>
      </w:r>
    </w:p>
    <w:p w14:paraId="1CA064B4"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[25]</w:t>
      </w:r>
      <w:r w:rsidRPr="0043160C">
        <w:rPr>
          <w:noProof/>
          <w:szCs w:val="24"/>
          <w:lang w:val="en-GB"/>
        </w:rPr>
        <w:tab/>
        <w:t xml:space="preserve">I. Pavo </w:t>
      </w:r>
      <w:r w:rsidRPr="0043160C">
        <w:rPr>
          <w:i/>
          <w:iCs/>
          <w:noProof/>
          <w:szCs w:val="24"/>
          <w:lang w:val="en-GB"/>
        </w:rPr>
        <w:t>et al.</w:t>
      </w:r>
      <w:r w:rsidRPr="0043160C">
        <w:rPr>
          <w:noProof/>
          <w:szCs w:val="24"/>
          <w:lang w:val="en-GB"/>
        </w:rPr>
        <w:t xml:space="preserve">, ‘Effect of pioglitazone compared with metformin on glycemic control and indicators of insulin sensitivity in recently diagnosed patients with type 2 diabetes’, </w:t>
      </w:r>
      <w:r w:rsidRPr="0043160C">
        <w:rPr>
          <w:i/>
          <w:iCs/>
          <w:noProof/>
          <w:szCs w:val="24"/>
          <w:lang w:val="en-GB"/>
        </w:rPr>
        <w:t>J. Clin. Endocrinol. Metab.</w:t>
      </w:r>
      <w:r w:rsidRPr="0043160C">
        <w:rPr>
          <w:noProof/>
          <w:szCs w:val="24"/>
          <w:lang w:val="en-GB"/>
        </w:rPr>
        <w:t>, vol. 88, no. 4, pp. 1637–1645, 2003, doi: 10.1210/jc.2002-021786.</w:t>
      </w:r>
    </w:p>
    <w:p w14:paraId="5043FE51"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[26]</w:t>
      </w:r>
      <w:r w:rsidRPr="0043160C">
        <w:rPr>
          <w:noProof/>
          <w:szCs w:val="24"/>
          <w:lang w:val="en-GB"/>
        </w:rPr>
        <w:tab/>
        <w:t xml:space="preserve">A. Perez, Z. Zhao, R. Jacks, and R. Spanheimer, ‘Efficacy and safety of pioglitazone/metformin fixed-dose combination therapy compared with pioglitazone and metformin monotherapy in treating patients with T2DM’, </w:t>
      </w:r>
      <w:r w:rsidRPr="0043160C">
        <w:rPr>
          <w:i/>
          <w:iCs/>
          <w:noProof/>
          <w:szCs w:val="24"/>
          <w:lang w:val="en-GB"/>
        </w:rPr>
        <w:t>Curr. Med. Res. Opin.</w:t>
      </w:r>
      <w:r w:rsidRPr="0043160C">
        <w:rPr>
          <w:noProof/>
          <w:szCs w:val="24"/>
          <w:lang w:val="en-GB"/>
        </w:rPr>
        <w:t>, vol. 25, no. 12, pp. 2915–2923, Dec. 2009, doi: 10.1185/03007990903350011.</w:t>
      </w:r>
    </w:p>
    <w:p w14:paraId="5B805AB7"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[27]</w:t>
      </w:r>
      <w:r w:rsidRPr="0043160C">
        <w:rPr>
          <w:noProof/>
          <w:szCs w:val="24"/>
          <w:lang w:val="en-GB"/>
        </w:rPr>
        <w:tab/>
        <w:t xml:space="preserve">R. E. Pratley, P. Fleck, and C. Wilson, ‘Efficacy and safety of initial combination therapy with alogliptin plus metformin versus either as monotherapy in drug-naïve patients with type 2 diabetes: a randomized, double-blind, 6-month study’, </w:t>
      </w:r>
      <w:r w:rsidRPr="0043160C">
        <w:rPr>
          <w:i/>
          <w:iCs/>
          <w:noProof/>
          <w:szCs w:val="24"/>
          <w:lang w:val="en-GB"/>
        </w:rPr>
        <w:t>Diabetes, Obes. Metab.</w:t>
      </w:r>
      <w:r w:rsidRPr="0043160C">
        <w:rPr>
          <w:noProof/>
          <w:szCs w:val="24"/>
          <w:lang w:val="en-GB"/>
        </w:rPr>
        <w:t>, vol. 16, no. 7, pp. 613–621, Jul. 2014, doi: 10.1111/DOM.12258.</w:t>
      </w:r>
    </w:p>
    <w:p w14:paraId="662510E5"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[28]</w:t>
      </w:r>
      <w:r w:rsidRPr="0043160C">
        <w:rPr>
          <w:noProof/>
          <w:szCs w:val="24"/>
          <w:lang w:val="en-GB"/>
        </w:rPr>
        <w:tab/>
        <w:t xml:space="preserve">J. Rosenstock, J. Rood, A. Cobitz, N. Biswas, H. Chou, and A. Garber, ‘Initial treatment with rosiglitazone/metformin fixed-dose combination therapy compared with monotherapy with either rosiglitazone or metformin in patients with uncontrolled type 2 diabetes’, </w:t>
      </w:r>
      <w:r w:rsidRPr="0043160C">
        <w:rPr>
          <w:i/>
          <w:iCs/>
          <w:noProof/>
          <w:szCs w:val="24"/>
          <w:lang w:val="en-GB"/>
        </w:rPr>
        <w:t>Diabetes, Obes. \&amp; Metab.</w:t>
      </w:r>
      <w:r w:rsidRPr="0043160C">
        <w:rPr>
          <w:noProof/>
          <w:szCs w:val="24"/>
          <w:lang w:val="en-GB"/>
        </w:rPr>
        <w:t>, vol. 8, no. 6, pp. 650–660, Nov. 2006, doi: 10.1111/j.1463-1326.2006.00659.x.</w:t>
      </w:r>
    </w:p>
    <w:p w14:paraId="3706090B"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[29]</w:t>
      </w:r>
      <w:r w:rsidRPr="0043160C">
        <w:rPr>
          <w:noProof/>
          <w:szCs w:val="24"/>
          <w:lang w:val="en-GB"/>
        </w:rPr>
        <w:tab/>
        <w:t xml:space="preserve">J. Rosenstock </w:t>
      </w:r>
      <w:r w:rsidRPr="0043160C">
        <w:rPr>
          <w:i/>
          <w:iCs/>
          <w:noProof/>
          <w:szCs w:val="24"/>
          <w:lang w:val="en-GB"/>
        </w:rPr>
        <w:t>et al.</w:t>
      </w:r>
      <w:r w:rsidRPr="0043160C">
        <w:rPr>
          <w:noProof/>
          <w:szCs w:val="24"/>
          <w:lang w:val="en-GB"/>
        </w:rPr>
        <w:t xml:space="preserve">, ‘Initial Combination Therapy With Canagliflozin Plus Metformin Versus Each Component as Monotherapy for Drug-Naïve Type 2 Diabetes’, </w:t>
      </w:r>
      <w:r w:rsidRPr="0043160C">
        <w:rPr>
          <w:i/>
          <w:iCs/>
          <w:noProof/>
          <w:szCs w:val="24"/>
          <w:lang w:val="en-GB"/>
        </w:rPr>
        <w:t>Diabetes Care</w:t>
      </w:r>
      <w:r w:rsidRPr="0043160C">
        <w:rPr>
          <w:noProof/>
          <w:szCs w:val="24"/>
          <w:lang w:val="en-GB"/>
        </w:rPr>
        <w:t>, vol. 39, no. 3, pp. 353–362, Dec. 2016, doi: 10.2337/dc15-1736.</w:t>
      </w:r>
    </w:p>
    <w:p w14:paraId="7D95BB64"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[30]</w:t>
      </w:r>
      <w:r w:rsidRPr="0043160C">
        <w:rPr>
          <w:noProof/>
          <w:szCs w:val="24"/>
          <w:lang w:val="en-GB"/>
        </w:rPr>
        <w:tab/>
        <w:t xml:space="preserve">D. Russell-Jones </w:t>
      </w:r>
      <w:r w:rsidRPr="0043160C">
        <w:rPr>
          <w:i/>
          <w:iCs/>
          <w:noProof/>
          <w:szCs w:val="24"/>
          <w:lang w:val="en-GB"/>
        </w:rPr>
        <w:t>et al.</w:t>
      </w:r>
      <w:r w:rsidRPr="0043160C">
        <w:rPr>
          <w:noProof/>
          <w:szCs w:val="24"/>
          <w:lang w:val="en-GB"/>
        </w:rPr>
        <w:t xml:space="preserve">, ‘Efficacy and safety of exenatide once weekly versus metformin, pioglitazone, and sitagliptin used as monotherapy in drug-naive patients with type 2 diabetes (DURATION-4): a 26-week double-blind study’, </w:t>
      </w:r>
      <w:r w:rsidRPr="0043160C">
        <w:rPr>
          <w:i/>
          <w:iCs/>
          <w:noProof/>
          <w:szCs w:val="24"/>
          <w:lang w:val="en-GB"/>
        </w:rPr>
        <w:t>Diabetes Care</w:t>
      </w:r>
      <w:r w:rsidRPr="0043160C">
        <w:rPr>
          <w:noProof/>
          <w:szCs w:val="24"/>
          <w:lang w:val="en-GB"/>
        </w:rPr>
        <w:t>, vol. 35, no. 2, pp. 252–258, 2012, doi: 10.2337/dc11-1107.</w:t>
      </w:r>
    </w:p>
    <w:p w14:paraId="7442E7B5"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[31]</w:t>
      </w:r>
      <w:r w:rsidRPr="0043160C">
        <w:rPr>
          <w:noProof/>
          <w:szCs w:val="24"/>
          <w:lang w:val="en-GB"/>
        </w:rPr>
        <w:tab/>
        <w:t xml:space="preserve">G. Schernthaner, D. R. Matthews, B. Charbonnel, M. Hanefeld, and P. Brunetti, ‘Efficacy and Safety of Pioglitazone Versus Metformin in Patients with Type 2 Diabetes Mellitus: A Double-Blind, Randomized Trial’, </w:t>
      </w:r>
      <w:r w:rsidRPr="0043160C">
        <w:rPr>
          <w:i/>
          <w:iCs/>
          <w:noProof/>
          <w:szCs w:val="24"/>
          <w:lang w:val="en-GB"/>
        </w:rPr>
        <w:t>J. Clin. Endocrinol. Metab.</w:t>
      </w:r>
      <w:r w:rsidRPr="0043160C">
        <w:rPr>
          <w:noProof/>
          <w:szCs w:val="24"/>
          <w:lang w:val="en-GB"/>
        </w:rPr>
        <w:t>, vol. 89, no. 12, pp. 6068–</w:t>
      </w:r>
      <w:r w:rsidRPr="0043160C">
        <w:rPr>
          <w:noProof/>
          <w:szCs w:val="24"/>
          <w:lang w:val="en-GB"/>
        </w:rPr>
        <w:lastRenderedPageBreak/>
        <w:t>6076, Nov. 2004, doi: 10.1210/jc.2003-030861.</w:t>
      </w:r>
    </w:p>
    <w:p w14:paraId="45BFF8AC"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[32]</w:t>
      </w:r>
      <w:r w:rsidRPr="0043160C">
        <w:rPr>
          <w:noProof/>
          <w:szCs w:val="24"/>
          <w:lang w:val="en-GB"/>
        </w:rPr>
        <w:tab/>
        <w:t xml:space="preserve">A. Schweizer, A. Couturier, J. E. Foley, and S. Dejager, ‘Comparison between vildagliptin and metformin to sustain reductions in HbA(1c) over 1 year in drug-naïve patients with Type 2 diabetes’, </w:t>
      </w:r>
      <w:r w:rsidRPr="0043160C">
        <w:rPr>
          <w:i/>
          <w:iCs/>
          <w:noProof/>
          <w:szCs w:val="24"/>
          <w:lang w:val="en-GB"/>
        </w:rPr>
        <w:t>Diabet. Med.</w:t>
      </w:r>
      <w:r w:rsidRPr="0043160C">
        <w:rPr>
          <w:noProof/>
          <w:szCs w:val="24"/>
          <w:lang w:val="en-GB"/>
        </w:rPr>
        <w:t>, vol. 24, no. 9, pp. 955–961, Sep. 2007, doi: 10.1111/J.1464-5491.2007.02191.X.</w:t>
      </w:r>
    </w:p>
    <w:p w14:paraId="70B3CA4E"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[33]</w:t>
      </w:r>
      <w:r w:rsidRPr="0043160C">
        <w:rPr>
          <w:noProof/>
          <w:szCs w:val="24"/>
          <w:lang w:val="en-GB"/>
        </w:rPr>
        <w:tab/>
        <w:t xml:space="preserve">A. Schweizer, S. Dejager, and E. Bosi, ‘Comparison of vildagliptin and metformin monotherapy in elderly patients with type 2 diabetes: a 24-week, double-blind, randomized trial’, </w:t>
      </w:r>
      <w:r w:rsidRPr="0043160C">
        <w:rPr>
          <w:i/>
          <w:iCs/>
          <w:noProof/>
          <w:szCs w:val="24"/>
          <w:lang w:val="en-GB"/>
        </w:rPr>
        <w:t>Diabetes, Obes. \&amp; Metab.</w:t>
      </w:r>
      <w:r w:rsidRPr="0043160C">
        <w:rPr>
          <w:noProof/>
          <w:szCs w:val="24"/>
          <w:lang w:val="en-GB"/>
        </w:rPr>
        <w:t>, vol. 11, no. 8, pp. 804–812, Aug. 2009, doi: 10.1111/j.1463-1326.2009.01051.x.</w:t>
      </w:r>
    </w:p>
    <w:p w14:paraId="3C64FAC9"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[34]</w:t>
      </w:r>
      <w:r w:rsidRPr="0043160C">
        <w:rPr>
          <w:noProof/>
          <w:szCs w:val="24"/>
          <w:lang w:val="en-GB"/>
        </w:rPr>
        <w:tab/>
        <w:t xml:space="preserve">W. Sun, C. Zeng, L. Liao, J. Chen, and Y. Wang, ‘Comparison of acarbose and metformin therapy in newly diagnosed type 2 diabetic patients with overweight and/or obesity’, </w:t>
      </w:r>
      <w:r w:rsidRPr="0043160C">
        <w:rPr>
          <w:i/>
          <w:iCs/>
          <w:noProof/>
          <w:szCs w:val="24"/>
          <w:lang w:val="en-GB"/>
        </w:rPr>
        <w:t>Curr. Med. Res. Opin.</w:t>
      </w:r>
      <w:r w:rsidRPr="0043160C">
        <w:rPr>
          <w:noProof/>
          <w:szCs w:val="24"/>
          <w:lang w:val="en-GB"/>
        </w:rPr>
        <w:t>, vol. 32, no. 8, pp. 1389–1396, 2016, doi: 10.1080/03007995.2016.1176013.</w:t>
      </w:r>
    </w:p>
    <w:p w14:paraId="08F5D2F4"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[35]</w:t>
      </w:r>
      <w:r w:rsidRPr="0043160C">
        <w:rPr>
          <w:noProof/>
          <w:szCs w:val="24"/>
          <w:lang w:val="en-GB"/>
        </w:rPr>
        <w:tab/>
        <w:t>‘Efficacy and Safety of Alogliptin and Metformin Fixed-Dose Combination in Participants With Type 2 Diabetes - Full Text View - ClinicalTrials.gov’. https://clinicaltrials.gov/ct2/show/NCT01890122 (accessed May 02, 2022).</w:t>
      </w:r>
    </w:p>
    <w:p w14:paraId="59AA9DA0"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[36]</w:t>
      </w:r>
      <w:r w:rsidRPr="0043160C">
        <w:rPr>
          <w:noProof/>
          <w:szCs w:val="24"/>
          <w:lang w:val="en-GB"/>
        </w:rPr>
        <w:tab/>
        <w:t xml:space="preserve">Y. Takeshita </w:t>
      </w:r>
      <w:r w:rsidRPr="0043160C">
        <w:rPr>
          <w:i/>
          <w:iCs/>
          <w:noProof/>
          <w:szCs w:val="24"/>
          <w:lang w:val="en-GB"/>
        </w:rPr>
        <w:t>et al.</w:t>
      </w:r>
      <w:r w:rsidRPr="0043160C">
        <w:rPr>
          <w:noProof/>
          <w:szCs w:val="24"/>
          <w:lang w:val="en-GB"/>
        </w:rPr>
        <w:t xml:space="preserve">, ‘Effects of metformin and alogliptin on body composition in people with type 2 diabetes’, </w:t>
      </w:r>
      <w:r w:rsidRPr="0043160C">
        <w:rPr>
          <w:i/>
          <w:iCs/>
          <w:noProof/>
          <w:szCs w:val="24"/>
          <w:lang w:val="en-GB"/>
        </w:rPr>
        <w:t>J. Diabetes Investig.</w:t>
      </w:r>
      <w:r w:rsidRPr="0043160C">
        <w:rPr>
          <w:noProof/>
          <w:szCs w:val="24"/>
          <w:lang w:val="en-GB"/>
        </w:rPr>
        <w:t>, vol. 10, no. 3, pp. 723–730, 2019, doi: 10.1111/jdi.12920.</w:t>
      </w:r>
    </w:p>
    <w:p w14:paraId="016DEBCE"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[37]</w:t>
      </w:r>
      <w:r w:rsidRPr="0043160C">
        <w:rPr>
          <w:noProof/>
          <w:szCs w:val="24"/>
          <w:lang w:val="en-GB"/>
        </w:rPr>
        <w:tab/>
        <w:t xml:space="preserve">G. Umpierrez, S. Tofé Povedano, F. Pérez Manghi, L. Shurzinske, and V. Pechtner, ‘Efficacy and safety of dulaglutide monotherapy versus metformin in type 2 diabetes in a randomized controlled trial (AWARD-3)’, </w:t>
      </w:r>
      <w:r w:rsidRPr="0043160C">
        <w:rPr>
          <w:i/>
          <w:iCs/>
          <w:noProof/>
          <w:szCs w:val="24"/>
          <w:lang w:val="en-GB"/>
        </w:rPr>
        <w:t>Diabetes Care</w:t>
      </w:r>
      <w:r w:rsidRPr="0043160C">
        <w:rPr>
          <w:noProof/>
          <w:szCs w:val="24"/>
          <w:lang w:val="en-GB"/>
        </w:rPr>
        <w:t>, vol. 37, no. 8, pp. 2168–2176, 2014, doi: 10.2337/dc13-2759.</w:t>
      </w:r>
    </w:p>
    <w:p w14:paraId="70FBE7CB"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[38]</w:t>
      </w:r>
      <w:r w:rsidRPr="0043160C">
        <w:rPr>
          <w:noProof/>
          <w:szCs w:val="24"/>
          <w:lang w:val="en-GB"/>
        </w:rPr>
        <w:tab/>
        <w:t xml:space="preserve">D. Williams-Herman </w:t>
      </w:r>
      <w:r w:rsidRPr="0043160C">
        <w:rPr>
          <w:i/>
          <w:iCs/>
          <w:noProof/>
          <w:szCs w:val="24"/>
          <w:lang w:val="en-GB"/>
        </w:rPr>
        <w:t>et al.</w:t>
      </w:r>
      <w:r w:rsidRPr="0043160C">
        <w:rPr>
          <w:noProof/>
          <w:szCs w:val="24"/>
          <w:lang w:val="en-GB"/>
        </w:rPr>
        <w:t xml:space="preserve">, ‘Efficacy and safety of sitagliptin and metformin as initial combination therapy and as monotherapy over 2 years in patients with type 2 diabetes’, </w:t>
      </w:r>
      <w:r w:rsidRPr="0043160C">
        <w:rPr>
          <w:i/>
          <w:iCs/>
          <w:noProof/>
          <w:szCs w:val="24"/>
          <w:lang w:val="en-GB"/>
        </w:rPr>
        <w:t>Diabetes, Obes. Metab.</w:t>
      </w:r>
      <w:r w:rsidRPr="0043160C">
        <w:rPr>
          <w:noProof/>
          <w:szCs w:val="24"/>
          <w:lang w:val="en-GB"/>
        </w:rPr>
        <w:t>, vol. 12, no. 5, pp. 442–451, May 2010, doi: 10.1111/J.1463-1326.2010.01204.X.</w:t>
      </w:r>
    </w:p>
    <w:p w14:paraId="0AF84C2A"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[39]</w:t>
      </w:r>
      <w:r w:rsidRPr="0043160C">
        <w:rPr>
          <w:noProof/>
          <w:szCs w:val="24"/>
          <w:lang w:val="en-GB"/>
        </w:rPr>
        <w:tab/>
        <w:t xml:space="preserve">K. H. Yoon </w:t>
      </w:r>
      <w:r w:rsidRPr="0043160C">
        <w:rPr>
          <w:i/>
          <w:iCs/>
          <w:noProof/>
          <w:szCs w:val="24"/>
          <w:lang w:val="en-GB"/>
        </w:rPr>
        <w:t>et al.</w:t>
      </w:r>
      <w:r w:rsidRPr="0043160C">
        <w:rPr>
          <w:noProof/>
          <w:szCs w:val="24"/>
          <w:lang w:val="en-GB"/>
        </w:rPr>
        <w:t xml:space="preserve">, ‘Comparison of the efficacy of glimepiride, metformin, and rosiglitazone monotherapy in korean drug-naïve type 2 diabetic patients: the practical evidence of antidiabetic monotherapy study’, </w:t>
      </w:r>
      <w:r w:rsidRPr="0043160C">
        <w:rPr>
          <w:i/>
          <w:iCs/>
          <w:noProof/>
          <w:szCs w:val="24"/>
          <w:lang w:val="en-GB"/>
        </w:rPr>
        <w:t>Diabetes \&amp; Metab. J.</w:t>
      </w:r>
      <w:r w:rsidRPr="0043160C">
        <w:rPr>
          <w:noProof/>
          <w:szCs w:val="24"/>
          <w:lang w:val="en-GB"/>
        </w:rPr>
        <w:t>, vol. 35, no. 1, pp. 26–33, Feb. 2011, doi: 10.4093/dmj.2011.35.1.26.</w:t>
      </w:r>
    </w:p>
    <w:p w14:paraId="728E982F"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[40]</w:t>
      </w:r>
      <w:r w:rsidRPr="0043160C">
        <w:rPr>
          <w:noProof/>
          <w:szCs w:val="24"/>
          <w:lang w:val="en-GB"/>
        </w:rPr>
        <w:tab/>
        <w:t xml:space="preserve">G.-H. Yuan, W.-L. Song, Y.-Y. Huang, X.-H. Guo, and Y. Gao, ‘Efficacy and tolerability of exenatide monotherapy in obese patients with newly diagnosed type 2 diabetes: {A} randomized, 26 weeks metformin-controlled, parallel-group study’, </w:t>
      </w:r>
      <w:r w:rsidRPr="0043160C">
        <w:rPr>
          <w:i/>
          <w:iCs/>
          <w:noProof/>
          <w:szCs w:val="24"/>
          <w:lang w:val="en-GB"/>
        </w:rPr>
        <w:t>Chin. Med. J. (Engl).</w:t>
      </w:r>
      <w:r w:rsidRPr="0043160C">
        <w:rPr>
          <w:noProof/>
          <w:szCs w:val="24"/>
          <w:lang w:val="en-GB"/>
        </w:rPr>
        <w:t>, vol. 125, no. 15, pp. 2677–2681, 2012, doi: 10.3760/cma.j.issn.0366-6999.2012.15.006.</w:t>
      </w:r>
    </w:p>
    <w:p w14:paraId="6371345D"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[41]</w:t>
      </w:r>
      <w:r w:rsidRPr="0043160C">
        <w:rPr>
          <w:noProof/>
          <w:szCs w:val="24"/>
          <w:lang w:val="en-GB"/>
        </w:rPr>
        <w:tab/>
        <w:t xml:space="preserve">J. F. List, V. Woo, E. Morales, W. Tang, and F. T. Fiedorek, ‘Sodium-Glucose Cotransport Inhibition With Dapagliflozin in Type 2 Diabetes’, </w:t>
      </w:r>
      <w:r w:rsidRPr="0043160C">
        <w:rPr>
          <w:i/>
          <w:iCs/>
          <w:noProof/>
          <w:szCs w:val="24"/>
          <w:lang w:val="en-GB"/>
        </w:rPr>
        <w:t>Diabetes Care</w:t>
      </w:r>
      <w:r w:rsidRPr="0043160C">
        <w:rPr>
          <w:noProof/>
          <w:szCs w:val="24"/>
          <w:lang w:val="en-GB"/>
        </w:rPr>
        <w:t>, vol. 32, no. 4, pp. 650–657, Feb. 2009, doi: 10.2337/dc08-1863.</w:t>
      </w:r>
    </w:p>
    <w:p w14:paraId="08F2C634"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[42]</w:t>
      </w:r>
      <w:r w:rsidRPr="0043160C">
        <w:rPr>
          <w:noProof/>
          <w:szCs w:val="24"/>
          <w:lang w:val="en-GB"/>
        </w:rPr>
        <w:tab/>
        <w:t xml:space="preserve">‘Study of Dapagliflozin in Combination With Metformin XR to Initiate the Treatment of Type </w:t>
      </w:r>
      <w:r w:rsidRPr="0043160C">
        <w:rPr>
          <w:noProof/>
          <w:szCs w:val="24"/>
          <w:lang w:val="en-GB"/>
        </w:rPr>
        <w:lastRenderedPageBreak/>
        <w:t>2 Diabetes - Full Text View - ClinicalTrials.gov’. https://clinicaltrials.gov/ct2/show/NCT00859898 (accessed May 02, 2022).</w:t>
      </w:r>
    </w:p>
    <w:p w14:paraId="64AA7A60"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[43]</w:t>
      </w:r>
      <w:r w:rsidRPr="0043160C">
        <w:rPr>
          <w:noProof/>
          <w:szCs w:val="24"/>
          <w:lang w:val="en-GB"/>
        </w:rPr>
        <w:tab/>
        <w:t xml:space="preserve">N. Aggarwal </w:t>
      </w:r>
      <w:r w:rsidRPr="0043160C">
        <w:rPr>
          <w:i/>
          <w:iCs/>
          <w:noProof/>
          <w:szCs w:val="24"/>
          <w:lang w:val="en-GB"/>
        </w:rPr>
        <w:t>et al.</w:t>
      </w:r>
      <w:r w:rsidRPr="0043160C">
        <w:rPr>
          <w:noProof/>
          <w:szCs w:val="24"/>
          <w:lang w:val="en-GB"/>
        </w:rPr>
        <w:t xml:space="preserve">, ‘Metformin extended-release versus immediate-release: An international,  randomized, double-blind, head-to-head trial in pharmacotherapy-naïve patients with type 2 diabetes.’, </w:t>
      </w:r>
      <w:r w:rsidRPr="0043160C">
        <w:rPr>
          <w:i/>
          <w:iCs/>
          <w:noProof/>
          <w:szCs w:val="24"/>
          <w:lang w:val="en-GB"/>
        </w:rPr>
        <w:t>Diabetes. Obes. Metab.</w:t>
      </w:r>
      <w:r w:rsidRPr="0043160C">
        <w:rPr>
          <w:noProof/>
          <w:szCs w:val="24"/>
          <w:lang w:val="en-GB"/>
        </w:rPr>
        <w:t>, vol. 20, no. 2, pp. 463–467, Feb. 2018, doi: 10.1111/dom.13104.</w:t>
      </w:r>
    </w:p>
    <w:p w14:paraId="7B25ABA2"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[44]</w:t>
      </w:r>
      <w:r w:rsidRPr="0043160C">
        <w:rPr>
          <w:noProof/>
          <w:szCs w:val="24"/>
          <w:lang w:val="en-GB"/>
        </w:rPr>
        <w:tab/>
        <w:t xml:space="preserve">R. A. DeFronzo </w:t>
      </w:r>
      <w:r w:rsidRPr="0043160C">
        <w:rPr>
          <w:i/>
          <w:iCs/>
          <w:noProof/>
          <w:szCs w:val="24"/>
          <w:lang w:val="en-GB"/>
        </w:rPr>
        <w:t>et al.</w:t>
      </w:r>
      <w:r w:rsidRPr="0043160C">
        <w:rPr>
          <w:noProof/>
          <w:szCs w:val="24"/>
          <w:lang w:val="en-GB"/>
        </w:rPr>
        <w:t xml:space="preserve">, ‘Once-daily delayed-release metformin lowers plasma glucose and enhances fasting and postprandial {GLP}-1 and {PYY}: results from two randomised trials’, </w:t>
      </w:r>
      <w:r w:rsidRPr="0043160C">
        <w:rPr>
          <w:i/>
          <w:iCs/>
          <w:noProof/>
          <w:szCs w:val="24"/>
          <w:lang w:val="en-GB"/>
        </w:rPr>
        <w:t>Diabetologia</w:t>
      </w:r>
      <w:r w:rsidRPr="0043160C">
        <w:rPr>
          <w:noProof/>
          <w:szCs w:val="24"/>
          <w:lang w:val="en-GB"/>
        </w:rPr>
        <w:t>, vol. 59, no. 8, pp. 1645–1654, 2016, doi: 10.1007/s00125-016-3992-6.</w:t>
      </w:r>
    </w:p>
    <w:p w14:paraId="6F36623B"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[45]</w:t>
      </w:r>
      <w:r w:rsidRPr="0043160C">
        <w:rPr>
          <w:noProof/>
          <w:szCs w:val="24"/>
          <w:lang w:val="en-GB"/>
        </w:rPr>
        <w:tab/>
        <w:t xml:space="preserve">G. Derosa, A. D’Angelo, D. Romano, and P. Maffioli, ‘Effects of metformin extended release compared to immediate release formula on glycemic control and glycemic variability in patients with type 2 diabetes’, </w:t>
      </w:r>
      <w:r w:rsidRPr="0043160C">
        <w:rPr>
          <w:i/>
          <w:iCs/>
          <w:noProof/>
          <w:szCs w:val="24"/>
          <w:lang w:val="en-GB"/>
        </w:rPr>
        <w:t>Drug Des. Devel. Ther.</w:t>
      </w:r>
      <w:r w:rsidRPr="0043160C">
        <w:rPr>
          <w:noProof/>
          <w:szCs w:val="24"/>
          <w:lang w:val="en-GB"/>
        </w:rPr>
        <w:t>, vol. 11, pp. 1481–1488, May 2017, doi: 10.2147/DDDT.S131670.</w:t>
      </w:r>
    </w:p>
    <w:p w14:paraId="14635F5B"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[46]</w:t>
      </w:r>
      <w:r w:rsidRPr="0043160C">
        <w:rPr>
          <w:noProof/>
          <w:szCs w:val="24"/>
          <w:lang w:val="en-GB"/>
        </w:rPr>
        <w:tab/>
        <w:t xml:space="preserve">K. Fujioka, M. Pans, and S. Joyal, ‘Glycemic control in patients with type 2 diabetes mellitus switched from twice-daily immediate-release metformin to a once-daily extended-release formulation’, </w:t>
      </w:r>
      <w:r w:rsidRPr="0043160C">
        <w:rPr>
          <w:i/>
          <w:iCs/>
          <w:noProof/>
          <w:szCs w:val="24"/>
          <w:lang w:val="en-GB"/>
        </w:rPr>
        <w:t>Clin. Ther.</w:t>
      </w:r>
      <w:r w:rsidRPr="0043160C">
        <w:rPr>
          <w:noProof/>
          <w:szCs w:val="24"/>
          <w:lang w:val="en-GB"/>
        </w:rPr>
        <w:t>, vol. 25, no. 2, pp. 515–529, 2003, doi: 10.1016/S0149-2918(03)80093-0.</w:t>
      </w:r>
    </w:p>
    <w:p w14:paraId="434DEB84"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[47]</w:t>
      </w:r>
      <w:r w:rsidRPr="0043160C">
        <w:rPr>
          <w:noProof/>
          <w:szCs w:val="24"/>
          <w:lang w:val="en-GB"/>
        </w:rPr>
        <w:tab/>
        <w:t xml:space="preserve">H. Gao </w:t>
      </w:r>
      <w:r w:rsidRPr="0043160C">
        <w:rPr>
          <w:i/>
          <w:iCs/>
          <w:noProof/>
          <w:szCs w:val="24"/>
          <w:lang w:val="en-GB"/>
        </w:rPr>
        <w:t>et al.</w:t>
      </w:r>
      <w:r w:rsidRPr="0043160C">
        <w:rPr>
          <w:noProof/>
          <w:szCs w:val="24"/>
          <w:lang w:val="en-GB"/>
        </w:rPr>
        <w:t xml:space="preserve">, ‘The metabolic effects of once daily extended-release metformin in patients with type 2 diabetes: {A} multicentre study’, </w:t>
      </w:r>
      <w:r w:rsidRPr="0043160C">
        <w:rPr>
          <w:i/>
          <w:iCs/>
          <w:noProof/>
          <w:szCs w:val="24"/>
          <w:lang w:val="en-GB"/>
        </w:rPr>
        <w:t>Int. J. Clin. Pract.</w:t>
      </w:r>
      <w:r w:rsidRPr="0043160C">
        <w:rPr>
          <w:noProof/>
          <w:szCs w:val="24"/>
          <w:lang w:val="en-GB"/>
        </w:rPr>
        <w:t>, vol. 62, no. 5, pp. 695–700, 2008, doi: 10.1111/j.1742-1241.2008.01733.x.</w:t>
      </w:r>
    </w:p>
    <w:p w14:paraId="1F510F68"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[48]</w:t>
      </w:r>
      <w:r w:rsidRPr="0043160C">
        <w:rPr>
          <w:noProof/>
          <w:szCs w:val="24"/>
          <w:lang w:val="en-GB"/>
        </w:rPr>
        <w:tab/>
        <w:t xml:space="preserve">L. Ji </w:t>
      </w:r>
      <w:r w:rsidRPr="0043160C">
        <w:rPr>
          <w:i/>
          <w:iCs/>
          <w:noProof/>
          <w:szCs w:val="24"/>
          <w:lang w:val="en-GB"/>
        </w:rPr>
        <w:t>et al.</w:t>
      </w:r>
      <w:r w:rsidRPr="0043160C">
        <w:rPr>
          <w:noProof/>
          <w:szCs w:val="24"/>
          <w:lang w:val="en-GB"/>
        </w:rPr>
        <w:t xml:space="preserve">, ‘Comparative effectiveness of metformin monotherapy in extended release and immediate release formulations for the treatment of type 2 diabetes in treatment-naïve Chinese patients: Analysis of results from the CONSENT trial’, </w:t>
      </w:r>
      <w:r w:rsidRPr="0043160C">
        <w:rPr>
          <w:i/>
          <w:iCs/>
          <w:noProof/>
          <w:szCs w:val="24"/>
          <w:lang w:val="en-GB"/>
        </w:rPr>
        <w:t>Diabetes. Obes. Metab.</w:t>
      </w:r>
      <w:r w:rsidRPr="0043160C">
        <w:rPr>
          <w:noProof/>
          <w:szCs w:val="24"/>
          <w:lang w:val="en-GB"/>
        </w:rPr>
        <w:t>, vol. 20, no. 4, pp. 1006–1013, Apr. 2018, doi: 10.1111/DOM.13190.</w:t>
      </w:r>
    </w:p>
    <w:p w14:paraId="03C8C434"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[49]</w:t>
      </w:r>
      <w:r w:rsidRPr="0043160C">
        <w:rPr>
          <w:noProof/>
          <w:szCs w:val="24"/>
          <w:lang w:val="en-GB"/>
        </w:rPr>
        <w:tab/>
        <w:t xml:space="preserve">S. Schwartz, V. Fonseca, B. Berner, M. Cramer, Y.-K. Chiang, and A. Lewin, ‘Efficacy, tolerability, and safety of a novel once-daily extended-release metformin in patients with type 2 diabetes’, </w:t>
      </w:r>
      <w:r w:rsidRPr="0043160C">
        <w:rPr>
          <w:i/>
          <w:iCs/>
          <w:noProof/>
          <w:szCs w:val="24"/>
          <w:lang w:val="en-GB"/>
        </w:rPr>
        <w:t>Diabetes Care</w:t>
      </w:r>
      <w:r w:rsidRPr="0043160C">
        <w:rPr>
          <w:noProof/>
          <w:szCs w:val="24"/>
          <w:lang w:val="en-GB"/>
        </w:rPr>
        <w:t>, vol. 29, no. 4, pp. 759–764, 2006, doi: 10.2337/diacare.29.04.06.dc05-1967.</w:t>
      </w:r>
    </w:p>
    <w:p w14:paraId="481BB3F1"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[50]</w:t>
      </w:r>
      <w:r w:rsidRPr="0043160C">
        <w:rPr>
          <w:noProof/>
          <w:szCs w:val="24"/>
          <w:lang w:val="en-GB"/>
        </w:rPr>
        <w:tab/>
        <w:t xml:space="preserve">C. J. Bailey </w:t>
      </w:r>
      <w:r w:rsidRPr="0043160C">
        <w:rPr>
          <w:i/>
          <w:iCs/>
          <w:noProof/>
          <w:szCs w:val="24"/>
          <w:lang w:val="en-GB"/>
        </w:rPr>
        <w:t>et al.</w:t>
      </w:r>
      <w:r w:rsidRPr="0043160C">
        <w:rPr>
          <w:noProof/>
          <w:szCs w:val="24"/>
          <w:lang w:val="en-GB"/>
        </w:rPr>
        <w:t xml:space="preserve">, ‘Rosiglitazone/metformin fixed-dose combination compared with uptitrated metformin alone in type 2 diabetes mellitus: a 24-week, multicenter, randomized, double-blind, parallel-group study’, </w:t>
      </w:r>
      <w:r w:rsidRPr="0043160C">
        <w:rPr>
          <w:i/>
          <w:iCs/>
          <w:noProof/>
          <w:szCs w:val="24"/>
          <w:lang w:val="en-GB"/>
        </w:rPr>
        <w:t>Clin. Ther.</w:t>
      </w:r>
      <w:r w:rsidRPr="0043160C">
        <w:rPr>
          <w:noProof/>
          <w:szCs w:val="24"/>
          <w:lang w:val="en-GB"/>
        </w:rPr>
        <w:t>, vol. 27, no. 10, pp. 1548–1561, Oct. 2005, doi: 10.1016/j.clinthera.2005.10.012.</w:t>
      </w:r>
    </w:p>
    <w:p w14:paraId="69D2EF1A"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[51]</w:t>
      </w:r>
      <w:r w:rsidRPr="0043160C">
        <w:rPr>
          <w:noProof/>
          <w:szCs w:val="24"/>
          <w:lang w:val="en-GB"/>
        </w:rPr>
        <w:tab/>
        <w:t xml:space="preserve">V. Fonseca, T. Zhu, C. Karyekar, and B. Hirshberg, ‘Adding saxagliptin to extended-release metformin vs. uptitrating metformin dosage’, </w:t>
      </w:r>
      <w:r w:rsidRPr="0043160C">
        <w:rPr>
          <w:i/>
          <w:iCs/>
          <w:noProof/>
          <w:szCs w:val="24"/>
          <w:lang w:val="en-GB"/>
        </w:rPr>
        <w:t>Diabetes, Obes. Metab.</w:t>
      </w:r>
      <w:r w:rsidRPr="0043160C">
        <w:rPr>
          <w:noProof/>
          <w:szCs w:val="24"/>
          <w:lang w:val="en-GB"/>
        </w:rPr>
        <w:t>, vol. 14, no. 4, pp. 365–371, Apr. 2012, doi: 10.1111/j.1463-1326.2011.01553.x.</w:t>
      </w:r>
    </w:p>
    <w:p w14:paraId="5C2BAE62"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[52]</w:t>
      </w:r>
      <w:r w:rsidRPr="0043160C">
        <w:rPr>
          <w:noProof/>
          <w:szCs w:val="24"/>
          <w:lang w:val="en-GB"/>
        </w:rPr>
        <w:tab/>
        <w:t xml:space="preserve">Y. Gao, L. Gao, Y. Peng, J. Long, and M. Yang, ‘Therapeutic effects of the combination of linagliptin and metformin on the treatment of elderly type 2 diabetes mellitus and influences on serum uric acid, insulin resistance and insulin Â cell functions’, </w:t>
      </w:r>
      <w:r w:rsidRPr="0043160C">
        <w:rPr>
          <w:i/>
          <w:iCs/>
          <w:noProof/>
          <w:szCs w:val="24"/>
          <w:lang w:val="en-GB"/>
        </w:rPr>
        <w:t>Acta Medica Mediterr.</w:t>
      </w:r>
      <w:r w:rsidRPr="0043160C">
        <w:rPr>
          <w:noProof/>
          <w:szCs w:val="24"/>
          <w:lang w:val="en-GB"/>
        </w:rPr>
        <w:t>, vol. 36, no. 1, pp. 421–425, 2020, doi: 10.19193/0393-6384_2020_1_66.</w:t>
      </w:r>
    </w:p>
    <w:p w14:paraId="12CDBBB2"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lastRenderedPageBreak/>
        <w:t>[53]</w:t>
      </w:r>
      <w:r w:rsidRPr="0043160C">
        <w:rPr>
          <w:noProof/>
          <w:szCs w:val="24"/>
          <w:lang w:val="en-GB"/>
        </w:rPr>
        <w:tab/>
        <w:t xml:space="preserve">A. Ghosh, N. Sengupta, P. Sahana, D. Giri, P. Sengupta, and N. Das, ‘Efficacy and safety of add on therapy of bromocriptine with metformin in Indian patients with type 2 diabetes mellitus: A randomized open labeled phase IV clinical trial’, </w:t>
      </w:r>
      <w:r w:rsidRPr="0043160C">
        <w:rPr>
          <w:i/>
          <w:iCs/>
          <w:noProof/>
          <w:szCs w:val="24"/>
          <w:lang w:val="en-GB"/>
        </w:rPr>
        <w:t>Indian J. Pharmacol.</w:t>
      </w:r>
      <w:r w:rsidRPr="0043160C">
        <w:rPr>
          <w:noProof/>
          <w:szCs w:val="24"/>
          <w:lang w:val="en-GB"/>
        </w:rPr>
        <w:t>, vol. 46, no. 1, p. 24, Jan. 2014, doi: 10.4103/0253-7613.125160.</w:t>
      </w:r>
    </w:p>
    <w:p w14:paraId="79A66A30"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[54]</w:t>
      </w:r>
      <w:r w:rsidRPr="0043160C">
        <w:rPr>
          <w:noProof/>
          <w:szCs w:val="24"/>
          <w:lang w:val="en-GB"/>
        </w:rPr>
        <w:tab/>
        <w:t xml:space="preserve">M. Gottschalk, T. Danne, A. Vlajnic, and J. F. Cara, ‘Glimepiride versus metformin as monotherapy in pediatric patients with type 2 diabetes: {A} randomized, single-blind comparative study’, </w:t>
      </w:r>
      <w:r w:rsidRPr="0043160C">
        <w:rPr>
          <w:i/>
          <w:iCs/>
          <w:noProof/>
          <w:szCs w:val="24"/>
          <w:lang w:val="en-GB"/>
        </w:rPr>
        <w:t>Diabetes Care</w:t>
      </w:r>
      <w:r w:rsidRPr="0043160C">
        <w:rPr>
          <w:noProof/>
          <w:szCs w:val="24"/>
          <w:lang w:val="en-GB"/>
        </w:rPr>
        <w:t>, vol. 30, no. 4, pp. 790–794, 2007, doi: 10.2337/dc06-1554.</w:t>
      </w:r>
    </w:p>
    <w:p w14:paraId="00449B11"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[55]</w:t>
      </w:r>
      <w:r w:rsidRPr="0043160C">
        <w:rPr>
          <w:noProof/>
          <w:szCs w:val="24"/>
          <w:lang w:val="en-GB"/>
        </w:rPr>
        <w:tab/>
        <w:t xml:space="preserve">M. P. Hermans </w:t>
      </w:r>
      <w:r w:rsidRPr="0043160C">
        <w:rPr>
          <w:i/>
          <w:iCs/>
          <w:noProof/>
          <w:szCs w:val="24"/>
          <w:lang w:val="en-GB"/>
        </w:rPr>
        <w:t>et al.</w:t>
      </w:r>
      <w:r w:rsidRPr="0043160C">
        <w:rPr>
          <w:noProof/>
          <w:szCs w:val="24"/>
          <w:lang w:val="en-GB"/>
        </w:rPr>
        <w:t xml:space="preserve">, ‘Effects of saxagliptin added to sub-maximal doses of metformin compared with uptitration of metformin in type 2 diabetes: the PROMPT study’, </w:t>
      </w:r>
      <w:r w:rsidRPr="0043160C">
        <w:rPr>
          <w:i/>
          <w:iCs/>
          <w:noProof/>
          <w:szCs w:val="24"/>
          <w:lang w:val="en-GB"/>
        </w:rPr>
        <w:t>Curr. Med. Res. Opin.</w:t>
      </w:r>
      <w:r w:rsidRPr="0043160C">
        <w:rPr>
          <w:noProof/>
          <w:szCs w:val="24"/>
          <w:lang w:val="en-GB"/>
        </w:rPr>
        <w:t>, vol. 28, no. 10, pp. 1635–1645, Oct. 2012, doi: 10.1185/03007995.2012.735646.</w:t>
      </w:r>
    </w:p>
    <w:p w14:paraId="62FD96BE"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[56]</w:t>
      </w:r>
      <w:r w:rsidRPr="0043160C">
        <w:rPr>
          <w:noProof/>
          <w:szCs w:val="24"/>
          <w:lang w:val="en-GB"/>
        </w:rPr>
        <w:tab/>
        <w:t xml:space="preserve">L. Ji </w:t>
      </w:r>
      <w:r w:rsidRPr="0043160C">
        <w:rPr>
          <w:i/>
          <w:iCs/>
          <w:noProof/>
          <w:szCs w:val="24"/>
          <w:lang w:val="en-GB"/>
        </w:rPr>
        <w:t>et al.</w:t>
      </w:r>
      <w:r w:rsidRPr="0043160C">
        <w:rPr>
          <w:noProof/>
          <w:szCs w:val="24"/>
          <w:lang w:val="en-GB"/>
        </w:rPr>
        <w:t xml:space="preserve">, ‘Efficacy and safety of linagliptin co-administered with low-dose metformin once daily versus high-dose metformin twice daily in treatment-naïve patients with type 2 diabetes: a double-blind randomized trial’, </w:t>
      </w:r>
      <w:r w:rsidRPr="0043160C">
        <w:rPr>
          <w:i/>
          <w:iCs/>
          <w:noProof/>
          <w:szCs w:val="24"/>
          <w:lang w:val="en-GB"/>
        </w:rPr>
        <w:t>Adv. Ther.</w:t>
      </w:r>
      <w:r w:rsidRPr="0043160C">
        <w:rPr>
          <w:noProof/>
          <w:szCs w:val="24"/>
          <w:lang w:val="en-GB"/>
        </w:rPr>
        <w:t>, vol. 32, no. 3, pp. 201–215, Mar. 2015, doi: 10.1007/s12325-015-0195-3.</w:t>
      </w:r>
    </w:p>
    <w:p w14:paraId="358CE060"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[57]</w:t>
      </w:r>
      <w:r w:rsidRPr="0043160C">
        <w:rPr>
          <w:noProof/>
          <w:szCs w:val="24"/>
          <w:lang w:val="en-GB"/>
        </w:rPr>
        <w:tab/>
        <w:t xml:space="preserve">H.-S. Kim </w:t>
      </w:r>
      <w:r w:rsidRPr="0043160C">
        <w:rPr>
          <w:i/>
          <w:iCs/>
          <w:noProof/>
          <w:szCs w:val="24"/>
          <w:lang w:val="en-GB"/>
        </w:rPr>
        <w:t>et al.</w:t>
      </w:r>
      <w:r w:rsidRPr="0043160C">
        <w:rPr>
          <w:noProof/>
          <w:szCs w:val="24"/>
          <w:lang w:val="en-GB"/>
        </w:rPr>
        <w:t xml:space="preserve">, ‘Efficacy of glimepiride/metformin fixed-dose combination vs metformin uptitration in type 2 diabetic patients inadequately controlled on low-dose metformin monotherapy: A randomized, open label, parallel group, multicenter study in Korea’, </w:t>
      </w:r>
      <w:r w:rsidRPr="0043160C">
        <w:rPr>
          <w:i/>
          <w:iCs/>
          <w:noProof/>
          <w:szCs w:val="24"/>
          <w:lang w:val="en-GB"/>
        </w:rPr>
        <w:t>J. Diabetes Investig.</w:t>
      </w:r>
      <w:r w:rsidRPr="0043160C">
        <w:rPr>
          <w:noProof/>
          <w:szCs w:val="24"/>
          <w:lang w:val="en-GB"/>
        </w:rPr>
        <w:t>, vol. 5, no. 6, pp. 701–708, 2014, doi: 10.1111/jdi.12201.</w:t>
      </w:r>
    </w:p>
    <w:p w14:paraId="78889392"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[58]</w:t>
      </w:r>
      <w:r w:rsidRPr="0043160C">
        <w:rPr>
          <w:noProof/>
          <w:szCs w:val="24"/>
          <w:lang w:val="en-GB"/>
        </w:rPr>
        <w:tab/>
        <w:t xml:space="preserve">M. Nauck </w:t>
      </w:r>
      <w:r w:rsidRPr="0043160C">
        <w:rPr>
          <w:i/>
          <w:iCs/>
          <w:noProof/>
          <w:szCs w:val="24"/>
          <w:lang w:val="en-GB"/>
        </w:rPr>
        <w:t>et al.</w:t>
      </w:r>
      <w:r w:rsidRPr="0043160C">
        <w:rPr>
          <w:noProof/>
          <w:szCs w:val="24"/>
          <w:lang w:val="en-GB"/>
        </w:rPr>
        <w:t xml:space="preserve">, ‘Long-term efficacy and safety comparison of liraglutide, glimepiride and placebo, all in combination with metformin in type 2 diabetes: 2-year results from the LEAD-2 study’, </w:t>
      </w:r>
      <w:r w:rsidRPr="0043160C">
        <w:rPr>
          <w:i/>
          <w:iCs/>
          <w:noProof/>
          <w:szCs w:val="24"/>
          <w:lang w:val="en-GB"/>
        </w:rPr>
        <w:t>Diabetes. Obes. Metab.</w:t>
      </w:r>
      <w:r w:rsidRPr="0043160C">
        <w:rPr>
          <w:noProof/>
          <w:szCs w:val="24"/>
          <w:lang w:val="en-GB"/>
        </w:rPr>
        <w:t>, vol. 15, no. 3, pp. 204–212, 2013, doi: 10.1111/DOM.12012.</w:t>
      </w:r>
    </w:p>
    <w:p w14:paraId="2A9239EF"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[59]</w:t>
      </w:r>
      <w:r w:rsidRPr="0043160C">
        <w:rPr>
          <w:noProof/>
          <w:szCs w:val="24"/>
          <w:lang w:val="en-GB"/>
        </w:rPr>
        <w:tab/>
        <w:t xml:space="preserve">M. A. Nauck, G. C. Ellis, P. R. Fleck, C. A. Wilson, and Q. Mekki, ‘Efficacy and safety of adding the dipeptidyl peptidase-4 inhibitor alogliptin to metformin therapy in patients with type 2 diabetes inadequately controlled with metformin monotherapy: {A} multicentre, randomised, double-blind, placebo-controlled study’, </w:t>
      </w:r>
      <w:r w:rsidRPr="0043160C">
        <w:rPr>
          <w:i/>
          <w:iCs/>
          <w:noProof/>
          <w:szCs w:val="24"/>
          <w:lang w:val="en-GB"/>
        </w:rPr>
        <w:t>Int. J. Clin. Pract.</w:t>
      </w:r>
      <w:r w:rsidRPr="0043160C">
        <w:rPr>
          <w:noProof/>
          <w:szCs w:val="24"/>
          <w:lang w:val="en-GB"/>
        </w:rPr>
        <w:t>, vol. 63, no. 1, pp. 46–55, 2009, doi: 10.1111/j.1742-1241.2008.01933.x.</w:t>
      </w:r>
    </w:p>
    <w:p w14:paraId="46C53CE5"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[60]</w:t>
      </w:r>
      <w:r w:rsidRPr="0043160C">
        <w:rPr>
          <w:noProof/>
          <w:szCs w:val="24"/>
          <w:lang w:val="en-GB"/>
        </w:rPr>
        <w:tab/>
        <w:t xml:space="preserve">J. M. Neutel, C. Zhao, and C. S. Karyekar, ‘Adding Saxagliptin to Metformin Extended Release (XR) or Uptitration of Metformin XR: Efficacy on Daily Glucose Measures’, </w:t>
      </w:r>
      <w:r w:rsidRPr="0043160C">
        <w:rPr>
          <w:i/>
          <w:iCs/>
          <w:noProof/>
          <w:szCs w:val="24"/>
          <w:lang w:val="en-GB"/>
        </w:rPr>
        <w:t>Diabetes Ther.</w:t>
      </w:r>
      <w:r w:rsidRPr="0043160C">
        <w:rPr>
          <w:noProof/>
          <w:szCs w:val="24"/>
          <w:lang w:val="en-GB"/>
        </w:rPr>
        <w:t>, vol. 4, no. 2, pp. 269–283, Dec. 2013, doi: 10.1007/S13300-013-0028-9.</w:t>
      </w:r>
    </w:p>
    <w:p w14:paraId="17BE0A71"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[61]</w:t>
      </w:r>
      <w:r w:rsidRPr="0043160C">
        <w:rPr>
          <w:noProof/>
          <w:szCs w:val="24"/>
          <w:lang w:val="en-GB"/>
        </w:rPr>
        <w:tab/>
        <w:t xml:space="preserve">D. R. Matthews, P. M. Paldánius, P. Proot, Y. T. Chiang, M. Stumvoll, and S. Del Prato, ‘Glycaemic durability of an early combination therapy with vildagliptin and metformin versus sequential metformin monotherapy in newly diagnosed type 2 diabetes (VERIFY): a 5-year, multicentre, randomised, double-blind trial’, </w:t>
      </w:r>
      <w:r w:rsidRPr="0043160C">
        <w:rPr>
          <w:i/>
          <w:iCs/>
          <w:noProof/>
          <w:szCs w:val="24"/>
          <w:lang w:val="en-GB"/>
        </w:rPr>
        <w:t>Lancet</w:t>
      </w:r>
      <w:r w:rsidRPr="0043160C">
        <w:rPr>
          <w:noProof/>
          <w:szCs w:val="24"/>
          <w:lang w:val="en-GB"/>
        </w:rPr>
        <w:t>, vol. 394, no. 10208, pp. 1519–1529, Oct. 2019, doi: 10.1016/S0140-6736(19)32131-2.</w:t>
      </w:r>
    </w:p>
    <w:p w14:paraId="70A33E14"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[62]</w:t>
      </w:r>
      <w:r w:rsidRPr="0043160C">
        <w:rPr>
          <w:noProof/>
          <w:szCs w:val="24"/>
          <w:lang w:val="en-GB"/>
        </w:rPr>
        <w:tab/>
        <w:t xml:space="preserve">T. J. Oh </w:t>
      </w:r>
      <w:r w:rsidRPr="0043160C">
        <w:rPr>
          <w:i/>
          <w:iCs/>
          <w:noProof/>
          <w:szCs w:val="24"/>
          <w:lang w:val="en-GB"/>
        </w:rPr>
        <w:t>et al.</w:t>
      </w:r>
      <w:r w:rsidRPr="0043160C">
        <w:rPr>
          <w:noProof/>
          <w:szCs w:val="24"/>
          <w:lang w:val="en-GB"/>
        </w:rPr>
        <w:t xml:space="preserve">, ‘Efficacy and safety of voglibose plus metformin in patients with type 2 diabetes mellitus: {A} randomized controlled trial’, </w:t>
      </w:r>
      <w:r w:rsidRPr="0043160C">
        <w:rPr>
          <w:i/>
          <w:iCs/>
          <w:noProof/>
          <w:szCs w:val="24"/>
          <w:lang w:val="en-GB"/>
        </w:rPr>
        <w:t>Diabetes Metab. J.</w:t>
      </w:r>
      <w:r w:rsidRPr="0043160C">
        <w:rPr>
          <w:noProof/>
          <w:szCs w:val="24"/>
          <w:lang w:val="en-GB"/>
        </w:rPr>
        <w:t>, vol. 43, no. 3, pp. 276–286, 2019, doi: 10.4093/dmj.2018.0051.</w:t>
      </w:r>
    </w:p>
    <w:p w14:paraId="41918BD6"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lastRenderedPageBreak/>
        <w:t>[63]</w:t>
      </w:r>
      <w:r w:rsidRPr="0043160C">
        <w:rPr>
          <w:noProof/>
          <w:szCs w:val="24"/>
          <w:lang w:val="en-GB"/>
        </w:rPr>
        <w:tab/>
        <w:t xml:space="preserve">C. Reasner </w:t>
      </w:r>
      <w:r w:rsidRPr="0043160C">
        <w:rPr>
          <w:i/>
          <w:iCs/>
          <w:noProof/>
          <w:szCs w:val="24"/>
          <w:lang w:val="en-GB"/>
        </w:rPr>
        <w:t>et al.</w:t>
      </w:r>
      <w:r w:rsidRPr="0043160C">
        <w:rPr>
          <w:noProof/>
          <w:szCs w:val="24"/>
          <w:lang w:val="en-GB"/>
        </w:rPr>
        <w:t xml:space="preserve">, ‘The effect of initial therapy with the fixed-dose combination of sitagliptin and metformin compared with metformin monotherapy in patients with type 2 diabetes mellitus’, </w:t>
      </w:r>
      <w:r w:rsidRPr="0043160C">
        <w:rPr>
          <w:i/>
          <w:iCs/>
          <w:noProof/>
          <w:szCs w:val="24"/>
          <w:lang w:val="en-GB"/>
        </w:rPr>
        <w:t>Diabetes, Obes. \&amp; Metab.</w:t>
      </w:r>
      <w:r w:rsidRPr="0043160C">
        <w:rPr>
          <w:noProof/>
          <w:szCs w:val="24"/>
          <w:lang w:val="en-GB"/>
        </w:rPr>
        <w:t>, vol. 13, no. 7, pp. 644–652, Jul. 2011, doi: 10.1111/j.1463-1326.2011.01390.x.</w:t>
      </w:r>
    </w:p>
    <w:p w14:paraId="07AE7347"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[64]</w:t>
      </w:r>
      <w:r w:rsidRPr="0043160C">
        <w:rPr>
          <w:noProof/>
          <w:szCs w:val="24"/>
          <w:lang w:val="en-GB"/>
        </w:rPr>
        <w:tab/>
        <w:t xml:space="preserve">J. Rosenstock </w:t>
      </w:r>
      <w:r w:rsidRPr="0043160C">
        <w:rPr>
          <w:i/>
          <w:iCs/>
          <w:noProof/>
          <w:szCs w:val="24"/>
          <w:lang w:val="en-GB"/>
        </w:rPr>
        <w:t>et al.</w:t>
      </w:r>
      <w:r w:rsidRPr="0043160C">
        <w:rPr>
          <w:noProof/>
          <w:szCs w:val="24"/>
          <w:lang w:val="en-GB"/>
        </w:rPr>
        <w:t>, ‘The 11-</w:t>
      </w:r>
      <w:r w:rsidRPr="00FF29A9">
        <w:rPr>
          <w:noProof/>
          <w:szCs w:val="24"/>
        </w:rPr>
        <w:t>β</w:t>
      </w:r>
      <w:r w:rsidRPr="0043160C">
        <w:rPr>
          <w:noProof/>
          <w:szCs w:val="24"/>
          <w:lang w:val="en-GB"/>
        </w:rPr>
        <w:t xml:space="preserve">-hydroxysteroid dehydrogenase type 1 inhibitor {INCB13739} improves hyperglycemia in patients with type 2 diabetes inadequately controlled by metformin monotherapy’, </w:t>
      </w:r>
      <w:r w:rsidRPr="0043160C">
        <w:rPr>
          <w:i/>
          <w:iCs/>
          <w:noProof/>
          <w:szCs w:val="24"/>
          <w:lang w:val="en-GB"/>
        </w:rPr>
        <w:t>Diabetes Care</w:t>
      </w:r>
      <w:r w:rsidRPr="0043160C">
        <w:rPr>
          <w:noProof/>
          <w:szCs w:val="24"/>
          <w:lang w:val="en-GB"/>
        </w:rPr>
        <w:t>, vol. 33, no. 7, pp. 1516–1522, 2010, doi: 10.2337/dc09-2315.</w:t>
      </w:r>
    </w:p>
    <w:p w14:paraId="4A8918CC"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[65]</w:t>
      </w:r>
      <w:r w:rsidRPr="0043160C">
        <w:rPr>
          <w:noProof/>
          <w:szCs w:val="24"/>
          <w:lang w:val="en-GB"/>
        </w:rPr>
        <w:tab/>
        <w:t xml:space="preserve">J. Rosenstock </w:t>
      </w:r>
      <w:r w:rsidRPr="0043160C">
        <w:rPr>
          <w:i/>
          <w:iCs/>
          <w:noProof/>
          <w:szCs w:val="24"/>
          <w:lang w:val="en-GB"/>
        </w:rPr>
        <w:t>et al.</w:t>
      </w:r>
      <w:r w:rsidRPr="0043160C">
        <w:rPr>
          <w:noProof/>
          <w:szCs w:val="24"/>
          <w:lang w:val="en-GB"/>
        </w:rPr>
        <w:t xml:space="preserve">, ‘Initial Combination Therapy with Metformin and Colesevelam for Achievement of Glycemic and Lipid Goals Min Early Type 2 Diabetes’, </w:t>
      </w:r>
      <w:r w:rsidRPr="0043160C">
        <w:rPr>
          <w:i/>
          <w:iCs/>
          <w:noProof/>
          <w:szCs w:val="24"/>
          <w:lang w:val="en-GB"/>
        </w:rPr>
        <w:t>Endocr. Pract.</w:t>
      </w:r>
      <w:r w:rsidRPr="0043160C">
        <w:rPr>
          <w:noProof/>
          <w:szCs w:val="24"/>
          <w:lang w:val="en-GB"/>
        </w:rPr>
        <w:t>, vol. 16, no. 4, pp. 629–640, Jan. 2010, doi: 10.4158/EP10130.OR.</w:t>
      </w:r>
    </w:p>
    <w:p w14:paraId="0889382F"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[66]</w:t>
      </w:r>
      <w:r w:rsidRPr="0043160C">
        <w:rPr>
          <w:noProof/>
          <w:szCs w:val="24"/>
          <w:lang w:val="en-GB"/>
        </w:rPr>
        <w:tab/>
        <w:t xml:space="preserve">Y. Seino, Y. Miyata, S. Hiroi, M. Hirayama, and K. Kaku, ‘Efficacy and safety of alogliptin added to metformin in {Japanese} patients with type 2 diabetes: {A} randomized, double-blind, placebo-controlled trial with an open-label, long-term extension study’, </w:t>
      </w:r>
      <w:r w:rsidRPr="0043160C">
        <w:rPr>
          <w:i/>
          <w:iCs/>
          <w:noProof/>
          <w:szCs w:val="24"/>
          <w:lang w:val="en-GB"/>
        </w:rPr>
        <w:t>Diabetes, Obes. Metab.</w:t>
      </w:r>
      <w:r w:rsidRPr="0043160C">
        <w:rPr>
          <w:noProof/>
          <w:szCs w:val="24"/>
          <w:lang w:val="en-GB"/>
        </w:rPr>
        <w:t>, vol. 14, no. 10, pp. 927–936, 2012, doi: 10.1111/j.1463-1326.2012.01620.x.</w:t>
      </w:r>
    </w:p>
    <w:p w14:paraId="133D1009"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[67]</w:t>
      </w:r>
      <w:r w:rsidRPr="0043160C">
        <w:rPr>
          <w:noProof/>
          <w:szCs w:val="24"/>
          <w:lang w:val="en-GB"/>
        </w:rPr>
        <w:tab/>
        <w:t xml:space="preserve">M. W. Stewart </w:t>
      </w:r>
      <w:r w:rsidRPr="0043160C">
        <w:rPr>
          <w:i/>
          <w:iCs/>
          <w:noProof/>
          <w:szCs w:val="24"/>
          <w:lang w:val="en-GB"/>
        </w:rPr>
        <w:t>et al.</w:t>
      </w:r>
      <w:r w:rsidRPr="0043160C">
        <w:rPr>
          <w:noProof/>
          <w:szCs w:val="24"/>
          <w:lang w:val="en-GB"/>
        </w:rPr>
        <w:t xml:space="preserve">, ‘Effect of metformin plus roziglitazone compared with metformin alone on glycaemic control in well-controlled {Type} 2 diabetes’, </w:t>
      </w:r>
      <w:r w:rsidRPr="0043160C">
        <w:rPr>
          <w:i/>
          <w:iCs/>
          <w:noProof/>
          <w:szCs w:val="24"/>
          <w:lang w:val="en-GB"/>
        </w:rPr>
        <w:t>Diabet. Med. A J. Br. Diabet. Assoc.</w:t>
      </w:r>
      <w:r w:rsidRPr="0043160C">
        <w:rPr>
          <w:noProof/>
          <w:szCs w:val="24"/>
          <w:lang w:val="en-GB"/>
        </w:rPr>
        <w:t>, vol. 23, no. 10, pp. 1069–1078, Oct. 2006, doi: 10.1111/j.1464-5491.2006.01942.x.</w:t>
      </w:r>
    </w:p>
    <w:p w14:paraId="289CDC26"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[68]</w:t>
      </w:r>
      <w:r w:rsidRPr="0043160C">
        <w:rPr>
          <w:noProof/>
          <w:szCs w:val="24"/>
          <w:lang w:val="en-GB"/>
        </w:rPr>
        <w:tab/>
        <w:t xml:space="preserve">P. Weissman </w:t>
      </w:r>
      <w:r w:rsidRPr="0043160C">
        <w:rPr>
          <w:i/>
          <w:iCs/>
          <w:noProof/>
          <w:szCs w:val="24"/>
          <w:lang w:val="en-GB"/>
        </w:rPr>
        <w:t>et al.</w:t>
      </w:r>
      <w:r w:rsidRPr="0043160C">
        <w:rPr>
          <w:noProof/>
          <w:szCs w:val="24"/>
          <w:lang w:val="en-GB"/>
        </w:rPr>
        <w:t xml:space="preserve">, ‘Effects of rosiglitazone added to submaximal doses of metformin compared with dose escalation of metformin in type 2 diabetes: the EMPIRE Study’, </w:t>
      </w:r>
      <w:r w:rsidRPr="0043160C">
        <w:rPr>
          <w:i/>
          <w:iCs/>
          <w:noProof/>
          <w:szCs w:val="24"/>
          <w:lang w:val="en-GB"/>
        </w:rPr>
        <w:t>Curr. Med. Res. Opin.</w:t>
      </w:r>
      <w:r w:rsidRPr="0043160C">
        <w:rPr>
          <w:noProof/>
          <w:szCs w:val="24"/>
          <w:lang w:val="en-GB"/>
        </w:rPr>
        <w:t>, vol. 21, no. 12, pp. 2029–2035, Dec. 2005, doi: 10.1185/030079905X74844.</w:t>
      </w:r>
    </w:p>
    <w:p w14:paraId="24B65E18"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[69]</w:t>
      </w:r>
      <w:r w:rsidRPr="0043160C">
        <w:rPr>
          <w:noProof/>
          <w:szCs w:val="24"/>
          <w:lang w:val="en-GB"/>
        </w:rPr>
        <w:tab/>
        <w:t xml:space="preserve">W. Yang, C. Y. Pan, C. Tou, J. Zhao, and I. Gause-Nilsson, ‘Efficacy and safety of saxagliptin added to metformin in Asian people with type 2 diabetes mellitus: a randomized controlled trial’, </w:t>
      </w:r>
      <w:r w:rsidRPr="0043160C">
        <w:rPr>
          <w:i/>
          <w:iCs/>
          <w:noProof/>
          <w:szCs w:val="24"/>
          <w:lang w:val="en-GB"/>
        </w:rPr>
        <w:t>Diabetes Res. Clin. Pract.</w:t>
      </w:r>
      <w:r w:rsidRPr="0043160C">
        <w:rPr>
          <w:noProof/>
          <w:szCs w:val="24"/>
          <w:lang w:val="en-GB"/>
        </w:rPr>
        <w:t>, vol. 94, no. 2, pp. 217–224, Nov. 2011, doi: 10.1016/J.DIABRES.2011.07.035.</w:t>
      </w:r>
    </w:p>
    <w:p w14:paraId="034492B8" w14:textId="77777777" w:rsidR="005A043A" w:rsidRPr="0043160C" w:rsidRDefault="005A043A" w:rsidP="005A043A">
      <w:pPr>
        <w:widowControl w:val="0"/>
        <w:autoSpaceDE w:val="0"/>
        <w:autoSpaceDN w:val="0"/>
        <w:adjustRightInd w:val="0"/>
        <w:ind w:left="640" w:hanging="640"/>
        <w:rPr>
          <w:noProof/>
          <w:szCs w:val="24"/>
          <w:lang w:val="en-GB"/>
        </w:rPr>
      </w:pPr>
      <w:r w:rsidRPr="0043160C">
        <w:rPr>
          <w:noProof/>
          <w:szCs w:val="24"/>
          <w:lang w:val="en-GB"/>
        </w:rPr>
        <w:t>[70]</w:t>
      </w:r>
      <w:r w:rsidRPr="0043160C">
        <w:rPr>
          <w:noProof/>
          <w:szCs w:val="24"/>
          <w:lang w:val="en-GB"/>
        </w:rPr>
        <w:tab/>
        <w:t xml:space="preserve">H. Yuxin </w:t>
      </w:r>
      <w:r w:rsidRPr="0043160C">
        <w:rPr>
          <w:i/>
          <w:iCs/>
          <w:noProof/>
          <w:szCs w:val="24"/>
          <w:lang w:val="en-GB"/>
        </w:rPr>
        <w:t>et al.</w:t>
      </w:r>
      <w:r w:rsidRPr="0043160C">
        <w:rPr>
          <w:noProof/>
          <w:szCs w:val="24"/>
          <w:lang w:val="en-GB"/>
        </w:rPr>
        <w:t xml:space="preserve">, ‘Comparison of gastrointestinal adverse events with different doses of metformin in the treatment of elderly people with type 2 diabetes’, </w:t>
      </w:r>
      <w:r w:rsidRPr="0043160C">
        <w:rPr>
          <w:i/>
          <w:iCs/>
          <w:noProof/>
          <w:szCs w:val="24"/>
          <w:lang w:val="en-GB"/>
        </w:rPr>
        <w:t>J. Clin. Pharm. Ther.</w:t>
      </w:r>
      <w:r w:rsidRPr="0043160C">
        <w:rPr>
          <w:noProof/>
          <w:szCs w:val="24"/>
          <w:lang w:val="en-GB"/>
        </w:rPr>
        <w:t>, vol. 45, no. 3, pp. 470–476, Jun. 2020, doi: 10.1111/JCPT.13087.</w:t>
      </w:r>
    </w:p>
    <w:p w14:paraId="78BD41B5" w14:textId="77777777" w:rsidR="005A043A" w:rsidRPr="00FF29A9" w:rsidRDefault="005A043A" w:rsidP="005A043A">
      <w:pPr>
        <w:widowControl w:val="0"/>
        <w:autoSpaceDE w:val="0"/>
        <w:autoSpaceDN w:val="0"/>
        <w:adjustRightInd w:val="0"/>
        <w:ind w:left="640" w:hanging="640"/>
        <w:rPr>
          <w:noProof/>
        </w:rPr>
      </w:pPr>
      <w:r w:rsidRPr="0043160C">
        <w:rPr>
          <w:noProof/>
          <w:szCs w:val="24"/>
          <w:lang w:val="en-GB"/>
        </w:rPr>
        <w:t>[71]</w:t>
      </w:r>
      <w:r w:rsidRPr="0043160C">
        <w:rPr>
          <w:noProof/>
          <w:szCs w:val="24"/>
          <w:lang w:val="en-GB"/>
        </w:rPr>
        <w:tab/>
        <w:t xml:space="preserve">J. Zack </w:t>
      </w:r>
      <w:r w:rsidRPr="0043160C">
        <w:rPr>
          <w:i/>
          <w:iCs/>
          <w:noProof/>
          <w:szCs w:val="24"/>
          <w:lang w:val="en-GB"/>
        </w:rPr>
        <w:t>et al.</w:t>
      </w:r>
      <w:r w:rsidRPr="0043160C">
        <w:rPr>
          <w:noProof/>
          <w:szCs w:val="24"/>
          <w:lang w:val="en-GB"/>
        </w:rPr>
        <w:t xml:space="preserve">, ‘Pharmacokinetic drug–drug interaction study of ranolazine and metformin in subjects with type 2 diabetes mellitus’, </w:t>
      </w:r>
      <w:r w:rsidRPr="0043160C">
        <w:rPr>
          <w:i/>
          <w:iCs/>
          <w:noProof/>
          <w:szCs w:val="24"/>
          <w:lang w:val="en-GB"/>
        </w:rPr>
        <w:t xml:space="preserve">Clin. </w:t>
      </w:r>
      <w:r w:rsidRPr="00FF29A9">
        <w:rPr>
          <w:i/>
          <w:iCs/>
          <w:noProof/>
          <w:szCs w:val="24"/>
        </w:rPr>
        <w:t>Pharmacol. Drug Dev.</w:t>
      </w:r>
      <w:r w:rsidRPr="00FF29A9">
        <w:rPr>
          <w:noProof/>
          <w:szCs w:val="24"/>
        </w:rPr>
        <w:t>, vol. 4, no. 2, pp. 121–129, Mar. 2015, doi: 10.1002/CPDD.174.</w:t>
      </w:r>
    </w:p>
    <w:p w14:paraId="0F8EA4AF" w14:textId="77777777" w:rsidR="005A043A" w:rsidRPr="00277A9D" w:rsidRDefault="005A043A" w:rsidP="005A043A">
      <w:pPr>
        <w:rPr>
          <w:lang w:val="en-GB"/>
        </w:rPr>
      </w:pPr>
      <w:r>
        <w:rPr>
          <w:lang w:val="en-GB"/>
        </w:rPr>
        <w:fldChar w:fldCharType="end"/>
      </w:r>
    </w:p>
    <w:p w14:paraId="7B65BC41" w14:textId="77777777" w:rsidR="00DE23E8" w:rsidRPr="001549D3" w:rsidRDefault="00DE23E8" w:rsidP="005A043A">
      <w:pPr>
        <w:jc w:val="both"/>
      </w:pPr>
    </w:p>
    <w:sectPr w:rsidR="00DE23E8" w:rsidRPr="001549D3" w:rsidSect="0093429D">
      <w:headerReference w:type="even" r:id="rId35"/>
      <w:footerReference w:type="even" r:id="rId36"/>
      <w:footerReference w:type="default" r:id="rId37"/>
      <w:headerReference w:type="first" r:id="rId3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E338" w14:textId="77777777" w:rsidR="00E10F18" w:rsidRDefault="00E10F18" w:rsidP="00117666">
      <w:pPr>
        <w:spacing w:after="0"/>
      </w:pPr>
      <w:r>
        <w:separator/>
      </w:r>
    </w:p>
  </w:endnote>
  <w:endnote w:type="continuationSeparator" w:id="0">
    <w:p w14:paraId="019315FE" w14:textId="77777777" w:rsidR="00E10F18" w:rsidRDefault="00E10F1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98CF" w14:textId="77777777" w:rsidR="00E10F18" w:rsidRDefault="00E10F18" w:rsidP="00117666">
      <w:pPr>
        <w:spacing w:after="0"/>
      </w:pPr>
      <w:r>
        <w:separator/>
      </w:r>
    </w:p>
  </w:footnote>
  <w:footnote w:type="continuationSeparator" w:id="0">
    <w:p w14:paraId="5557BDE4" w14:textId="77777777" w:rsidR="00E10F18" w:rsidRDefault="00E10F1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58662E"/>
    <w:multiLevelType w:val="hybridMultilevel"/>
    <w:tmpl w:val="ECB8DA2C"/>
    <w:lvl w:ilvl="0" w:tplc="DC66E0F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Nagwek1"/>
      <w:lvlText w:val="%1"/>
      <w:lvlJc w:val="left"/>
      <w:pPr>
        <w:tabs>
          <w:tab w:val="num" w:pos="567"/>
        </w:tabs>
        <w:ind w:left="567" w:hanging="567"/>
      </w:pPr>
      <w:rPr>
        <w:rFonts w:hint="default"/>
      </w:rPr>
    </w:lvl>
    <w:lvl w:ilvl="1">
      <w:start w:val="1"/>
      <w:numFmt w:val="decimal"/>
      <w:pStyle w:val="Nagwek2"/>
      <w:lvlText w:val="%1.%2"/>
      <w:lvlJc w:val="left"/>
      <w:pPr>
        <w:tabs>
          <w:tab w:val="num" w:pos="567"/>
        </w:tabs>
        <w:ind w:left="567" w:hanging="567"/>
      </w:pPr>
      <w:rPr>
        <w:rFonts w:hint="default"/>
      </w:rPr>
    </w:lvl>
    <w:lvl w:ilvl="2">
      <w:start w:val="1"/>
      <w:numFmt w:val="decimal"/>
      <w:pStyle w:val="Nagwek3"/>
      <w:lvlText w:val="%1.%2.%3"/>
      <w:lvlJc w:val="left"/>
      <w:pPr>
        <w:tabs>
          <w:tab w:val="num" w:pos="567"/>
        </w:tabs>
        <w:ind w:left="567" w:hanging="567"/>
      </w:pPr>
      <w:rPr>
        <w:rFonts w:hint="default"/>
      </w:rPr>
    </w:lvl>
    <w:lvl w:ilvl="3">
      <w:start w:val="1"/>
      <w:numFmt w:val="decimal"/>
      <w:pStyle w:val="Nagwek4"/>
      <w:lvlText w:val="%1.%2.%3.%4"/>
      <w:lvlJc w:val="left"/>
      <w:pPr>
        <w:tabs>
          <w:tab w:val="num" w:pos="567"/>
        </w:tabs>
        <w:ind w:left="567" w:hanging="567"/>
      </w:pPr>
      <w:rPr>
        <w:rFonts w:hint="default"/>
      </w:rPr>
    </w:lvl>
    <w:lvl w:ilvl="4">
      <w:start w:val="1"/>
      <w:numFmt w:val="decimal"/>
      <w:pStyle w:val="Nagwe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Akapitz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36B5D8E"/>
    <w:multiLevelType w:val="hybridMultilevel"/>
    <w:tmpl w:val="E188B91C"/>
    <w:lvl w:ilvl="0" w:tplc="4C92D8C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22635C"/>
    <w:multiLevelType w:val="hybridMultilevel"/>
    <w:tmpl w:val="7BB8B04C"/>
    <w:lvl w:ilvl="0" w:tplc="CB7A91BC">
      <w:start w:val="3"/>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463D4"/>
    <w:multiLevelType w:val="multilevel"/>
    <w:tmpl w:val="1AD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69469729">
    <w:abstractNumId w:val="0"/>
  </w:num>
  <w:num w:numId="2" w16cid:durableId="1997371724">
    <w:abstractNumId w:val="7"/>
  </w:num>
  <w:num w:numId="3" w16cid:durableId="1970234175">
    <w:abstractNumId w:val="2"/>
  </w:num>
  <w:num w:numId="4" w16cid:durableId="1378243955">
    <w:abstractNumId w:val="9"/>
  </w:num>
  <w:num w:numId="5" w16cid:durableId="1579708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067534">
    <w:abstractNumId w:val="4"/>
  </w:num>
  <w:num w:numId="7" w16cid:durableId="1453868044">
    <w:abstractNumId w:val="10"/>
  </w:num>
  <w:num w:numId="8" w16cid:durableId="574707377">
    <w:abstractNumId w:val="10"/>
  </w:num>
  <w:num w:numId="9" w16cid:durableId="335959026">
    <w:abstractNumId w:val="10"/>
  </w:num>
  <w:num w:numId="10" w16cid:durableId="1427311799">
    <w:abstractNumId w:val="10"/>
  </w:num>
  <w:num w:numId="11" w16cid:durableId="2007707972">
    <w:abstractNumId w:val="10"/>
  </w:num>
  <w:num w:numId="12" w16cid:durableId="304287508">
    <w:abstractNumId w:val="10"/>
  </w:num>
  <w:num w:numId="13" w16cid:durableId="1288466705">
    <w:abstractNumId w:val="4"/>
  </w:num>
  <w:num w:numId="14" w16cid:durableId="995718147">
    <w:abstractNumId w:val="3"/>
  </w:num>
  <w:num w:numId="15" w16cid:durableId="668025954">
    <w:abstractNumId w:val="3"/>
  </w:num>
  <w:num w:numId="16" w16cid:durableId="170873522">
    <w:abstractNumId w:val="3"/>
  </w:num>
  <w:num w:numId="17" w16cid:durableId="1453404889">
    <w:abstractNumId w:val="3"/>
  </w:num>
  <w:num w:numId="18" w16cid:durableId="289476142">
    <w:abstractNumId w:val="3"/>
  </w:num>
  <w:num w:numId="19" w16cid:durableId="1029645504">
    <w:abstractNumId w:val="3"/>
  </w:num>
  <w:num w:numId="20" w16cid:durableId="1216158187">
    <w:abstractNumId w:val="1"/>
  </w:num>
  <w:num w:numId="21" w16cid:durableId="77948619">
    <w:abstractNumId w:val="5"/>
  </w:num>
  <w:num w:numId="22" w16cid:durableId="1137916927">
    <w:abstractNumId w:val="8"/>
  </w:num>
  <w:num w:numId="23" w16cid:durableId="1910531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F2C97"/>
    <w:rsid w:val="00105FD9"/>
    <w:rsid w:val="00117666"/>
    <w:rsid w:val="001549D3"/>
    <w:rsid w:val="00160065"/>
    <w:rsid w:val="00177D84"/>
    <w:rsid w:val="00261FBD"/>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043A"/>
    <w:rsid w:val="005A5EEE"/>
    <w:rsid w:val="006375C7"/>
    <w:rsid w:val="00654E8F"/>
    <w:rsid w:val="00660D05"/>
    <w:rsid w:val="006820B1"/>
    <w:rsid w:val="006B26CE"/>
    <w:rsid w:val="006B7D14"/>
    <w:rsid w:val="00701727"/>
    <w:rsid w:val="0070566C"/>
    <w:rsid w:val="00714C50"/>
    <w:rsid w:val="00725A7D"/>
    <w:rsid w:val="007441FC"/>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10F18"/>
    <w:rsid w:val="00E52377"/>
    <w:rsid w:val="00E537AD"/>
    <w:rsid w:val="00E64E17"/>
    <w:rsid w:val="00E866C9"/>
    <w:rsid w:val="00EA3D3C"/>
    <w:rsid w:val="00EC090A"/>
    <w:rsid w:val="00ED20B5"/>
    <w:rsid w:val="00F11452"/>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715"/>
    <w:pPr>
      <w:spacing w:before="120" w:after="240" w:line="240" w:lineRule="auto"/>
    </w:pPr>
    <w:rPr>
      <w:rFonts w:ascii="Times New Roman" w:hAnsi="Times New Roman"/>
      <w:sz w:val="24"/>
    </w:rPr>
  </w:style>
  <w:style w:type="paragraph" w:styleId="Nagwek1">
    <w:name w:val="heading 1"/>
    <w:basedOn w:val="Akapitzlist"/>
    <w:next w:val="Normalny"/>
    <w:link w:val="Nagwek1Znak"/>
    <w:uiPriority w:val="9"/>
    <w:qFormat/>
    <w:rsid w:val="00AB6715"/>
    <w:pPr>
      <w:numPr>
        <w:numId w:val="19"/>
      </w:numPr>
      <w:spacing w:before="240"/>
      <w:contextualSpacing w:val="0"/>
      <w:outlineLvl w:val="0"/>
    </w:pPr>
    <w:rPr>
      <w:b/>
    </w:rPr>
  </w:style>
  <w:style w:type="paragraph" w:styleId="Nagwek2">
    <w:name w:val="heading 2"/>
    <w:basedOn w:val="Nagwek1"/>
    <w:next w:val="Normalny"/>
    <w:link w:val="Nagwek2Znak"/>
    <w:uiPriority w:val="9"/>
    <w:qFormat/>
    <w:rsid w:val="00AB6715"/>
    <w:pPr>
      <w:numPr>
        <w:ilvl w:val="1"/>
      </w:numPr>
      <w:spacing w:after="200"/>
      <w:outlineLvl w:val="1"/>
    </w:pPr>
  </w:style>
  <w:style w:type="paragraph" w:styleId="Nagwek3">
    <w:name w:val="heading 3"/>
    <w:basedOn w:val="Normalny"/>
    <w:next w:val="Normalny"/>
    <w:link w:val="Nagwek3Znak"/>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Nagwek4">
    <w:name w:val="heading 4"/>
    <w:basedOn w:val="Nagwek3"/>
    <w:next w:val="Normalny"/>
    <w:link w:val="Nagwek4Znak"/>
    <w:uiPriority w:val="9"/>
    <w:qFormat/>
    <w:rsid w:val="00AB6715"/>
    <w:pPr>
      <w:numPr>
        <w:ilvl w:val="3"/>
      </w:numPr>
      <w:outlineLvl w:val="3"/>
    </w:pPr>
    <w:rPr>
      <w:iCs/>
    </w:rPr>
  </w:style>
  <w:style w:type="paragraph" w:styleId="Nagwek5">
    <w:name w:val="heading 5"/>
    <w:basedOn w:val="Nagwek4"/>
    <w:next w:val="Normalny"/>
    <w:link w:val="Nagwek5Znak"/>
    <w:uiPriority w:val="9"/>
    <w:qFormat/>
    <w:rsid w:val="00AB6715"/>
    <w:pPr>
      <w:numPr>
        <w:ilvl w:val="4"/>
      </w:numPr>
      <w:outlineLvl w:val="4"/>
    </w:pPr>
  </w:style>
  <w:style w:type="paragraph" w:styleId="Nagwek6">
    <w:name w:val="heading 6"/>
    <w:basedOn w:val="Normalny"/>
    <w:next w:val="Normalny"/>
    <w:link w:val="Nagwek6Znak"/>
    <w:uiPriority w:val="9"/>
    <w:semiHidden/>
    <w:unhideWhenUsed/>
    <w:qFormat/>
    <w:rsid w:val="005A043A"/>
    <w:pPr>
      <w:keepNext/>
      <w:keepLines/>
      <w:spacing w:before="200" w:after="40" w:line="259" w:lineRule="auto"/>
      <w:outlineLvl w:val="5"/>
    </w:pPr>
    <w:rPr>
      <w:rFonts w:ascii="Calibri" w:eastAsia="Calibri" w:hAnsi="Calibri" w:cs="Calibri"/>
      <w:b/>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B6715"/>
    <w:rPr>
      <w:rFonts w:ascii="Times New Roman" w:eastAsia="Cambria" w:hAnsi="Times New Roman" w:cs="Times New Roman"/>
      <w:b/>
      <w:sz w:val="24"/>
      <w:szCs w:val="24"/>
    </w:rPr>
  </w:style>
  <w:style w:type="character" w:customStyle="1" w:styleId="Nagwek2Znak">
    <w:name w:val="Nagłówek 2 Znak"/>
    <w:basedOn w:val="Domylnaczcionkaakapitu"/>
    <w:link w:val="Nagwek2"/>
    <w:uiPriority w:val="2"/>
    <w:rsid w:val="00AB6715"/>
    <w:rPr>
      <w:rFonts w:ascii="Times New Roman" w:eastAsia="Cambria" w:hAnsi="Times New Roman" w:cs="Times New Roman"/>
      <w:b/>
      <w:sz w:val="24"/>
      <w:szCs w:val="24"/>
    </w:rPr>
  </w:style>
  <w:style w:type="paragraph" w:styleId="Podtytu">
    <w:name w:val="Subtitle"/>
    <w:basedOn w:val="Normalny"/>
    <w:next w:val="Normalny"/>
    <w:link w:val="PodtytuZnak"/>
    <w:uiPriority w:val="11"/>
    <w:unhideWhenUsed/>
    <w:qFormat/>
    <w:rsid w:val="00AB6715"/>
    <w:pPr>
      <w:spacing w:before="240"/>
    </w:pPr>
    <w:rPr>
      <w:rFonts w:cs="Times New Roman"/>
      <w:b/>
      <w:szCs w:val="24"/>
    </w:rPr>
  </w:style>
  <w:style w:type="character" w:customStyle="1" w:styleId="PodtytuZnak">
    <w:name w:val="Podtytuł Znak"/>
    <w:basedOn w:val="Domylnaczcionkaakapitu"/>
    <w:link w:val="Podtytu"/>
    <w:uiPriority w:val="99"/>
    <w:rsid w:val="00AB6715"/>
    <w:rPr>
      <w:rFonts w:ascii="Times New Roman" w:hAnsi="Times New Roman" w:cs="Times New Roman"/>
      <w:b/>
      <w:sz w:val="24"/>
      <w:szCs w:val="24"/>
    </w:rPr>
  </w:style>
  <w:style w:type="paragraph" w:customStyle="1" w:styleId="AuthorList">
    <w:name w:val="Author List"/>
    <w:aliases w:val="Keywords,Abstract"/>
    <w:basedOn w:val="Podtytu"/>
    <w:next w:val="Normalny"/>
    <w:uiPriority w:val="1"/>
    <w:qFormat/>
    <w:rsid w:val="00AB6715"/>
  </w:style>
  <w:style w:type="paragraph" w:styleId="Tekstdymka">
    <w:name w:val="Balloon Text"/>
    <w:basedOn w:val="Normalny"/>
    <w:link w:val="TekstdymkaZnak"/>
    <w:uiPriority w:val="99"/>
    <w:semiHidden/>
    <w:unhideWhenUsed/>
    <w:rsid w:val="00AB671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B6715"/>
    <w:rPr>
      <w:rFonts w:ascii="Tahoma" w:hAnsi="Tahoma" w:cs="Tahoma"/>
      <w:sz w:val="16"/>
      <w:szCs w:val="16"/>
    </w:rPr>
  </w:style>
  <w:style w:type="character" w:styleId="Tytuksiki">
    <w:name w:val="Book Title"/>
    <w:basedOn w:val="Domylnaczcionkaakapitu"/>
    <w:uiPriority w:val="33"/>
    <w:qFormat/>
    <w:rsid w:val="00AB6715"/>
    <w:rPr>
      <w:rFonts w:ascii="Times New Roman" w:hAnsi="Times New Roman"/>
      <w:b/>
      <w:bCs/>
      <w:i/>
      <w:iCs/>
      <w:spacing w:val="5"/>
    </w:rPr>
  </w:style>
  <w:style w:type="paragraph" w:styleId="Legenda">
    <w:name w:val="caption"/>
    <w:basedOn w:val="Normalny"/>
    <w:next w:val="Bezodstpw"/>
    <w:uiPriority w:val="35"/>
    <w:unhideWhenUsed/>
    <w:qFormat/>
    <w:rsid w:val="00AB6715"/>
    <w:pPr>
      <w:keepNext/>
    </w:pPr>
    <w:rPr>
      <w:rFonts w:cs="Times New Roman"/>
      <w:b/>
      <w:bCs/>
      <w:szCs w:val="24"/>
    </w:rPr>
  </w:style>
  <w:style w:type="paragraph" w:styleId="Bezodstpw">
    <w:name w:val="No Spacing"/>
    <w:uiPriority w:val="99"/>
    <w:unhideWhenUsed/>
    <w:qFormat/>
    <w:rsid w:val="00AB6715"/>
    <w:pPr>
      <w:spacing w:after="0" w:line="240" w:lineRule="auto"/>
    </w:pPr>
    <w:rPr>
      <w:rFonts w:ascii="Times New Roman" w:hAnsi="Times New Roman"/>
      <w:sz w:val="24"/>
    </w:rPr>
  </w:style>
  <w:style w:type="character" w:styleId="Odwoaniedokomentarza">
    <w:name w:val="annotation reference"/>
    <w:basedOn w:val="Domylnaczcionkaakapitu"/>
    <w:uiPriority w:val="99"/>
    <w:semiHidden/>
    <w:unhideWhenUsed/>
    <w:rsid w:val="00AB6715"/>
    <w:rPr>
      <w:sz w:val="16"/>
      <w:szCs w:val="16"/>
    </w:rPr>
  </w:style>
  <w:style w:type="paragraph" w:styleId="Tekstkomentarza">
    <w:name w:val="annotation text"/>
    <w:basedOn w:val="Normalny"/>
    <w:link w:val="TekstkomentarzaZnak"/>
    <w:uiPriority w:val="99"/>
    <w:semiHidden/>
    <w:unhideWhenUsed/>
    <w:rsid w:val="00AB6715"/>
    <w:rPr>
      <w:sz w:val="20"/>
      <w:szCs w:val="20"/>
    </w:rPr>
  </w:style>
  <w:style w:type="character" w:customStyle="1" w:styleId="TekstkomentarzaZnak">
    <w:name w:val="Tekst komentarza Znak"/>
    <w:basedOn w:val="Domylnaczcionkaakapitu"/>
    <w:link w:val="Tekstkomentarza"/>
    <w:uiPriority w:val="99"/>
    <w:semiHidden/>
    <w:rsid w:val="00AB6715"/>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AB6715"/>
    <w:rPr>
      <w:b/>
      <w:bCs/>
    </w:rPr>
  </w:style>
  <w:style w:type="character" w:customStyle="1" w:styleId="TematkomentarzaZnak">
    <w:name w:val="Temat komentarza Znak"/>
    <w:basedOn w:val="TekstkomentarzaZnak"/>
    <w:link w:val="Tematkomentarza"/>
    <w:uiPriority w:val="99"/>
    <w:semiHidden/>
    <w:rsid w:val="00AB6715"/>
    <w:rPr>
      <w:rFonts w:ascii="Times New Roman" w:hAnsi="Times New Roman"/>
      <w:b/>
      <w:bCs/>
      <w:sz w:val="20"/>
      <w:szCs w:val="20"/>
    </w:rPr>
  </w:style>
  <w:style w:type="character" w:styleId="Uwydatnienie">
    <w:name w:val="Emphasis"/>
    <w:basedOn w:val="Domylnaczcionkaakapitu"/>
    <w:uiPriority w:val="20"/>
    <w:qFormat/>
    <w:rsid w:val="00AB6715"/>
    <w:rPr>
      <w:rFonts w:ascii="Times New Roman" w:hAnsi="Times New Roman"/>
      <w:i/>
      <w:iCs/>
    </w:rPr>
  </w:style>
  <w:style w:type="character" w:styleId="Odwoanieprzypisukocowego">
    <w:name w:val="endnote reference"/>
    <w:basedOn w:val="Domylnaczcionkaakapitu"/>
    <w:uiPriority w:val="99"/>
    <w:semiHidden/>
    <w:unhideWhenUsed/>
    <w:rsid w:val="00AB6715"/>
    <w:rPr>
      <w:vertAlign w:val="superscript"/>
    </w:rPr>
  </w:style>
  <w:style w:type="paragraph" w:styleId="Tekstprzypisukocowego">
    <w:name w:val="endnote text"/>
    <w:basedOn w:val="Normalny"/>
    <w:link w:val="TekstprzypisukocowegoZnak"/>
    <w:uiPriority w:val="99"/>
    <w:semiHidden/>
    <w:unhideWhenUsed/>
    <w:rsid w:val="00AB671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B6715"/>
    <w:rPr>
      <w:rFonts w:ascii="Times New Roman" w:hAnsi="Times New Roman"/>
      <w:sz w:val="20"/>
      <w:szCs w:val="20"/>
    </w:rPr>
  </w:style>
  <w:style w:type="character" w:styleId="UyteHipercze">
    <w:name w:val="FollowedHyperlink"/>
    <w:basedOn w:val="Domylnaczcionkaakapitu"/>
    <w:uiPriority w:val="99"/>
    <w:semiHidden/>
    <w:unhideWhenUsed/>
    <w:rsid w:val="00AB6715"/>
    <w:rPr>
      <w:color w:val="800080" w:themeColor="followedHyperlink"/>
      <w:u w:val="single"/>
    </w:rPr>
  </w:style>
  <w:style w:type="paragraph" w:styleId="Stopka">
    <w:name w:val="footer"/>
    <w:basedOn w:val="Normalny"/>
    <w:link w:val="StopkaZnak"/>
    <w:uiPriority w:val="99"/>
    <w:unhideWhenUsed/>
    <w:rsid w:val="00AB6715"/>
    <w:pPr>
      <w:tabs>
        <w:tab w:val="center" w:pos="4844"/>
        <w:tab w:val="right" w:pos="9689"/>
      </w:tabs>
      <w:spacing w:after="0"/>
    </w:pPr>
  </w:style>
  <w:style w:type="character" w:customStyle="1" w:styleId="StopkaZnak">
    <w:name w:val="Stopka Znak"/>
    <w:basedOn w:val="Domylnaczcionkaakapitu"/>
    <w:link w:val="Stopka"/>
    <w:uiPriority w:val="99"/>
    <w:rsid w:val="00AB6715"/>
    <w:rPr>
      <w:rFonts w:ascii="Times New Roman" w:hAnsi="Times New Roman"/>
      <w:sz w:val="24"/>
    </w:rPr>
  </w:style>
  <w:style w:type="character" w:styleId="Odwoanieprzypisudolnego">
    <w:name w:val="footnote reference"/>
    <w:basedOn w:val="Domylnaczcionkaakapitu"/>
    <w:uiPriority w:val="99"/>
    <w:semiHidden/>
    <w:unhideWhenUsed/>
    <w:rsid w:val="00AB6715"/>
    <w:rPr>
      <w:vertAlign w:val="superscript"/>
    </w:rPr>
  </w:style>
  <w:style w:type="paragraph" w:styleId="Tekstprzypisudolnego">
    <w:name w:val="footnote text"/>
    <w:basedOn w:val="Normalny"/>
    <w:link w:val="TekstprzypisudolnegoZnak"/>
    <w:uiPriority w:val="99"/>
    <w:semiHidden/>
    <w:unhideWhenUsed/>
    <w:rsid w:val="00AB6715"/>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AB6715"/>
    <w:rPr>
      <w:rFonts w:ascii="Times New Roman" w:hAnsi="Times New Roman"/>
      <w:sz w:val="20"/>
      <w:szCs w:val="20"/>
    </w:rPr>
  </w:style>
  <w:style w:type="paragraph" w:styleId="Nagwek">
    <w:name w:val="header"/>
    <w:basedOn w:val="Normalny"/>
    <w:link w:val="NagwekZnak"/>
    <w:uiPriority w:val="99"/>
    <w:unhideWhenUsed/>
    <w:rsid w:val="00AB6715"/>
    <w:pPr>
      <w:tabs>
        <w:tab w:val="center" w:pos="4844"/>
        <w:tab w:val="right" w:pos="9689"/>
      </w:tabs>
    </w:pPr>
    <w:rPr>
      <w:b/>
    </w:rPr>
  </w:style>
  <w:style w:type="character" w:customStyle="1" w:styleId="NagwekZnak">
    <w:name w:val="Nagłówek Znak"/>
    <w:basedOn w:val="Domylnaczcionkaakapitu"/>
    <w:link w:val="Nagwek"/>
    <w:uiPriority w:val="99"/>
    <w:rsid w:val="00AB6715"/>
    <w:rPr>
      <w:rFonts w:ascii="Times New Roman" w:hAnsi="Times New Roman"/>
      <w:b/>
      <w:sz w:val="24"/>
    </w:rPr>
  </w:style>
  <w:style w:type="paragraph" w:styleId="Akapitzlist">
    <w:name w:val="List Paragraph"/>
    <w:basedOn w:val="Normalny"/>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cze">
    <w:name w:val="Hyperlink"/>
    <w:basedOn w:val="Domylnaczcionkaakapitu"/>
    <w:uiPriority w:val="99"/>
    <w:unhideWhenUsed/>
    <w:rsid w:val="00AB6715"/>
    <w:rPr>
      <w:color w:val="0000FF"/>
      <w:u w:val="single"/>
    </w:rPr>
  </w:style>
  <w:style w:type="character" w:styleId="Wyrnienieintensywne">
    <w:name w:val="Intense Emphasis"/>
    <w:basedOn w:val="Domylnaczcionkaakapitu"/>
    <w:uiPriority w:val="21"/>
    <w:unhideWhenUsed/>
    <w:rsid w:val="00AB6715"/>
    <w:rPr>
      <w:rFonts w:ascii="Times New Roman" w:hAnsi="Times New Roman"/>
      <w:i/>
      <w:iCs/>
      <w:color w:val="auto"/>
    </w:rPr>
  </w:style>
  <w:style w:type="character" w:styleId="Odwoanieintensywne">
    <w:name w:val="Intense Reference"/>
    <w:basedOn w:val="Domylnaczcionkaakapitu"/>
    <w:uiPriority w:val="32"/>
    <w:qFormat/>
    <w:rsid w:val="00AB6715"/>
    <w:rPr>
      <w:b/>
      <w:bCs/>
      <w:smallCaps/>
      <w:color w:val="auto"/>
      <w:spacing w:val="5"/>
    </w:rPr>
  </w:style>
  <w:style w:type="character" w:styleId="Numerwiersza">
    <w:name w:val="line number"/>
    <w:basedOn w:val="Domylnaczcionkaakapitu"/>
    <w:uiPriority w:val="99"/>
    <w:semiHidden/>
    <w:unhideWhenUsed/>
    <w:rsid w:val="00AB6715"/>
  </w:style>
  <w:style w:type="character" w:customStyle="1" w:styleId="Nagwek3Znak">
    <w:name w:val="Nagłówek 3 Znak"/>
    <w:basedOn w:val="Domylnaczcionkaakapitu"/>
    <w:link w:val="Nagwek3"/>
    <w:uiPriority w:val="9"/>
    <w:rsid w:val="00AB6715"/>
    <w:rPr>
      <w:rFonts w:ascii="Times New Roman" w:eastAsiaTheme="majorEastAsia" w:hAnsi="Times New Roman" w:cstheme="majorBidi"/>
      <w:b/>
      <w:sz w:val="24"/>
      <w:szCs w:val="24"/>
    </w:rPr>
  </w:style>
  <w:style w:type="character" w:customStyle="1" w:styleId="Nagwek4Znak">
    <w:name w:val="Nagłówek 4 Znak"/>
    <w:basedOn w:val="Domylnaczcionkaakapitu"/>
    <w:link w:val="Nagwek4"/>
    <w:uiPriority w:val="2"/>
    <w:rsid w:val="00AB6715"/>
    <w:rPr>
      <w:rFonts w:ascii="Times New Roman" w:eastAsiaTheme="majorEastAsia" w:hAnsi="Times New Roman" w:cstheme="majorBidi"/>
      <w:b/>
      <w:iCs/>
      <w:sz w:val="24"/>
      <w:szCs w:val="24"/>
    </w:rPr>
  </w:style>
  <w:style w:type="character" w:customStyle="1" w:styleId="Nagwek5Znak">
    <w:name w:val="Nagłówek 5 Znak"/>
    <w:basedOn w:val="Domylnaczcionkaakapitu"/>
    <w:link w:val="Nagwek5"/>
    <w:uiPriority w:val="2"/>
    <w:rsid w:val="00AB6715"/>
    <w:rPr>
      <w:rFonts w:ascii="Times New Roman" w:eastAsiaTheme="majorEastAsia" w:hAnsi="Times New Roman" w:cstheme="majorBidi"/>
      <w:b/>
      <w:iCs/>
      <w:sz w:val="24"/>
      <w:szCs w:val="24"/>
    </w:rPr>
  </w:style>
  <w:style w:type="paragraph" w:styleId="NormalnyWeb">
    <w:name w:val="Normal (Web)"/>
    <w:basedOn w:val="Normalny"/>
    <w:uiPriority w:val="99"/>
    <w:unhideWhenUsed/>
    <w:rsid w:val="00AB6715"/>
    <w:pPr>
      <w:spacing w:before="100" w:beforeAutospacing="1" w:after="100" w:afterAutospacing="1"/>
    </w:pPr>
    <w:rPr>
      <w:rFonts w:eastAsia="Times New Roman" w:cs="Times New Roman"/>
      <w:szCs w:val="24"/>
    </w:rPr>
  </w:style>
  <w:style w:type="paragraph" w:styleId="Cytat">
    <w:name w:val="Quote"/>
    <w:basedOn w:val="Normalny"/>
    <w:next w:val="Normalny"/>
    <w:link w:val="CytatZnak"/>
    <w:uiPriority w:val="29"/>
    <w:qFormat/>
    <w:rsid w:val="00AB671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AB6715"/>
    <w:rPr>
      <w:rFonts w:ascii="Times New Roman" w:hAnsi="Times New Roman"/>
      <w:i/>
      <w:iCs/>
      <w:color w:val="404040" w:themeColor="text1" w:themeTint="BF"/>
      <w:sz w:val="24"/>
    </w:rPr>
  </w:style>
  <w:style w:type="character" w:styleId="Pogrubienie">
    <w:name w:val="Strong"/>
    <w:basedOn w:val="Domylnaczcionkaakapitu"/>
    <w:uiPriority w:val="22"/>
    <w:qFormat/>
    <w:rsid w:val="00AB6715"/>
    <w:rPr>
      <w:rFonts w:ascii="Times New Roman" w:hAnsi="Times New Roman"/>
      <w:b/>
      <w:bCs/>
    </w:rPr>
  </w:style>
  <w:style w:type="character" w:styleId="Wyrnieniedelikatne">
    <w:name w:val="Subtle Emphasis"/>
    <w:basedOn w:val="Domylnaczcionkaakapitu"/>
    <w:uiPriority w:val="19"/>
    <w:qFormat/>
    <w:rsid w:val="00AB6715"/>
    <w:rPr>
      <w:rFonts w:ascii="Times New Roman" w:hAnsi="Times New Roman"/>
      <w:i/>
      <w:iCs/>
      <w:color w:val="404040" w:themeColor="text1" w:themeTint="BF"/>
    </w:rPr>
  </w:style>
  <w:style w:type="table" w:styleId="Tabela-Siatka">
    <w:name w:val="Table Grid"/>
    <w:basedOn w:val="Standardowy"/>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AB6715"/>
    <w:pPr>
      <w:suppressLineNumbers/>
      <w:spacing w:before="240" w:after="360"/>
      <w:jc w:val="center"/>
    </w:pPr>
    <w:rPr>
      <w:rFonts w:cs="Times New Roman"/>
      <w:b/>
      <w:sz w:val="32"/>
      <w:szCs w:val="32"/>
    </w:rPr>
  </w:style>
  <w:style w:type="character" w:customStyle="1" w:styleId="TytuZnak">
    <w:name w:val="Tytuł Znak"/>
    <w:basedOn w:val="Domylnaczcionkaakapitu"/>
    <w:link w:val="Tytu"/>
    <w:rsid w:val="00AB6715"/>
    <w:rPr>
      <w:rFonts w:ascii="Times New Roman" w:hAnsi="Times New Roman" w:cs="Times New Roman"/>
      <w:b/>
      <w:sz w:val="32"/>
      <w:szCs w:val="32"/>
    </w:rPr>
  </w:style>
  <w:style w:type="paragraph" w:customStyle="1" w:styleId="SupplementaryMaterial">
    <w:name w:val="Supplementary Material"/>
    <w:basedOn w:val="Tytu"/>
    <w:next w:val="Tytu"/>
    <w:qFormat/>
    <w:rsid w:val="0001436A"/>
    <w:pPr>
      <w:spacing w:after="120"/>
    </w:pPr>
    <w:rPr>
      <w:i/>
    </w:rPr>
  </w:style>
  <w:style w:type="character" w:customStyle="1" w:styleId="Nagwek6Znak">
    <w:name w:val="Nagłówek 6 Znak"/>
    <w:basedOn w:val="Domylnaczcionkaakapitu"/>
    <w:link w:val="Nagwek6"/>
    <w:uiPriority w:val="9"/>
    <w:semiHidden/>
    <w:rsid w:val="005A043A"/>
    <w:rPr>
      <w:rFonts w:ascii="Calibri" w:eastAsia="Calibri" w:hAnsi="Calibri" w:cs="Calibri"/>
      <w:b/>
      <w:sz w:val="20"/>
      <w:szCs w:val="20"/>
      <w:lang w:val="pl-PL" w:eastAsia="pl-PL"/>
    </w:rPr>
  </w:style>
  <w:style w:type="paragraph" w:customStyle="1" w:styleId="msonormal0">
    <w:name w:val="msonormal"/>
    <w:basedOn w:val="Normalny"/>
    <w:rsid w:val="005A043A"/>
    <w:pPr>
      <w:spacing w:before="100" w:beforeAutospacing="1" w:after="100" w:afterAutospacing="1"/>
    </w:pPr>
    <w:rPr>
      <w:rFonts w:eastAsia="Times New Roman" w:cs="Times New Roman"/>
      <w:szCs w:val="24"/>
      <w:lang w:val="pl-PL" w:eastAsia="pl-PL"/>
    </w:rPr>
  </w:style>
  <w:style w:type="paragraph" w:customStyle="1" w:styleId="xl67">
    <w:name w:val="xl67"/>
    <w:basedOn w:val="Normalny"/>
    <w:rsid w:val="005A04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Calibri" w:eastAsia="Times New Roman" w:hAnsi="Calibri" w:cs="Calibri"/>
      <w:b/>
      <w:bCs/>
      <w:sz w:val="20"/>
      <w:szCs w:val="20"/>
      <w:lang w:val="pl-PL" w:eastAsia="pl-PL"/>
    </w:rPr>
  </w:style>
  <w:style w:type="paragraph" w:customStyle="1" w:styleId="xl68">
    <w:name w:val="xl68"/>
    <w:basedOn w:val="Normalny"/>
    <w:rsid w:val="005A04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Calibri" w:eastAsia="Times New Roman" w:hAnsi="Calibri" w:cs="Calibri"/>
      <w:b/>
      <w:bCs/>
      <w:sz w:val="20"/>
      <w:szCs w:val="20"/>
      <w:lang w:val="pl-PL" w:eastAsia="pl-PL"/>
    </w:rPr>
  </w:style>
  <w:style w:type="paragraph" w:customStyle="1" w:styleId="xl69">
    <w:name w:val="xl69"/>
    <w:basedOn w:val="Normalny"/>
    <w:rsid w:val="005A04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Arial" w:eastAsia="Times New Roman" w:hAnsi="Arial" w:cs="Arial"/>
      <w:b/>
      <w:bCs/>
      <w:sz w:val="20"/>
      <w:szCs w:val="20"/>
      <w:lang w:val="pl-PL" w:eastAsia="pl-PL"/>
    </w:rPr>
  </w:style>
  <w:style w:type="paragraph" w:customStyle="1" w:styleId="xl70">
    <w:name w:val="xl70"/>
    <w:basedOn w:val="Normalny"/>
    <w:rsid w:val="005A043A"/>
    <w:pPr>
      <w:spacing w:before="100" w:beforeAutospacing="1" w:after="100" w:afterAutospacing="1"/>
    </w:pPr>
    <w:rPr>
      <w:rFonts w:ascii="Calibri" w:eastAsia="Times New Roman" w:hAnsi="Calibri" w:cs="Calibri"/>
      <w:sz w:val="20"/>
      <w:szCs w:val="20"/>
      <w:lang w:val="pl-PL" w:eastAsia="pl-PL"/>
    </w:rPr>
  </w:style>
  <w:style w:type="paragraph" w:customStyle="1" w:styleId="xl71">
    <w:name w:val="xl71"/>
    <w:basedOn w:val="Normalny"/>
    <w:rsid w:val="005A04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
      <w:bCs/>
      <w:sz w:val="20"/>
      <w:szCs w:val="20"/>
      <w:lang w:val="pl-PL" w:eastAsia="pl-PL"/>
    </w:rPr>
  </w:style>
  <w:style w:type="paragraph" w:customStyle="1" w:styleId="xl72">
    <w:name w:val="xl72"/>
    <w:basedOn w:val="Normalny"/>
    <w:rsid w:val="005A04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val="pl-PL" w:eastAsia="pl-PL"/>
    </w:rPr>
  </w:style>
  <w:style w:type="paragraph" w:customStyle="1" w:styleId="xl73">
    <w:name w:val="xl73"/>
    <w:basedOn w:val="Normalny"/>
    <w:rsid w:val="005A043A"/>
    <w:pPr>
      <w:spacing w:before="100" w:beforeAutospacing="1" w:after="100" w:afterAutospacing="1"/>
      <w:jc w:val="center"/>
    </w:pPr>
    <w:rPr>
      <w:rFonts w:ascii="Calibri" w:eastAsia="Times New Roman" w:hAnsi="Calibri" w:cs="Calibri"/>
      <w:sz w:val="20"/>
      <w:szCs w:val="20"/>
      <w:lang w:val="pl-PL" w:eastAsia="pl-PL"/>
    </w:rPr>
  </w:style>
  <w:style w:type="paragraph" w:customStyle="1" w:styleId="xl74">
    <w:name w:val="xl74"/>
    <w:basedOn w:val="Normalny"/>
    <w:rsid w:val="005A04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0"/>
      <w:szCs w:val="20"/>
      <w:lang w:val="pl-PL" w:eastAsia="pl-PL"/>
    </w:rPr>
  </w:style>
  <w:style w:type="paragraph" w:customStyle="1" w:styleId="xl75">
    <w:name w:val="xl75"/>
    <w:basedOn w:val="Normalny"/>
    <w:rsid w:val="005A04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val="pl-PL" w:eastAsia="pl-PL"/>
    </w:rPr>
  </w:style>
  <w:style w:type="paragraph" w:customStyle="1" w:styleId="xl76">
    <w:name w:val="xl76"/>
    <w:basedOn w:val="Normalny"/>
    <w:rsid w:val="005A04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val="pl-PL" w:eastAsia="pl-PL"/>
    </w:rPr>
  </w:style>
  <w:style w:type="paragraph" w:customStyle="1" w:styleId="MDPI31text">
    <w:name w:val="MDPI_3.1_text"/>
    <w:link w:val="MDPI31textZnak"/>
    <w:qFormat/>
    <w:rsid w:val="005A043A"/>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bidi="en-US"/>
    </w:rPr>
  </w:style>
  <w:style w:type="character" w:customStyle="1" w:styleId="MDPI31textZnak">
    <w:name w:val="MDPI_3.1_text Znak"/>
    <w:link w:val="MDPI31text"/>
    <w:rsid w:val="005A043A"/>
    <w:rPr>
      <w:rFonts w:ascii="Palatino Linotype" w:eastAsia="Times New Roman" w:hAnsi="Palatino Linotype" w:cs="Times New Roman"/>
      <w:color w:val="000000"/>
      <w:sz w:val="20"/>
      <w:lang w:eastAsia="de-DE" w:bidi="en-US"/>
    </w:rPr>
  </w:style>
  <w:style w:type="paragraph" w:customStyle="1" w:styleId="MDPI22heading2">
    <w:name w:val="MDPI_2.2_heading2"/>
    <w:qFormat/>
    <w:rsid w:val="005A043A"/>
    <w:pPr>
      <w:adjustRightInd w:val="0"/>
      <w:snapToGrid w:val="0"/>
      <w:spacing w:before="240" w:after="120" w:line="260" w:lineRule="atLeast"/>
      <w:outlineLvl w:val="1"/>
    </w:pPr>
    <w:rPr>
      <w:rFonts w:ascii="Palatino Linotype" w:eastAsia="Times New Roman" w:hAnsi="Palatino Linotype" w:cs="Times New Roman"/>
      <w:i/>
      <w:noProof/>
      <w:color w:val="000000"/>
      <w:sz w:val="20"/>
      <w:lang w:eastAsia="de-DE" w:bidi="en-US"/>
    </w:rPr>
  </w:style>
  <w:style w:type="character" w:customStyle="1" w:styleId="term">
    <w:name w:val="term"/>
    <w:basedOn w:val="Domylnaczcionkaakapitu"/>
    <w:rsid w:val="005A043A"/>
  </w:style>
  <w:style w:type="character" w:customStyle="1" w:styleId="hps">
    <w:name w:val="hps"/>
    <w:basedOn w:val="Domylnaczcionkaakapitu"/>
    <w:rsid w:val="005A043A"/>
  </w:style>
  <w:style w:type="paragraph" w:customStyle="1" w:styleId="MDPI51figurecaption">
    <w:name w:val="MDPI_5.1_figure_caption"/>
    <w:basedOn w:val="Normalny"/>
    <w:qFormat/>
    <w:rsid w:val="005A043A"/>
    <w:pPr>
      <w:adjustRightInd w:val="0"/>
      <w:snapToGrid w:val="0"/>
      <w:spacing w:line="260" w:lineRule="atLeast"/>
      <w:ind w:left="425" w:right="425"/>
      <w:jc w:val="both"/>
    </w:pPr>
    <w:rPr>
      <w:rFonts w:ascii="Palatino Linotype" w:eastAsia="Times New Roman" w:hAnsi="Palatino Linotype" w:cs="Times New Roman"/>
      <w:color w:val="000000"/>
      <w:sz w:val="18"/>
      <w:szCs w:val="20"/>
      <w:lang w:val="pl-PL" w:eastAsia="de-DE" w:bidi="en-US"/>
    </w:rPr>
  </w:style>
  <w:style w:type="paragraph" w:styleId="Poprawka">
    <w:name w:val="Revision"/>
    <w:hidden/>
    <w:uiPriority w:val="99"/>
    <w:semiHidden/>
    <w:rsid w:val="005A043A"/>
    <w:pPr>
      <w:spacing w:after="0" w:line="240" w:lineRule="auto"/>
    </w:pPr>
    <w:rPr>
      <w:rFonts w:ascii="Calibri" w:eastAsia="Calibri" w:hAnsi="Calibri" w:cs="Times New Roman"/>
    </w:rPr>
  </w:style>
  <w:style w:type="character" w:customStyle="1" w:styleId="apple-converted-space">
    <w:name w:val="apple-converted-space"/>
    <w:basedOn w:val="Domylnaczcionkaakapitu"/>
    <w:rsid w:val="005A043A"/>
  </w:style>
  <w:style w:type="character" w:customStyle="1" w:styleId="identifier">
    <w:name w:val="identifier"/>
    <w:basedOn w:val="Domylnaczcionkaakapitu"/>
    <w:rsid w:val="005A043A"/>
  </w:style>
  <w:style w:type="character" w:customStyle="1" w:styleId="id-label">
    <w:name w:val="id-label"/>
    <w:basedOn w:val="Domylnaczcionkaakapitu"/>
    <w:rsid w:val="005A043A"/>
  </w:style>
  <w:style w:type="paragraph" w:customStyle="1" w:styleId="p">
    <w:name w:val="p"/>
    <w:basedOn w:val="Normalny"/>
    <w:rsid w:val="005A043A"/>
    <w:pPr>
      <w:spacing w:before="100" w:beforeAutospacing="1" w:after="100" w:afterAutospacing="1"/>
    </w:pPr>
    <w:rPr>
      <w:rFonts w:eastAsia="Times New Roman" w:cs="Times New Roman"/>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67</Pages>
  <Words>47816</Words>
  <Characters>286902</Characters>
  <Application>Microsoft Office Word</Application>
  <DocSecurity>0</DocSecurity>
  <Lines>2390</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Skonieczna-Żydecka Karolina</cp:lastModifiedBy>
  <cp:revision>2</cp:revision>
  <cp:lastPrinted>2013-10-03T12:51:00Z</cp:lastPrinted>
  <dcterms:created xsi:type="dcterms:W3CDTF">2022-08-30T10:00:00Z</dcterms:created>
  <dcterms:modified xsi:type="dcterms:W3CDTF">2022-08-30T10:00:00Z</dcterms:modified>
</cp:coreProperties>
</file>