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 1 Age-adjusted Charlson Comorbidity Index (ACCI)</w:t>
      </w:r>
    </w:p>
    <w:tbl>
      <w:tblPr>
        <w:tblStyle w:val="3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2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Age-adjusted Charlson Comorbidity Index(ACCI)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7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points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67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One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point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for 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ach of the following diagnosis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yocardial infarction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(MI)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ongestive heart-failure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(CHF)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eripheral vascular disease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erebrovascular disease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(CVD)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ementia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hronic obstructive pulmonary disease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COPD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Connective tissue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 disease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(CTD)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Digestive ulcer disease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Diabetes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(ordinary type 1 point; 2 points with other organ damage)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7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Two points for each of the following diagnosis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Moderate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or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severe chronic kidney disease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Hemiplegic paralysis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eukaemia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④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Malignant lymphadenoma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Three points for each of the following diagnosis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① Liver disease (mild 1 point, moderate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or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severe 3 points)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Six points for each of the following diagnosis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Solid tumor (No transfer 2 points, transfer 6 points)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Acquired Immune Deficiency Syndrome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(Aids)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Age: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add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 point per 10 years over 40 years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&lt;50; 1 points 50-59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 points 60-69; 3 points 70-79; 4 points 80-89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ZjlmODcxYzMwMDU4ZjMyNzYxNDc4ZmFlZGRiN2IifQ=="/>
  </w:docVars>
  <w:rsids>
    <w:rsidRoot w:val="43405514"/>
    <w:rsid w:val="14477FE7"/>
    <w:rsid w:val="1F494278"/>
    <w:rsid w:val="239F090A"/>
    <w:rsid w:val="335861A1"/>
    <w:rsid w:val="37F87FD2"/>
    <w:rsid w:val="3A637294"/>
    <w:rsid w:val="43405514"/>
    <w:rsid w:val="4E7A6E65"/>
    <w:rsid w:val="64CF20F6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830</Characters>
  <Lines>0</Lines>
  <Paragraphs>0</Paragraphs>
  <TotalTime>2</TotalTime>
  <ScaleCrop>false</ScaleCrop>
  <LinksUpToDate>false</LinksUpToDate>
  <CharactersWithSpaces>955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2022-06-21T14:09:00Z</dcterms:created>
  <dc:creator>笔尖上的生命旋律</dc:creator>
  <cp:lastModifiedBy>笔尖上的生命旋律</cp:lastModifiedBy>
  <dcterms:modified xsi:type="dcterms:W3CDTF">2022-06-27T00:34:01Z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87FAAD41E53345C58C91EA13B1E0FC98</vt:lpwstr>
  </property>
</Properties>
</file>