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DB87" w14:textId="77777777" w:rsidR="00BD0108" w:rsidRPr="0017089F" w:rsidRDefault="00BD0108" w:rsidP="00BD0108">
      <w:pPr>
        <w:jc w:val="center"/>
        <w:rPr>
          <w:b/>
        </w:rPr>
      </w:pPr>
      <w:r w:rsidRPr="0017089F">
        <w:rPr>
          <w:b/>
        </w:rPr>
        <w:t>ONLINE SUPPLEMENT</w:t>
      </w:r>
    </w:p>
    <w:p w14:paraId="4227A933" w14:textId="77777777" w:rsidR="008744BB" w:rsidRPr="00AA100E" w:rsidRDefault="008744BB" w:rsidP="008744BB">
      <w:pPr>
        <w:spacing w:after="0"/>
      </w:pPr>
      <w:r>
        <w:t>Lesley Ann Saketkoo, MD, MPH</w:t>
      </w:r>
      <w:r>
        <w:rPr>
          <w:vertAlign w:val="superscript"/>
        </w:rPr>
        <w:t>1,2,3,4</w:t>
      </w:r>
      <w:r>
        <w:t xml:space="preserve">, Reuben </w:t>
      </w:r>
      <w:proofErr w:type="spellStart"/>
      <w:r>
        <w:t>Escorpizo</w:t>
      </w:r>
      <w:proofErr w:type="spellEnd"/>
      <w:r>
        <w:t>, PT, DPT, MSc</w:t>
      </w:r>
      <w:r>
        <w:rPr>
          <w:vertAlign w:val="superscript"/>
        </w:rPr>
        <w:t>5,6</w:t>
      </w:r>
      <w:r>
        <w:t xml:space="preserve">, Janos </w:t>
      </w:r>
      <w:proofErr w:type="spellStart"/>
      <w:r>
        <w:t>Varga</w:t>
      </w:r>
      <w:proofErr w:type="spellEnd"/>
      <w:r>
        <w:t>, MD, PhD</w:t>
      </w:r>
      <w:r>
        <w:rPr>
          <w:vertAlign w:val="superscript"/>
        </w:rPr>
        <w:t>7</w:t>
      </w:r>
      <w:r>
        <w:t>, Kevin J. Keen, PhD, PStat</w:t>
      </w:r>
      <w:r>
        <w:rPr>
          <w:vertAlign w:val="superscript"/>
        </w:rPr>
        <w:t>8,9</w:t>
      </w:r>
      <w:r>
        <w:t>, Kim Fligelstone</w:t>
      </w:r>
      <w:r>
        <w:rPr>
          <w:vertAlign w:val="superscript"/>
        </w:rPr>
        <w:t>10,11</w:t>
      </w:r>
      <w:r>
        <w:t>, Surinder S. Birring, MD</w:t>
      </w:r>
      <w:r>
        <w:rPr>
          <w:vertAlign w:val="superscript"/>
        </w:rPr>
        <w:t>12</w:t>
      </w:r>
      <w:r>
        <w:t>, Helene Alexanderson, PhD</w:t>
      </w:r>
      <w:r>
        <w:rPr>
          <w:vertAlign w:val="superscript"/>
        </w:rPr>
        <w:t>13,14</w:t>
      </w:r>
      <w:r>
        <w:t xml:space="preserve">; Henrik </w:t>
      </w:r>
      <w:proofErr w:type="spellStart"/>
      <w:r>
        <w:t>Petterson</w:t>
      </w:r>
      <w:proofErr w:type="spellEnd"/>
      <w:r>
        <w:t>, PhD</w:t>
      </w:r>
      <w:r>
        <w:rPr>
          <w:vertAlign w:val="superscript"/>
        </w:rPr>
        <w:t>13,14</w:t>
      </w:r>
      <w:r>
        <w:t>; Humza Ahmad Chaudhry</w:t>
      </w:r>
      <w:r>
        <w:rPr>
          <w:vertAlign w:val="superscript"/>
        </w:rPr>
        <w:t>1,2,3</w:t>
      </w:r>
      <w:r>
        <w:t>, Janet Poole, PhD</w:t>
      </w:r>
      <w:r>
        <w:rPr>
          <w:vertAlign w:val="superscript"/>
        </w:rPr>
        <w:t>15</w:t>
      </w:r>
      <w:r>
        <w:t>; Malin Regardt, PhD;</w:t>
      </w:r>
      <w:r w:rsidRPr="00FF32E3">
        <w:rPr>
          <w:vertAlign w:val="superscript"/>
        </w:rPr>
        <w:t xml:space="preserve"> </w:t>
      </w:r>
      <w:r>
        <w:rPr>
          <w:vertAlign w:val="superscript"/>
        </w:rPr>
        <w:t>13,14</w:t>
      </w:r>
      <w:r>
        <w:t xml:space="preserve">  Daphne LeSage</w:t>
      </w:r>
      <w:r>
        <w:rPr>
          <w:vertAlign w:val="superscript"/>
        </w:rPr>
        <w:t>16</w:t>
      </w:r>
      <w:r>
        <w:t>, Catherine Sarver</w:t>
      </w:r>
      <w:r>
        <w:rPr>
          <w:vertAlign w:val="superscript"/>
        </w:rPr>
        <w:t>17</w:t>
      </w:r>
      <w:r>
        <w:t xml:space="preserve">; </w:t>
      </w:r>
      <w:r w:rsidRPr="00207CDD">
        <w:t xml:space="preserve">Joseph </w:t>
      </w:r>
      <w:proofErr w:type="spellStart"/>
      <w:r w:rsidRPr="00207CDD">
        <w:t>Lanario</w:t>
      </w:r>
      <w:proofErr w:type="spellEnd"/>
      <w:r>
        <w:t>,</w:t>
      </w:r>
      <w:r w:rsidRPr="00207CDD">
        <w:t xml:space="preserve"> MSc</w:t>
      </w:r>
      <w:r>
        <w:t>,</w:t>
      </w:r>
      <w:r w:rsidRPr="00207CDD">
        <w:t xml:space="preserve"> BSc</w:t>
      </w:r>
      <w:r>
        <w:rPr>
          <w:vertAlign w:val="superscript"/>
        </w:rPr>
        <w:t>18</w:t>
      </w:r>
      <w:r>
        <w:t>;</w:t>
      </w:r>
      <w:r w:rsidRPr="00207CDD">
        <w:t xml:space="preserve"> </w:t>
      </w:r>
      <w:r>
        <w:t xml:space="preserve">Elisabetta </w:t>
      </w:r>
      <w:proofErr w:type="spellStart"/>
      <w:r>
        <w:t>Renzoni</w:t>
      </w:r>
      <w:proofErr w:type="spellEnd"/>
      <w:r>
        <w:t>, MD</w:t>
      </w:r>
      <w:r>
        <w:rPr>
          <w:vertAlign w:val="superscript"/>
        </w:rPr>
        <w:t>19</w:t>
      </w:r>
      <w:r>
        <w:t xml:space="preserve">, Mary Beth </w:t>
      </w:r>
      <w:proofErr w:type="spellStart"/>
      <w:r>
        <w:t>Scholand</w:t>
      </w:r>
      <w:proofErr w:type="spellEnd"/>
      <w:r>
        <w:t>, MD</w:t>
      </w:r>
      <w:r>
        <w:rPr>
          <w:vertAlign w:val="superscript"/>
        </w:rPr>
        <w:t>20</w:t>
      </w:r>
      <w:r>
        <w:t>,  Matthew R. Lammi, MD</w:t>
      </w:r>
      <w:r>
        <w:rPr>
          <w:vertAlign w:val="superscript"/>
        </w:rPr>
        <w:t>1,2,4</w:t>
      </w:r>
      <w:r>
        <w:t xml:space="preserve">, </w:t>
      </w:r>
      <w:proofErr w:type="spellStart"/>
      <w:r>
        <w:t>Otylia</w:t>
      </w:r>
      <w:proofErr w:type="spellEnd"/>
      <w:r>
        <w:t xml:space="preserve"> Kowal-</w:t>
      </w:r>
      <w:proofErr w:type="spellStart"/>
      <w:r>
        <w:t>Bielecka</w:t>
      </w:r>
      <w:proofErr w:type="spellEnd"/>
      <w:r>
        <w:t>, MD</w:t>
      </w:r>
      <w:r>
        <w:rPr>
          <w:vertAlign w:val="superscript"/>
        </w:rPr>
        <w:t>21</w:t>
      </w:r>
      <w:r>
        <w:t>, Oliver Distler, MD</w:t>
      </w:r>
      <w:r>
        <w:rPr>
          <w:vertAlign w:val="superscript"/>
        </w:rPr>
        <w:t>22</w:t>
      </w:r>
      <w:r>
        <w:t>,  Tracy Frech, MD, MPH</w:t>
      </w:r>
      <w:r>
        <w:rPr>
          <w:vertAlign w:val="superscript"/>
        </w:rPr>
        <w:t>23,24</w:t>
      </w:r>
      <w:r>
        <w:t>; Lee Shapiro, MD</w:t>
      </w:r>
      <w:r>
        <w:rPr>
          <w:vertAlign w:val="superscript"/>
        </w:rPr>
        <w:t>25,26</w:t>
      </w:r>
      <w:r>
        <w:t xml:space="preserve">; Cecilia </w:t>
      </w:r>
      <w:proofErr w:type="spellStart"/>
      <w:r>
        <w:t>Varju</w:t>
      </w:r>
      <w:proofErr w:type="spellEnd"/>
      <w:r>
        <w:t>’,MD, PhD</w:t>
      </w:r>
      <w:r>
        <w:rPr>
          <w:vertAlign w:val="superscript"/>
        </w:rPr>
        <w:t>27</w:t>
      </w:r>
      <w:r>
        <w:t>;  Elizabeth R. Volkmann, MD</w:t>
      </w:r>
      <w:r>
        <w:rPr>
          <w:vertAlign w:val="superscript"/>
        </w:rPr>
        <w:t>28</w:t>
      </w:r>
      <w:r>
        <w:t>; Elana J. Bernstein, MD, MS</w:t>
      </w:r>
      <w:r>
        <w:rPr>
          <w:vertAlign w:val="superscript"/>
        </w:rPr>
        <w:t>29</w:t>
      </w:r>
      <w:r>
        <w:t xml:space="preserve">; </w:t>
      </w:r>
      <w:proofErr w:type="spellStart"/>
      <w:r>
        <w:t>Marjolein</w:t>
      </w:r>
      <w:proofErr w:type="spellEnd"/>
      <w:r>
        <w:t xml:space="preserve"> </w:t>
      </w:r>
      <w:proofErr w:type="spellStart"/>
      <w:r>
        <w:t>Drent</w:t>
      </w:r>
      <w:proofErr w:type="spellEnd"/>
      <w:r>
        <w:t>, MD, PhD</w:t>
      </w:r>
      <w:r>
        <w:rPr>
          <w:vertAlign w:val="superscript"/>
        </w:rPr>
        <w:t>30,31</w:t>
      </w:r>
      <w:r>
        <w:t xml:space="preserve">; </w:t>
      </w:r>
      <w:proofErr w:type="spellStart"/>
      <w:r>
        <w:t>Ogugua</w:t>
      </w:r>
      <w:proofErr w:type="spellEnd"/>
      <w:r>
        <w:t xml:space="preserve"> </w:t>
      </w:r>
      <w:proofErr w:type="spellStart"/>
      <w:r>
        <w:t>Ndili</w:t>
      </w:r>
      <w:proofErr w:type="spellEnd"/>
      <w:r>
        <w:t xml:space="preserve"> Obi, MD, MPH</w:t>
      </w:r>
      <w:r>
        <w:rPr>
          <w:rFonts w:asciiTheme="minorHAnsi" w:hAnsiTheme="minorHAnsi" w:cstheme="minorHAnsi"/>
          <w:bCs/>
          <w:vertAlign w:val="superscript"/>
        </w:rPr>
        <w:t>32</w:t>
      </w:r>
      <w:r>
        <w:t>; Karen Patterson, MD</w:t>
      </w:r>
      <w:r>
        <w:rPr>
          <w:rFonts w:asciiTheme="minorHAnsi" w:hAnsiTheme="minorHAnsi" w:cstheme="minorHAnsi"/>
          <w:bCs/>
          <w:vertAlign w:val="superscript"/>
        </w:rPr>
        <w:t>33,34</w:t>
      </w:r>
      <w:r>
        <w:t>; Anne-Marie Russell, RN, PhD</w:t>
      </w:r>
      <w:r>
        <w:rPr>
          <w:vertAlign w:val="superscript"/>
        </w:rPr>
        <w:t>35,36</w:t>
      </w:r>
      <w:r>
        <w:t xml:space="preserve">; </w:t>
      </w:r>
      <w:r w:rsidRPr="006144F2">
        <w:rPr>
          <w:i/>
          <w:iCs/>
        </w:rPr>
        <w:t>In collaboration with The Global Fellowship on Rehabilitation and Exercise in Systemic Sclerosis (G-</w:t>
      </w:r>
      <w:proofErr w:type="spellStart"/>
      <w:r w:rsidRPr="006144F2">
        <w:rPr>
          <w:i/>
          <w:iCs/>
        </w:rPr>
        <w:t>FoRSS</w:t>
      </w:r>
      <w:proofErr w:type="spellEnd"/>
      <w:r w:rsidRPr="006144F2">
        <w:rPr>
          <w:i/>
          <w:iCs/>
        </w:rPr>
        <w:t>)</w:t>
      </w:r>
    </w:p>
    <w:p w14:paraId="0692E8B1" w14:textId="77777777" w:rsidR="008744BB" w:rsidRDefault="008744BB" w:rsidP="008744BB">
      <w:pPr>
        <w:spacing w:after="0"/>
      </w:pPr>
      <w:r>
        <w:t xml:space="preserve"> </w:t>
      </w:r>
    </w:p>
    <w:p w14:paraId="4CF575A3" w14:textId="77777777" w:rsidR="008744BB" w:rsidRDefault="008744BB" w:rsidP="008744BB">
      <w:pPr>
        <w:spacing w:after="0"/>
        <w:rPr>
          <w:bCs/>
        </w:rPr>
      </w:pPr>
      <w:r>
        <w:rPr>
          <w:bCs/>
          <w:vertAlign w:val="superscript"/>
        </w:rPr>
        <w:t>1</w:t>
      </w:r>
      <w:r>
        <w:rPr>
          <w:bCs/>
        </w:rPr>
        <w:t xml:space="preserve">New Orleans Scleroderma and Sarcoidosis Patient Care and Research </w:t>
      </w:r>
      <w:proofErr w:type="gramStart"/>
      <w:r>
        <w:rPr>
          <w:bCs/>
        </w:rPr>
        <w:t>Center;</w:t>
      </w:r>
      <w:proofErr w:type="gramEnd"/>
    </w:p>
    <w:p w14:paraId="7FAED5E9" w14:textId="77777777" w:rsidR="008744BB" w:rsidRDefault="008744BB" w:rsidP="008744BB">
      <w:pPr>
        <w:spacing w:after="0"/>
        <w:rPr>
          <w:bCs/>
        </w:rPr>
      </w:pPr>
      <w:r>
        <w:rPr>
          <w:bCs/>
          <w:vertAlign w:val="superscript"/>
        </w:rPr>
        <w:t>2</w:t>
      </w:r>
      <w:r>
        <w:rPr>
          <w:bCs/>
        </w:rPr>
        <w:t>University Medical Center – Comprehensive Pulmonary Hypertension Center &amp; Interstitial Lung Disease Clinic Programs, New Orleans, LA, USA</w:t>
      </w:r>
    </w:p>
    <w:p w14:paraId="71515AD4" w14:textId="77777777" w:rsidR="008744BB" w:rsidRDefault="008744BB" w:rsidP="008744BB">
      <w:pPr>
        <w:spacing w:after="0"/>
        <w:rPr>
          <w:bCs/>
        </w:rPr>
      </w:pPr>
      <w:r>
        <w:rPr>
          <w:bCs/>
          <w:vertAlign w:val="superscript"/>
        </w:rPr>
        <w:t>3</w:t>
      </w:r>
      <w:r>
        <w:rPr>
          <w:bCs/>
        </w:rPr>
        <w:t xml:space="preserve">Tulane </w:t>
      </w:r>
      <w:r>
        <w:rPr>
          <w:rFonts w:cs="Arial"/>
        </w:rPr>
        <w:t>University School of Medicine, New Orleans, LA, USA</w:t>
      </w:r>
    </w:p>
    <w:p w14:paraId="59167BB6" w14:textId="77777777" w:rsidR="008744BB" w:rsidRPr="004D48FC" w:rsidRDefault="008744BB" w:rsidP="008744BB">
      <w:pPr>
        <w:spacing w:after="0"/>
        <w:rPr>
          <w:bCs/>
          <w:vertAlign w:val="superscript"/>
        </w:rPr>
      </w:pPr>
      <w:r>
        <w:rPr>
          <w:bCs/>
          <w:vertAlign w:val="superscript"/>
        </w:rPr>
        <w:t>4</w:t>
      </w:r>
      <w:r w:rsidRPr="004328BD">
        <w:rPr>
          <w:bCs/>
        </w:rPr>
        <w:t>Louisiana State University</w:t>
      </w:r>
      <w:r>
        <w:rPr>
          <w:bCs/>
        </w:rPr>
        <w:t xml:space="preserve"> Health Sciences Center, Division of Pulmonary Medicine – New Orleans</w:t>
      </w:r>
      <w:r w:rsidRPr="004328BD">
        <w:rPr>
          <w:bCs/>
        </w:rPr>
        <w:t>,</w:t>
      </w:r>
      <w:r>
        <w:rPr>
          <w:bCs/>
        </w:rPr>
        <w:t xml:space="preserve"> LA, </w:t>
      </w:r>
      <w:proofErr w:type="gramStart"/>
      <w:r>
        <w:rPr>
          <w:bCs/>
        </w:rPr>
        <w:t>USA;</w:t>
      </w:r>
      <w:proofErr w:type="gramEnd"/>
      <w:r w:rsidRPr="00ED6276">
        <w:rPr>
          <w:bCs/>
          <w:vertAlign w:val="superscript"/>
        </w:rPr>
        <w:t xml:space="preserve"> </w:t>
      </w:r>
    </w:p>
    <w:p w14:paraId="4E94E955" w14:textId="77777777" w:rsidR="008744BB" w:rsidRDefault="008744BB" w:rsidP="008744BB">
      <w:pPr>
        <w:spacing w:after="0"/>
        <w:rPr>
          <w:bCs/>
        </w:rPr>
      </w:pPr>
      <w:r>
        <w:rPr>
          <w:bCs/>
          <w:vertAlign w:val="superscript"/>
        </w:rPr>
        <w:t>5</w:t>
      </w:r>
      <w:r>
        <w:rPr>
          <w:bCs/>
        </w:rPr>
        <w:t xml:space="preserve">Department of Rehabilitation and Movement Science, The University of Vermont, Burlington, VT, </w:t>
      </w:r>
      <w:proofErr w:type="gramStart"/>
      <w:r>
        <w:rPr>
          <w:bCs/>
        </w:rPr>
        <w:t>USA;</w:t>
      </w:r>
      <w:proofErr w:type="gramEnd"/>
    </w:p>
    <w:p w14:paraId="41C83127" w14:textId="77777777" w:rsidR="008744BB" w:rsidRDefault="008744BB" w:rsidP="008744BB">
      <w:pPr>
        <w:spacing w:after="0"/>
        <w:rPr>
          <w:bCs/>
        </w:rPr>
      </w:pPr>
      <w:r>
        <w:rPr>
          <w:bCs/>
          <w:vertAlign w:val="superscript"/>
        </w:rPr>
        <w:t>6</w:t>
      </w:r>
      <w:r>
        <w:rPr>
          <w:bCs/>
        </w:rPr>
        <w:t xml:space="preserve">Swiss Paraplegic Research, </w:t>
      </w:r>
      <w:proofErr w:type="spellStart"/>
      <w:r w:rsidRPr="004508F3">
        <w:rPr>
          <w:bCs/>
        </w:rPr>
        <w:t>Nottwil</w:t>
      </w:r>
      <w:proofErr w:type="spellEnd"/>
      <w:r w:rsidRPr="004508F3">
        <w:rPr>
          <w:bCs/>
        </w:rPr>
        <w:t xml:space="preserve">, </w:t>
      </w:r>
      <w:proofErr w:type="gramStart"/>
      <w:r w:rsidRPr="004508F3">
        <w:rPr>
          <w:bCs/>
        </w:rPr>
        <w:t>Switzerland</w:t>
      </w:r>
      <w:r w:rsidRPr="00B85022">
        <w:rPr>
          <w:bCs/>
        </w:rPr>
        <w:t>;</w:t>
      </w:r>
      <w:proofErr w:type="gramEnd"/>
      <w:r w:rsidRPr="00B85022">
        <w:rPr>
          <w:bCs/>
        </w:rPr>
        <w:t xml:space="preserve"> </w:t>
      </w:r>
    </w:p>
    <w:p w14:paraId="381285C0" w14:textId="77777777" w:rsidR="008744BB" w:rsidRDefault="008744BB" w:rsidP="008744BB">
      <w:pPr>
        <w:spacing w:after="0"/>
        <w:rPr>
          <w:bCs/>
        </w:rPr>
      </w:pPr>
      <w:r>
        <w:rPr>
          <w:bCs/>
          <w:vertAlign w:val="superscript"/>
        </w:rPr>
        <w:t>7</w:t>
      </w:r>
      <w:r w:rsidRPr="00087A24">
        <w:rPr>
          <w:bCs/>
        </w:rPr>
        <w:t>Department of Pulmonology, Semmelweis University, Budapest, Hungary</w:t>
      </w:r>
    </w:p>
    <w:p w14:paraId="39A1F5C3" w14:textId="77777777" w:rsidR="008744BB" w:rsidRDefault="008744BB" w:rsidP="008744BB">
      <w:pPr>
        <w:spacing w:after="0"/>
        <w:rPr>
          <w:bCs/>
        </w:rPr>
      </w:pPr>
      <w:r>
        <w:rPr>
          <w:bCs/>
          <w:vertAlign w:val="superscript"/>
        </w:rPr>
        <w:t>8</w:t>
      </w:r>
      <w:r w:rsidRPr="00B85022">
        <w:rPr>
          <w:bCs/>
        </w:rPr>
        <w:t>Departmen</w:t>
      </w:r>
      <w:r>
        <w:rPr>
          <w:bCs/>
        </w:rPr>
        <w:t>t of Mathematics and Statistics &amp; the</w:t>
      </w:r>
      <w:r w:rsidRPr="00B85022">
        <w:rPr>
          <w:bCs/>
        </w:rPr>
        <w:t xml:space="preserve"> </w:t>
      </w:r>
      <w:r>
        <w:rPr>
          <w:bCs/>
          <w:vertAlign w:val="superscript"/>
        </w:rPr>
        <w:t>9</w:t>
      </w:r>
      <w:r>
        <w:rPr>
          <w:bCs/>
        </w:rPr>
        <w:t>Health Research Institute</w:t>
      </w:r>
      <w:r w:rsidRPr="00B85022">
        <w:rPr>
          <w:bCs/>
        </w:rPr>
        <w:t xml:space="preserve"> University of Northern British Columbia,</w:t>
      </w:r>
      <w:r>
        <w:rPr>
          <w:bCs/>
        </w:rPr>
        <w:t xml:space="preserve"> Prince George,</w:t>
      </w:r>
      <w:r w:rsidRPr="00B85022">
        <w:rPr>
          <w:bCs/>
        </w:rPr>
        <w:t xml:space="preserve"> </w:t>
      </w:r>
      <w:proofErr w:type="gramStart"/>
      <w:r w:rsidRPr="00B85022">
        <w:rPr>
          <w:bCs/>
        </w:rPr>
        <w:t>Canada;</w:t>
      </w:r>
      <w:proofErr w:type="gramEnd"/>
    </w:p>
    <w:p w14:paraId="155DF99B" w14:textId="77777777" w:rsidR="008744BB" w:rsidRPr="00960375" w:rsidRDefault="008744BB" w:rsidP="008744BB">
      <w:pPr>
        <w:spacing w:after="0"/>
        <w:rPr>
          <w:bCs/>
        </w:rPr>
      </w:pPr>
      <w:r>
        <w:rPr>
          <w:bCs/>
          <w:vertAlign w:val="superscript"/>
        </w:rPr>
        <w:t>9</w:t>
      </w:r>
      <w:r w:rsidRPr="002538AD">
        <w:rPr>
          <w:bCs/>
        </w:rPr>
        <w:t>Department of Medicine, University of British</w:t>
      </w:r>
      <w:r>
        <w:rPr>
          <w:bCs/>
        </w:rPr>
        <w:t xml:space="preserve"> </w:t>
      </w:r>
      <w:r w:rsidRPr="002538AD">
        <w:rPr>
          <w:bCs/>
        </w:rPr>
        <w:t>Columbia &amp;</w:t>
      </w:r>
      <w:r>
        <w:rPr>
          <w:bCs/>
        </w:rPr>
        <w:t xml:space="preserve"> </w:t>
      </w:r>
      <w:r w:rsidRPr="002538AD">
        <w:rPr>
          <w:bCs/>
        </w:rPr>
        <w:t xml:space="preserve">Centre for Heart Lung Innovation, Providence Research, Vancouver, </w:t>
      </w:r>
      <w:proofErr w:type="gramStart"/>
      <w:r w:rsidRPr="002538AD">
        <w:rPr>
          <w:bCs/>
        </w:rPr>
        <w:t>Canada;</w:t>
      </w:r>
      <w:proofErr w:type="gramEnd"/>
    </w:p>
    <w:p w14:paraId="513D78E3" w14:textId="77777777" w:rsidR="008744BB" w:rsidRPr="000F2879" w:rsidRDefault="008744BB" w:rsidP="008744BB">
      <w:pPr>
        <w:spacing w:after="120" w:line="240" w:lineRule="auto"/>
        <w:rPr>
          <w:rFonts w:asciiTheme="minorHAnsi" w:eastAsiaTheme="minorHAnsi" w:hAnsiTheme="minorHAnsi" w:cstheme="minorHAnsi"/>
          <w:bCs/>
          <w:vertAlign w:val="superscript"/>
        </w:rPr>
      </w:pPr>
      <w:r w:rsidRPr="000F2879">
        <w:rPr>
          <w:rFonts w:asciiTheme="minorHAnsi" w:hAnsiTheme="minorHAnsi" w:cstheme="minorHAnsi"/>
          <w:bCs/>
          <w:vertAlign w:val="superscript"/>
        </w:rPr>
        <w:t>10</w:t>
      </w:r>
      <w:r w:rsidRPr="000F2879">
        <w:rPr>
          <w:rFonts w:asciiTheme="minorHAnsi" w:hAnsiTheme="minorHAnsi" w:cstheme="minorHAnsi"/>
          <w:bCs/>
        </w:rPr>
        <w:t>Patient Research Partner Scleroderma &amp; Raynaud Society, UK (SRUK) and Federation of European Scleroderma Associations, UK</w:t>
      </w:r>
    </w:p>
    <w:p w14:paraId="3E53848A" w14:textId="77777777" w:rsidR="008744BB" w:rsidRPr="000F2879" w:rsidRDefault="008744BB" w:rsidP="008744BB">
      <w:pPr>
        <w:spacing w:after="120" w:line="240" w:lineRule="auto"/>
        <w:rPr>
          <w:rFonts w:asciiTheme="minorHAnsi" w:eastAsiaTheme="minorHAnsi" w:hAnsiTheme="minorHAnsi" w:cstheme="minorHAnsi"/>
          <w:bCs/>
          <w:vertAlign w:val="superscript"/>
        </w:rPr>
      </w:pPr>
      <w:r w:rsidRPr="000F2879">
        <w:rPr>
          <w:rFonts w:asciiTheme="minorHAnsi" w:hAnsiTheme="minorHAnsi" w:cstheme="minorHAnsi"/>
          <w:bCs/>
          <w:vertAlign w:val="superscript"/>
        </w:rPr>
        <w:t>11</w:t>
      </w:r>
      <w:r w:rsidRPr="000F2879">
        <w:rPr>
          <w:rFonts w:asciiTheme="minorHAnsi" w:hAnsiTheme="minorHAnsi" w:cstheme="minorHAnsi"/>
          <w:bCs/>
        </w:rPr>
        <w:t xml:space="preserve">Royal Free Hospital Scleroderma Unit, London, </w:t>
      </w:r>
      <w:proofErr w:type="gramStart"/>
      <w:r w:rsidRPr="000F2879">
        <w:rPr>
          <w:rFonts w:asciiTheme="minorHAnsi" w:hAnsiTheme="minorHAnsi" w:cstheme="minorHAnsi"/>
          <w:bCs/>
        </w:rPr>
        <w:t>UK;</w:t>
      </w:r>
      <w:proofErr w:type="gramEnd"/>
    </w:p>
    <w:p w14:paraId="25108770" w14:textId="77777777" w:rsidR="008744BB" w:rsidRPr="000F2879" w:rsidRDefault="008744BB" w:rsidP="008744BB">
      <w:pPr>
        <w:spacing w:after="120" w:line="240" w:lineRule="auto"/>
        <w:rPr>
          <w:rFonts w:asciiTheme="minorHAnsi" w:eastAsia="Arial Unicode MS" w:hAnsiTheme="minorHAnsi" w:cstheme="minorHAnsi"/>
          <w:szCs w:val="20"/>
        </w:rPr>
      </w:pPr>
      <w:r w:rsidRPr="000F2879">
        <w:rPr>
          <w:rFonts w:asciiTheme="minorHAnsi" w:hAnsiTheme="minorHAnsi" w:cstheme="minorHAnsi"/>
          <w:bCs/>
          <w:vertAlign w:val="superscript"/>
        </w:rPr>
        <w:t>12</w:t>
      </w:r>
      <w:r w:rsidRPr="000F2879">
        <w:rPr>
          <w:rFonts w:asciiTheme="minorHAnsi" w:eastAsia="Arial Unicode MS" w:hAnsiTheme="minorHAnsi" w:cstheme="minorHAnsi"/>
          <w:szCs w:val="20"/>
        </w:rPr>
        <w:t>Division of Asthma, Allergy and Lung Biology, King’s College London, London, United Kingdom,</w:t>
      </w:r>
    </w:p>
    <w:p w14:paraId="06289D59" w14:textId="77777777" w:rsidR="008744BB" w:rsidRPr="000F2879" w:rsidRDefault="008744BB" w:rsidP="008744BB">
      <w:pPr>
        <w:spacing w:after="120" w:line="240" w:lineRule="auto"/>
        <w:rPr>
          <w:rFonts w:asciiTheme="minorHAnsi" w:eastAsia="Arial Unicode MS" w:hAnsiTheme="minorHAnsi" w:cstheme="minorHAnsi"/>
          <w:szCs w:val="20"/>
        </w:rPr>
      </w:pPr>
      <w:r>
        <w:rPr>
          <w:rFonts w:asciiTheme="minorHAnsi" w:hAnsiTheme="minorHAnsi" w:cstheme="minorHAnsi"/>
          <w:bCs/>
          <w:vertAlign w:val="superscript"/>
        </w:rPr>
        <w:t>13</w:t>
      </w:r>
      <w:r w:rsidRPr="000F2879">
        <w:rPr>
          <w:rFonts w:asciiTheme="minorHAnsi" w:eastAsia="Arial Unicode MS" w:hAnsiTheme="minorHAnsi" w:cstheme="minorHAnsi"/>
          <w:szCs w:val="20"/>
        </w:rPr>
        <w:t>Women’s Health and Allied Health Professionals, Medical Unit Occupational Therapy and Physiotherapy, Karolinska University Hospital, Stockholm, Sweden</w:t>
      </w:r>
    </w:p>
    <w:p w14:paraId="5F2901A6" w14:textId="77777777" w:rsidR="008744BB" w:rsidRPr="000F2879" w:rsidRDefault="008744BB" w:rsidP="008744BB">
      <w:pPr>
        <w:spacing w:after="120" w:line="240" w:lineRule="auto"/>
        <w:rPr>
          <w:rFonts w:asciiTheme="minorHAnsi" w:eastAsia="Arial Unicode MS" w:hAnsiTheme="minorHAnsi" w:cstheme="minorHAnsi"/>
          <w:szCs w:val="20"/>
        </w:rPr>
      </w:pPr>
      <w:r>
        <w:rPr>
          <w:rFonts w:asciiTheme="minorHAnsi" w:hAnsiTheme="minorHAnsi" w:cstheme="minorHAnsi"/>
          <w:bCs/>
          <w:vertAlign w:val="superscript"/>
        </w:rPr>
        <w:t>14</w:t>
      </w:r>
      <w:r w:rsidRPr="000F2879">
        <w:rPr>
          <w:rFonts w:asciiTheme="minorHAnsi" w:eastAsia="Arial Unicode MS" w:hAnsiTheme="minorHAnsi" w:cstheme="minorHAnsi"/>
          <w:szCs w:val="20"/>
        </w:rPr>
        <w:t xml:space="preserve">Division of Rheumatology, Department of </w:t>
      </w:r>
      <w:proofErr w:type="spellStart"/>
      <w:r w:rsidRPr="000F2879">
        <w:rPr>
          <w:rFonts w:asciiTheme="minorHAnsi" w:eastAsia="Arial Unicode MS" w:hAnsiTheme="minorHAnsi" w:cstheme="minorHAnsi"/>
          <w:szCs w:val="20"/>
        </w:rPr>
        <w:t>Medicin</w:t>
      </w:r>
      <w:proofErr w:type="spellEnd"/>
      <w:r w:rsidRPr="000F2879">
        <w:rPr>
          <w:rFonts w:asciiTheme="minorHAnsi" w:eastAsia="Arial Unicode MS" w:hAnsiTheme="minorHAnsi" w:cstheme="minorHAnsi"/>
          <w:szCs w:val="20"/>
        </w:rPr>
        <w:t xml:space="preserve">, Solna, Karolinska </w:t>
      </w:r>
      <w:proofErr w:type="spellStart"/>
      <w:r w:rsidRPr="000F2879">
        <w:rPr>
          <w:rFonts w:asciiTheme="minorHAnsi" w:eastAsia="Arial Unicode MS" w:hAnsiTheme="minorHAnsi" w:cstheme="minorHAnsi"/>
          <w:szCs w:val="20"/>
        </w:rPr>
        <w:t>Institutet</w:t>
      </w:r>
      <w:proofErr w:type="spellEnd"/>
      <w:r w:rsidRPr="000F2879">
        <w:rPr>
          <w:rFonts w:asciiTheme="minorHAnsi" w:eastAsia="Arial Unicode MS" w:hAnsiTheme="minorHAnsi" w:cstheme="minorHAnsi"/>
          <w:szCs w:val="20"/>
        </w:rPr>
        <w:t>, Stockholm, Sweden</w:t>
      </w:r>
    </w:p>
    <w:p w14:paraId="43311E7D" w14:textId="77777777" w:rsidR="008744BB" w:rsidRPr="000F2879" w:rsidRDefault="008744BB" w:rsidP="008744BB">
      <w:pPr>
        <w:spacing w:after="120" w:line="240" w:lineRule="auto"/>
        <w:rPr>
          <w:rFonts w:asciiTheme="minorHAnsi" w:eastAsia="Arial Unicode MS" w:hAnsiTheme="minorHAnsi" w:cstheme="minorHAnsi"/>
          <w:szCs w:val="20"/>
        </w:rPr>
      </w:pPr>
    </w:p>
    <w:p w14:paraId="4E6B6B70" w14:textId="77777777" w:rsidR="008744BB" w:rsidRPr="009535B5" w:rsidRDefault="008744BB" w:rsidP="008744BB">
      <w:pPr>
        <w:spacing w:after="120" w:line="240" w:lineRule="auto"/>
        <w:rPr>
          <w:rFonts w:asciiTheme="minorHAnsi" w:hAnsiTheme="minorHAnsi" w:cstheme="minorHAnsi"/>
          <w:bCs/>
        </w:rPr>
      </w:pPr>
      <w:r>
        <w:rPr>
          <w:rFonts w:asciiTheme="minorHAnsi" w:hAnsiTheme="minorHAnsi" w:cstheme="minorHAnsi"/>
          <w:bCs/>
          <w:vertAlign w:val="superscript"/>
        </w:rPr>
        <w:t>15</w:t>
      </w:r>
      <w:r w:rsidRPr="000F2879">
        <w:rPr>
          <w:rFonts w:asciiTheme="minorHAnsi" w:hAnsiTheme="minorHAnsi" w:cstheme="minorHAnsi"/>
          <w:bCs/>
        </w:rPr>
        <w:t>Occupational Therapy Graduate Program, University of New Mexico, Albuquerque, NM, USA</w:t>
      </w:r>
    </w:p>
    <w:p w14:paraId="0A059337" w14:textId="77777777" w:rsidR="008744BB" w:rsidRPr="000F2879" w:rsidRDefault="008744BB" w:rsidP="008744BB">
      <w:pPr>
        <w:spacing w:after="120" w:line="240" w:lineRule="auto"/>
        <w:rPr>
          <w:rFonts w:asciiTheme="minorHAnsi" w:hAnsiTheme="minorHAnsi" w:cstheme="minorHAnsi"/>
          <w:bCs/>
        </w:rPr>
      </w:pPr>
      <w:r w:rsidRPr="000F2879">
        <w:rPr>
          <w:rFonts w:asciiTheme="minorHAnsi" w:hAnsiTheme="minorHAnsi" w:cstheme="minorHAnsi"/>
          <w:bCs/>
          <w:vertAlign w:val="superscript"/>
        </w:rPr>
        <w:t>1</w:t>
      </w:r>
      <w:r>
        <w:rPr>
          <w:rFonts w:asciiTheme="minorHAnsi" w:hAnsiTheme="minorHAnsi" w:cstheme="minorHAnsi"/>
          <w:bCs/>
          <w:vertAlign w:val="superscript"/>
        </w:rPr>
        <w:t>6</w:t>
      </w:r>
      <w:r w:rsidRPr="000F2879">
        <w:rPr>
          <w:rFonts w:asciiTheme="minorHAnsi" w:hAnsiTheme="minorHAnsi" w:cstheme="minorHAnsi"/>
          <w:bCs/>
        </w:rPr>
        <w:t xml:space="preserve">Patient Research Partner, New Orleans, </w:t>
      </w:r>
      <w:proofErr w:type="gramStart"/>
      <w:r w:rsidRPr="000F2879">
        <w:rPr>
          <w:rFonts w:asciiTheme="minorHAnsi" w:hAnsiTheme="minorHAnsi" w:cstheme="minorHAnsi"/>
          <w:bCs/>
        </w:rPr>
        <w:t>USA;</w:t>
      </w:r>
      <w:proofErr w:type="gramEnd"/>
      <w:r w:rsidRPr="000F2879">
        <w:rPr>
          <w:rFonts w:asciiTheme="minorHAnsi" w:hAnsiTheme="minorHAnsi" w:cstheme="minorHAnsi"/>
        </w:rPr>
        <w:t xml:space="preserve"> </w:t>
      </w:r>
    </w:p>
    <w:p w14:paraId="12ED4B32" w14:textId="77777777" w:rsidR="008744BB" w:rsidRPr="000F2879" w:rsidRDefault="008744BB" w:rsidP="008744BB">
      <w:pPr>
        <w:spacing w:after="120" w:line="240" w:lineRule="auto"/>
        <w:rPr>
          <w:rFonts w:asciiTheme="minorHAnsi" w:hAnsiTheme="minorHAnsi" w:cstheme="minorHAnsi"/>
          <w:bCs/>
        </w:rPr>
      </w:pPr>
      <w:r>
        <w:rPr>
          <w:rFonts w:asciiTheme="minorHAnsi" w:hAnsiTheme="minorHAnsi" w:cstheme="minorHAnsi"/>
          <w:bCs/>
          <w:vertAlign w:val="superscript"/>
        </w:rPr>
        <w:t>17</w:t>
      </w:r>
      <w:r w:rsidRPr="000F2879">
        <w:rPr>
          <w:rFonts w:asciiTheme="minorHAnsi" w:hAnsiTheme="minorHAnsi" w:cstheme="minorHAnsi"/>
          <w:bCs/>
        </w:rPr>
        <w:t>Patient Research Partner, Baltimore, MD, USA</w:t>
      </w:r>
    </w:p>
    <w:p w14:paraId="346A8911" w14:textId="77777777" w:rsidR="008744BB" w:rsidRDefault="008744BB" w:rsidP="008744BB">
      <w:pPr>
        <w:spacing w:after="120" w:line="240" w:lineRule="auto"/>
        <w:rPr>
          <w:rFonts w:asciiTheme="minorHAnsi" w:hAnsiTheme="minorHAnsi" w:cstheme="minorHAnsi"/>
          <w:bCs/>
        </w:rPr>
      </w:pPr>
      <w:r>
        <w:rPr>
          <w:rFonts w:asciiTheme="minorHAnsi" w:hAnsiTheme="minorHAnsi" w:cstheme="minorHAnsi"/>
          <w:bCs/>
          <w:vertAlign w:val="superscript"/>
        </w:rPr>
        <w:t>18</w:t>
      </w:r>
      <w:r w:rsidRPr="000F2879">
        <w:rPr>
          <w:rFonts w:asciiTheme="minorHAnsi" w:hAnsiTheme="minorHAnsi" w:cstheme="minorHAnsi"/>
          <w:bCs/>
        </w:rPr>
        <w:t>Research Fellow in Respiratory Health – Exeter Respiratory Institute Royal Devon University Hospitals NHS Foundation Trust, Exeter, UK</w:t>
      </w:r>
    </w:p>
    <w:p w14:paraId="76192B16" w14:textId="77777777" w:rsidR="008744BB" w:rsidRPr="000F2879" w:rsidRDefault="008744BB" w:rsidP="008744BB">
      <w:pPr>
        <w:spacing w:after="120" w:line="240" w:lineRule="auto"/>
        <w:rPr>
          <w:rFonts w:asciiTheme="minorHAnsi" w:hAnsiTheme="minorHAnsi" w:cstheme="minorHAnsi"/>
          <w:bCs/>
        </w:rPr>
      </w:pPr>
      <w:r w:rsidRPr="000F2879">
        <w:rPr>
          <w:rFonts w:asciiTheme="minorHAnsi" w:hAnsiTheme="minorHAnsi" w:cstheme="minorHAnsi"/>
          <w:bCs/>
          <w:vertAlign w:val="superscript"/>
        </w:rPr>
        <w:t>1</w:t>
      </w:r>
      <w:r>
        <w:rPr>
          <w:rFonts w:asciiTheme="minorHAnsi" w:hAnsiTheme="minorHAnsi" w:cstheme="minorHAnsi"/>
          <w:bCs/>
          <w:vertAlign w:val="superscript"/>
        </w:rPr>
        <w:t>9</w:t>
      </w:r>
      <w:r w:rsidRPr="000F2879">
        <w:rPr>
          <w:rFonts w:asciiTheme="minorHAnsi" w:hAnsiTheme="minorHAnsi" w:cstheme="minorHAnsi"/>
          <w:bCs/>
        </w:rPr>
        <w:t xml:space="preserve">Royal Brompton Hospital, National Heart and Lung Institute, London, </w:t>
      </w:r>
      <w:proofErr w:type="gramStart"/>
      <w:r w:rsidRPr="000F2879">
        <w:rPr>
          <w:rFonts w:asciiTheme="minorHAnsi" w:hAnsiTheme="minorHAnsi" w:cstheme="minorHAnsi"/>
          <w:bCs/>
        </w:rPr>
        <w:t>UK;</w:t>
      </w:r>
      <w:proofErr w:type="gramEnd"/>
      <w:r w:rsidRPr="000F2879">
        <w:rPr>
          <w:rFonts w:asciiTheme="minorHAnsi" w:hAnsiTheme="minorHAnsi" w:cstheme="minorHAnsi"/>
          <w:bCs/>
        </w:rPr>
        <w:t xml:space="preserve">  </w:t>
      </w:r>
    </w:p>
    <w:p w14:paraId="3E96E9FF" w14:textId="77777777" w:rsidR="008744BB" w:rsidRPr="000F2879" w:rsidRDefault="008744BB" w:rsidP="008744BB">
      <w:pPr>
        <w:spacing w:after="120" w:line="240" w:lineRule="auto"/>
        <w:rPr>
          <w:rFonts w:asciiTheme="minorHAnsi" w:eastAsia="Arial Unicode MS" w:hAnsiTheme="minorHAnsi" w:cstheme="minorHAnsi"/>
          <w:szCs w:val="20"/>
        </w:rPr>
      </w:pPr>
      <w:r>
        <w:rPr>
          <w:rFonts w:asciiTheme="minorHAnsi" w:eastAsia="Arial Unicode MS" w:hAnsiTheme="minorHAnsi" w:cstheme="minorHAnsi"/>
          <w:szCs w:val="20"/>
          <w:vertAlign w:val="superscript"/>
        </w:rPr>
        <w:lastRenderedPageBreak/>
        <w:t>20</w:t>
      </w:r>
      <w:r w:rsidRPr="000F2879">
        <w:rPr>
          <w:rFonts w:asciiTheme="minorHAnsi" w:eastAsia="Arial Unicode MS" w:hAnsiTheme="minorHAnsi" w:cstheme="minorHAnsi"/>
          <w:szCs w:val="20"/>
        </w:rPr>
        <w:t>Pulmonary Medicine, University of Utah, Salt Lake City, United States,</w:t>
      </w:r>
    </w:p>
    <w:p w14:paraId="3E9BB0FB" w14:textId="77777777" w:rsidR="008744BB" w:rsidRPr="000F2879" w:rsidRDefault="008744BB" w:rsidP="008744BB">
      <w:pPr>
        <w:spacing w:after="120" w:line="240" w:lineRule="auto"/>
        <w:rPr>
          <w:rFonts w:asciiTheme="minorHAnsi" w:hAnsiTheme="minorHAnsi" w:cstheme="minorHAnsi"/>
          <w:bCs/>
        </w:rPr>
      </w:pPr>
      <w:r>
        <w:rPr>
          <w:rFonts w:asciiTheme="minorHAnsi" w:hAnsiTheme="minorHAnsi" w:cstheme="minorHAnsi"/>
          <w:bCs/>
          <w:vertAlign w:val="superscript"/>
        </w:rPr>
        <w:t>2</w:t>
      </w:r>
      <w:r w:rsidRPr="000F2879">
        <w:rPr>
          <w:rFonts w:asciiTheme="minorHAnsi" w:hAnsiTheme="minorHAnsi" w:cstheme="minorHAnsi"/>
          <w:bCs/>
          <w:vertAlign w:val="superscript"/>
        </w:rPr>
        <w:t>1</w:t>
      </w:r>
      <w:r w:rsidRPr="000F2879">
        <w:rPr>
          <w:rFonts w:asciiTheme="minorHAnsi" w:hAnsiTheme="minorHAnsi" w:cstheme="minorHAnsi"/>
          <w:bCs/>
        </w:rPr>
        <w:t xml:space="preserve">University of Bialystok, Bialystok, </w:t>
      </w:r>
      <w:proofErr w:type="gramStart"/>
      <w:r w:rsidRPr="000F2879">
        <w:rPr>
          <w:rFonts w:asciiTheme="minorHAnsi" w:hAnsiTheme="minorHAnsi" w:cstheme="minorHAnsi"/>
          <w:bCs/>
        </w:rPr>
        <w:t>Poland;</w:t>
      </w:r>
      <w:proofErr w:type="gramEnd"/>
      <w:r w:rsidRPr="000F2879">
        <w:rPr>
          <w:rFonts w:asciiTheme="minorHAnsi" w:hAnsiTheme="minorHAnsi" w:cstheme="minorHAnsi"/>
          <w:bCs/>
          <w:vertAlign w:val="superscript"/>
        </w:rPr>
        <w:t xml:space="preserve"> </w:t>
      </w:r>
    </w:p>
    <w:p w14:paraId="75E162C0" w14:textId="77777777" w:rsidR="008744BB" w:rsidRPr="000F2879" w:rsidRDefault="008744BB" w:rsidP="008744BB">
      <w:pPr>
        <w:autoSpaceDE w:val="0"/>
        <w:autoSpaceDN w:val="0"/>
        <w:adjustRightInd w:val="0"/>
        <w:spacing w:after="120" w:line="240" w:lineRule="auto"/>
        <w:rPr>
          <w:rFonts w:asciiTheme="minorHAnsi" w:hAnsiTheme="minorHAnsi" w:cstheme="minorHAnsi"/>
          <w:bCs/>
        </w:rPr>
      </w:pPr>
      <w:r>
        <w:rPr>
          <w:rFonts w:asciiTheme="minorHAnsi" w:hAnsiTheme="minorHAnsi" w:cstheme="minorHAnsi"/>
          <w:bCs/>
          <w:vertAlign w:val="superscript"/>
        </w:rPr>
        <w:t>22</w:t>
      </w:r>
      <w:r w:rsidRPr="000F2879">
        <w:rPr>
          <w:rFonts w:asciiTheme="minorHAnsi" w:hAnsiTheme="minorHAnsi" w:cstheme="minorHAnsi"/>
          <w:bCs/>
        </w:rPr>
        <w:t xml:space="preserve">Division of Rheumatology, University Hospital Zurich, </w:t>
      </w:r>
      <w:proofErr w:type="gramStart"/>
      <w:r w:rsidRPr="000F2879">
        <w:rPr>
          <w:rFonts w:asciiTheme="minorHAnsi" w:hAnsiTheme="minorHAnsi" w:cstheme="minorHAnsi"/>
          <w:bCs/>
        </w:rPr>
        <w:t>Switzerland</w:t>
      </w:r>
      <w:r>
        <w:rPr>
          <w:rFonts w:asciiTheme="minorHAnsi" w:hAnsiTheme="minorHAnsi" w:cstheme="minorHAnsi"/>
          <w:bCs/>
        </w:rPr>
        <w:t>;</w:t>
      </w:r>
      <w:proofErr w:type="gramEnd"/>
    </w:p>
    <w:p w14:paraId="62964A39" w14:textId="77777777" w:rsidR="008744BB" w:rsidRPr="000F2879" w:rsidRDefault="008744BB" w:rsidP="008744BB">
      <w:pPr>
        <w:spacing w:after="120" w:line="240" w:lineRule="auto"/>
        <w:ind w:right="86"/>
        <w:rPr>
          <w:rFonts w:asciiTheme="minorHAnsi" w:eastAsiaTheme="minorHAnsi" w:hAnsiTheme="minorHAnsi" w:cstheme="minorHAnsi"/>
          <w:iCs/>
        </w:rPr>
      </w:pPr>
      <w:r>
        <w:rPr>
          <w:rFonts w:asciiTheme="minorHAnsi" w:eastAsia="Arial Unicode MS" w:hAnsiTheme="minorHAnsi" w:cstheme="minorHAnsi"/>
          <w:szCs w:val="20"/>
          <w:vertAlign w:val="superscript"/>
        </w:rPr>
        <w:t>23</w:t>
      </w:r>
      <w:r>
        <w:rPr>
          <w:rFonts w:asciiTheme="minorHAnsi" w:hAnsiTheme="minorHAnsi" w:cstheme="minorHAnsi"/>
          <w:iCs/>
        </w:rPr>
        <w:t>Division of Rheumatology V</w:t>
      </w:r>
      <w:r w:rsidRPr="000F2879">
        <w:rPr>
          <w:rFonts w:asciiTheme="minorHAnsi" w:hAnsiTheme="minorHAnsi" w:cstheme="minorHAnsi"/>
          <w:iCs/>
        </w:rPr>
        <w:t>anderbilt University</w:t>
      </w:r>
      <w:r>
        <w:rPr>
          <w:rFonts w:asciiTheme="minorHAnsi" w:hAnsiTheme="minorHAnsi" w:cstheme="minorHAnsi"/>
          <w:iCs/>
        </w:rPr>
        <w:t xml:space="preserve"> School of Medicine</w:t>
      </w:r>
      <w:r w:rsidRPr="000F2879">
        <w:rPr>
          <w:rFonts w:asciiTheme="minorHAnsi" w:hAnsiTheme="minorHAnsi" w:cstheme="minorHAnsi"/>
          <w:iCs/>
        </w:rPr>
        <w:t>, Nashville, TN; USA</w:t>
      </w:r>
    </w:p>
    <w:p w14:paraId="3AAA4AE4" w14:textId="77777777" w:rsidR="008744BB" w:rsidRPr="004221E0" w:rsidRDefault="008744BB" w:rsidP="008744BB">
      <w:pPr>
        <w:spacing w:after="120" w:line="240" w:lineRule="auto"/>
        <w:rPr>
          <w:rFonts w:asciiTheme="minorHAnsi" w:eastAsia="Arial Unicode MS" w:hAnsiTheme="minorHAnsi" w:cstheme="minorHAnsi"/>
          <w:szCs w:val="20"/>
        </w:rPr>
      </w:pPr>
      <w:r>
        <w:rPr>
          <w:rFonts w:asciiTheme="minorHAnsi" w:eastAsia="Arial Unicode MS" w:hAnsiTheme="minorHAnsi" w:cstheme="minorHAnsi"/>
          <w:szCs w:val="20"/>
          <w:vertAlign w:val="superscript"/>
        </w:rPr>
        <w:t>24</w:t>
      </w:r>
      <w:r w:rsidRPr="000F2879">
        <w:rPr>
          <w:rFonts w:asciiTheme="minorHAnsi" w:eastAsia="Arial Unicode MS" w:hAnsiTheme="minorHAnsi" w:cstheme="minorHAnsi"/>
          <w:szCs w:val="20"/>
        </w:rPr>
        <w:t>Pulmonary Medicine, University of Utah, Salt Lake City, United States,</w:t>
      </w:r>
    </w:p>
    <w:p w14:paraId="3207F308" w14:textId="77777777" w:rsidR="008744BB" w:rsidRPr="000F2879" w:rsidRDefault="008744BB" w:rsidP="008744BB">
      <w:pPr>
        <w:pStyle w:val="Default"/>
        <w:spacing w:after="120"/>
        <w:rPr>
          <w:rFonts w:asciiTheme="minorHAnsi" w:hAnsiTheme="minorHAnsi" w:cstheme="minorHAnsi"/>
          <w:sz w:val="22"/>
          <w:szCs w:val="22"/>
        </w:rPr>
      </w:pPr>
      <w:r>
        <w:rPr>
          <w:rFonts w:asciiTheme="minorHAnsi" w:hAnsiTheme="minorHAnsi" w:cstheme="minorHAnsi"/>
          <w:bCs/>
          <w:sz w:val="22"/>
          <w:szCs w:val="22"/>
          <w:vertAlign w:val="superscript"/>
        </w:rPr>
        <w:t>25</w:t>
      </w:r>
      <w:r w:rsidRPr="000F2879">
        <w:rPr>
          <w:rFonts w:asciiTheme="minorHAnsi" w:hAnsiTheme="minorHAnsi" w:cstheme="minorHAnsi"/>
          <w:sz w:val="22"/>
          <w:szCs w:val="22"/>
        </w:rPr>
        <w:t>Division of Rheumatology, Albany Medical Center, Albany, NY, USA</w:t>
      </w:r>
    </w:p>
    <w:p w14:paraId="76034A74" w14:textId="77777777" w:rsidR="008744BB" w:rsidRPr="000F2879" w:rsidRDefault="008744BB" w:rsidP="008744BB">
      <w:pPr>
        <w:spacing w:after="120" w:line="240" w:lineRule="auto"/>
        <w:rPr>
          <w:rFonts w:asciiTheme="minorHAnsi" w:hAnsiTheme="minorHAnsi" w:cstheme="minorHAnsi"/>
        </w:rPr>
      </w:pPr>
      <w:r>
        <w:rPr>
          <w:rFonts w:asciiTheme="minorHAnsi" w:hAnsiTheme="minorHAnsi" w:cstheme="minorHAnsi"/>
          <w:bCs/>
          <w:vertAlign w:val="superscript"/>
        </w:rPr>
        <w:t>26</w:t>
      </w:r>
      <w:r w:rsidRPr="000F2879">
        <w:rPr>
          <w:rFonts w:asciiTheme="minorHAnsi" w:hAnsiTheme="minorHAnsi" w:cstheme="minorHAnsi"/>
        </w:rPr>
        <w:t>Steffens Scleroderma Foundation, Albany, NY, USA</w:t>
      </w:r>
    </w:p>
    <w:p w14:paraId="774C2818" w14:textId="77777777" w:rsidR="008744BB" w:rsidRPr="008B7DC2" w:rsidRDefault="008744BB" w:rsidP="008744BB">
      <w:pPr>
        <w:spacing w:after="120" w:line="240" w:lineRule="auto"/>
        <w:rPr>
          <w:rFonts w:asciiTheme="minorHAnsi" w:hAnsiTheme="minorHAnsi" w:cstheme="minorHAnsi"/>
        </w:rPr>
      </w:pPr>
      <w:r>
        <w:rPr>
          <w:rFonts w:asciiTheme="minorHAnsi" w:hAnsiTheme="minorHAnsi" w:cstheme="minorHAnsi"/>
          <w:bCs/>
          <w:vertAlign w:val="superscript"/>
        </w:rPr>
        <w:t>27</w:t>
      </w:r>
      <w:r w:rsidRPr="000F2879">
        <w:rPr>
          <w:rFonts w:asciiTheme="minorHAnsi" w:hAnsiTheme="minorHAnsi" w:cstheme="minorHAnsi"/>
        </w:rPr>
        <w:t xml:space="preserve">Department of Rheumatology and Immunology, University of </w:t>
      </w:r>
      <w:proofErr w:type="spellStart"/>
      <w:r w:rsidRPr="000F2879">
        <w:rPr>
          <w:rFonts w:asciiTheme="minorHAnsi" w:hAnsiTheme="minorHAnsi" w:cstheme="minorHAnsi"/>
        </w:rPr>
        <w:t>Pécs</w:t>
      </w:r>
      <w:proofErr w:type="spellEnd"/>
      <w:r w:rsidRPr="000F2879">
        <w:rPr>
          <w:rFonts w:asciiTheme="minorHAnsi" w:hAnsiTheme="minorHAnsi" w:cstheme="minorHAnsi"/>
        </w:rPr>
        <w:t xml:space="preserve"> Clinical Center, Pecs, Hungary</w:t>
      </w:r>
    </w:p>
    <w:p w14:paraId="3FAB068C" w14:textId="77777777" w:rsidR="008744BB" w:rsidRPr="008B7DC2" w:rsidRDefault="008744BB" w:rsidP="008744BB">
      <w:pPr>
        <w:spacing w:after="120" w:line="240" w:lineRule="auto"/>
        <w:rPr>
          <w:rFonts w:asciiTheme="minorHAnsi" w:eastAsiaTheme="minorHAnsi" w:hAnsiTheme="minorHAnsi" w:cstheme="minorHAnsi"/>
          <w:color w:val="000000"/>
          <w:sz w:val="20"/>
          <w:szCs w:val="20"/>
        </w:rPr>
      </w:pPr>
      <w:r>
        <w:rPr>
          <w:rFonts w:asciiTheme="minorHAnsi" w:hAnsiTheme="minorHAnsi" w:cstheme="minorHAnsi"/>
          <w:bCs/>
          <w:vertAlign w:val="superscript"/>
        </w:rPr>
        <w:t>28</w:t>
      </w:r>
      <w:r w:rsidRPr="000F2879">
        <w:rPr>
          <w:rFonts w:asciiTheme="minorHAnsi" w:eastAsiaTheme="minorHAnsi" w:hAnsiTheme="minorHAnsi" w:cstheme="minorHAnsi"/>
          <w:color w:val="000000"/>
          <w:sz w:val="20"/>
          <w:szCs w:val="20"/>
        </w:rPr>
        <w:t>University of California, David Geffen School of Medicine, UCLA Scleroderma Program and UCLA CTD-ILD Program, Division of Rheumatology, Department of Medicine, Los Angeles, CA, USA</w:t>
      </w:r>
    </w:p>
    <w:p w14:paraId="1F26FD02" w14:textId="77777777" w:rsidR="008744BB" w:rsidRPr="000F2879" w:rsidRDefault="008744BB" w:rsidP="008744BB">
      <w:pPr>
        <w:spacing w:after="120" w:line="240" w:lineRule="auto"/>
        <w:rPr>
          <w:rFonts w:asciiTheme="minorHAnsi" w:hAnsiTheme="minorHAnsi" w:cstheme="minorHAnsi"/>
        </w:rPr>
      </w:pPr>
      <w:r>
        <w:rPr>
          <w:rFonts w:asciiTheme="minorHAnsi" w:hAnsiTheme="minorHAnsi" w:cstheme="minorHAnsi"/>
          <w:bCs/>
          <w:vertAlign w:val="superscript"/>
        </w:rPr>
        <w:t>29</w:t>
      </w:r>
      <w:r w:rsidRPr="000F2879">
        <w:rPr>
          <w:rFonts w:asciiTheme="minorHAnsi" w:hAnsiTheme="minorHAnsi" w:cstheme="minorHAnsi"/>
        </w:rPr>
        <w:t>Columbia University/New York-Presbyterian Scleroderma Program, Division of Rheumatology,</w:t>
      </w:r>
    </w:p>
    <w:p w14:paraId="35C4E887" w14:textId="77777777" w:rsidR="008744BB" w:rsidRPr="003944E7" w:rsidRDefault="008744BB" w:rsidP="008744BB">
      <w:pPr>
        <w:spacing w:after="120" w:line="240" w:lineRule="auto"/>
        <w:rPr>
          <w:rFonts w:asciiTheme="minorHAnsi" w:hAnsiTheme="minorHAnsi" w:cstheme="minorHAnsi"/>
        </w:rPr>
      </w:pPr>
      <w:r w:rsidRPr="000F2879">
        <w:rPr>
          <w:rFonts w:asciiTheme="minorHAnsi" w:hAnsiTheme="minorHAnsi" w:cstheme="minorHAnsi"/>
        </w:rPr>
        <w:t>Department of Medicine, Columbia University College of Physicians and Surgeons, New York, NY, USA</w:t>
      </w:r>
    </w:p>
    <w:p w14:paraId="5E1962BA" w14:textId="77777777" w:rsidR="008744BB" w:rsidRPr="000F2879" w:rsidRDefault="008744BB" w:rsidP="008744BB">
      <w:pPr>
        <w:autoSpaceDE w:val="0"/>
        <w:autoSpaceDN w:val="0"/>
        <w:adjustRightInd w:val="0"/>
        <w:spacing w:after="120" w:line="240" w:lineRule="auto"/>
        <w:rPr>
          <w:rFonts w:asciiTheme="minorHAnsi" w:hAnsiTheme="minorHAnsi" w:cstheme="minorHAnsi"/>
          <w:bCs/>
        </w:rPr>
      </w:pPr>
      <w:r>
        <w:rPr>
          <w:rFonts w:asciiTheme="minorHAnsi" w:hAnsiTheme="minorHAnsi" w:cstheme="minorHAnsi"/>
          <w:bCs/>
          <w:vertAlign w:val="superscript"/>
        </w:rPr>
        <w:t>30</w:t>
      </w:r>
      <w:r w:rsidRPr="000F2879">
        <w:rPr>
          <w:rFonts w:asciiTheme="minorHAnsi" w:hAnsiTheme="minorHAnsi" w:cstheme="minorHAnsi"/>
          <w:bCs/>
        </w:rPr>
        <w:t xml:space="preserve">Interstitial </w:t>
      </w:r>
      <w:proofErr w:type="gramStart"/>
      <w:r w:rsidRPr="000F2879">
        <w:rPr>
          <w:rFonts w:asciiTheme="minorHAnsi" w:hAnsiTheme="minorHAnsi" w:cstheme="minorHAnsi"/>
          <w:bCs/>
        </w:rPr>
        <w:t>Lung Diseases</w:t>
      </w:r>
      <w:proofErr w:type="gramEnd"/>
      <w:r w:rsidRPr="000F2879">
        <w:rPr>
          <w:rFonts w:asciiTheme="minorHAnsi" w:hAnsiTheme="minorHAnsi" w:cstheme="minorHAnsi"/>
          <w:bCs/>
        </w:rPr>
        <w:t xml:space="preserve"> (ILD) Center of Excellence, Department of Pulmonology, St. Antonius Hospital, </w:t>
      </w:r>
      <w:proofErr w:type="spellStart"/>
      <w:r w:rsidRPr="000F2879">
        <w:rPr>
          <w:rFonts w:asciiTheme="minorHAnsi" w:hAnsiTheme="minorHAnsi" w:cstheme="minorHAnsi"/>
          <w:bCs/>
        </w:rPr>
        <w:t>Koekoekslaan</w:t>
      </w:r>
      <w:proofErr w:type="spellEnd"/>
      <w:r w:rsidRPr="000F2879">
        <w:rPr>
          <w:rFonts w:asciiTheme="minorHAnsi" w:hAnsiTheme="minorHAnsi" w:cstheme="minorHAnsi"/>
          <w:bCs/>
        </w:rPr>
        <w:t xml:space="preserve"> 1, 3435 CM </w:t>
      </w:r>
      <w:proofErr w:type="spellStart"/>
      <w:r w:rsidRPr="000F2879">
        <w:rPr>
          <w:rFonts w:asciiTheme="minorHAnsi" w:hAnsiTheme="minorHAnsi" w:cstheme="minorHAnsi"/>
          <w:bCs/>
        </w:rPr>
        <w:t>Nieuwegein</w:t>
      </w:r>
      <w:proofErr w:type="spellEnd"/>
      <w:r w:rsidRPr="000F2879">
        <w:rPr>
          <w:rFonts w:asciiTheme="minorHAnsi" w:hAnsiTheme="minorHAnsi" w:cstheme="minorHAnsi"/>
          <w:bCs/>
        </w:rPr>
        <w:t>, The Netherlands.</w:t>
      </w:r>
    </w:p>
    <w:p w14:paraId="0EED51B0" w14:textId="77777777" w:rsidR="008744BB" w:rsidRPr="000F2879" w:rsidRDefault="008744BB" w:rsidP="008744BB">
      <w:pPr>
        <w:autoSpaceDE w:val="0"/>
        <w:autoSpaceDN w:val="0"/>
        <w:adjustRightInd w:val="0"/>
        <w:spacing w:after="120" w:line="240" w:lineRule="auto"/>
        <w:rPr>
          <w:rFonts w:asciiTheme="minorHAnsi" w:hAnsiTheme="minorHAnsi" w:cstheme="minorHAnsi"/>
          <w:bCs/>
        </w:rPr>
      </w:pPr>
      <w:r>
        <w:rPr>
          <w:rFonts w:asciiTheme="minorHAnsi" w:hAnsiTheme="minorHAnsi" w:cstheme="minorHAnsi"/>
          <w:bCs/>
          <w:vertAlign w:val="superscript"/>
        </w:rPr>
        <w:t>31</w:t>
      </w:r>
      <w:r w:rsidRPr="000F2879">
        <w:rPr>
          <w:rFonts w:asciiTheme="minorHAnsi" w:hAnsiTheme="minorHAnsi" w:cstheme="minorHAnsi"/>
          <w:bCs/>
        </w:rPr>
        <w:t>Department of Pharmacology and Toxicology, Faculty of Health and Life Sciences, Maastricht University, 40, 6229 ER Maastricht, The Netherlands.</w:t>
      </w:r>
    </w:p>
    <w:p w14:paraId="416397CB" w14:textId="77777777" w:rsidR="008744BB" w:rsidRPr="000F2879" w:rsidRDefault="008744BB" w:rsidP="008744BB">
      <w:pPr>
        <w:autoSpaceDE w:val="0"/>
        <w:autoSpaceDN w:val="0"/>
        <w:adjustRightInd w:val="0"/>
        <w:spacing w:after="120" w:line="240" w:lineRule="auto"/>
        <w:rPr>
          <w:rFonts w:asciiTheme="minorHAnsi" w:eastAsiaTheme="minorHAnsi" w:hAnsiTheme="minorHAnsi" w:cstheme="minorHAnsi"/>
        </w:rPr>
      </w:pPr>
      <w:r>
        <w:rPr>
          <w:rFonts w:asciiTheme="minorHAnsi" w:hAnsiTheme="minorHAnsi" w:cstheme="minorHAnsi"/>
          <w:bCs/>
          <w:vertAlign w:val="superscript"/>
        </w:rPr>
        <w:t>32</w:t>
      </w:r>
      <w:r w:rsidRPr="000F2879">
        <w:rPr>
          <w:rFonts w:asciiTheme="minorHAnsi" w:eastAsiaTheme="minorHAnsi" w:hAnsiTheme="minorHAnsi" w:cstheme="minorHAnsi"/>
        </w:rPr>
        <w:t>Division of Pulmonary, Critical Care and Sleep Medicine, Department of Internal Medicine, Brody School of Medicine, East Carolina University, Greenville, North Carolina, USA.</w:t>
      </w:r>
    </w:p>
    <w:p w14:paraId="24C30BD5" w14:textId="77777777" w:rsidR="008744BB" w:rsidRPr="000F2879" w:rsidRDefault="008744BB" w:rsidP="008744BB">
      <w:pPr>
        <w:autoSpaceDE w:val="0"/>
        <w:autoSpaceDN w:val="0"/>
        <w:adjustRightInd w:val="0"/>
        <w:spacing w:after="120" w:line="240" w:lineRule="auto"/>
        <w:rPr>
          <w:rFonts w:asciiTheme="minorHAnsi" w:eastAsiaTheme="minorHAnsi" w:hAnsiTheme="minorHAnsi" w:cstheme="minorHAnsi"/>
        </w:rPr>
      </w:pPr>
      <w:r>
        <w:rPr>
          <w:rFonts w:asciiTheme="minorHAnsi" w:hAnsiTheme="minorHAnsi" w:cstheme="minorHAnsi"/>
          <w:bCs/>
          <w:vertAlign w:val="superscript"/>
        </w:rPr>
        <w:t>33</w:t>
      </w:r>
      <w:r w:rsidRPr="000F2879">
        <w:rPr>
          <w:rFonts w:asciiTheme="minorHAnsi" w:eastAsiaTheme="minorHAnsi" w:hAnsiTheme="minorHAnsi" w:cstheme="minorHAnsi"/>
        </w:rPr>
        <w:t>Brighton &amp; Sussex Medical School, Department of Clinical &amp; Experimental Medicine, Falmer, UK</w:t>
      </w:r>
    </w:p>
    <w:p w14:paraId="69A9AFFC" w14:textId="77777777" w:rsidR="008744BB" w:rsidRPr="000F2879" w:rsidRDefault="008744BB" w:rsidP="008744BB">
      <w:pPr>
        <w:autoSpaceDE w:val="0"/>
        <w:autoSpaceDN w:val="0"/>
        <w:adjustRightInd w:val="0"/>
        <w:spacing w:after="120" w:line="240" w:lineRule="auto"/>
        <w:rPr>
          <w:rFonts w:asciiTheme="minorHAnsi" w:eastAsiaTheme="minorHAnsi" w:hAnsiTheme="minorHAnsi" w:cstheme="minorHAnsi"/>
        </w:rPr>
      </w:pPr>
      <w:r>
        <w:rPr>
          <w:rFonts w:asciiTheme="minorHAnsi" w:hAnsiTheme="minorHAnsi" w:cstheme="minorHAnsi"/>
          <w:bCs/>
          <w:vertAlign w:val="superscript"/>
        </w:rPr>
        <w:t>34</w:t>
      </w:r>
      <w:r w:rsidRPr="000F2879">
        <w:rPr>
          <w:rFonts w:asciiTheme="minorHAnsi" w:eastAsiaTheme="minorHAnsi" w:hAnsiTheme="minorHAnsi" w:cstheme="minorHAnsi"/>
        </w:rPr>
        <w:t>Division Pulmonary, Allergy, and Critical care medicine, Perelman School of Medicine, University of Pennsylvania, Philadelphia, Pennsylvania</w:t>
      </w:r>
    </w:p>
    <w:p w14:paraId="2DD14CEF" w14:textId="77777777" w:rsidR="008744BB" w:rsidRPr="000F2879" w:rsidRDefault="008744BB" w:rsidP="008744BB">
      <w:pPr>
        <w:autoSpaceDE w:val="0"/>
        <w:autoSpaceDN w:val="0"/>
        <w:adjustRightInd w:val="0"/>
        <w:spacing w:after="120" w:line="240" w:lineRule="auto"/>
        <w:rPr>
          <w:rFonts w:asciiTheme="minorHAnsi" w:eastAsiaTheme="minorHAnsi" w:hAnsiTheme="minorHAnsi" w:cstheme="minorHAnsi"/>
        </w:rPr>
      </w:pPr>
    </w:p>
    <w:p w14:paraId="5181465D" w14:textId="77777777" w:rsidR="008744BB" w:rsidRPr="000F2879" w:rsidRDefault="008744BB" w:rsidP="008744BB">
      <w:pPr>
        <w:spacing w:after="120" w:line="240" w:lineRule="auto"/>
        <w:rPr>
          <w:rFonts w:asciiTheme="minorHAnsi" w:hAnsiTheme="minorHAnsi" w:cstheme="minorHAnsi"/>
          <w:bCs/>
        </w:rPr>
      </w:pPr>
      <w:r>
        <w:rPr>
          <w:rFonts w:asciiTheme="minorHAnsi" w:hAnsiTheme="minorHAnsi" w:cstheme="minorHAnsi"/>
          <w:bCs/>
          <w:vertAlign w:val="superscript"/>
        </w:rPr>
        <w:t>35</w:t>
      </w:r>
      <w:r w:rsidRPr="000F2879">
        <w:rPr>
          <w:rFonts w:asciiTheme="minorHAnsi" w:hAnsiTheme="minorHAnsi" w:cstheme="minorHAnsi"/>
          <w:iCs/>
        </w:rPr>
        <w:t>Respiratory Institute, University of Exeter, Exeter, UK</w:t>
      </w:r>
    </w:p>
    <w:p w14:paraId="677539F2" w14:textId="77777777" w:rsidR="008744BB" w:rsidRPr="00AA56D9" w:rsidRDefault="008744BB" w:rsidP="008744BB">
      <w:pPr>
        <w:spacing w:after="120" w:line="240" w:lineRule="auto"/>
        <w:rPr>
          <w:rFonts w:asciiTheme="minorHAnsi" w:hAnsiTheme="minorHAnsi" w:cstheme="minorHAnsi"/>
          <w:bCs/>
        </w:rPr>
      </w:pPr>
      <w:r>
        <w:rPr>
          <w:rFonts w:asciiTheme="minorHAnsi" w:hAnsiTheme="minorHAnsi" w:cstheme="minorHAnsi"/>
          <w:bCs/>
          <w:vertAlign w:val="superscript"/>
        </w:rPr>
        <w:t>36</w:t>
      </w:r>
      <w:r w:rsidRPr="000F2879">
        <w:rPr>
          <w:rFonts w:asciiTheme="minorHAnsi" w:hAnsiTheme="minorHAnsi" w:cstheme="minorHAnsi"/>
          <w:bCs/>
          <w:color w:val="202124"/>
          <w:shd w:val="clear" w:color="auto" w:fill="FFFFFF"/>
        </w:rPr>
        <w:t>Respiratory Medicine, Royal Devon University Healthcare NHS Foundation Trust</w:t>
      </w:r>
      <w:r w:rsidRPr="000F2879">
        <w:rPr>
          <w:rFonts w:asciiTheme="minorHAnsi" w:hAnsiTheme="minorHAnsi" w:cstheme="minorHAnsi"/>
          <w:color w:val="202124"/>
          <w:shd w:val="clear" w:color="auto" w:fill="FFFFFF"/>
        </w:rPr>
        <w:t>.</w:t>
      </w:r>
      <w:r w:rsidRPr="000F2879">
        <w:rPr>
          <w:rFonts w:asciiTheme="minorHAnsi" w:eastAsiaTheme="minorHAnsi" w:hAnsiTheme="minorHAnsi" w:cstheme="minorHAnsi"/>
        </w:rPr>
        <w:t xml:space="preserve"> London, UK</w:t>
      </w:r>
    </w:p>
    <w:p w14:paraId="173CE2CA" w14:textId="77777777" w:rsidR="008744BB" w:rsidRPr="009D3A7C" w:rsidRDefault="008744BB" w:rsidP="008744BB">
      <w:pPr>
        <w:spacing w:after="120"/>
        <w:rPr>
          <w:bCs/>
        </w:rPr>
      </w:pPr>
    </w:p>
    <w:p w14:paraId="15D52C1D" w14:textId="77777777" w:rsidR="008744BB" w:rsidRDefault="008744BB" w:rsidP="008744BB">
      <w:pPr>
        <w:spacing w:after="0"/>
      </w:pPr>
      <w:r w:rsidRPr="000D7794">
        <w:rPr>
          <w:b/>
        </w:rPr>
        <w:t>Correspondence</w:t>
      </w:r>
      <w:r>
        <w:t xml:space="preserve">:   </w:t>
      </w:r>
      <w:r>
        <w:tab/>
        <w:t>Anne-Marie Russell, PhD, ARNP</w:t>
      </w:r>
    </w:p>
    <w:p w14:paraId="2E0A0803" w14:textId="77777777" w:rsidR="008744BB" w:rsidRDefault="008744BB" w:rsidP="008744BB">
      <w:pPr>
        <w:spacing w:after="0"/>
      </w:pPr>
      <w:r>
        <w:tab/>
      </w:r>
      <w:r>
        <w:tab/>
      </w:r>
      <w:r>
        <w:tab/>
        <w:t>Exeter University</w:t>
      </w:r>
    </w:p>
    <w:p w14:paraId="51E22CC3" w14:textId="77777777" w:rsidR="008744BB" w:rsidRDefault="008744BB" w:rsidP="008744BB">
      <w:pPr>
        <w:spacing w:after="0"/>
      </w:pPr>
      <w:r>
        <w:tab/>
      </w:r>
      <w:r>
        <w:tab/>
      </w:r>
      <w:r>
        <w:tab/>
        <w:t>Exeter, UK</w:t>
      </w:r>
    </w:p>
    <w:p w14:paraId="6CDC0E3A" w14:textId="77777777" w:rsidR="008744BB" w:rsidRDefault="008744BB" w:rsidP="008744BB">
      <w:pPr>
        <w:spacing w:after="0"/>
      </w:pPr>
      <w:r>
        <w:tab/>
      </w:r>
      <w:r>
        <w:tab/>
      </w:r>
      <w:r>
        <w:tab/>
        <w:t xml:space="preserve">Email: </w:t>
      </w:r>
      <w:proofErr w:type="gramStart"/>
      <w:r>
        <w:t>a.russell</w:t>
      </w:r>
      <w:proofErr w:type="gramEnd"/>
      <w:r>
        <w:t>4[at]exeter.ac.uk</w:t>
      </w:r>
      <w:r>
        <w:tab/>
      </w:r>
      <w:r>
        <w:tab/>
      </w:r>
      <w:r>
        <w:tab/>
      </w:r>
    </w:p>
    <w:p w14:paraId="511ABBA8" w14:textId="77777777" w:rsidR="008744BB" w:rsidRDefault="008744BB" w:rsidP="008744BB">
      <w:pPr>
        <w:spacing w:after="0"/>
      </w:pPr>
      <w:r>
        <w:t xml:space="preserve">     </w:t>
      </w:r>
    </w:p>
    <w:p w14:paraId="099E0E27" w14:textId="77777777" w:rsidR="008744BB" w:rsidRDefault="008744BB" w:rsidP="008744BB">
      <w:pPr>
        <w:spacing w:after="0"/>
      </w:pPr>
    </w:p>
    <w:p w14:paraId="0F9193C9" w14:textId="77777777" w:rsidR="008744BB" w:rsidRDefault="008744BB" w:rsidP="008744BB">
      <w:pPr>
        <w:spacing w:after="0"/>
        <w:ind w:left="1440" w:firstLine="720"/>
      </w:pPr>
      <w:r>
        <w:t>Lesley Ann Saketkoo, MD, MPH</w:t>
      </w:r>
    </w:p>
    <w:p w14:paraId="5EDF4089" w14:textId="77777777" w:rsidR="008744BB" w:rsidRDefault="008744BB" w:rsidP="008744BB">
      <w:pPr>
        <w:spacing w:after="0"/>
      </w:pPr>
      <w:r>
        <w:tab/>
      </w:r>
      <w:r>
        <w:tab/>
      </w:r>
      <w:r>
        <w:tab/>
        <w:t>New Orleans Scleroderma and Sarcoidosis Patient Care and Research Center</w:t>
      </w:r>
    </w:p>
    <w:p w14:paraId="35BBC2A7" w14:textId="77777777" w:rsidR="008744BB" w:rsidRDefault="008744BB" w:rsidP="008744BB">
      <w:pPr>
        <w:spacing w:after="0"/>
      </w:pPr>
      <w:r>
        <w:tab/>
      </w:r>
      <w:r>
        <w:tab/>
      </w:r>
      <w:r>
        <w:tab/>
        <w:t xml:space="preserve">2001 Canal Street; New Orleans, </w:t>
      </w:r>
      <w:proofErr w:type="gramStart"/>
      <w:r>
        <w:t>Louisiana  70112</w:t>
      </w:r>
      <w:proofErr w:type="gramEnd"/>
      <w:r>
        <w:t>, USA</w:t>
      </w:r>
    </w:p>
    <w:p w14:paraId="7F27564F" w14:textId="77777777" w:rsidR="008744BB" w:rsidRDefault="008744BB" w:rsidP="008744BB">
      <w:pPr>
        <w:spacing w:after="120"/>
        <w:ind w:left="1440" w:firstLine="720"/>
      </w:pPr>
      <w:r>
        <w:t xml:space="preserve">Email:  </w:t>
      </w:r>
      <w:proofErr w:type="spellStart"/>
      <w:r>
        <w:t>lsaketk</w:t>
      </w:r>
      <w:proofErr w:type="spellEnd"/>
      <w:r>
        <w:t>[at]tulane.edu</w:t>
      </w:r>
    </w:p>
    <w:p w14:paraId="5F044714" w14:textId="77777777" w:rsidR="008744BB" w:rsidRDefault="008744BB" w:rsidP="00BD0108">
      <w:pPr>
        <w:spacing w:line="480" w:lineRule="auto"/>
        <w:rPr>
          <w:b/>
          <w:sz w:val="24"/>
          <w:szCs w:val="24"/>
        </w:rPr>
      </w:pPr>
    </w:p>
    <w:p w14:paraId="5900A348" w14:textId="7861E7BD" w:rsidR="00BD0108" w:rsidRPr="0017089F" w:rsidRDefault="00BD0108" w:rsidP="00BD0108">
      <w:pPr>
        <w:spacing w:line="480" w:lineRule="auto"/>
        <w:rPr>
          <w:b/>
          <w:sz w:val="24"/>
          <w:szCs w:val="24"/>
        </w:rPr>
      </w:pPr>
      <w:r w:rsidRPr="0017089F">
        <w:rPr>
          <w:b/>
          <w:sz w:val="24"/>
          <w:szCs w:val="24"/>
        </w:rPr>
        <w:lastRenderedPageBreak/>
        <w:t>ICF Classification System</w:t>
      </w:r>
    </w:p>
    <w:p w14:paraId="0884E7D0" w14:textId="77777777" w:rsidR="00BD0108" w:rsidRPr="0017089F" w:rsidRDefault="00BD0108" w:rsidP="00BD0108">
      <w:pPr>
        <w:spacing w:line="480" w:lineRule="auto"/>
        <w:rPr>
          <w:i/>
          <w:sz w:val="24"/>
          <w:szCs w:val="24"/>
        </w:rPr>
      </w:pPr>
      <w:r w:rsidRPr="0017089F">
        <w:rPr>
          <w:i/>
          <w:sz w:val="24"/>
          <w:szCs w:val="24"/>
        </w:rPr>
        <w:t>History</w:t>
      </w:r>
    </w:p>
    <w:p w14:paraId="6DBDC431" w14:textId="77777777" w:rsidR="00BD0108" w:rsidRPr="0017089F" w:rsidRDefault="00BD0108" w:rsidP="00BD0108">
      <w:pPr>
        <w:spacing w:line="480" w:lineRule="auto"/>
        <w:rPr>
          <w:sz w:val="24"/>
          <w:szCs w:val="24"/>
        </w:rPr>
      </w:pPr>
      <w:r w:rsidRPr="0017089F">
        <w:rPr>
          <w:sz w:val="24"/>
          <w:szCs w:val="24"/>
        </w:rPr>
        <w:t>The need for the scientific collection of disability data was recognized after the advent of the WHO’s Global Burden of Disease Initiative (GBD) in 1990. The WHO-GBD introduced the 9</w:t>
      </w:r>
      <w:r w:rsidRPr="0017089F">
        <w:rPr>
          <w:sz w:val="24"/>
          <w:szCs w:val="24"/>
          <w:vertAlign w:val="superscript"/>
        </w:rPr>
        <w:t>th</w:t>
      </w:r>
      <w:r w:rsidRPr="0017089F">
        <w:rPr>
          <w:sz w:val="24"/>
          <w:szCs w:val="24"/>
        </w:rPr>
        <w:t xml:space="preserve"> revision of the International Classification of Diseases (ICD-9).   The ICD-9/GBD framework illuminated geographical clustering of disease and infrastructure challenges to achieving improved health outcomes.  The WHO-GBD developed the disability-adjusted-life-year (DALY) metric and generated data using the ICD-9 and the DALY that powered targeted global public health interventions. This resulted in remarkable changes in disease incidence and death related to preventable—mostly infectious—diseases.  Since then, the ICD has grown beyond its intended use.  It is now almost exclusively known as a diagnostic coding system for reimbursement with which virtually every practicing clinician engages.</w:t>
      </w:r>
    </w:p>
    <w:p w14:paraId="241C7D65" w14:textId="77777777" w:rsidR="00BD0108" w:rsidRPr="0017089F" w:rsidRDefault="00BD0108" w:rsidP="00BD0108">
      <w:pPr>
        <w:spacing w:line="480" w:lineRule="auto"/>
        <w:rPr>
          <w:sz w:val="24"/>
          <w:szCs w:val="24"/>
        </w:rPr>
      </w:pPr>
      <w:r w:rsidRPr="0017089F">
        <w:rPr>
          <w:sz w:val="24"/>
          <w:szCs w:val="24"/>
        </w:rPr>
        <w:t xml:space="preserve">The positive impact of the public health interventions prompted by the WHO-GBD resulted in recognition of a global signal in </w:t>
      </w:r>
      <w:r w:rsidRPr="0017089F">
        <w:rPr>
          <w:i/>
          <w:sz w:val="24"/>
          <w:szCs w:val="24"/>
        </w:rPr>
        <w:t>chronic</w:t>
      </w:r>
      <w:r w:rsidRPr="0017089F">
        <w:rPr>
          <w:sz w:val="24"/>
          <w:szCs w:val="24"/>
        </w:rPr>
        <w:t xml:space="preserve"> illness and disability–most of which was due to traumatic injury and cardio/cerebrovascular disease–and presumed to be impacting global economic productivity.  In order to assess and understand the impact related to this newly-recognized prevalence of chronic disease, the WHO developed a framework, the International Classification of Functioning, Disability and Health (ICF) to describe and quantify impairment with a standardized scientific method of disability data collection.  The goal of which was to inform healthcare policies, guide provision of health services and overcome urban and rural </w:t>
      </w:r>
      <w:r w:rsidRPr="0017089F">
        <w:rPr>
          <w:sz w:val="24"/>
          <w:szCs w:val="24"/>
        </w:rPr>
        <w:lastRenderedPageBreak/>
        <w:t xml:space="preserve">infrastructure barriers to health services that optimize engagement in important life areas including remunerative employment.  </w:t>
      </w:r>
    </w:p>
    <w:p w14:paraId="74034D40" w14:textId="77777777" w:rsidR="00BD0108" w:rsidRPr="0017089F" w:rsidRDefault="00BD0108" w:rsidP="00BD0108">
      <w:pPr>
        <w:spacing w:line="480" w:lineRule="auto"/>
        <w:rPr>
          <w:b/>
          <w:sz w:val="24"/>
          <w:szCs w:val="24"/>
        </w:rPr>
      </w:pPr>
      <w:r w:rsidRPr="0017089F">
        <w:rPr>
          <w:b/>
          <w:sz w:val="24"/>
          <w:szCs w:val="24"/>
        </w:rPr>
        <w:t>The ICF</w:t>
      </w:r>
    </w:p>
    <w:p w14:paraId="3DB78DFB" w14:textId="23270625" w:rsidR="00BD0108" w:rsidRDefault="00BD0108" w:rsidP="00BD0108">
      <w:pPr>
        <w:spacing w:line="480" w:lineRule="auto"/>
        <w:rPr>
          <w:sz w:val="24"/>
          <w:szCs w:val="24"/>
        </w:rPr>
      </w:pPr>
      <w:r w:rsidRPr="0017089F">
        <w:rPr>
          <w:sz w:val="24"/>
          <w:szCs w:val="24"/>
        </w:rPr>
        <w:t xml:space="preserve">The ICF is a hierarchy of over 1200 ‘categories’ or codes belonging to discrete components used to depict functioning and disability of an individual. There are two over-arching parts: </w:t>
      </w:r>
      <w:r w:rsidRPr="0017089F">
        <w:rPr>
          <w:i/>
          <w:sz w:val="24"/>
          <w:szCs w:val="24"/>
        </w:rPr>
        <w:t>Functioning and Disability</w:t>
      </w:r>
      <w:r w:rsidRPr="0017089F">
        <w:rPr>
          <w:sz w:val="24"/>
          <w:szCs w:val="24"/>
        </w:rPr>
        <w:t xml:space="preserve">, and </w:t>
      </w:r>
      <w:r w:rsidRPr="0017089F">
        <w:rPr>
          <w:i/>
          <w:sz w:val="24"/>
          <w:szCs w:val="24"/>
        </w:rPr>
        <w:t>Contextual Factors</w:t>
      </w:r>
      <w:r w:rsidRPr="0017089F">
        <w:rPr>
          <w:sz w:val="24"/>
          <w:szCs w:val="24"/>
        </w:rPr>
        <w:t xml:space="preserve">.  </w:t>
      </w:r>
      <w:r w:rsidRPr="0017089F">
        <w:rPr>
          <w:i/>
          <w:sz w:val="24"/>
          <w:szCs w:val="24"/>
        </w:rPr>
        <w:t>Functioning and Disability</w:t>
      </w:r>
      <w:r w:rsidRPr="0017089F">
        <w:rPr>
          <w:sz w:val="24"/>
          <w:szCs w:val="24"/>
        </w:rPr>
        <w:t xml:space="preserve"> is the predominant operational part of the ICF and consists of ‘</w:t>
      </w:r>
      <w:r w:rsidRPr="0017089F">
        <w:rPr>
          <w:i/>
          <w:sz w:val="24"/>
          <w:szCs w:val="24"/>
        </w:rPr>
        <w:t>body function’</w:t>
      </w:r>
      <w:r w:rsidRPr="0017089F">
        <w:rPr>
          <w:sz w:val="24"/>
          <w:szCs w:val="24"/>
        </w:rPr>
        <w:t>, ‘</w:t>
      </w:r>
      <w:r w:rsidRPr="0017089F">
        <w:rPr>
          <w:i/>
          <w:sz w:val="24"/>
          <w:szCs w:val="24"/>
        </w:rPr>
        <w:t>body structure’</w:t>
      </w:r>
      <w:r w:rsidRPr="0017089F">
        <w:rPr>
          <w:sz w:val="24"/>
          <w:szCs w:val="24"/>
        </w:rPr>
        <w:t>, and ‘</w:t>
      </w:r>
      <w:r w:rsidRPr="0017089F">
        <w:rPr>
          <w:i/>
          <w:sz w:val="24"/>
          <w:szCs w:val="24"/>
        </w:rPr>
        <w:t>activities and participation’</w:t>
      </w:r>
      <w:r w:rsidRPr="0017089F">
        <w:rPr>
          <w:sz w:val="24"/>
          <w:szCs w:val="24"/>
        </w:rPr>
        <w:t xml:space="preserve">.  </w:t>
      </w:r>
      <w:r w:rsidRPr="0017089F">
        <w:rPr>
          <w:i/>
          <w:sz w:val="24"/>
          <w:szCs w:val="24"/>
        </w:rPr>
        <w:t>Contextual Factors</w:t>
      </w:r>
      <w:r w:rsidRPr="0017089F">
        <w:rPr>
          <w:sz w:val="24"/>
          <w:szCs w:val="24"/>
        </w:rPr>
        <w:t xml:space="preserve"> are divided into external or ‘</w:t>
      </w:r>
      <w:r w:rsidRPr="0017089F">
        <w:rPr>
          <w:i/>
          <w:sz w:val="24"/>
          <w:szCs w:val="24"/>
        </w:rPr>
        <w:t>Environmental Factors’</w:t>
      </w:r>
      <w:r w:rsidRPr="0017089F">
        <w:rPr>
          <w:sz w:val="24"/>
          <w:szCs w:val="24"/>
        </w:rPr>
        <w:t xml:space="preserve"> and internal or ‘</w:t>
      </w:r>
      <w:r w:rsidRPr="0017089F">
        <w:rPr>
          <w:i/>
          <w:sz w:val="24"/>
          <w:szCs w:val="24"/>
        </w:rPr>
        <w:t>Personal Factors</w:t>
      </w:r>
      <w:r w:rsidRPr="0017089F">
        <w:rPr>
          <w:sz w:val="24"/>
          <w:szCs w:val="24"/>
        </w:rPr>
        <w:t>’ (Fig. 1).</w:t>
      </w:r>
    </w:p>
    <w:p w14:paraId="2B236D38" w14:textId="0921C488" w:rsidR="008744BB" w:rsidRDefault="008744BB" w:rsidP="00BD0108">
      <w:pPr>
        <w:spacing w:line="480" w:lineRule="auto"/>
        <w:rPr>
          <w:sz w:val="24"/>
          <w:szCs w:val="24"/>
        </w:rPr>
      </w:pPr>
    </w:p>
    <w:p w14:paraId="6F7D37F2" w14:textId="31D83501" w:rsidR="008744BB" w:rsidRDefault="008744BB" w:rsidP="00BD0108">
      <w:pPr>
        <w:spacing w:line="480" w:lineRule="auto"/>
        <w:rPr>
          <w:sz w:val="24"/>
          <w:szCs w:val="24"/>
        </w:rPr>
      </w:pPr>
    </w:p>
    <w:p w14:paraId="4E762507" w14:textId="25776A31" w:rsidR="008744BB" w:rsidRDefault="008744BB" w:rsidP="00BD0108">
      <w:pPr>
        <w:spacing w:line="480" w:lineRule="auto"/>
        <w:rPr>
          <w:sz w:val="24"/>
          <w:szCs w:val="24"/>
        </w:rPr>
      </w:pPr>
    </w:p>
    <w:p w14:paraId="71319BCF" w14:textId="17335561" w:rsidR="008744BB" w:rsidRDefault="008744BB" w:rsidP="00BD0108">
      <w:pPr>
        <w:spacing w:line="480" w:lineRule="auto"/>
        <w:rPr>
          <w:sz w:val="24"/>
          <w:szCs w:val="24"/>
        </w:rPr>
      </w:pPr>
    </w:p>
    <w:p w14:paraId="275F2369" w14:textId="07DE3D54" w:rsidR="008744BB" w:rsidRDefault="008744BB" w:rsidP="00BD0108">
      <w:pPr>
        <w:spacing w:line="480" w:lineRule="auto"/>
        <w:rPr>
          <w:sz w:val="24"/>
          <w:szCs w:val="24"/>
        </w:rPr>
      </w:pPr>
    </w:p>
    <w:p w14:paraId="73E36C3F" w14:textId="76BC9795" w:rsidR="008744BB" w:rsidRDefault="008744BB" w:rsidP="00BD0108">
      <w:pPr>
        <w:spacing w:line="480" w:lineRule="auto"/>
        <w:rPr>
          <w:sz w:val="24"/>
          <w:szCs w:val="24"/>
        </w:rPr>
      </w:pPr>
    </w:p>
    <w:p w14:paraId="3C102225" w14:textId="51FAB863" w:rsidR="008744BB" w:rsidRDefault="008744BB" w:rsidP="00BD0108">
      <w:pPr>
        <w:spacing w:line="480" w:lineRule="auto"/>
        <w:rPr>
          <w:sz w:val="24"/>
          <w:szCs w:val="24"/>
        </w:rPr>
      </w:pPr>
    </w:p>
    <w:p w14:paraId="1A808ABB" w14:textId="5056D677" w:rsidR="008744BB" w:rsidRDefault="008744BB" w:rsidP="00BD0108">
      <w:pPr>
        <w:spacing w:line="480" w:lineRule="auto"/>
        <w:rPr>
          <w:sz w:val="24"/>
          <w:szCs w:val="24"/>
        </w:rPr>
      </w:pPr>
    </w:p>
    <w:p w14:paraId="2E6E655A" w14:textId="77777777" w:rsidR="008744BB" w:rsidRDefault="008744BB" w:rsidP="00BD0108">
      <w:pPr>
        <w:spacing w:line="480" w:lineRule="auto"/>
        <w:rPr>
          <w:sz w:val="24"/>
          <w:szCs w:val="24"/>
        </w:rPr>
      </w:pPr>
    </w:p>
    <w:p w14:paraId="45CEA83B" w14:textId="12DCB814" w:rsidR="002A760C" w:rsidRPr="00032BB7" w:rsidRDefault="002A760C" w:rsidP="002A760C">
      <w:pPr>
        <w:rPr>
          <w:b/>
          <w:sz w:val="24"/>
          <w:szCs w:val="24"/>
        </w:rPr>
      </w:pPr>
      <w:r w:rsidRPr="00032BB7">
        <w:rPr>
          <w:b/>
          <w:sz w:val="24"/>
          <w:szCs w:val="24"/>
        </w:rPr>
        <w:lastRenderedPageBreak/>
        <w:t xml:space="preserve">Figure 1. Interactions between domains of ICF in relation to the health condition.  </w:t>
      </w:r>
      <w:r w:rsidR="00732448" w:rsidRPr="00732448">
        <w:rPr>
          <w:bCs/>
          <w:i/>
          <w:iCs/>
          <w:sz w:val="24"/>
          <w:szCs w:val="24"/>
        </w:rPr>
        <w:t>(Courtesy of LA Saketkoo, permission granted, rights reserved)</w:t>
      </w:r>
    </w:p>
    <w:p w14:paraId="2418B54E" w14:textId="77777777" w:rsidR="002A760C" w:rsidRDefault="002A760C" w:rsidP="002A760C">
      <w:r>
        <w:rPr>
          <w:noProof/>
        </w:rPr>
        <w:drawing>
          <wp:inline distT="0" distB="0" distL="0" distR="0" wp14:anchorId="25696FD5" wp14:editId="58F3F4A0">
            <wp:extent cx="5951220" cy="4053840"/>
            <wp:effectExtent l="1905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srcRect/>
                    <a:stretch>
                      <a:fillRect/>
                    </a:stretch>
                  </pic:blipFill>
                  <pic:spPr bwMode="auto">
                    <a:xfrm>
                      <a:off x="0" y="0"/>
                      <a:ext cx="5951220" cy="4053840"/>
                    </a:xfrm>
                    <a:prstGeom prst="rect">
                      <a:avLst/>
                    </a:prstGeom>
                    <a:noFill/>
                    <a:ln w="9525">
                      <a:noFill/>
                      <a:miter lim="800000"/>
                      <a:headEnd/>
                      <a:tailEnd/>
                    </a:ln>
                  </pic:spPr>
                </pic:pic>
              </a:graphicData>
            </a:graphic>
          </wp:inline>
        </w:drawing>
      </w:r>
    </w:p>
    <w:p w14:paraId="62F02AF4" w14:textId="77777777" w:rsidR="00BD0108" w:rsidRPr="0017089F" w:rsidRDefault="00BD0108" w:rsidP="00BD0108">
      <w:pPr>
        <w:spacing w:line="480" w:lineRule="auto"/>
        <w:rPr>
          <w:b/>
          <w:sz w:val="24"/>
          <w:szCs w:val="24"/>
        </w:rPr>
      </w:pPr>
      <w:r w:rsidRPr="0017089F">
        <w:rPr>
          <w:b/>
          <w:sz w:val="24"/>
          <w:szCs w:val="24"/>
        </w:rPr>
        <w:t>Functioning and Disability</w:t>
      </w:r>
    </w:p>
    <w:p w14:paraId="32ACC6A1" w14:textId="77777777" w:rsidR="00BD0108" w:rsidRPr="0017089F" w:rsidRDefault="00BD0108" w:rsidP="00BD0108">
      <w:pPr>
        <w:spacing w:line="480" w:lineRule="auto"/>
        <w:rPr>
          <w:sz w:val="24"/>
          <w:szCs w:val="24"/>
        </w:rPr>
      </w:pPr>
      <w:r w:rsidRPr="0017089F">
        <w:rPr>
          <w:sz w:val="24"/>
          <w:szCs w:val="24"/>
        </w:rPr>
        <w:t>‘</w:t>
      </w:r>
      <w:r w:rsidRPr="0017089F">
        <w:rPr>
          <w:i/>
          <w:sz w:val="24"/>
          <w:szCs w:val="24"/>
        </w:rPr>
        <w:t>Body structure</w:t>
      </w:r>
      <w:r w:rsidRPr="0017089F">
        <w:rPr>
          <w:sz w:val="24"/>
          <w:szCs w:val="24"/>
        </w:rPr>
        <w:t>’ - described under the ‘</w:t>
      </w:r>
      <w:r w:rsidRPr="0017089F">
        <w:rPr>
          <w:b/>
          <w:sz w:val="24"/>
          <w:szCs w:val="24"/>
        </w:rPr>
        <w:t>s</w:t>
      </w:r>
      <w:r w:rsidRPr="0017089F">
        <w:rPr>
          <w:sz w:val="24"/>
          <w:szCs w:val="24"/>
        </w:rPr>
        <w:t xml:space="preserve">’ terms, relate to </w:t>
      </w:r>
      <w:r w:rsidRPr="0017089F">
        <w:rPr>
          <w:i/>
          <w:sz w:val="24"/>
          <w:szCs w:val="24"/>
        </w:rPr>
        <w:t>abnormalities of anatomical structure</w:t>
      </w:r>
      <w:r w:rsidRPr="0017089F">
        <w:rPr>
          <w:sz w:val="24"/>
          <w:szCs w:val="24"/>
        </w:rPr>
        <w:t xml:space="preserve"> whether gross, </w:t>
      </w:r>
      <w:proofErr w:type="gramStart"/>
      <w:r w:rsidRPr="0017089F">
        <w:rPr>
          <w:sz w:val="24"/>
          <w:szCs w:val="24"/>
        </w:rPr>
        <w:t>histological</w:t>
      </w:r>
      <w:proofErr w:type="gramEnd"/>
      <w:r w:rsidRPr="0017089F">
        <w:rPr>
          <w:sz w:val="24"/>
          <w:szCs w:val="24"/>
        </w:rPr>
        <w:t xml:space="preserve"> or radiological assessment, such as abnormalities of lung parenchyma (s4301) or in finger joints (s73021).</w:t>
      </w:r>
    </w:p>
    <w:p w14:paraId="294CEF39" w14:textId="77777777" w:rsidR="00BD0108" w:rsidRPr="0017089F" w:rsidRDefault="00BD0108" w:rsidP="00BD0108">
      <w:pPr>
        <w:spacing w:line="480" w:lineRule="auto"/>
        <w:rPr>
          <w:sz w:val="24"/>
          <w:szCs w:val="24"/>
        </w:rPr>
      </w:pPr>
      <w:r w:rsidRPr="0017089F">
        <w:rPr>
          <w:sz w:val="24"/>
          <w:szCs w:val="24"/>
        </w:rPr>
        <w:t>‘</w:t>
      </w:r>
      <w:r w:rsidRPr="0017089F">
        <w:rPr>
          <w:i/>
          <w:sz w:val="24"/>
          <w:szCs w:val="24"/>
        </w:rPr>
        <w:t>Body function</w:t>
      </w:r>
      <w:r w:rsidRPr="0017089F">
        <w:rPr>
          <w:sz w:val="24"/>
          <w:szCs w:val="24"/>
        </w:rPr>
        <w:t>’ - described under the ‘</w:t>
      </w:r>
      <w:r w:rsidRPr="0017089F">
        <w:rPr>
          <w:b/>
          <w:sz w:val="24"/>
          <w:szCs w:val="24"/>
        </w:rPr>
        <w:t>b</w:t>
      </w:r>
      <w:r w:rsidRPr="0017089F">
        <w:rPr>
          <w:sz w:val="24"/>
          <w:szCs w:val="24"/>
        </w:rPr>
        <w:t xml:space="preserve">’ terms, and defined as physiologic functions of the body systems which includes </w:t>
      </w:r>
      <w:r w:rsidRPr="0017089F">
        <w:rPr>
          <w:i/>
          <w:sz w:val="24"/>
          <w:szCs w:val="24"/>
        </w:rPr>
        <w:t>symptomatic experience</w:t>
      </w:r>
      <w:r w:rsidRPr="0017089F">
        <w:rPr>
          <w:sz w:val="24"/>
          <w:szCs w:val="24"/>
        </w:rPr>
        <w:t xml:space="preserve"> of physical, mental and emotional functions such in what aspect the function of the heart, gastrointestinal or respiratory system does not work e.g. dyspnea (b460), cough (b450) or chest pain (b28011).</w:t>
      </w:r>
    </w:p>
    <w:p w14:paraId="0782244B" w14:textId="77777777" w:rsidR="00BD0108" w:rsidRPr="0017089F" w:rsidRDefault="00BD0108" w:rsidP="00BD0108">
      <w:pPr>
        <w:spacing w:line="480" w:lineRule="auto"/>
        <w:rPr>
          <w:sz w:val="24"/>
          <w:szCs w:val="24"/>
        </w:rPr>
      </w:pPr>
      <w:r w:rsidRPr="0017089F">
        <w:rPr>
          <w:sz w:val="24"/>
          <w:szCs w:val="24"/>
        </w:rPr>
        <w:lastRenderedPageBreak/>
        <w:t>‘</w:t>
      </w:r>
      <w:r w:rsidRPr="0017089F">
        <w:rPr>
          <w:i/>
          <w:sz w:val="24"/>
          <w:szCs w:val="24"/>
        </w:rPr>
        <w:t>Activities and participation</w:t>
      </w:r>
      <w:r w:rsidRPr="0017089F">
        <w:rPr>
          <w:sz w:val="24"/>
          <w:szCs w:val="24"/>
        </w:rPr>
        <w:t>’ organized under the ‘</w:t>
      </w:r>
      <w:r w:rsidRPr="0017089F">
        <w:rPr>
          <w:b/>
          <w:sz w:val="24"/>
          <w:szCs w:val="24"/>
        </w:rPr>
        <w:t>d</w:t>
      </w:r>
      <w:r w:rsidRPr="0017089F">
        <w:rPr>
          <w:sz w:val="24"/>
          <w:szCs w:val="24"/>
        </w:rPr>
        <w:t>’ terms, with ‘activities’ defined as execution of task or action by an individual and involvement in a life situation such as lifting (d4300), dressing (d540), bathing (d510), cooking (d630), bending (d4105) or moving between locations (d460) and ‘participation’ defined as involvement in life situations such as work (d850), college (d830), family (d760) and social life (d750).  The performance of activities and participation is the interface where abnormalities in structure/function precipitate as a disability – when a person attempts to interact with the many activities of life. An example of this would be, showering impaired by severe dyspnea or buttoning impaired by symptoms of rheumatoid arthritis.</w:t>
      </w:r>
    </w:p>
    <w:p w14:paraId="26B708C5" w14:textId="77777777" w:rsidR="00BD0108" w:rsidRPr="0017089F" w:rsidRDefault="00BD0108" w:rsidP="00BD0108">
      <w:pPr>
        <w:spacing w:line="480" w:lineRule="auto"/>
        <w:rPr>
          <w:b/>
          <w:sz w:val="24"/>
          <w:szCs w:val="24"/>
        </w:rPr>
      </w:pPr>
      <w:r w:rsidRPr="0017089F">
        <w:rPr>
          <w:b/>
          <w:sz w:val="24"/>
          <w:szCs w:val="24"/>
        </w:rPr>
        <w:t>Contextual Factors</w:t>
      </w:r>
    </w:p>
    <w:p w14:paraId="56D837E5" w14:textId="77777777" w:rsidR="00BD0108" w:rsidRPr="0017089F" w:rsidRDefault="00BD0108" w:rsidP="00BD0108">
      <w:pPr>
        <w:pStyle w:val="CommentText"/>
        <w:spacing w:line="480" w:lineRule="auto"/>
        <w:rPr>
          <w:sz w:val="24"/>
          <w:szCs w:val="24"/>
        </w:rPr>
      </w:pPr>
      <w:r w:rsidRPr="0017089F">
        <w:rPr>
          <w:sz w:val="24"/>
          <w:szCs w:val="24"/>
        </w:rPr>
        <w:t>‘</w:t>
      </w:r>
      <w:r w:rsidRPr="0017089F">
        <w:rPr>
          <w:i/>
          <w:sz w:val="24"/>
          <w:szCs w:val="24"/>
        </w:rPr>
        <w:t>Environmental factors</w:t>
      </w:r>
      <w:r w:rsidRPr="0017089F">
        <w:rPr>
          <w:sz w:val="24"/>
          <w:szCs w:val="24"/>
        </w:rPr>
        <w:t>’ (external factors) - under ‘</w:t>
      </w:r>
      <w:r w:rsidRPr="0017089F">
        <w:rPr>
          <w:b/>
          <w:sz w:val="24"/>
          <w:szCs w:val="24"/>
        </w:rPr>
        <w:t>e</w:t>
      </w:r>
      <w:r w:rsidRPr="0017089F">
        <w:rPr>
          <w:sz w:val="24"/>
          <w:szCs w:val="24"/>
        </w:rPr>
        <w:t>’ terms - describe factors that influence one’s ability.  The same codes apply to both facilitators, e.g. attitudes of immediate family members (e410</w:t>
      </w:r>
      <w:r w:rsidRPr="0017089F">
        <w:rPr>
          <w:sz w:val="24"/>
          <w:szCs w:val="24"/>
          <w:vertAlign w:val="superscript"/>
        </w:rPr>
        <w:t>+</w:t>
      </w:r>
      <w:r w:rsidRPr="0017089F">
        <w:rPr>
          <w:sz w:val="24"/>
          <w:szCs w:val="24"/>
        </w:rPr>
        <w:t>), medications or oxygen (e1101</w:t>
      </w:r>
      <w:r w:rsidRPr="0017089F">
        <w:rPr>
          <w:sz w:val="24"/>
          <w:szCs w:val="24"/>
          <w:vertAlign w:val="superscript"/>
        </w:rPr>
        <w:t>+</w:t>
      </w:r>
      <w:r w:rsidRPr="0017089F">
        <w:rPr>
          <w:sz w:val="24"/>
          <w:szCs w:val="24"/>
        </w:rPr>
        <w:t>), and assistive devices (e1151</w:t>
      </w:r>
      <w:r w:rsidRPr="0017089F">
        <w:rPr>
          <w:sz w:val="24"/>
          <w:szCs w:val="24"/>
          <w:vertAlign w:val="superscript"/>
        </w:rPr>
        <w:t>+</w:t>
      </w:r>
      <w:r w:rsidRPr="0017089F">
        <w:rPr>
          <w:sz w:val="24"/>
          <w:szCs w:val="24"/>
        </w:rPr>
        <w:t xml:space="preserve">); or barriers e.g. stressful family relations (e410), social attitudes (e460), stairs (e150), lack of income (e1650), cold climate (e2250), distance from health services (e5800).  Facilitators are differentiated by a ‘+’ in the notation.  </w:t>
      </w:r>
    </w:p>
    <w:p w14:paraId="3FE52D39" w14:textId="77777777" w:rsidR="00BD0108" w:rsidRPr="0017089F" w:rsidRDefault="00BD0108" w:rsidP="00BD0108">
      <w:pPr>
        <w:spacing w:after="0" w:line="480" w:lineRule="auto"/>
        <w:rPr>
          <w:sz w:val="24"/>
          <w:szCs w:val="24"/>
        </w:rPr>
      </w:pPr>
      <w:r w:rsidRPr="0017089F">
        <w:rPr>
          <w:sz w:val="24"/>
          <w:szCs w:val="24"/>
        </w:rPr>
        <w:t>Each of these domains deconstructs disability into chapters which are the 1</w:t>
      </w:r>
      <w:r w:rsidRPr="0017089F">
        <w:rPr>
          <w:sz w:val="24"/>
          <w:szCs w:val="24"/>
          <w:vertAlign w:val="superscript"/>
        </w:rPr>
        <w:t>st</w:t>
      </w:r>
      <w:r w:rsidRPr="0017089F">
        <w:rPr>
          <w:sz w:val="24"/>
          <w:szCs w:val="24"/>
        </w:rPr>
        <w:t xml:space="preserve"> level of classification under which impairment, limitation, or restriction can be hierarchically detailed in further levels of classification. For example, ‘dysphagia’ would be:  ‘b51052’; whereby: </w:t>
      </w:r>
    </w:p>
    <w:p w14:paraId="5604C629" w14:textId="77777777" w:rsidR="00BD0108" w:rsidRPr="0017089F" w:rsidRDefault="00BD0108" w:rsidP="00BD0108">
      <w:pPr>
        <w:spacing w:after="0" w:line="480" w:lineRule="auto"/>
        <w:ind w:left="288" w:right="432"/>
        <w:rPr>
          <w:sz w:val="24"/>
          <w:szCs w:val="24"/>
        </w:rPr>
      </w:pPr>
      <w:r w:rsidRPr="0017089F">
        <w:rPr>
          <w:sz w:val="24"/>
          <w:szCs w:val="24"/>
        </w:rPr>
        <w:t>‘b5’ is the body functions chapter ‘</w:t>
      </w:r>
      <w:r w:rsidRPr="0017089F">
        <w:rPr>
          <w:i/>
          <w:sz w:val="24"/>
          <w:szCs w:val="24"/>
        </w:rPr>
        <w:t>Functions of the digestive, metabolic and endocrine systems</w:t>
      </w:r>
      <w:r w:rsidRPr="0017089F">
        <w:rPr>
          <w:sz w:val="24"/>
          <w:szCs w:val="24"/>
        </w:rPr>
        <w:t xml:space="preserve">’, </w:t>
      </w:r>
      <w:r w:rsidR="008E6042">
        <w:rPr>
          <w:sz w:val="24"/>
          <w:szCs w:val="24"/>
        </w:rPr>
        <w:t xml:space="preserve">   </w:t>
      </w:r>
    </w:p>
    <w:p w14:paraId="103306A9" w14:textId="77777777" w:rsidR="00BD0108" w:rsidRPr="0017089F" w:rsidRDefault="00BD0108" w:rsidP="00BD0108">
      <w:pPr>
        <w:spacing w:after="0" w:line="480" w:lineRule="auto"/>
        <w:ind w:left="288" w:right="432"/>
        <w:rPr>
          <w:sz w:val="24"/>
          <w:szCs w:val="24"/>
        </w:rPr>
      </w:pPr>
      <w:r w:rsidRPr="0017089F">
        <w:rPr>
          <w:sz w:val="24"/>
          <w:szCs w:val="24"/>
        </w:rPr>
        <w:lastRenderedPageBreak/>
        <w:t>‘b510’ is the 2nd level classification of ‘</w:t>
      </w:r>
      <w:r w:rsidRPr="0017089F">
        <w:rPr>
          <w:i/>
          <w:sz w:val="24"/>
          <w:szCs w:val="24"/>
        </w:rPr>
        <w:t>Ingestion functions’</w:t>
      </w:r>
      <w:r w:rsidRPr="0017089F">
        <w:rPr>
          <w:sz w:val="24"/>
          <w:szCs w:val="24"/>
        </w:rPr>
        <w:t xml:space="preserve">, </w:t>
      </w:r>
    </w:p>
    <w:p w14:paraId="10934D3A" w14:textId="77777777" w:rsidR="00BD0108" w:rsidRPr="0017089F" w:rsidRDefault="00BD0108" w:rsidP="00BD0108">
      <w:pPr>
        <w:spacing w:after="0" w:line="480" w:lineRule="auto"/>
        <w:ind w:left="288" w:right="432"/>
        <w:rPr>
          <w:sz w:val="24"/>
          <w:szCs w:val="24"/>
        </w:rPr>
      </w:pPr>
      <w:r w:rsidRPr="0017089F">
        <w:rPr>
          <w:sz w:val="24"/>
          <w:szCs w:val="24"/>
        </w:rPr>
        <w:t>‘b5105’ is the 3rd level of ‘</w:t>
      </w:r>
      <w:r w:rsidRPr="0017089F">
        <w:rPr>
          <w:i/>
          <w:sz w:val="24"/>
          <w:szCs w:val="24"/>
        </w:rPr>
        <w:t>Swallowing’</w:t>
      </w:r>
      <w:r w:rsidRPr="0017089F">
        <w:rPr>
          <w:sz w:val="24"/>
          <w:szCs w:val="24"/>
        </w:rPr>
        <w:t xml:space="preserve">; and </w:t>
      </w:r>
    </w:p>
    <w:p w14:paraId="7E0656A6" w14:textId="77777777" w:rsidR="00BD0108" w:rsidRPr="0017089F" w:rsidRDefault="00BD0108" w:rsidP="00BD0108">
      <w:pPr>
        <w:spacing w:after="0" w:line="480" w:lineRule="auto"/>
        <w:ind w:left="288" w:right="432"/>
        <w:rPr>
          <w:sz w:val="24"/>
          <w:szCs w:val="24"/>
        </w:rPr>
      </w:pPr>
      <w:r w:rsidRPr="0017089F">
        <w:rPr>
          <w:sz w:val="24"/>
          <w:szCs w:val="24"/>
        </w:rPr>
        <w:t>‘b51052’ is the detailed descriptor of ‘</w:t>
      </w:r>
      <w:r w:rsidRPr="0017089F">
        <w:rPr>
          <w:i/>
          <w:sz w:val="24"/>
          <w:szCs w:val="24"/>
        </w:rPr>
        <w:t>Esophageal swallowing’</w:t>
      </w:r>
      <w:r w:rsidRPr="0017089F">
        <w:rPr>
          <w:sz w:val="24"/>
          <w:szCs w:val="24"/>
        </w:rPr>
        <w:t xml:space="preserve">.   </w:t>
      </w:r>
    </w:p>
    <w:p w14:paraId="5437216E" w14:textId="77777777" w:rsidR="00BD0108" w:rsidRPr="0017089F" w:rsidRDefault="00BD0108" w:rsidP="00BD0108">
      <w:pPr>
        <w:spacing w:line="480" w:lineRule="auto"/>
        <w:rPr>
          <w:sz w:val="24"/>
          <w:szCs w:val="24"/>
        </w:rPr>
      </w:pPr>
      <w:r w:rsidRPr="0017089F">
        <w:rPr>
          <w:sz w:val="24"/>
          <w:szCs w:val="24"/>
        </w:rPr>
        <w:t>The degree of disability may be reported using the ICF prescribed rating scale (no, mild, moderate, severe and complete disability).</w:t>
      </w:r>
    </w:p>
    <w:p w14:paraId="620A4E01" w14:textId="77777777" w:rsidR="00BD0108" w:rsidRPr="0017089F" w:rsidRDefault="00BD0108" w:rsidP="00BD0108">
      <w:pPr>
        <w:spacing w:after="0" w:line="480" w:lineRule="auto"/>
        <w:rPr>
          <w:sz w:val="24"/>
          <w:szCs w:val="24"/>
        </w:rPr>
      </w:pPr>
      <w:r w:rsidRPr="0017089F">
        <w:rPr>
          <w:sz w:val="24"/>
          <w:szCs w:val="24"/>
        </w:rPr>
        <w:t>‘</w:t>
      </w:r>
      <w:r w:rsidRPr="0017089F">
        <w:rPr>
          <w:i/>
          <w:sz w:val="24"/>
          <w:szCs w:val="24"/>
        </w:rPr>
        <w:t>Personal factors’</w:t>
      </w:r>
      <w:r w:rsidRPr="0017089F">
        <w:rPr>
          <w:sz w:val="24"/>
          <w:szCs w:val="24"/>
        </w:rPr>
        <w:t xml:space="preserve"> (internal factors) are a developing area of the ICF and are individualized factors independent of the health condition that may have an influence on disability–the impact of which is presumed to vary depending on location and strength of culture. These factors may include gender, race, age, co-morbidities, lifestyle, coping styles, social background, behavior and psychological characteristics. </w:t>
      </w:r>
    </w:p>
    <w:p w14:paraId="405F5C6C" w14:textId="77777777" w:rsidR="003E573C" w:rsidRDefault="003E573C"/>
    <w:sectPr w:rsidR="003E573C" w:rsidSect="00747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D0108"/>
    <w:rsid w:val="002A760C"/>
    <w:rsid w:val="003E573C"/>
    <w:rsid w:val="003F08DA"/>
    <w:rsid w:val="005D6FA6"/>
    <w:rsid w:val="00732448"/>
    <w:rsid w:val="00747C83"/>
    <w:rsid w:val="007A0D4E"/>
    <w:rsid w:val="008744BB"/>
    <w:rsid w:val="008E5575"/>
    <w:rsid w:val="008E6042"/>
    <w:rsid w:val="00A54ED7"/>
    <w:rsid w:val="00BD0108"/>
    <w:rsid w:val="00D319C0"/>
    <w:rsid w:val="00EE1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6EC6"/>
  <w15:docId w15:val="{24588A47-5F56-4665-A194-A3157303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10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D0108"/>
    <w:rPr>
      <w:sz w:val="20"/>
      <w:szCs w:val="20"/>
    </w:rPr>
  </w:style>
  <w:style w:type="character" w:customStyle="1" w:styleId="CommentTextChar">
    <w:name w:val="Comment Text Char"/>
    <w:basedOn w:val="DefaultParagraphFont"/>
    <w:link w:val="CommentText"/>
    <w:uiPriority w:val="99"/>
    <w:rsid w:val="00BD010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A7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60C"/>
    <w:rPr>
      <w:rFonts w:ascii="Tahoma" w:eastAsia="Calibri" w:hAnsi="Tahoma" w:cs="Tahoma"/>
      <w:sz w:val="16"/>
      <w:szCs w:val="16"/>
    </w:rPr>
  </w:style>
  <w:style w:type="character" w:styleId="LineNumber">
    <w:name w:val="line number"/>
    <w:basedOn w:val="DefaultParagraphFont"/>
    <w:uiPriority w:val="99"/>
    <w:semiHidden/>
    <w:unhideWhenUsed/>
    <w:rsid w:val="005D6FA6"/>
  </w:style>
  <w:style w:type="paragraph" w:customStyle="1" w:styleId="Default">
    <w:name w:val="Default"/>
    <w:rsid w:val="008744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1404</Words>
  <Characters>8878</Characters>
  <Application>Microsoft Office Word</Application>
  <DocSecurity>0</DocSecurity>
  <Lines>522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Saketkoo</dc:creator>
  <cp:lastModifiedBy>Saketkoo, Lesley Ann</cp:lastModifiedBy>
  <cp:revision>6</cp:revision>
  <dcterms:created xsi:type="dcterms:W3CDTF">2017-01-11T02:34:00Z</dcterms:created>
  <dcterms:modified xsi:type="dcterms:W3CDTF">2022-06-27T21:37:00Z</dcterms:modified>
</cp:coreProperties>
</file>