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D2C6" w14:textId="77777777" w:rsidR="00F16E09" w:rsidRDefault="00F16E09" w:rsidP="00F16E09">
      <w:pPr>
        <w:spacing w:line="48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lang w:bidi="ar"/>
        </w:rPr>
        <w:t xml:space="preserve">Dietary Oxidized Beef Protein </w:t>
      </w:r>
      <w:r>
        <w:rPr>
          <w:rFonts w:ascii="Times New Roman" w:hAnsi="Times New Roman" w:cs="Times New Roman"/>
          <w:b/>
          <w:bCs/>
          <w:color w:val="000000"/>
        </w:rPr>
        <w:t xml:space="preserve">Alters Gut Microbiota and Induces </w:t>
      </w:r>
      <w:bookmarkStart w:id="0" w:name="_Hlk100680370"/>
      <w:r>
        <w:rPr>
          <w:rFonts w:ascii="Times New Roman" w:hAnsi="Times New Roman" w:cs="Times New Roman"/>
          <w:b/>
          <w:bCs/>
          <w:color w:val="000000"/>
        </w:rPr>
        <w:t xml:space="preserve">Colonic </w:t>
      </w:r>
      <w:r>
        <w:rPr>
          <w:rFonts w:ascii="Times New Roman" w:eastAsia="AdvOT2e364b11" w:hAnsi="Times New Roman" w:cs="Times New Roman"/>
          <w:b/>
          <w:bCs/>
          <w:lang w:bidi="ar"/>
        </w:rPr>
        <w:t>I</w:t>
      </w:r>
      <w:r w:rsidRPr="008E11C1">
        <w:rPr>
          <w:rFonts w:ascii="Times New Roman" w:eastAsia="AdvOT2e364b11" w:hAnsi="Times New Roman" w:cs="Times New Roman"/>
          <w:b/>
          <w:bCs/>
          <w:lang w:bidi="ar"/>
        </w:rPr>
        <w:t xml:space="preserve">nflammatory </w:t>
      </w:r>
      <w:r>
        <w:rPr>
          <w:rFonts w:ascii="Times New Roman" w:eastAsia="AdvOT2e364b11" w:hAnsi="Times New Roman" w:cs="Times New Roman"/>
          <w:b/>
          <w:bCs/>
          <w:lang w:bidi="ar"/>
        </w:rPr>
        <w:t>D</w:t>
      </w:r>
      <w:r w:rsidRPr="008E11C1">
        <w:rPr>
          <w:rFonts w:ascii="Times New Roman" w:eastAsia="AdvOT2e364b11" w:hAnsi="Times New Roman" w:cs="Times New Roman"/>
          <w:b/>
          <w:bCs/>
          <w:lang w:bidi="ar"/>
        </w:rPr>
        <w:t>amage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color w:val="000000"/>
          <w:lang w:bidi="ar"/>
        </w:rPr>
        <w:t>in C57BL/6 Mice</w:t>
      </w:r>
    </w:p>
    <w:p w14:paraId="788949E4" w14:textId="77777777" w:rsidR="00D857F5" w:rsidRPr="004B3F43" w:rsidRDefault="00D857F5" w:rsidP="004B3F43">
      <w:pPr>
        <w:spacing w:line="480" w:lineRule="auto"/>
        <w:rPr>
          <w:rFonts w:ascii="Times New Roman" w:hAnsi="Times New Roman" w:cs="Times New Roman"/>
          <w:sz w:val="24"/>
        </w:rPr>
      </w:pPr>
      <w:r w:rsidRPr="004B3F43">
        <w:rPr>
          <w:rFonts w:ascii="Times New Roman" w:hAnsi="Times New Roman" w:cs="Times New Roman"/>
          <w:sz w:val="24"/>
        </w:rPr>
        <w:t>Yantao Yin, Jiaming Cai, Lei Zhou, Lujuan Xing, Wangang Zhang</w:t>
      </w:r>
      <w:r w:rsidRPr="004B3F43">
        <w:rPr>
          <w:rFonts w:ascii="Times New Roman" w:hAnsi="Times New Roman" w:cs="Times New Roman"/>
          <w:sz w:val="24"/>
          <w:vertAlign w:val="superscript"/>
        </w:rPr>
        <w:t>#</w:t>
      </w:r>
    </w:p>
    <w:p w14:paraId="45E4A098" w14:textId="77777777" w:rsidR="00D857F5" w:rsidRPr="004B3F43" w:rsidRDefault="00D857F5" w:rsidP="004B3F43">
      <w:pPr>
        <w:spacing w:line="480" w:lineRule="auto"/>
        <w:ind w:rightChars="15" w:right="31"/>
        <w:rPr>
          <w:rFonts w:ascii="Times New Roman" w:hAnsi="Times New Roman" w:cs="Times New Roman"/>
          <w:i/>
          <w:iCs/>
          <w:sz w:val="24"/>
        </w:rPr>
      </w:pPr>
      <w:r w:rsidRPr="004B3F43">
        <w:rPr>
          <w:rFonts w:ascii="Times New Roman" w:hAnsi="Times New Roman" w:cs="Times New Roman"/>
          <w:i/>
          <w:iCs/>
          <w:sz w:val="24"/>
        </w:rPr>
        <w:t>Key Laboratory of Meat Processing and Quality Control, Ministry of Education China, College of Food Science and Technology, Nanjing Agricultural University, Nanjing 210095, China</w:t>
      </w:r>
    </w:p>
    <w:p w14:paraId="6EF1CF4B" w14:textId="77777777" w:rsidR="00D857F5" w:rsidRPr="004B3F43" w:rsidRDefault="00D857F5" w:rsidP="004B3F43">
      <w:pPr>
        <w:spacing w:line="480" w:lineRule="auto"/>
        <w:rPr>
          <w:rFonts w:ascii="Times New Roman" w:hAnsi="Times New Roman" w:cs="Times New Roman"/>
          <w:sz w:val="24"/>
        </w:rPr>
      </w:pPr>
      <w:r w:rsidRPr="004B3F43">
        <w:rPr>
          <w:rFonts w:ascii="Times New Roman" w:hAnsi="Times New Roman" w:cs="Times New Roman"/>
          <w:sz w:val="24"/>
        </w:rPr>
        <w:t>Corresponding author: Wangang Zhang</w:t>
      </w:r>
      <w:r w:rsidRPr="004B3F43">
        <w:rPr>
          <w:rFonts w:ascii="Times New Roman" w:hAnsi="Times New Roman" w:cs="Times New Roman"/>
          <w:sz w:val="24"/>
          <w:vertAlign w:val="superscript"/>
        </w:rPr>
        <w:t>#</w:t>
      </w:r>
      <w:r w:rsidRPr="004B3F43">
        <w:rPr>
          <w:rFonts w:ascii="Times New Roman" w:hAnsi="Times New Roman" w:cs="Times New Roman"/>
          <w:sz w:val="24"/>
        </w:rPr>
        <w:t xml:space="preserve"> (</w:t>
      </w:r>
      <w:hyperlink r:id="rId7" w:history="1">
        <w:r w:rsidRPr="004B3F43">
          <w:rPr>
            <w:rStyle w:val="15"/>
            <w:sz w:val="24"/>
          </w:rPr>
          <w:t>wangang.zhang@njau.edu.cn</w:t>
        </w:r>
      </w:hyperlink>
      <w:r w:rsidRPr="004B3F43">
        <w:rPr>
          <w:rFonts w:ascii="Times New Roman" w:hAnsi="Times New Roman" w:cs="Times New Roman"/>
          <w:sz w:val="24"/>
        </w:rPr>
        <w:t xml:space="preserve">) </w:t>
      </w:r>
    </w:p>
    <w:p w14:paraId="4DAA558C" w14:textId="77777777" w:rsidR="00D857F5" w:rsidRPr="004B3F43" w:rsidRDefault="00D857F5" w:rsidP="004B3F43">
      <w:pPr>
        <w:spacing w:afterLines="50" w:after="156" w:line="480" w:lineRule="auto"/>
        <w:rPr>
          <w:rFonts w:ascii="Times New Roman" w:eastAsia="SimSun" w:hAnsi="Times New Roman" w:cs="Times New Roman"/>
          <w:b/>
          <w:sz w:val="24"/>
        </w:rPr>
      </w:pPr>
    </w:p>
    <w:p w14:paraId="1AA0CBE1" w14:textId="77777777" w:rsidR="00D857F5" w:rsidRPr="004B3F43" w:rsidRDefault="00D857F5" w:rsidP="004B3F43">
      <w:pPr>
        <w:spacing w:afterLines="50" w:after="156" w:line="480" w:lineRule="auto"/>
        <w:rPr>
          <w:rFonts w:ascii="Times New Roman" w:eastAsia="SimSun" w:hAnsi="Times New Roman" w:cs="Times New Roman"/>
          <w:b/>
          <w:sz w:val="24"/>
        </w:rPr>
      </w:pPr>
      <w:r w:rsidRPr="004B3F43">
        <w:rPr>
          <w:rFonts w:ascii="Times New Roman" w:eastAsia="SimSun" w:hAnsi="Times New Roman" w:cs="Times New Roman"/>
          <w:b/>
          <w:sz w:val="24"/>
        </w:rPr>
        <w:t>Supporting Information</w:t>
      </w:r>
    </w:p>
    <w:p w14:paraId="25BA3F6C" w14:textId="77777777" w:rsidR="00D857F5" w:rsidRPr="004B3F43" w:rsidRDefault="00D857F5" w:rsidP="004B3F43">
      <w:pPr>
        <w:pStyle w:val="Defaul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B3F43">
        <w:rPr>
          <w:rFonts w:ascii="Times New Roman" w:hAnsi="Times New Roman" w:cs="Times New Roman"/>
          <w:b/>
          <w:bCs/>
          <w:color w:val="auto"/>
        </w:rPr>
        <w:t>Measurement of carbonyl content</w:t>
      </w:r>
    </w:p>
    <w:p w14:paraId="751FCD0D" w14:textId="20CB6925" w:rsidR="00D857F5" w:rsidRPr="004B3F43" w:rsidRDefault="00D857F5" w:rsidP="004B3F43">
      <w:pPr>
        <w:spacing w:line="48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4B3F43">
        <w:rPr>
          <w:rFonts w:ascii="Times New Roman" w:hAnsi="Times New Roman" w:cs="Times New Roman"/>
          <w:sz w:val="24"/>
        </w:rPr>
        <w:t xml:space="preserve">The </w:t>
      </w:r>
      <w:r w:rsidR="00DC4B31" w:rsidRPr="004B3F43">
        <w:rPr>
          <w:rFonts w:ascii="Times New Roman" w:hAnsi="Times New Roman" w:cs="Times New Roman"/>
          <w:sz w:val="24"/>
        </w:rPr>
        <w:t xml:space="preserve">determination of </w:t>
      </w:r>
      <w:r w:rsidRPr="004B3F43">
        <w:rPr>
          <w:rFonts w:ascii="Times New Roman" w:hAnsi="Times New Roman" w:cs="Times New Roman"/>
          <w:sz w:val="24"/>
        </w:rPr>
        <w:t xml:space="preserve">carbonyl </w:t>
      </w:r>
      <w:r w:rsidR="00DC4B31" w:rsidRPr="004B3F43">
        <w:rPr>
          <w:rFonts w:ascii="Times New Roman" w:hAnsi="Times New Roman" w:cs="Times New Roman"/>
          <w:sz w:val="24"/>
        </w:rPr>
        <w:t xml:space="preserve">following </w:t>
      </w:r>
      <w:r w:rsidRPr="004B3F43">
        <w:rPr>
          <w:rFonts w:ascii="Times New Roman" w:hAnsi="Times New Roman" w:cs="Times New Roman"/>
          <w:sz w:val="24"/>
        </w:rPr>
        <w:t>the method describe</w:t>
      </w:r>
      <w:r w:rsidRPr="00F16E09">
        <w:rPr>
          <w:rFonts w:ascii="Times New Roman" w:hAnsi="Times New Roman" w:cs="Times New Roman"/>
          <w:sz w:val="24"/>
        </w:rPr>
        <w:t xml:space="preserve">d by </w:t>
      </w:r>
      <w:r w:rsidRPr="00F16E09">
        <w:rPr>
          <w:rFonts w:ascii="Times New Roman" w:hAnsi="Times New Roman" w:cs="Times New Roman"/>
          <w:noProof/>
          <w:sz w:val="24"/>
        </w:rPr>
        <w:t>Zhang</w:t>
      </w:r>
      <w:r w:rsidR="00F16E09" w:rsidRPr="00F16E09">
        <w:rPr>
          <w:rFonts w:ascii="Times New Roman" w:hAnsi="Times New Roman" w:cs="Times New Roman"/>
          <w:noProof/>
          <w:sz w:val="24"/>
        </w:rPr>
        <w:t xml:space="preserve"> </w:t>
      </w:r>
      <w:r w:rsidR="00F16E09" w:rsidRPr="00F16E09">
        <w:rPr>
          <w:rFonts w:ascii="Times New Roman" w:hAnsi="Times New Roman" w:cs="Times New Roman" w:hint="eastAsia"/>
          <w:noProof/>
          <w:sz w:val="24"/>
        </w:rPr>
        <w:t>et</w:t>
      </w:r>
      <w:r w:rsidR="00F16E09" w:rsidRPr="00F16E09">
        <w:rPr>
          <w:rFonts w:ascii="Times New Roman" w:hAnsi="Times New Roman" w:cs="Times New Roman"/>
          <w:noProof/>
          <w:sz w:val="24"/>
        </w:rPr>
        <w:t xml:space="preserve"> al</w:t>
      </w:r>
      <w:r w:rsidR="00F16E09">
        <w:rPr>
          <w:rFonts w:ascii="Times New Roman" w:hAnsi="Times New Roman" w:cs="Times New Roman"/>
          <w:noProof/>
          <w:color w:val="4472C4" w:themeColor="accent1"/>
          <w:sz w:val="24"/>
        </w:rPr>
        <w:t xml:space="preserve"> [1]</w:t>
      </w:r>
      <w:r w:rsidRPr="004B3F43">
        <w:rPr>
          <w:rFonts w:ascii="Times New Roman" w:hAnsi="Times New Roman" w:cs="Times New Roman"/>
          <w:sz w:val="24"/>
        </w:rPr>
        <w:t>.</w:t>
      </w:r>
      <w:r w:rsidRPr="004B3F43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4B3F43">
        <w:rPr>
          <w:rFonts w:ascii="Times New Roman" w:eastAsia="FangSong" w:hAnsi="Times New Roman" w:cs="Times New Roman"/>
          <w:kern w:val="0"/>
          <w:sz w:val="24"/>
        </w:rPr>
        <w:t>Each of 2 g feed was homogenized in 20 mL of pyrophosphate butter (2.0 mM Na</w:t>
      </w:r>
      <w:r w:rsidRPr="004B3F43">
        <w:rPr>
          <w:rFonts w:ascii="Times New Roman" w:eastAsia="FangSong" w:hAnsi="Times New Roman" w:cs="Times New Roman"/>
          <w:kern w:val="0"/>
          <w:sz w:val="24"/>
          <w:vertAlign w:val="subscript"/>
        </w:rPr>
        <w:t>4</w:t>
      </w:r>
      <w:r w:rsidRPr="004B3F43">
        <w:rPr>
          <w:rFonts w:ascii="Times New Roman" w:eastAsia="FangSong" w:hAnsi="Times New Roman" w:cs="Times New Roman"/>
          <w:kern w:val="0"/>
          <w:sz w:val="24"/>
        </w:rPr>
        <w:t>P</w:t>
      </w:r>
      <w:r w:rsidRPr="004B3F43">
        <w:rPr>
          <w:rFonts w:ascii="Times New Roman" w:eastAsia="FangSong" w:hAnsi="Times New Roman" w:cs="Times New Roman"/>
          <w:kern w:val="0"/>
          <w:sz w:val="24"/>
          <w:vertAlign w:val="subscript"/>
        </w:rPr>
        <w:t>2</w:t>
      </w:r>
      <w:r w:rsidRPr="004B3F43">
        <w:rPr>
          <w:rFonts w:ascii="Times New Roman" w:eastAsia="FangSong" w:hAnsi="Times New Roman" w:cs="Times New Roman"/>
          <w:kern w:val="0"/>
          <w:sz w:val="24"/>
        </w:rPr>
        <w:t>O</w:t>
      </w:r>
      <w:r w:rsidRPr="004B3F43">
        <w:rPr>
          <w:rFonts w:ascii="Times New Roman" w:eastAsia="FangSong" w:hAnsi="Times New Roman" w:cs="Times New Roman"/>
          <w:kern w:val="0"/>
          <w:sz w:val="24"/>
          <w:vertAlign w:val="subscript"/>
        </w:rPr>
        <w:t>7</w:t>
      </w:r>
      <w:r w:rsidRPr="004B3F43">
        <w:rPr>
          <w:rFonts w:ascii="Times New Roman" w:eastAsia="FangSong" w:hAnsi="Times New Roman" w:cs="Times New Roman"/>
          <w:kern w:val="0"/>
          <w:sz w:val="24"/>
        </w:rPr>
        <w:t>, 10 mM trizma-maleate, 100 mM KCl, 2.0 mM MgCl</w:t>
      </w:r>
      <w:r w:rsidRPr="004B3F43">
        <w:rPr>
          <w:rFonts w:ascii="Times New Roman" w:eastAsia="FangSong" w:hAnsi="Times New Roman" w:cs="Times New Roman"/>
          <w:kern w:val="0"/>
          <w:sz w:val="24"/>
          <w:vertAlign w:val="subscript"/>
        </w:rPr>
        <w:t>2</w:t>
      </w:r>
      <w:r w:rsidRPr="004B3F43">
        <w:rPr>
          <w:rFonts w:ascii="Times New Roman" w:eastAsia="FangSong" w:hAnsi="Times New Roman" w:cs="Times New Roman"/>
          <w:kern w:val="0"/>
          <w:sz w:val="24"/>
        </w:rPr>
        <w:t xml:space="preserve">, and 2.0 mM EGTA, pH 7.4) using a homogenizer (IKA, Staufen, Germany). Then, 2mL of the homogenate was mixed with equal volume of trichloroacetic acid (TCA, 20%) followed by centrifugation. After centrifugation, the precipitant was incubated with 2 mL of </w:t>
      </w:r>
      <w:r w:rsidRPr="004B3F43">
        <w:rPr>
          <w:rFonts w:ascii="Times New Roman" w:eastAsia="FangSong" w:hAnsi="Times New Roman" w:cs="Times New Roman"/>
          <w:sz w:val="24"/>
        </w:rPr>
        <w:t xml:space="preserve">10 mM </w:t>
      </w:r>
      <w:r w:rsidRPr="004B3F43">
        <w:rPr>
          <w:rFonts w:ascii="Times New Roman" w:eastAsia="FangSong" w:hAnsi="Times New Roman" w:cs="Times New Roman"/>
          <w:kern w:val="0"/>
          <w:sz w:val="24"/>
        </w:rPr>
        <w:t xml:space="preserve">DNPH </w:t>
      </w:r>
      <w:r w:rsidRPr="004B3F43">
        <w:rPr>
          <w:rFonts w:ascii="Times New Roman" w:eastAsia="FangSong" w:hAnsi="Times New Roman" w:cs="Times New Roman"/>
          <w:sz w:val="24"/>
        </w:rPr>
        <w:t xml:space="preserve">solution (dissolved in 2 M HCl) </w:t>
      </w:r>
      <w:r w:rsidRPr="004B3F43">
        <w:rPr>
          <w:rFonts w:ascii="Times New Roman" w:eastAsia="FangSong" w:hAnsi="Times New Roman" w:cs="Times New Roman"/>
          <w:kern w:val="0"/>
          <w:sz w:val="24"/>
        </w:rPr>
        <w:t xml:space="preserve">at 37 </w:t>
      </w:r>
      <w:r w:rsidRPr="004B3F43">
        <w:rPr>
          <w:rFonts w:ascii="Times New Roman" w:eastAsia="FangSong" w:hAnsi="Times New Roman" w:cs="Times New Roman"/>
          <w:sz w:val="24"/>
        </w:rPr>
        <w:t>°C</w:t>
      </w:r>
      <w:r w:rsidRPr="004B3F43">
        <w:rPr>
          <w:rFonts w:ascii="Times New Roman" w:eastAsia="FangSong" w:hAnsi="Times New Roman" w:cs="Times New Roman"/>
          <w:kern w:val="0"/>
          <w:sz w:val="24"/>
        </w:rPr>
        <w:t xml:space="preserve"> for 1 h. Then, the mixture was further precipitated with 2 mL of TCA (20%) and centrifuged at 12,000 for 10 min. After that, t</w:t>
      </w:r>
      <w:r w:rsidRPr="004B3F43">
        <w:rPr>
          <w:rFonts w:ascii="Times New Roman" w:eastAsia="FangSong" w:hAnsi="Times New Roman" w:cs="Times New Roman"/>
          <w:sz w:val="24"/>
        </w:rPr>
        <w:t xml:space="preserve">he precipitate was washed 4 times </w:t>
      </w:r>
      <w:r w:rsidRPr="004B3F43">
        <w:rPr>
          <w:rFonts w:ascii="Times New Roman" w:eastAsia="FangSong" w:hAnsi="Times New Roman" w:cs="Times New Roman"/>
          <w:kern w:val="0"/>
          <w:sz w:val="24"/>
        </w:rPr>
        <w:t xml:space="preserve">with 2 mL of </w:t>
      </w:r>
      <w:r w:rsidRPr="004B3F43">
        <w:rPr>
          <w:rFonts w:ascii="Times New Roman" w:eastAsia="FangSong" w:hAnsi="Times New Roman" w:cs="Times New Roman"/>
          <w:sz w:val="24"/>
        </w:rPr>
        <w:t>ethanol and ethyl acetate (1:1, v/v).</w:t>
      </w:r>
      <w:r w:rsidRPr="004B3F43">
        <w:rPr>
          <w:rFonts w:ascii="Times New Roman" w:eastAsia="FangSong" w:hAnsi="Times New Roman" w:cs="Times New Roman"/>
          <w:kern w:val="0"/>
          <w:sz w:val="24"/>
        </w:rPr>
        <w:t xml:space="preserve"> Then, the pellet was dissolved in 2 mL of 6 M guanidine solution and centrifuged for 10 min at 5,000 g. The </w:t>
      </w:r>
      <w:r w:rsidRPr="004B3F43">
        <w:rPr>
          <w:rFonts w:ascii="Times New Roman" w:eastAsia="FangSong" w:hAnsi="Times New Roman" w:cs="Times New Roman"/>
          <w:sz w:val="24"/>
        </w:rPr>
        <w:t xml:space="preserve">sample incubated with 2 M HCl instead of the DNPH solution served as blank. The carbonyl content was calculated with the absorption coefficient </w:t>
      </w:r>
      <w:r w:rsidRPr="004B3F43">
        <w:rPr>
          <w:rFonts w:ascii="Times New Roman" w:eastAsia="FangSong" w:hAnsi="Times New Roman" w:cs="Times New Roman"/>
          <w:sz w:val="24"/>
        </w:rPr>
        <w:lastRenderedPageBreak/>
        <w:t>(22,000 M</w:t>
      </w:r>
      <w:r w:rsidRPr="004B3F43">
        <w:rPr>
          <w:rFonts w:ascii="Times New Roman" w:eastAsia="FangSong" w:hAnsi="Times New Roman" w:cs="Times New Roman"/>
          <w:sz w:val="24"/>
          <w:vertAlign w:val="superscript"/>
        </w:rPr>
        <w:t xml:space="preserve">−1 </w:t>
      </w:r>
      <w:r w:rsidRPr="004B3F43">
        <w:rPr>
          <w:rFonts w:ascii="Times New Roman" w:eastAsia="FangSong" w:hAnsi="Times New Roman" w:cs="Times New Roman"/>
          <w:sz w:val="24"/>
        </w:rPr>
        <w:t>cm</w:t>
      </w:r>
      <w:r w:rsidRPr="004B3F43">
        <w:rPr>
          <w:rFonts w:ascii="Times New Roman" w:eastAsia="FangSong" w:hAnsi="Times New Roman" w:cs="Times New Roman"/>
          <w:sz w:val="24"/>
          <w:vertAlign w:val="superscript"/>
        </w:rPr>
        <w:t>−1</w:t>
      </w:r>
      <w:r w:rsidRPr="004B3F43">
        <w:rPr>
          <w:rFonts w:ascii="Times New Roman" w:eastAsia="FangSong" w:hAnsi="Times New Roman" w:cs="Times New Roman"/>
          <w:sz w:val="24"/>
        </w:rPr>
        <w:t>).</w:t>
      </w:r>
    </w:p>
    <w:p w14:paraId="600A5C1D" w14:textId="77777777" w:rsidR="00D857F5" w:rsidRPr="004B3F43" w:rsidRDefault="00D857F5" w:rsidP="004B3F43">
      <w:pPr>
        <w:pStyle w:val="Defaul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</w:rPr>
      </w:pPr>
      <w:r w:rsidRPr="004B3F43">
        <w:rPr>
          <w:rFonts w:ascii="Times New Roman" w:hAnsi="Times New Roman" w:cs="Times New Roman"/>
          <w:b/>
          <w:bCs/>
          <w:color w:val="auto"/>
        </w:rPr>
        <w:t>Measurement of sulfhydryl content</w:t>
      </w:r>
    </w:p>
    <w:p w14:paraId="087CB010" w14:textId="0F114BF5" w:rsidR="00D857F5" w:rsidRPr="004B3F43" w:rsidRDefault="00DC4B31" w:rsidP="004B3F43">
      <w:pPr>
        <w:spacing w:line="480" w:lineRule="auto"/>
        <w:ind w:firstLineChars="200" w:firstLine="480"/>
        <w:rPr>
          <w:rFonts w:ascii="Times New Roman" w:hAnsi="Times New Roman" w:cs="Times New Roman"/>
          <w:sz w:val="24"/>
        </w:rPr>
      </w:pPr>
      <w:bookmarkStart w:id="1" w:name="_Hlk44250992"/>
      <w:r w:rsidRPr="004B3F43">
        <w:rPr>
          <w:rFonts w:ascii="Times New Roman" w:hAnsi="Times New Roman" w:cs="Times New Roman"/>
          <w:sz w:val="24"/>
        </w:rPr>
        <w:t>The determination of sulfhydryl following the method described b</w:t>
      </w:r>
      <w:r w:rsidRPr="00F16E09">
        <w:rPr>
          <w:rFonts w:ascii="Times New Roman" w:hAnsi="Times New Roman" w:cs="Times New Roman"/>
          <w:sz w:val="24"/>
        </w:rPr>
        <w:t xml:space="preserve">y </w:t>
      </w:r>
      <w:r w:rsidR="00D857F5" w:rsidRPr="00F16E09">
        <w:rPr>
          <w:rFonts w:ascii="Times New Roman" w:hAnsi="Times New Roman" w:cs="Times New Roman"/>
          <w:noProof/>
          <w:sz w:val="24"/>
        </w:rPr>
        <w:t>Kang et al.</w:t>
      </w:r>
      <w:r w:rsidR="00D857F5" w:rsidRPr="004B3F43">
        <w:rPr>
          <w:rFonts w:ascii="Times New Roman" w:hAnsi="Times New Roman" w:cs="Times New Roman"/>
          <w:noProof/>
          <w:color w:val="4472C4" w:themeColor="accent1"/>
          <w:sz w:val="24"/>
        </w:rPr>
        <w:t xml:space="preserve"> </w:t>
      </w:r>
      <w:bookmarkEnd w:id="1"/>
      <w:r w:rsidR="00F16E09">
        <w:rPr>
          <w:rFonts w:ascii="Times New Roman" w:hAnsi="Times New Roman" w:cs="Times New Roman"/>
          <w:noProof/>
          <w:color w:val="4472C4" w:themeColor="accent1"/>
          <w:sz w:val="24"/>
        </w:rPr>
        <w:t>[2]</w:t>
      </w:r>
      <w:r w:rsidR="00D857F5" w:rsidRPr="004B3F43">
        <w:rPr>
          <w:rFonts w:ascii="Times New Roman" w:hAnsi="Times New Roman" w:cs="Times New Roman"/>
          <w:sz w:val="24"/>
        </w:rPr>
        <w:t xml:space="preserve">. Firstly, </w:t>
      </w:r>
      <w:r w:rsidR="00D857F5" w:rsidRPr="004B3F43">
        <w:rPr>
          <w:rFonts w:ascii="Times New Roman" w:eastAsia="FangSong" w:hAnsi="Times New Roman" w:cs="Times New Roman"/>
          <w:kern w:val="0"/>
          <w:sz w:val="24"/>
        </w:rPr>
        <w:t>2 g feed was homogenized in 10 mL of butter (0.6 M NaCl, 20 mM PBS). Then</w:t>
      </w:r>
      <w:r w:rsidR="00D857F5" w:rsidRPr="004B3F43">
        <w:rPr>
          <w:rFonts w:ascii="Times New Roman" w:hAnsi="Times New Roman" w:cs="Times New Roman"/>
          <w:sz w:val="24"/>
        </w:rPr>
        <w:t xml:space="preserve">, 0.5 mL homogenized </w:t>
      </w:r>
      <w:r w:rsidR="00D857F5" w:rsidRPr="004B3F43">
        <w:rPr>
          <w:rFonts w:ascii="Times New Roman" w:eastAsia="SimSun" w:hAnsi="Times New Roman" w:cs="Times New Roman"/>
          <w:sz w:val="24"/>
        </w:rPr>
        <w:t>sample</w:t>
      </w:r>
      <w:r w:rsidR="00D857F5" w:rsidRPr="004B3F43">
        <w:rPr>
          <w:rFonts w:ascii="Times New Roman" w:hAnsi="Times New Roman" w:cs="Times New Roman"/>
          <w:sz w:val="24"/>
        </w:rPr>
        <w:t xml:space="preserve"> (1 mg/mL protein concentration) was mixed with 5 mL buffer solution (10 mM ethylenediaminetetraacetic acid, 8 M urea, 20 mM Tris-HCl, pH 6.0) and 100 μL of 10 mM 5,5-dithio-bis</w:t>
      </w:r>
      <w:r w:rsidRPr="004B3F43">
        <w:rPr>
          <w:rFonts w:ascii="Times New Roman" w:hAnsi="Times New Roman" w:cs="Times New Roman"/>
          <w:sz w:val="24"/>
        </w:rPr>
        <w:t xml:space="preserve"> </w:t>
      </w:r>
      <w:r w:rsidR="00D857F5" w:rsidRPr="004B3F43">
        <w:rPr>
          <w:rFonts w:ascii="Times New Roman" w:hAnsi="Times New Roman" w:cs="Times New Roman"/>
          <w:sz w:val="24"/>
        </w:rPr>
        <w:t>(2-nitrobenzoic acid). The mixture was incubated at room temperature for 0.5 h. The absorbance was read using a spectrophotometer (U-3900, Hitachi Corp., Tokyo, Japan) at 412 nm. The SH content was calculated using a molar extinction coefficient of 13,600 M</w:t>
      </w:r>
      <w:r w:rsidR="00D857F5" w:rsidRPr="004B3F43">
        <w:rPr>
          <w:rFonts w:ascii="Times New Roman" w:hAnsi="Times New Roman" w:cs="Times New Roman"/>
          <w:sz w:val="24"/>
          <w:vertAlign w:val="superscript"/>
        </w:rPr>
        <w:t xml:space="preserve">-1 </w:t>
      </w:r>
      <w:r w:rsidR="00D857F5" w:rsidRPr="004B3F43">
        <w:rPr>
          <w:rFonts w:ascii="Times New Roman" w:hAnsi="Times New Roman" w:cs="Times New Roman"/>
          <w:sz w:val="24"/>
        </w:rPr>
        <w:t>cm</w:t>
      </w:r>
      <w:r w:rsidR="00D857F5" w:rsidRPr="004B3F43">
        <w:rPr>
          <w:rFonts w:ascii="Times New Roman" w:hAnsi="Times New Roman" w:cs="Times New Roman"/>
          <w:sz w:val="24"/>
          <w:vertAlign w:val="superscript"/>
        </w:rPr>
        <w:t>-1</w:t>
      </w:r>
      <w:r w:rsidR="00D857F5" w:rsidRPr="004B3F43">
        <w:rPr>
          <w:rFonts w:ascii="Times New Roman" w:hAnsi="Times New Roman" w:cs="Times New Roman"/>
          <w:sz w:val="24"/>
        </w:rPr>
        <w:t>. The result was expressed as nmol/mg protein.</w:t>
      </w:r>
    </w:p>
    <w:p w14:paraId="327AFC07" w14:textId="77777777" w:rsidR="00D857F5" w:rsidRPr="004B3F43" w:rsidRDefault="00D857F5" w:rsidP="004B3F43">
      <w:pPr>
        <w:pStyle w:val="Defaul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B3F43">
        <w:rPr>
          <w:rFonts w:ascii="Times New Roman" w:hAnsi="Times New Roman" w:cs="Times New Roman"/>
          <w:b/>
          <w:bCs/>
          <w:color w:val="auto"/>
        </w:rPr>
        <w:t>Measurement of tryptophan endogenous fluorescence</w:t>
      </w:r>
    </w:p>
    <w:p w14:paraId="33236472" w14:textId="3D8F9735" w:rsidR="00D857F5" w:rsidRPr="004B3F43" w:rsidRDefault="00DE1727" w:rsidP="004B3F43">
      <w:pPr>
        <w:pStyle w:val="Default"/>
        <w:spacing w:line="480" w:lineRule="auto"/>
        <w:ind w:firstLineChars="200" w:firstLine="480"/>
        <w:jc w:val="both"/>
        <w:rPr>
          <w:rFonts w:ascii="Times New Roman" w:hAnsi="Times New Roman" w:cs="Times New Roman"/>
          <w:b/>
          <w:bCs/>
          <w:color w:val="auto"/>
        </w:rPr>
      </w:pPr>
      <w:r w:rsidRPr="004B3F43">
        <w:rPr>
          <w:rFonts w:ascii="Times New Roman" w:hAnsi="Times New Roman" w:cs="Times New Roman"/>
        </w:rPr>
        <w:t>The determination of t</w:t>
      </w:r>
      <w:r w:rsidRPr="004B3F43">
        <w:rPr>
          <w:rFonts w:ascii="Times New Roman" w:hAnsi="Times New Roman" w:cs="Times New Roman"/>
          <w:color w:val="auto"/>
        </w:rPr>
        <w:t>ryptophan endogenous fluorescence</w:t>
      </w:r>
      <w:r w:rsidRPr="004B3F43">
        <w:rPr>
          <w:rFonts w:ascii="Times New Roman" w:hAnsi="Times New Roman" w:cs="Times New Roman"/>
        </w:rPr>
        <w:t xml:space="preserve"> following the method described by</w:t>
      </w:r>
      <w:r w:rsidRPr="00F16E09">
        <w:rPr>
          <w:rFonts w:ascii="Times New Roman" w:hAnsi="Times New Roman" w:cs="Times New Roman"/>
        </w:rPr>
        <w:t xml:space="preserve"> </w:t>
      </w:r>
      <w:r w:rsidR="00D857F5" w:rsidRPr="00F16E09">
        <w:rPr>
          <w:rFonts w:ascii="Times New Roman" w:hAnsi="Times New Roman" w:cs="Times New Roman"/>
        </w:rPr>
        <w:t>Zhao</w:t>
      </w:r>
      <w:r w:rsidR="00F16E09" w:rsidRPr="00F16E09">
        <w:rPr>
          <w:rFonts w:ascii="Times New Roman" w:hAnsi="Times New Roman" w:cs="Times New Roman"/>
        </w:rPr>
        <w:t xml:space="preserve"> et al.</w:t>
      </w:r>
      <w:r w:rsidR="00F16E09">
        <w:rPr>
          <w:rFonts w:ascii="Times New Roman" w:hAnsi="Times New Roman" w:cs="Times New Roman"/>
          <w:noProof/>
          <w:color w:val="4472C4" w:themeColor="accent1"/>
        </w:rPr>
        <w:t xml:space="preserve"> [3]</w:t>
      </w:r>
      <w:r w:rsidRPr="004B3F43">
        <w:rPr>
          <w:rFonts w:ascii="Times New Roman" w:hAnsi="Times New Roman" w:cs="Times New Roman"/>
          <w:noProof/>
          <w:color w:val="auto"/>
        </w:rPr>
        <w:t>.</w:t>
      </w:r>
      <w:r w:rsidR="00D857F5" w:rsidRPr="004B3F43">
        <w:rPr>
          <w:rFonts w:ascii="Times New Roman" w:hAnsi="Times New Roman" w:cs="Times New Roman"/>
        </w:rPr>
        <w:t xml:space="preserve"> </w:t>
      </w:r>
      <w:r w:rsidR="00D857F5" w:rsidRPr="004B3F43">
        <w:rPr>
          <w:rFonts w:ascii="Times New Roman" w:eastAsia="FangSong" w:hAnsi="Times New Roman" w:cs="Times New Roman"/>
        </w:rPr>
        <w:t xml:space="preserve">The emission spectra of tryptophan were recorded from 300 to 400 nm at 283 nm excitation wavelengths with sample solutions (0.5 mg/mL). </w:t>
      </w:r>
      <w:r w:rsidR="00D857F5" w:rsidRPr="004B3F43">
        <w:rPr>
          <w:rFonts w:ascii="Times New Roman" w:hAnsi="Times New Roman" w:cs="Times New Roman"/>
        </w:rPr>
        <w:t>The result was expressed as the maximum fluorescence intensity value.</w:t>
      </w:r>
    </w:p>
    <w:p w14:paraId="6FD14353" w14:textId="77777777" w:rsidR="00D857F5" w:rsidRPr="004B3F43" w:rsidRDefault="00D857F5" w:rsidP="004B3F43">
      <w:pPr>
        <w:pStyle w:val="Defaul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B3F43">
        <w:rPr>
          <w:rFonts w:ascii="Times New Roman" w:hAnsi="Times New Roman" w:cs="Times New Roman"/>
          <w:b/>
          <w:bCs/>
          <w:color w:val="auto"/>
        </w:rPr>
        <w:t>Measurement of protein digestibility</w:t>
      </w:r>
    </w:p>
    <w:p w14:paraId="4A10C628" w14:textId="15C8B588" w:rsidR="00D857F5" w:rsidRPr="004B3F43" w:rsidRDefault="00D857F5" w:rsidP="004B3F43">
      <w:pPr>
        <w:spacing w:line="480" w:lineRule="auto"/>
        <w:ind w:firstLineChars="200" w:firstLine="480"/>
        <w:rPr>
          <w:rFonts w:ascii="Times New Roman" w:eastAsia="FangSong" w:hAnsi="Times New Roman" w:cs="Times New Roman"/>
          <w:color w:val="4472C4" w:themeColor="accent1"/>
          <w:sz w:val="24"/>
          <w:vertAlign w:val="superscript"/>
        </w:rPr>
      </w:pPr>
      <w:r w:rsidRPr="004B3F43">
        <w:rPr>
          <w:rFonts w:ascii="Times New Roman" w:eastAsia="FangSong" w:hAnsi="Times New Roman" w:cs="Times New Roman"/>
          <w:sz w:val="24"/>
        </w:rPr>
        <w:t xml:space="preserve">The </w:t>
      </w:r>
      <w:bookmarkStart w:id="2" w:name="_Hlk44251079"/>
      <w:r w:rsidRPr="004B3F43">
        <w:rPr>
          <w:rFonts w:ascii="Times New Roman" w:eastAsia="FangSong" w:hAnsi="Times New Roman" w:cs="Times New Roman"/>
          <w:sz w:val="24"/>
        </w:rPr>
        <w:t xml:space="preserve">gastric fluid (SGF) </w:t>
      </w:r>
      <w:bookmarkEnd w:id="2"/>
      <w:r w:rsidRPr="004B3F43">
        <w:rPr>
          <w:rFonts w:ascii="Times New Roman" w:eastAsia="FangSong" w:hAnsi="Times New Roman" w:cs="Times New Roman"/>
          <w:sz w:val="24"/>
        </w:rPr>
        <w:t xml:space="preserve">and the simulated intestinal fluid (SIF) were prepared according to the standard described by </w:t>
      </w:r>
      <w:r w:rsidRPr="00F16E09">
        <w:rPr>
          <w:rFonts w:ascii="Times New Roman" w:eastAsia="FangSong" w:hAnsi="Times New Roman" w:cs="Times New Roman"/>
          <w:sz w:val="24"/>
        </w:rPr>
        <w:t xml:space="preserve">Minekus et al. </w:t>
      </w:r>
      <w:r w:rsidR="00F16E09">
        <w:rPr>
          <w:rFonts w:ascii="Times New Roman" w:eastAsia="FangSong" w:hAnsi="Times New Roman" w:cs="Times New Roman"/>
          <w:noProof/>
          <w:color w:val="4472C4" w:themeColor="accent1"/>
          <w:sz w:val="24"/>
        </w:rPr>
        <w:t>[</w:t>
      </w:r>
      <w:r w:rsidRPr="004B3F43">
        <w:rPr>
          <w:rFonts w:ascii="Times New Roman" w:eastAsia="FangSong" w:hAnsi="Times New Roman" w:cs="Times New Roman"/>
          <w:noProof/>
          <w:color w:val="4472C4" w:themeColor="accent1"/>
          <w:sz w:val="24"/>
        </w:rPr>
        <w:t>4</w:t>
      </w:r>
      <w:r w:rsidR="00F16E09">
        <w:rPr>
          <w:rFonts w:ascii="Times New Roman" w:eastAsia="FangSong" w:hAnsi="Times New Roman" w:cs="Times New Roman"/>
          <w:noProof/>
          <w:color w:val="4472C4" w:themeColor="accent1"/>
          <w:sz w:val="24"/>
        </w:rPr>
        <w:t>]</w:t>
      </w:r>
      <w:r w:rsidR="00DE1727" w:rsidRPr="004B3F43">
        <w:rPr>
          <w:rFonts w:ascii="Times New Roman" w:eastAsia="FangSong" w:hAnsi="Times New Roman" w:cs="Times New Roman"/>
          <w:noProof/>
          <w:sz w:val="24"/>
        </w:rPr>
        <w:t>.</w:t>
      </w:r>
      <w:r w:rsidRPr="004B3F43">
        <w:rPr>
          <w:rFonts w:ascii="Times New Roman" w:eastAsia="FangSong" w:hAnsi="Times New Roman" w:cs="Times New Roman"/>
          <w:sz w:val="24"/>
        </w:rPr>
        <w:t xml:space="preserve"> </w:t>
      </w:r>
      <w:r w:rsidR="00DE1727" w:rsidRPr="004B3F43">
        <w:rPr>
          <w:rFonts w:ascii="Times New Roman" w:eastAsia="FangSong" w:hAnsi="Times New Roman" w:cs="Times New Roman"/>
          <w:sz w:val="24"/>
        </w:rPr>
        <w:t>For</w:t>
      </w:r>
      <w:r w:rsidRPr="004B3F43">
        <w:rPr>
          <w:rFonts w:ascii="Times New Roman" w:eastAsia="FangSong" w:hAnsi="Times New Roman" w:cs="Times New Roman"/>
          <w:sz w:val="24"/>
        </w:rPr>
        <w:t xml:space="preserve"> gastric digestion, each of 1 g feed was redissolved in 4 mL of SGF. Then, pepsin was added to the mixture to achieve an enzymatic activity of 2,000 U/mL for initiating gastric digestion. The mixture was incubated in a shaker at 37 °C at 150 rpm. After 120 min of gastric </w:t>
      </w:r>
      <w:r w:rsidRPr="004B3F43">
        <w:rPr>
          <w:rFonts w:ascii="Times New Roman" w:eastAsia="FangSong" w:hAnsi="Times New Roman" w:cs="Times New Roman"/>
          <w:sz w:val="24"/>
        </w:rPr>
        <w:lastRenderedPageBreak/>
        <w:t xml:space="preserve">digestion, 1 mL of digested chyme was taken out and immediately mixed with the same volume of SIF to inactivate pepsin. For intestinal digestion, 3 mL of digested chymes were mixed with 3 mL of SIF, and then α-chymosin and trypsin were added to achieve final enzymatic activities of 25 U/mL and 100 U/mL, respectively. The mixture was also reacted in a shaker at 37 °C under 150 rpm for 2 h. Then, the gastrointestinal digestion chyme was heated at 95 °C for 5 min to inactivate α-chymosin and trypsin. Protein digestibility was determined by the degree hydrolysis (DH) of protein following </w:t>
      </w:r>
      <w:r w:rsidR="00DE1727" w:rsidRPr="004B3F43">
        <w:rPr>
          <w:rFonts w:ascii="Times New Roman" w:eastAsia="FangSong" w:hAnsi="Times New Roman" w:cs="Times New Roman"/>
          <w:sz w:val="24"/>
        </w:rPr>
        <w:t>our</w:t>
      </w:r>
      <w:r w:rsidRPr="004B3F43">
        <w:rPr>
          <w:rFonts w:ascii="Times New Roman" w:eastAsia="FangSong" w:hAnsi="Times New Roman" w:cs="Times New Roman"/>
          <w:sz w:val="24"/>
        </w:rPr>
        <w:t xml:space="preserve"> previous work</w:t>
      </w:r>
      <w:r w:rsidR="002E1260" w:rsidRPr="004B3F43">
        <w:rPr>
          <w:rFonts w:ascii="Times New Roman" w:eastAsia="FangSong" w:hAnsi="Times New Roman" w:cs="Times New Roman"/>
          <w:sz w:val="24"/>
        </w:rPr>
        <w:t xml:space="preserve"> </w:t>
      </w:r>
      <w:r w:rsidR="00F16E09" w:rsidRPr="00F16E09">
        <w:rPr>
          <w:rFonts w:ascii="Times New Roman" w:eastAsia="FangSong" w:hAnsi="Times New Roman" w:cs="Times New Roman"/>
          <w:color w:val="4472C4" w:themeColor="accent1"/>
          <w:sz w:val="24"/>
        </w:rPr>
        <w:t>[5]</w:t>
      </w:r>
      <w:r w:rsidRPr="004B3F43">
        <w:rPr>
          <w:rFonts w:ascii="Times New Roman" w:eastAsia="FangSong" w:hAnsi="Times New Roman" w:cs="Times New Roman"/>
          <w:sz w:val="24"/>
        </w:rPr>
        <w:t>.</w:t>
      </w:r>
    </w:p>
    <w:p w14:paraId="12436C25" w14:textId="77777777" w:rsidR="002E1260" w:rsidRDefault="002E1260" w:rsidP="002E1260">
      <w:pPr>
        <w:pStyle w:val="Default"/>
        <w:spacing w:line="480" w:lineRule="auto"/>
        <w:rPr>
          <w:rFonts w:ascii="Times New Roman" w:eastAsia="FangSong" w:hAnsi="Times New Roman" w:cs="Times New Roman"/>
          <w:color w:val="4472C4" w:themeColor="accent1"/>
          <w:vertAlign w:val="superscript"/>
        </w:rPr>
      </w:pPr>
    </w:p>
    <w:p w14:paraId="4713A302" w14:textId="77777777" w:rsidR="00D857F5" w:rsidRDefault="00D857F5">
      <w:pPr>
        <w:pStyle w:val="Default"/>
        <w:jc w:val="center"/>
        <w:rPr>
          <w:rFonts w:ascii="Times New Roman" w:eastAsia="FangSong" w:hAnsi="Times New Roman" w:cs="Times New Roman"/>
          <w:b/>
          <w:bCs/>
          <w:color w:val="auto"/>
        </w:rPr>
      </w:pPr>
      <w:r>
        <w:rPr>
          <w:rFonts w:ascii="Times New Roman" w:eastAsia="FangSong" w:hAnsi="Times New Roman" w:cs="Times New Roman" w:hint="eastAsia"/>
          <w:b/>
          <w:bCs/>
          <w:color w:val="auto"/>
        </w:rPr>
        <w:t>Table S1. Primer Sequences Used for qRT-PCR Analysis</w:t>
      </w:r>
    </w:p>
    <w:tbl>
      <w:tblPr>
        <w:tblStyle w:val="TableGrid"/>
        <w:tblpPr w:leftFromText="180" w:rightFromText="180" w:vertAnchor="text" w:horzAnchor="page" w:tblpXSpec="center" w:tblpY="394"/>
        <w:tblOverlap w:val="never"/>
        <w:tblW w:w="8718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3716"/>
        <w:gridCol w:w="3753"/>
      </w:tblGrid>
      <w:tr w:rsidR="00D857F5" w14:paraId="04CFAFB6" w14:textId="77777777">
        <w:trPr>
          <w:trHeight w:val="673"/>
          <w:jc w:val="center"/>
        </w:trPr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576154CC" w14:textId="77777777" w:rsidR="00D857F5" w:rsidRDefault="00D857F5">
            <w:pPr>
              <w:widowControl/>
              <w:spacing w:line="200" w:lineRule="exact"/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 w:val="24"/>
                <w:lang w:bidi="ar"/>
              </w:rPr>
              <w:t>Primer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center"/>
          </w:tcPr>
          <w:p w14:paraId="4BFF047A" w14:textId="77777777" w:rsidR="00D857F5" w:rsidRDefault="00D857F5">
            <w:pPr>
              <w:pStyle w:val="Default"/>
              <w:spacing w:line="200" w:lineRule="exact"/>
              <w:jc w:val="center"/>
              <w:rPr>
                <w:rFonts w:ascii="Times New Roman" w:eastAsia="FangSong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AdvOT2e364b11" w:hAnsi="Times New Roman" w:cs="Times New Roman"/>
                <w:lang w:bidi="ar"/>
              </w:rPr>
              <w:t>Forward primer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14:paraId="115BAB84" w14:textId="77777777" w:rsidR="00D857F5" w:rsidRDefault="00D857F5">
            <w:pPr>
              <w:widowControl/>
              <w:spacing w:line="200" w:lineRule="exact"/>
              <w:jc w:val="center"/>
              <w:rPr>
                <w:rFonts w:ascii="Times New Roman" w:eastAsia="FangSong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 w:val="24"/>
                <w:lang w:bidi="ar"/>
              </w:rPr>
              <w:t>Reverse primer</w:t>
            </w:r>
          </w:p>
        </w:tc>
      </w:tr>
      <w:tr w:rsidR="00D857F5" w14:paraId="4422914C" w14:textId="77777777">
        <w:trPr>
          <w:trHeight w:hRule="exact" w:val="464"/>
          <w:jc w:val="center"/>
        </w:trPr>
        <w:tc>
          <w:tcPr>
            <w:tcW w:w="124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2E949AE8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MUC-2</w:t>
            </w:r>
          </w:p>
        </w:tc>
        <w:tc>
          <w:tcPr>
            <w:tcW w:w="3716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16077C31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>GCTGACGAGTGGTTGGTGAATG</w:t>
            </w:r>
          </w:p>
        </w:tc>
        <w:tc>
          <w:tcPr>
            <w:tcW w:w="3753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14:paraId="38342956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>GATGAGGTGGCAGACAGGAGAC</w:t>
            </w:r>
          </w:p>
        </w:tc>
      </w:tr>
      <w:tr w:rsidR="00D857F5" w14:paraId="2837820F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7D2CEE44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Claudin-1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3FBDA8DB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AGCTGCCTGTTCCATGTACT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6A03A0AA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CTCCCATTTGTCTGCTGCTC</w:t>
            </w:r>
          </w:p>
        </w:tc>
      </w:tr>
      <w:tr w:rsidR="00D857F5" w14:paraId="5C045B90" w14:textId="77777777">
        <w:trPr>
          <w:trHeight w:hRule="exact" w:val="419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74854D4B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Occludin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38F319E7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ACGGACCCTGACCACTATGA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61357CDF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>TCAGCAGCAGCCATGTACTC</w:t>
            </w:r>
          </w:p>
        </w:tc>
      </w:tr>
      <w:tr w:rsidR="00D857F5" w14:paraId="287A5484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2E399A60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ZO-1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72E42066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ACCCGAAACTGATGCTGTGGATAG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34BBECDB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AAATGGCCGGGCAGAACTTGTGTA</w:t>
            </w:r>
          </w:p>
        </w:tc>
      </w:tr>
      <w:tr w:rsidR="00D857F5" w14:paraId="154BA1DC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78092650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IL-1</w:t>
            </w:r>
            <w:r>
              <w:rPr>
                <w:rFonts w:ascii="Times New Roman" w:eastAsia="AdvOTdd3b7348 . I + 03" w:hAnsi="Times New Roman" w:cs="Times New Roman"/>
                <w:color w:val="000000"/>
                <w:szCs w:val="21"/>
                <w:lang w:bidi="ar"/>
              </w:rPr>
              <w:t>β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120FCD84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ACTCATTGTGGCTGTGGAGA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034BFD93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TTGTTCATCTCGGAGCCTGT</w:t>
            </w:r>
          </w:p>
        </w:tc>
      </w:tr>
      <w:tr w:rsidR="00D857F5" w14:paraId="021EE5DD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118D23E8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TNF-</w:t>
            </w:r>
            <w:r>
              <w:rPr>
                <w:rFonts w:ascii="Times New Roman" w:eastAsia="AdvOTdd3b7348 . I + 03" w:hAnsi="Times New Roman" w:cs="Times New Roman"/>
                <w:color w:val="000000"/>
                <w:szCs w:val="21"/>
                <w:lang w:bidi="ar"/>
              </w:rPr>
              <w:t>α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6EA7417D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CCCTCACACTCAGATCATCTTCT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218839D2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CTACGACGTGGGCTACAG</w:t>
            </w:r>
          </w:p>
        </w:tc>
      </w:tr>
      <w:tr w:rsidR="00D857F5" w14:paraId="68A4581A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76650814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IL-6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1CF3DB56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CTCTGGCGGAGCTATTGAGA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52322438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AAGTCTCCTGCGTGGAGAAA</w:t>
            </w:r>
          </w:p>
        </w:tc>
      </w:tr>
      <w:tr w:rsidR="00D857F5" w14:paraId="7C8EC637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03D4BC89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iNOS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13517424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GGGCTGACCTGTTTCCTACT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36E14E8A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GGAGGTTGAGACCCAATGGA</w:t>
            </w:r>
          </w:p>
        </w:tc>
      </w:tr>
      <w:tr w:rsidR="00D857F5" w14:paraId="19026FE8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0C573421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COX-2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08778B1E" w14:textId="77777777" w:rsidR="00D857F5" w:rsidRDefault="00D857F5">
            <w:pPr>
              <w:pStyle w:val="Default"/>
              <w:spacing w:line="240" w:lineRule="exact"/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CCCATTAGCAGCCAGTTGTC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6D20A90E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 xml:space="preserve"> CAGGATGCAGTGCTGAGTTC</w:t>
            </w:r>
          </w:p>
        </w:tc>
      </w:tr>
      <w:tr w:rsidR="00D857F5" w14:paraId="7517F877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0D8BC777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TLR-4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466FCBD7" w14:textId="77777777" w:rsidR="00D857F5" w:rsidRDefault="00D857F5">
            <w:pPr>
              <w:pStyle w:val="Default"/>
              <w:spacing w:line="240" w:lineRule="exact"/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 xml:space="preserve">AGTGCCCCGCTTTCACCTCT 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49EBC601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TCCGGCTCTTGTGGAAGCCT</w:t>
            </w:r>
          </w:p>
        </w:tc>
      </w:tr>
      <w:tr w:rsidR="00D857F5" w14:paraId="148E5E99" w14:textId="77777777">
        <w:trPr>
          <w:trHeight w:hRule="exact" w:val="464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33A3E0D9" w14:textId="77777777" w:rsidR="00D857F5" w:rsidRDefault="00D857F5">
            <w:pPr>
              <w:pStyle w:val="Default"/>
              <w:spacing w:line="240" w:lineRule="exact"/>
              <w:jc w:val="left"/>
              <w:rPr>
                <w:rFonts w:ascii="Times New Roman" w:eastAsia="FangSong" w:hAnsi="Times New Roman" w:cs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NF-</w:t>
            </w:r>
            <w:r>
              <w:rPr>
                <w:rFonts w:ascii="Times New Roman" w:eastAsia="AdvOT596495f2" w:hAnsi="Times New Roman" w:cs="Times New Roman"/>
                <w:sz w:val="21"/>
                <w:szCs w:val="21"/>
                <w:lang w:bidi="ar"/>
              </w:rPr>
              <w:t>κ</w:t>
            </w:r>
            <w:r>
              <w:rPr>
                <w:rFonts w:ascii="Times New Roman" w:hAnsi="Times New Roman" w:cs="Times New Roman"/>
                <w:sz w:val="21"/>
                <w:szCs w:val="21"/>
                <w:lang w:bidi="ar"/>
              </w:rPr>
              <w:t>B p65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30F5A2CD" w14:textId="77777777" w:rsidR="00D857F5" w:rsidRDefault="00D857F5">
            <w:pPr>
              <w:pStyle w:val="Default"/>
              <w:spacing w:line="240" w:lineRule="exact"/>
              <w:rPr>
                <w:rFonts w:ascii="Times New Roman" w:eastAsia="AdvOT2e364b11" w:hAnsi="Times New Roman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ascii="Times New Roman" w:eastAsia="AdvOT2e364b11" w:hAnsi="Times New Roman" w:cs="Times New Roman"/>
                <w:color w:val="auto"/>
                <w:sz w:val="21"/>
                <w:szCs w:val="21"/>
                <w:lang w:bidi="ar"/>
              </w:rPr>
              <w:t>ACGATCTGTTTCCCCTCATCT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5A734E44" w14:textId="77777777" w:rsidR="00D857F5" w:rsidRDefault="00D857F5">
            <w:pPr>
              <w:pStyle w:val="Default"/>
              <w:spacing w:line="240" w:lineRule="exact"/>
              <w:rPr>
                <w:rFonts w:ascii="Times New Roman" w:eastAsia="FangSong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FangSong" w:hAnsi="Times New Roman" w:cs="Times New Roman"/>
                <w:color w:val="auto"/>
                <w:sz w:val="21"/>
                <w:szCs w:val="21"/>
              </w:rPr>
              <w:t>TGCTTCTCTCCCCAGGAATA</w:t>
            </w:r>
          </w:p>
        </w:tc>
      </w:tr>
      <w:tr w:rsidR="00D857F5" w14:paraId="63F32D95" w14:textId="77777777">
        <w:trPr>
          <w:trHeight w:hRule="exact" w:val="581"/>
          <w:jc w:val="center"/>
        </w:trPr>
        <w:tc>
          <w:tcPr>
            <w:tcW w:w="1249" w:type="dxa"/>
            <w:tcBorders>
              <w:tl2br w:val="nil"/>
              <w:tr2bl w:val="nil"/>
            </w:tcBorders>
            <w:vAlign w:val="center"/>
          </w:tcPr>
          <w:p w14:paraId="34CFC988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GAPDH</w:t>
            </w:r>
          </w:p>
        </w:tc>
        <w:tc>
          <w:tcPr>
            <w:tcW w:w="3716" w:type="dxa"/>
            <w:tcBorders>
              <w:tl2br w:val="nil"/>
              <w:tr2bl w:val="nil"/>
            </w:tcBorders>
            <w:vAlign w:val="center"/>
          </w:tcPr>
          <w:p w14:paraId="227337DB" w14:textId="77777777" w:rsidR="00D857F5" w:rsidRDefault="00D857F5">
            <w:pPr>
              <w:pStyle w:val="Default"/>
              <w:spacing w:line="240" w:lineRule="exact"/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</w:pPr>
            <w:r>
              <w:rPr>
                <w:rFonts w:ascii="Times New Roman" w:eastAsia="AdvOT2e364b11" w:hAnsi="Times New Roman" w:cs="Times New Roman"/>
                <w:sz w:val="21"/>
                <w:szCs w:val="21"/>
                <w:lang w:bidi="ar"/>
              </w:rPr>
              <w:t>TGGAGAAACCTGCCAAGTATGA</w:t>
            </w:r>
          </w:p>
        </w:tc>
        <w:tc>
          <w:tcPr>
            <w:tcW w:w="3753" w:type="dxa"/>
            <w:tcBorders>
              <w:tl2br w:val="nil"/>
              <w:tr2bl w:val="nil"/>
            </w:tcBorders>
            <w:vAlign w:val="center"/>
          </w:tcPr>
          <w:p w14:paraId="3932910B" w14:textId="77777777" w:rsidR="00D857F5" w:rsidRDefault="00D857F5">
            <w:pPr>
              <w:widowControl/>
              <w:spacing w:line="240" w:lineRule="exact"/>
              <w:jc w:val="left"/>
              <w:rPr>
                <w:rFonts w:ascii="Times New Roman" w:eastAsia="FangSong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AdvOT2e364b11" w:hAnsi="Times New Roman" w:cs="Times New Roman"/>
                <w:color w:val="000000"/>
                <w:szCs w:val="21"/>
                <w:lang w:bidi="ar"/>
              </w:rPr>
              <w:t>TGGAAGAATGGGAGTTGCTGT</w:t>
            </w:r>
          </w:p>
        </w:tc>
      </w:tr>
    </w:tbl>
    <w:p w14:paraId="636EC71F" w14:textId="77777777" w:rsidR="00D857F5" w:rsidRPr="004B3F43" w:rsidRDefault="00D857F5">
      <w:pPr>
        <w:pStyle w:val="Default"/>
        <w:spacing w:line="240" w:lineRule="exact"/>
        <w:jc w:val="both"/>
        <w:rPr>
          <w:rFonts w:ascii="AdvTimes" w:eastAsiaTheme="minorEastAsia" w:hAnsi="AdvTimes" w:cs="AdvTimes" w:hint="eastAsia"/>
          <w:color w:val="231F20"/>
          <w:sz w:val="16"/>
          <w:szCs w:val="16"/>
          <w:lang w:bidi="ar"/>
        </w:rPr>
      </w:pPr>
    </w:p>
    <w:p w14:paraId="37A9A912" w14:textId="77777777" w:rsidR="004B3F43" w:rsidRDefault="004B3F43" w:rsidP="002E1260">
      <w:pPr>
        <w:widowControl/>
        <w:spacing w:line="48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lang w:bidi="ar"/>
        </w:rPr>
      </w:pPr>
    </w:p>
    <w:p w14:paraId="6CDB94F7" w14:textId="77777777" w:rsidR="00F16E09" w:rsidRDefault="00F16E09" w:rsidP="002E1260">
      <w:pPr>
        <w:widowControl/>
        <w:spacing w:line="48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lang w:bidi="ar"/>
        </w:rPr>
      </w:pPr>
    </w:p>
    <w:p w14:paraId="5EB7C745" w14:textId="6A983950" w:rsidR="00D857F5" w:rsidRPr="002E1260" w:rsidRDefault="00D857F5" w:rsidP="002E1260">
      <w:pPr>
        <w:widowControl/>
        <w:spacing w:line="480" w:lineRule="auto"/>
        <w:jc w:val="left"/>
        <w:rPr>
          <w:rFonts w:ascii="Times New Roman" w:eastAsia="SimSun" w:hAnsi="Times New Roman" w:cs="Times New Roman"/>
          <w:b/>
          <w:bCs/>
          <w:kern w:val="0"/>
          <w:sz w:val="24"/>
          <w:lang w:bidi="ar"/>
        </w:rPr>
      </w:pPr>
      <w:r>
        <w:rPr>
          <w:rFonts w:ascii="Times New Roman" w:eastAsia="SimSun" w:hAnsi="Times New Roman" w:cs="Times New Roman"/>
          <w:b/>
          <w:bCs/>
          <w:kern w:val="0"/>
          <w:sz w:val="24"/>
          <w:lang w:bidi="ar"/>
        </w:rPr>
        <w:lastRenderedPageBreak/>
        <w:t>References</w:t>
      </w:r>
    </w:p>
    <w:p w14:paraId="00D51112" w14:textId="3BCAF3D9" w:rsidR="004A05E4" w:rsidRPr="004A05E4" w:rsidRDefault="004A05E4" w:rsidP="004A05E4">
      <w:pPr>
        <w:pStyle w:val="EndNoteBibliography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1"/>
          <w:szCs w:val="20"/>
        </w:rPr>
      </w:pPr>
      <w:r w:rsidRPr="004A05E4">
        <w:rPr>
          <w:rFonts w:ascii="Times New Roman" w:hAnsi="Times New Roman" w:cs="Times New Roman"/>
          <w:noProof/>
          <w:sz w:val="21"/>
          <w:szCs w:val="20"/>
        </w:rPr>
        <w:t>Zhang, W., Xiao, S., Lee, E. J., &amp; Ahn, D. U. (2011). Consumption of oxidized oil increases oxidative stress in broilers and affects the quality of breast meat. Journal of Agricultural and Food Chemistry, 59 (3), 969-974.</w:t>
      </w:r>
    </w:p>
    <w:p w14:paraId="5B36A26B" w14:textId="455D5C64" w:rsidR="004A05E4" w:rsidRPr="004A05E4" w:rsidRDefault="004A05E4" w:rsidP="004A05E4">
      <w:pPr>
        <w:pStyle w:val="EndNoteBibliography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1"/>
          <w:szCs w:val="20"/>
        </w:rPr>
      </w:pPr>
      <w:r w:rsidRPr="00957F03">
        <w:rPr>
          <w:rFonts w:ascii="Times New Roman" w:hAnsi="Times New Roman" w:cs="Times New Roman"/>
          <w:noProof/>
          <w:sz w:val="21"/>
          <w:szCs w:val="20"/>
          <w:lang w:val="nl-NL"/>
        </w:rPr>
        <w:t xml:space="preserve">Kang, D., Zou, Y., Cheng, Y., Xing, L., Zhou, G., &amp; Zhang, W. (2016). </w:t>
      </w:r>
      <w:r w:rsidRPr="004A05E4">
        <w:rPr>
          <w:rFonts w:ascii="Times New Roman" w:hAnsi="Times New Roman" w:cs="Times New Roman"/>
          <w:noProof/>
          <w:sz w:val="21"/>
          <w:szCs w:val="20"/>
        </w:rPr>
        <w:t>Effects of power ultrasound on oxidation and structure of beef proteins during curing processing. Ultrasonics Sonochemistry, 33, 47-53.</w:t>
      </w:r>
    </w:p>
    <w:p w14:paraId="146CFD52" w14:textId="70F92574" w:rsidR="004A05E4" w:rsidRPr="004A05E4" w:rsidRDefault="004A05E4" w:rsidP="004A05E4">
      <w:pPr>
        <w:pStyle w:val="EndNoteBibliography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1"/>
          <w:szCs w:val="20"/>
        </w:rPr>
      </w:pPr>
      <w:r w:rsidRPr="00957F03">
        <w:rPr>
          <w:rFonts w:ascii="Times New Roman" w:hAnsi="Times New Roman" w:cs="Times New Roman"/>
          <w:noProof/>
          <w:sz w:val="21"/>
          <w:szCs w:val="20"/>
          <w:lang w:val="nl-NL"/>
        </w:rPr>
        <w:t xml:space="preserve">Zhao, X., Xing, T., Wang, P., Xu, X., &amp; Zhou, G. (2019). </w:t>
      </w:r>
      <w:r w:rsidRPr="004A05E4">
        <w:rPr>
          <w:rFonts w:ascii="Times New Roman" w:hAnsi="Times New Roman" w:cs="Times New Roman"/>
          <w:noProof/>
          <w:sz w:val="21"/>
          <w:szCs w:val="20"/>
        </w:rPr>
        <w:t>Oxidative stability of isoelectric solubilization/precipitation-isolated PSE-like chicken protein. Food Chemistry, 283, 646-655.</w:t>
      </w:r>
    </w:p>
    <w:p w14:paraId="6AEF5D90" w14:textId="0E2C25FC" w:rsidR="004A05E4" w:rsidRPr="004A05E4" w:rsidRDefault="004A05E4" w:rsidP="004A05E4">
      <w:pPr>
        <w:pStyle w:val="EndNoteBibliography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1"/>
          <w:szCs w:val="20"/>
        </w:rPr>
      </w:pPr>
      <w:r w:rsidRPr="004A05E4">
        <w:rPr>
          <w:rFonts w:ascii="Times New Roman" w:hAnsi="Times New Roman" w:cs="Times New Roman"/>
          <w:noProof/>
          <w:sz w:val="21"/>
          <w:szCs w:val="20"/>
        </w:rPr>
        <w:t>Minekus, M., Alminger, M., Alvito, P., Ballance, S., Bohn, T., Bourlieu, C., Carrière, F., Boutrou, R., Corredig, M., &amp; Dupont, D. (2014). A standardised static in vitro digestion method suitable for food–an international consensus. Food &amp; Function, 5 (6), 1113-1124.</w:t>
      </w:r>
    </w:p>
    <w:p w14:paraId="559EFEED" w14:textId="7BE55B6A" w:rsidR="00D7624E" w:rsidRPr="004A05E4" w:rsidRDefault="004A05E4" w:rsidP="004A05E4">
      <w:pPr>
        <w:pStyle w:val="EndNoteBibliography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noProof/>
          <w:sz w:val="21"/>
          <w:szCs w:val="20"/>
        </w:rPr>
      </w:pPr>
      <w:r w:rsidRPr="00957F03">
        <w:rPr>
          <w:rFonts w:ascii="Times New Roman" w:hAnsi="Times New Roman" w:cs="Times New Roman"/>
          <w:noProof/>
          <w:sz w:val="21"/>
          <w:szCs w:val="20"/>
          <w:lang w:val="nl-NL"/>
        </w:rPr>
        <w:t xml:space="preserve">Yin, Y., Zhou, L., Pereira, J., Zhang, J., &amp; Zhang, W. (2020). </w:t>
      </w:r>
      <w:r w:rsidRPr="004A05E4">
        <w:rPr>
          <w:rFonts w:ascii="Times New Roman" w:hAnsi="Times New Roman" w:cs="Times New Roman"/>
          <w:noProof/>
          <w:sz w:val="21"/>
          <w:szCs w:val="20"/>
        </w:rPr>
        <w:t>Insights into digestibility and peptide profiling of beef muscle proteins with different cooking methods. Journal of Agricultural and Food Chemistry, 68 (48), 14243-14251.</w:t>
      </w:r>
    </w:p>
    <w:sectPr w:rsidR="00D7624E" w:rsidRPr="004A05E4" w:rsidSect="00957F0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2AAA" w14:textId="77777777" w:rsidR="00C351E5" w:rsidRDefault="00C351E5" w:rsidP="004B3F43">
      <w:r>
        <w:separator/>
      </w:r>
    </w:p>
  </w:endnote>
  <w:endnote w:type="continuationSeparator" w:id="0">
    <w:p w14:paraId="36FB7AB2" w14:textId="77777777" w:rsidR="00C351E5" w:rsidRDefault="00C351E5" w:rsidP="004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2e364b11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AdvOTdd3b7348 . I + 03">
    <w:altName w:val="Segoe Print"/>
    <w:charset w:val="00"/>
    <w:family w:val="auto"/>
    <w:pitch w:val="default"/>
  </w:font>
  <w:font w:name="AdvOT596495f2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2453953"/>
      <w:docPartObj>
        <w:docPartGallery w:val="Page Numbers (Bottom of Page)"/>
        <w:docPartUnique/>
      </w:docPartObj>
    </w:sdtPr>
    <w:sdtContent>
      <w:p w14:paraId="35E77388" w14:textId="7D739576" w:rsidR="004B3F43" w:rsidRDefault="004B3F4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71D35F" w14:textId="77777777" w:rsidR="004B3F43" w:rsidRDefault="004B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CA7F" w14:textId="77777777" w:rsidR="00C351E5" w:rsidRDefault="00C351E5" w:rsidP="004B3F43">
      <w:r>
        <w:separator/>
      </w:r>
    </w:p>
  </w:footnote>
  <w:footnote w:type="continuationSeparator" w:id="0">
    <w:p w14:paraId="40A235ED" w14:textId="77777777" w:rsidR="00C351E5" w:rsidRDefault="00C351E5" w:rsidP="004B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E8EE2A"/>
    <w:multiLevelType w:val="singleLevel"/>
    <w:tmpl w:val="97E8EE2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28138F"/>
    <w:multiLevelType w:val="hybridMultilevel"/>
    <w:tmpl w:val="1BAE2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1883699"/>
    <w:multiLevelType w:val="hybridMultilevel"/>
    <w:tmpl w:val="99AE2E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1178884">
    <w:abstractNumId w:val="0"/>
  </w:num>
  <w:num w:numId="2" w16cid:durableId="2008903697">
    <w:abstractNumId w:val="1"/>
  </w:num>
  <w:num w:numId="3" w16cid:durableId="21459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3trQwtLQwt7Q0MTZQ0lEKTi0uzszPAykwqgUARKUTsywAAAA="/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857F5"/>
    <w:rsid w:val="002E1260"/>
    <w:rsid w:val="004A05E4"/>
    <w:rsid w:val="004B3F43"/>
    <w:rsid w:val="006F23C0"/>
    <w:rsid w:val="00957F03"/>
    <w:rsid w:val="00C351E5"/>
    <w:rsid w:val="00D7624E"/>
    <w:rsid w:val="00D857F5"/>
    <w:rsid w:val="00DC4B31"/>
    <w:rsid w:val="00DE1727"/>
    <w:rsid w:val="00F16E09"/>
    <w:rsid w:val="00F7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1922"/>
  <w15:chartTrackingRefBased/>
  <w15:docId w15:val="{5BE89E2D-C189-4870-86DA-71E062D2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qFormat/>
    <w:rsid w:val="00D857F5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D857F5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57F5"/>
    <w:rPr>
      <w:rFonts w:ascii="SimSun" w:eastAsia="SimSun" w:hAnsi="SimSun" w:cs="Times New Roman"/>
      <w:b/>
      <w:bCs/>
      <w:kern w:val="44"/>
      <w:sz w:val="48"/>
      <w:szCs w:val="48"/>
    </w:rPr>
  </w:style>
  <w:style w:type="paragraph" w:customStyle="1" w:styleId="Default">
    <w:name w:val="Default"/>
    <w:qFormat/>
    <w:rsid w:val="00D857F5"/>
    <w:pPr>
      <w:widowControl w:val="0"/>
      <w:autoSpaceDE w:val="0"/>
      <w:autoSpaceDN w:val="0"/>
      <w:adjustRightInd w:val="0"/>
    </w:pPr>
    <w:rPr>
      <w:rFonts w:ascii="Arial" w:eastAsia="SimSun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qFormat/>
    <w:rsid w:val="00D857F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rsid w:val="00D857F5"/>
    <w:pPr>
      <w:widowControl w:val="0"/>
      <w:jc w:val="both"/>
    </w:pPr>
    <w:rPr>
      <w:rFonts w:ascii="DengXian" w:eastAsia="DengXian" w:hAnsi="DengXian" w:cs="DengXi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D857F5"/>
    <w:rPr>
      <w:i/>
    </w:rPr>
  </w:style>
  <w:style w:type="character" w:customStyle="1" w:styleId="15">
    <w:name w:val="15"/>
    <w:qFormat/>
    <w:rsid w:val="00D857F5"/>
    <w:rPr>
      <w:rFonts w:ascii="Times New Roman" w:hAnsi="Times New Roman" w:cs="Times New Roman" w:hint="default"/>
      <w:color w:val="0563C1"/>
      <w:u w:val="single"/>
    </w:rPr>
  </w:style>
  <w:style w:type="character" w:customStyle="1" w:styleId="EndNoteBibliography">
    <w:name w:val="EndNote Bibliography 字符"/>
    <w:basedOn w:val="DefaultParagraphFont"/>
    <w:link w:val="EndNoteBibliography0"/>
    <w:rsid w:val="00D857F5"/>
    <w:rPr>
      <w:rFonts w:ascii="Arial" w:hAnsi="Arial" w:cs="Arial"/>
      <w:sz w:val="24"/>
    </w:rPr>
  </w:style>
  <w:style w:type="paragraph" w:customStyle="1" w:styleId="EndNoteBibliography0">
    <w:name w:val="EndNote Bibliography"/>
    <w:basedOn w:val="Normal"/>
    <w:link w:val="EndNoteBibliography"/>
    <w:qFormat/>
    <w:rsid w:val="00D857F5"/>
    <w:pPr>
      <w:spacing w:beforeAutospacing="1" w:after="160"/>
    </w:pPr>
    <w:rPr>
      <w:rFonts w:ascii="Arial" w:hAnsi="Arial" w:cs="Arial"/>
      <w:sz w:val="24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D857F5"/>
    <w:pPr>
      <w:jc w:val="center"/>
    </w:pPr>
    <w:rPr>
      <w:rFonts w:ascii="Arial" w:hAnsi="Arial" w:cs="Arial"/>
      <w:noProof/>
      <w:sz w:val="24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D857F5"/>
    <w:rPr>
      <w:rFonts w:ascii="Arial" w:hAnsi="Arial" w:cs="Arial"/>
      <w:noProof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E1260"/>
  </w:style>
  <w:style w:type="paragraph" w:styleId="Header">
    <w:name w:val="header"/>
    <w:basedOn w:val="Normal"/>
    <w:link w:val="HeaderChar"/>
    <w:uiPriority w:val="99"/>
    <w:unhideWhenUsed/>
    <w:rsid w:val="004B3F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B3F4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B3F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B3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ngang.zhang@nja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 yantao</dc:creator>
  <cp:keywords/>
  <dc:description/>
  <cp:lastModifiedBy>Nicole Rossides</cp:lastModifiedBy>
  <cp:revision>6</cp:revision>
  <dcterms:created xsi:type="dcterms:W3CDTF">2022-04-18T07:16:00Z</dcterms:created>
  <dcterms:modified xsi:type="dcterms:W3CDTF">2022-08-16T16:46:00Z</dcterms:modified>
</cp:coreProperties>
</file>