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6F" w:rsidRPr="009565AE" w:rsidRDefault="00DC136F" w:rsidP="00DC136F">
      <w:pPr>
        <w:tabs>
          <w:tab w:val="left" w:pos="8280"/>
        </w:tabs>
        <w:spacing w:line="276" w:lineRule="auto"/>
        <w:rPr>
          <w:rStyle w:val="Strong"/>
          <w:sz w:val="24"/>
        </w:rPr>
      </w:pPr>
      <w:bookmarkStart w:id="0" w:name="_GoBack"/>
      <w:bookmarkEnd w:id="0"/>
      <w:r w:rsidRPr="009565AE">
        <w:rPr>
          <w:rStyle w:val="Strong"/>
          <w:sz w:val="24"/>
        </w:rPr>
        <w:t xml:space="preserve">Hrip1 mediates cell wall fortification and phytoalexins elicitation to confer immunity against </w:t>
      </w:r>
      <w:r w:rsidRPr="009565AE">
        <w:rPr>
          <w:rStyle w:val="Strong"/>
          <w:i/>
          <w:sz w:val="24"/>
        </w:rPr>
        <w:t>Magnaporthe oryzae</w:t>
      </w:r>
    </w:p>
    <w:p w:rsidR="00DC136F" w:rsidRPr="009565AE" w:rsidRDefault="00DC136F" w:rsidP="00DC136F">
      <w:pPr>
        <w:spacing w:line="276" w:lineRule="auto"/>
        <w:jc w:val="right"/>
        <w:rPr>
          <w:sz w:val="24"/>
        </w:rPr>
      </w:pPr>
      <w:r w:rsidRPr="009565AE">
        <w:rPr>
          <w:sz w:val="24"/>
        </w:rPr>
        <w:t>Vincent Ninkuu,</w:t>
      </w:r>
      <w:r w:rsidRPr="009565AE">
        <w:rPr>
          <w:b/>
          <w:sz w:val="24"/>
        </w:rPr>
        <w:t xml:space="preserve"> </w:t>
      </w:r>
      <w:r w:rsidRPr="009565AE">
        <w:rPr>
          <w:sz w:val="24"/>
        </w:rPr>
        <w:t xml:space="preserve">Jianpei Yan, Lin Zhang, Zhenchao Fu, Tengfeng Yang, Shupeng Li, Beibei Li, Jiaqi Duan, Jie Ren, </w:t>
      </w:r>
      <w:r w:rsidRPr="009565AE">
        <w:rPr>
          <w:color w:val="222222"/>
          <w:sz w:val="24"/>
          <w:shd w:val="clear" w:color="auto" w:fill="FFFFFF"/>
        </w:rPr>
        <w:t xml:space="preserve">Guangyue Li, Xiufen Yang, </w:t>
      </w:r>
      <w:r w:rsidRPr="009565AE">
        <w:rPr>
          <w:sz w:val="24"/>
        </w:rPr>
        <w:t>Hongmei Zeng</w:t>
      </w:r>
      <w:r w:rsidRPr="009565AE">
        <w:rPr>
          <w:rFonts w:eastAsia="方正书宋简体"/>
          <w:b/>
          <w:bCs/>
          <w:snapToGrid w:val="0"/>
          <w:sz w:val="24"/>
          <w:vertAlign w:val="superscript"/>
        </w:rPr>
        <w:t>†</w:t>
      </w:r>
      <w:r w:rsidRPr="009565AE">
        <w:rPr>
          <w:rStyle w:val="FootnoteReference"/>
          <w:sz w:val="24"/>
        </w:rPr>
        <w:footnoteReference w:id="1"/>
      </w:r>
    </w:p>
    <w:p w:rsidR="00B41EF0" w:rsidRDefault="00DC136F" w:rsidP="00B41EF0">
      <w:pPr>
        <w:autoSpaceDE w:val="0"/>
        <w:autoSpaceDN w:val="0"/>
        <w:adjustRightInd w:val="0"/>
        <w:spacing w:line="276" w:lineRule="auto"/>
        <w:jc w:val="right"/>
        <w:rPr>
          <w:sz w:val="24"/>
        </w:rPr>
      </w:pPr>
      <w:r w:rsidRPr="009565AE">
        <w:rPr>
          <w:i/>
          <w:iCs/>
          <w:sz w:val="24"/>
        </w:rPr>
        <w:t>State Key Laboratory for Biology of Plant Diseases and Insect Pests, Institute of Plant Protection, Chinese Academy of Agricultural Sciences, Beijing, 100193, China.</w:t>
      </w:r>
      <w:r w:rsidRPr="009565AE">
        <w:rPr>
          <w:sz w:val="24"/>
        </w:rPr>
        <w:t xml:space="preserve"> </w:t>
      </w:r>
      <w:hyperlink r:id="rId8" w:history="1">
        <w:r w:rsidRPr="009565AE">
          <w:rPr>
            <w:rStyle w:val="Hyperlink"/>
            <w:sz w:val="24"/>
          </w:rPr>
          <w:t>zenghongmei@caas.cn</w:t>
        </w:r>
      </w:hyperlink>
      <w:r w:rsidR="00A47439">
        <w:rPr>
          <w:sz w:val="24"/>
        </w:rPr>
        <w:t xml:space="preserve"> (H. Z, </w:t>
      </w:r>
      <w:r w:rsidR="00A47439" w:rsidRPr="00406395">
        <w:rPr>
          <w:sz w:val="24"/>
        </w:rPr>
        <w:t>ORCID ID: 0000-0001-7315-245X).</w:t>
      </w:r>
    </w:p>
    <w:p w:rsidR="00B41EF0" w:rsidRDefault="00B41EF0" w:rsidP="00B41EF0">
      <w:pPr>
        <w:autoSpaceDE w:val="0"/>
        <w:autoSpaceDN w:val="0"/>
        <w:adjustRightInd w:val="0"/>
        <w:spacing w:line="276" w:lineRule="auto"/>
        <w:jc w:val="right"/>
        <w:rPr>
          <w:sz w:val="24"/>
        </w:rPr>
      </w:pPr>
    </w:p>
    <w:p w:rsidR="00805E11" w:rsidRDefault="00805E11" w:rsidP="00805E11">
      <w:pPr>
        <w:autoSpaceDE w:val="0"/>
        <w:autoSpaceDN w:val="0"/>
        <w:adjustRightInd w:val="0"/>
        <w:spacing w:line="276" w:lineRule="auto"/>
        <w:ind w:right="120"/>
        <w:jc w:val="center"/>
        <w:rPr>
          <w:b/>
          <w:sz w:val="24"/>
        </w:rPr>
      </w:pPr>
      <w:r>
        <w:rPr>
          <w:b/>
          <w:noProof/>
          <w:sz w:val="24"/>
        </w:rPr>
        <w:drawing>
          <wp:inline distT="0" distB="0" distL="0" distR="0">
            <wp:extent cx="5155659" cy="6075817"/>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8364" cy="6079005"/>
                    </a:xfrm>
                    <a:prstGeom prst="rect">
                      <a:avLst/>
                    </a:prstGeom>
                  </pic:spPr>
                </pic:pic>
              </a:graphicData>
            </a:graphic>
          </wp:inline>
        </w:drawing>
      </w:r>
    </w:p>
    <w:p w:rsidR="006A1617" w:rsidRDefault="00DC136F" w:rsidP="00805E11">
      <w:pPr>
        <w:autoSpaceDE w:val="0"/>
        <w:autoSpaceDN w:val="0"/>
        <w:adjustRightInd w:val="0"/>
        <w:spacing w:line="276" w:lineRule="auto"/>
        <w:ind w:right="120"/>
        <w:jc w:val="left"/>
        <w:rPr>
          <w:sz w:val="24"/>
        </w:rPr>
      </w:pPr>
      <w:r>
        <w:rPr>
          <w:b/>
          <w:sz w:val="24"/>
        </w:rPr>
        <w:t>Supplemental Figure 1</w:t>
      </w:r>
      <w:r w:rsidR="008E3F10">
        <w:rPr>
          <w:b/>
          <w:sz w:val="24"/>
        </w:rPr>
        <w:t xml:space="preserve">: </w:t>
      </w:r>
      <w:r w:rsidR="008E3F10" w:rsidRPr="008E3F10">
        <w:rPr>
          <w:sz w:val="24"/>
        </w:rPr>
        <w:t xml:space="preserve">Statistics of </w:t>
      </w:r>
      <w:r w:rsidR="008E3F10">
        <w:rPr>
          <w:sz w:val="24"/>
        </w:rPr>
        <w:t>expressed genes</w:t>
      </w:r>
    </w:p>
    <w:p w:rsidR="00ED25F0" w:rsidRPr="00CC7706" w:rsidRDefault="00896694" w:rsidP="00CC7706">
      <w:pPr>
        <w:spacing w:line="360" w:lineRule="auto"/>
        <w:rPr>
          <w:sz w:val="24"/>
        </w:rPr>
      </w:pPr>
      <w:r w:rsidRPr="00CC7706">
        <w:rPr>
          <w:rStyle w:val="Strong"/>
          <w:b w:val="0"/>
          <w:bCs w:val="0"/>
          <w:sz w:val="24"/>
        </w:rPr>
        <w:t xml:space="preserve">(A) </w:t>
      </w:r>
      <w:r w:rsidR="00637A5D" w:rsidRPr="00CC7706">
        <w:rPr>
          <w:rStyle w:val="Strong"/>
          <w:b w:val="0"/>
          <w:bCs w:val="0"/>
          <w:sz w:val="24"/>
        </w:rPr>
        <w:t>Differentially expresses gene un</w:t>
      </w:r>
      <w:r w:rsidR="00DE41C4">
        <w:rPr>
          <w:rStyle w:val="Strong"/>
          <w:b w:val="0"/>
          <w:bCs w:val="0"/>
          <w:sz w:val="24"/>
        </w:rPr>
        <w:t>d</w:t>
      </w:r>
      <w:r w:rsidR="00637A5D" w:rsidRPr="00CC7706">
        <w:rPr>
          <w:rStyle w:val="Strong"/>
          <w:b w:val="0"/>
          <w:bCs w:val="0"/>
          <w:sz w:val="24"/>
        </w:rPr>
        <w:t>er pairwise compar</w:t>
      </w:r>
      <w:r w:rsidR="00DE41C4">
        <w:rPr>
          <w:rStyle w:val="Strong"/>
          <w:b w:val="0"/>
          <w:bCs w:val="0"/>
          <w:sz w:val="24"/>
        </w:rPr>
        <w:t>i</w:t>
      </w:r>
      <w:r w:rsidR="00637A5D" w:rsidRPr="00CC7706">
        <w:rPr>
          <w:rStyle w:val="Strong"/>
          <w:b w:val="0"/>
          <w:bCs w:val="0"/>
          <w:sz w:val="24"/>
        </w:rPr>
        <w:t>son</w:t>
      </w:r>
      <w:r w:rsidR="00DC136F" w:rsidRPr="006A1617">
        <w:rPr>
          <w:b/>
          <w:noProof/>
        </w:rPr>
        <mc:AlternateContent>
          <mc:Choice Requires="wps">
            <w:drawing>
              <wp:anchor distT="0" distB="0" distL="114300" distR="114300" simplePos="0" relativeHeight="251709440" behindDoc="0" locked="0" layoutInCell="1" allowOverlap="1" wp14:anchorId="32B93306" wp14:editId="05E730C5">
                <wp:simplePos x="0" y="0"/>
                <wp:positionH relativeFrom="column">
                  <wp:posOffset>-3173095</wp:posOffset>
                </wp:positionH>
                <wp:positionV relativeFrom="paragraph">
                  <wp:posOffset>695325</wp:posOffset>
                </wp:positionV>
                <wp:extent cx="393065" cy="403860"/>
                <wp:effectExtent l="0" t="0" r="26035" b="15240"/>
                <wp:wrapNone/>
                <wp:docPr id="17" name="Rectangle 17"/>
                <wp:cNvGraphicFramePr/>
                <a:graphic xmlns:a="http://schemas.openxmlformats.org/drawingml/2006/main">
                  <a:graphicData uri="http://schemas.microsoft.com/office/word/2010/wordprocessingShape">
                    <wps:wsp>
                      <wps:cNvSpPr/>
                      <wps:spPr>
                        <a:xfrm>
                          <a:off x="0" y="0"/>
                          <a:ext cx="39306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36F" w:rsidRPr="00BC16D2" w:rsidRDefault="00DC136F" w:rsidP="00DC136F">
                            <w:pPr>
                              <w:jc w:val="center"/>
                              <w:rPr>
                                <w:b/>
                                <w:color w:val="000000" w:themeColor="text1"/>
                                <w:sz w:val="24"/>
                              </w:rPr>
                            </w:pPr>
                            <w:r w:rsidRPr="00BC16D2">
                              <w:rPr>
                                <w:b/>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249.85pt;margin-top:54.75pt;width:30.95pt;height:3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" fillcolor="white [3212]" strokecolor="white [3212]" strokeweight="2pt">
                <v:textbox>
                  <w:txbxContent>
                    <w:p w:rsidR="00DC136F" w:rsidRPr="00BC16D2" w:rsidRDefault="00DC136F" w:rsidP="00DC136F">
                      <w:pPr>
                        <w:jc w:val="center"/>
                        <w:rPr>
                          <w:b/>
                          <w:color w:val="000000" w:themeColor="text1"/>
                          <w:sz w:val="24"/>
                        </w:rPr>
                      </w:pPr>
                      <w:r w:rsidRPr="00BC16D2">
                        <w:rPr>
                          <w:b/>
                          <w:color w:val="000000" w:themeColor="text1"/>
                          <w:sz w:val="24"/>
                        </w:rPr>
                        <w:t>(a)</w:t>
                      </w:r>
                    </w:p>
                  </w:txbxContent>
                </v:textbox>
              </v:rect>
            </w:pict>
          </mc:Fallback>
        </mc:AlternateContent>
      </w:r>
      <w:r w:rsidR="00DC136F" w:rsidRPr="006A1617">
        <w:rPr>
          <w:b/>
          <w:noProof/>
        </w:rPr>
        <mc:AlternateContent>
          <mc:Choice Requires="wps">
            <w:drawing>
              <wp:anchor distT="0" distB="0" distL="114300" distR="114300" simplePos="0" relativeHeight="251710464" behindDoc="0" locked="0" layoutInCell="1" allowOverlap="1" wp14:anchorId="1146A2E7" wp14:editId="5DE42745">
                <wp:simplePos x="0" y="0"/>
                <wp:positionH relativeFrom="column">
                  <wp:posOffset>-3173730</wp:posOffset>
                </wp:positionH>
                <wp:positionV relativeFrom="paragraph">
                  <wp:posOffset>3630295</wp:posOffset>
                </wp:positionV>
                <wp:extent cx="393065" cy="403860"/>
                <wp:effectExtent l="0" t="0" r="26035" b="15240"/>
                <wp:wrapNone/>
                <wp:docPr id="31" name="Rectangle 31"/>
                <wp:cNvGraphicFramePr/>
                <a:graphic xmlns:a="http://schemas.openxmlformats.org/drawingml/2006/main">
                  <a:graphicData uri="http://schemas.microsoft.com/office/word/2010/wordprocessingShape">
                    <wps:wsp>
                      <wps:cNvSpPr/>
                      <wps:spPr>
                        <a:xfrm>
                          <a:off x="0" y="0"/>
                          <a:ext cx="39306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36F" w:rsidRPr="00BC16D2" w:rsidRDefault="00DC136F" w:rsidP="00DC136F">
                            <w:pPr>
                              <w:jc w:val="center"/>
                              <w:rPr>
                                <w:b/>
                                <w:color w:val="000000" w:themeColor="text1"/>
                                <w:sz w:val="24"/>
                              </w:rPr>
                            </w:pPr>
                            <w:r w:rsidRPr="00BC16D2">
                              <w:rPr>
                                <w:b/>
                                <w:color w:val="000000" w:themeColor="text1"/>
                                <w:sz w:val="24"/>
                              </w:rPr>
                              <w:t>(</w:t>
                            </w:r>
                            <w:r>
                              <w:rPr>
                                <w:b/>
                                <w:color w:val="000000" w:themeColor="text1"/>
                                <w:sz w:val="24"/>
                              </w:rPr>
                              <w:t>c</w:t>
                            </w:r>
                            <w:r w:rsidRPr="00BC16D2">
                              <w:rPr>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7" style="position:absolute;left:0;text-align:left;margin-left:-249.9pt;margin-top:285.85pt;width:30.95pt;height:3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" fillcolor="white [3212]" strokecolor="white [3212]" strokeweight="2pt">
                <v:textbox>
                  <w:txbxContent>
                    <w:p w:rsidR="00DC136F" w:rsidRPr="00BC16D2" w:rsidRDefault="00DC136F" w:rsidP="00DC136F">
                      <w:pPr>
                        <w:jc w:val="center"/>
                        <w:rPr>
                          <w:b/>
                          <w:color w:val="000000" w:themeColor="text1"/>
                          <w:sz w:val="24"/>
                        </w:rPr>
                      </w:pPr>
                      <w:r w:rsidRPr="00BC16D2">
                        <w:rPr>
                          <w:b/>
                          <w:color w:val="000000" w:themeColor="text1"/>
                          <w:sz w:val="24"/>
                        </w:rPr>
                        <w:t>(</w:t>
                      </w:r>
                      <w:r>
                        <w:rPr>
                          <w:b/>
                          <w:color w:val="000000" w:themeColor="text1"/>
                          <w:sz w:val="24"/>
                        </w:rPr>
                        <w:t>c</w:t>
                      </w:r>
                      <w:r w:rsidRPr="00BC16D2">
                        <w:rPr>
                          <w:b/>
                          <w:color w:val="000000" w:themeColor="text1"/>
                          <w:sz w:val="24"/>
                        </w:rPr>
                        <w:t>)</w:t>
                      </w:r>
                    </w:p>
                  </w:txbxContent>
                </v:textbox>
              </v:rect>
            </w:pict>
          </mc:Fallback>
        </mc:AlternateContent>
      </w:r>
      <w:r w:rsidR="00637A5D" w:rsidRPr="00CC7706">
        <w:rPr>
          <w:rStyle w:val="Strong"/>
          <w:b w:val="0"/>
          <w:bCs w:val="0"/>
          <w:sz w:val="24"/>
        </w:rPr>
        <w:t xml:space="preserve"> (B) </w:t>
      </w:r>
      <w:r w:rsidR="00DC136F" w:rsidRPr="00CC7706">
        <w:rPr>
          <w:rStyle w:val="Strong"/>
          <w:b w:val="0"/>
          <w:sz w:val="24"/>
        </w:rPr>
        <w:t>Scatter plots of all the expressed genes in each pairwise comparison; t</w:t>
      </w:r>
      <w:r w:rsidR="00DC136F" w:rsidRPr="00CC7706">
        <w:rPr>
          <w:sz w:val="24"/>
        </w:rPr>
        <w:t xml:space="preserve">he X and Y axes show the log10 gene expression values for </w:t>
      </w:r>
      <w:r w:rsidR="00DC136F" w:rsidRPr="00CC7706">
        <w:rPr>
          <w:sz w:val="24"/>
        </w:rPr>
        <w:lastRenderedPageBreak/>
        <w:t>treatment</w:t>
      </w:r>
      <w:r w:rsidR="00637A5D" w:rsidRPr="00CC7706">
        <w:rPr>
          <w:sz w:val="24"/>
        </w:rPr>
        <w:t xml:space="preserve"> (HT)</w:t>
      </w:r>
      <w:r w:rsidR="00DC136F" w:rsidRPr="00CC7706">
        <w:rPr>
          <w:sz w:val="24"/>
        </w:rPr>
        <w:t xml:space="preserve"> and control</w:t>
      </w:r>
      <w:r w:rsidR="00637A5D" w:rsidRPr="00CC7706">
        <w:rPr>
          <w:sz w:val="24"/>
        </w:rPr>
        <w:t xml:space="preserve"> (CB)</w:t>
      </w:r>
      <w:r w:rsidR="00DC136F" w:rsidRPr="00CC7706">
        <w:rPr>
          <w:sz w:val="24"/>
        </w:rPr>
        <w:t xml:space="preserve">, respectively. Blue plots represent down-regulated genes, orange plots represent upregulated </w:t>
      </w:r>
    </w:p>
    <w:p w:rsidR="00D41BFA" w:rsidRPr="00CC7706" w:rsidRDefault="00DC136F" w:rsidP="00CC7706">
      <w:pPr>
        <w:spacing w:line="360" w:lineRule="auto"/>
        <w:rPr>
          <w:sz w:val="24"/>
        </w:rPr>
      </w:pPr>
      <w:r w:rsidRPr="00CC7706">
        <w:rPr>
          <w:sz w:val="24"/>
        </w:rPr>
        <w:t>genes, and brown plots represent non-responsive genes. If a gene is only expressed in one sample, its expression value in another sample is replaced by the minimum value of all expressed genes in the control and treatment sam</w:t>
      </w:r>
      <w:r w:rsidR="00DE41C4">
        <w:rPr>
          <w:sz w:val="24"/>
        </w:rPr>
        <w:t>ples. The screening threshold</w:t>
      </w:r>
      <w:r w:rsidRPr="00CC7706">
        <w:rPr>
          <w:sz w:val="24"/>
        </w:rPr>
        <w:t xml:space="preserve"> </w:t>
      </w:r>
      <w:r w:rsidR="00637A5D" w:rsidRPr="00CC7706">
        <w:rPr>
          <w:sz w:val="24"/>
        </w:rPr>
        <w:t>was set at probability ≥ 0.8 and (Log2(Y/X)) ≥ 1</w:t>
      </w:r>
      <w:r w:rsidR="00086171" w:rsidRPr="00CC7706">
        <w:rPr>
          <w:sz w:val="24"/>
        </w:rPr>
        <w:t xml:space="preserve"> </w:t>
      </w:r>
      <w:r w:rsidR="00306F6C" w:rsidRPr="00CC7706">
        <w:rPr>
          <w:sz w:val="24"/>
        </w:rPr>
        <w:t>(C)</w:t>
      </w:r>
      <w:r w:rsidR="00896694" w:rsidRPr="00CC7706">
        <w:rPr>
          <w:sz w:val="24"/>
        </w:rPr>
        <w:t xml:space="preserve"> Volcano graphs of all the expressed genes in each pairwise comparison. The log-transformed threshold values are represented on the X and Y axes. Red and black dots represent significant and non-significant DEGs, respectively (C) </w:t>
      </w:r>
      <w:r w:rsidR="00896694" w:rsidRPr="00CC7706">
        <w:rPr>
          <w:rStyle w:val="red-underline"/>
          <w:sz w:val="24"/>
        </w:rPr>
        <w:t xml:space="preserve">Cluster </w:t>
      </w:r>
      <w:r w:rsidR="00896694" w:rsidRPr="00CC7706">
        <w:rPr>
          <w:sz w:val="24"/>
        </w:rPr>
        <w:t xml:space="preserve">analysis of DEGs in pairwise comparisons between treatment and control samples. The heatmap was built from Log2 (fold change) values of genes that were only differentially expressed in all pairwise comparisons </w:t>
      </w:r>
      <w:r w:rsidR="00086171" w:rsidRPr="00CC7706">
        <w:rPr>
          <w:sz w:val="24"/>
        </w:rPr>
        <w:t xml:space="preserve">(D) </w:t>
      </w:r>
      <w:r w:rsidR="00D41BFA" w:rsidRPr="00CC7706">
        <w:rPr>
          <w:bCs/>
          <w:noProof/>
          <w:sz w:val="24"/>
        </w:rPr>
        <w:t>Venn diagrams of co</w:t>
      </w:r>
      <w:r w:rsidR="00D32856" w:rsidRPr="00CC7706">
        <w:rPr>
          <w:bCs/>
          <w:noProof/>
          <w:sz w:val="24"/>
        </w:rPr>
        <w:t>mmon DEGs among sampling points:</w:t>
      </w:r>
      <w:r w:rsidR="00D41BFA" w:rsidRPr="00CC7706">
        <w:rPr>
          <w:bCs/>
          <w:noProof/>
          <w:sz w:val="24"/>
        </w:rPr>
        <w:t xml:space="preserve"> Each diagram represents the triplicate</w:t>
      </w:r>
      <w:r w:rsidR="00086171" w:rsidRPr="00CC7706">
        <w:rPr>
          <w:bCs/>
          <w:noProof/>
          <w:sz w:val="24"/>
        </w:rPr>
        <w:t xml:space="preserve"> samples obtained at the four different time points</w:t>
      </w:r>
      <w:r w:rsidR="00D41BFA" w:rsidRPr="00CC7706">
        <w:rPr>
          <w:bCs/>
          <w:noProof/>
          <w:sz w:val="24"/>
        </w:rPr>
        <w:t xml:space="preserve">. Venn diagrams figures are proportional for </w:t>
      </w:r>
      <w:r w:rsidR="00D41BFA" w:rsidRPr="00CC7706">
        <w:rPr>
          <w:rFonts w:eastAsiaTheme="minorEastAsia"/>
          <w:kern w:val="0"/>
          <w:sz w:val="24"/>
        </w:rPr>
        <w:t xml:space="preserve">two samples and not all three samples in each case. </w:t>
      </w:r>
      <w:r w:rsidR="00076271" w:rsidRPr="00CC7706">
        <w:rPr>
          <w:rFonts w:eastAsiaTheme="minorEastAsia"/>
          <w:kern w:val="0"/>
          <w:sz w:val="24"/>
        </w:rPr>
        <w:t>CB = control samples, 6, 12, 24, and 48 are the time points of sampling, and the last digit represents the triplicate sample number (1, 2, 3)</w:t>
      </w:r>
    </w:p>
    <w:p w:rsidR="004C2E5A" w:rsidRPr="00406395" w:rsidRDefault="004C2E5A" w:rsidP="004C2E5A">
      <w:pPr>
        <w:spacing w:line="360" w:lineRule="auto"/>
        <w:rPr>
          <w:sz w:val="24"/>
        </w:rPr>
      </w:pPr>
      <w:r w:rsidRPr="00406395">
        <w:rPr>
          <w:sz w:val="24"/>
        </w:rPr>
        <w:object w:dxaOrig="10772" w:dyaOrig="12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5pt;height:473pt" o:ole="">
            <v:imagedata r:id="rId10" o:title=""/>
          </v:shape>
          <o:OLEObject Type="Embed" ProgID="ChemDraw.Document.6.0" ShapeID="_x0000_i1025" DrawAspect="Content" ObjectID="_1717228532" r:id="rId11"/>
        </w:object>
      </w:r>
    </w:p>
    <w:p w:rsidR="004C2E5A" w:rsidRPr="00406395" w:rsidRDefault="004C2E5A" w:rsidP="004C2E5A">
      <w:pPr>
        <w:spacing w:after="240" w:line="360" w:lineRule="auto"/>
        <w:rPr>
          <w:sz w:val="24"/>
        </w:rPr>
      </w:pPr>
      <w:r>
        <w:rPr>
          <w:b/>
          <w:sz w:val="24"/>
        </w:rPr>
        <w:t>Supplemental Figure</w:t>
      </w:r>
      <w:r w:rsidRPr="00406395">
        <w:rPr>
          <w:b/>
        </w:rPr>
        <w:t xml:space="preserve"> 2: </w:t>
      </w:r>
      <w:r w:rsidRPr="00406395">
        <w:rPr>
          <w:sz w:val="24"/>
        </w:rPr>
        <w:t xml:space="preserve">GO terms enriched under each pairwise comparison between the Hrip1 treatment (HT) and control (CB) groups </w:t>
      </w:r>
      <w:r w:rsidRPr="00A54791">
        <w:rPr>
          <w:b/>
          <w:sz w:val="24"/>
        </w:rPr>
        <w:t>(A)</w:t>
      </w:r>
      <w:r w:rsidRPr="00406395">
        <w:rPr>
          <w:sz w:val="24"/>
        </w:rPr>
        <w:t xml:space="preserve"> CB6 vs. HT6 </w:t>
      </w:r>
      <w:r w:rsidRPr="00A54791">
        <w:rPr>
          <w:b/>
          <w:sz w:val="24"/>
        </w:rPr>
        <w:t>(B)</w:t>
      </w:r>
      <w:r w:rsidRPr="00406395">
        <w:rPr>
          <w:sz w:val="24"/>
        </w:rPr>
        <w:t xml:space="preserve"> CB12 vs. HT12 </w:t>
      </w:r>
      <w:r w:rsidRPr="00A54791">
        <w:rPr>
          <w:b/>
          <w:sz w:val="24"/>
        </w:rPr>
        <w:t>(C)</w:t>
      </w:r>
      <w:r w:rsidRPr="00406395">
        <w:rPr>
          <w:sz w:val="24"/>
        </w:rPr>
        <w:t xml:space="preserve">  CB624 vs. HT24 </w:t>
      </w:r>
      <w:r w:rsidRPr="00A54791">
        <w:rPr>
          <w:b/>
          <w:sz w:val="24"/>
        </w:rPr>
        <w:t>(D)</w:t>
      </w:r>
      <w:r w:rsidRPr="00406395">
        <w:rPr>
          <w:sz w:val="24"/>
        </w:rPr>
        <w:t xml:space="preserve"> CB48 vs. HT48, 6, 12, 24, and 48 are the sampling time points.</w:t>
      </w:r>
    </w:p>
    <w:p w:rsidR="00277703" w:rsidRDefault="00277703" w:rsidP="00626F99">
      <w:pPr>
        <w:widowControl/>
        <w:autoSpaceDE w:val="0"/>
        <w:autoSpaceDN w:val="0"/>
        <w:adjustRightInd w:val="0"/>
        <w:spacing w:line="360" w:lineRule="auto"/>
        <w:rPr>
          <w:rStyle w:val="Strong"/>
          <w:sz w:val="24"/>
        </w:rPr>
      </w:pPr>
    </w:p>
    <w:p w:rsidR="00277703" w:rsidRDefault="000C5288" w:rsidP="00277703">
      <w:pPr>
        <w:widowControl/>
        <w:autoSpaceDE w:val="0"/>
        <w:autoSpaceDN w:val="0"/>
        <w:adjustRightInd w:val="0"/>
        <w:spacing w:line="360" w:lineRule="auto"/>
        <w:jc w:val="center"/>
        <w:rPr>
          <w:rStyle w:val="Strong"/>
          <w:sz w:val="24"/>
        </w:rPr>
      </w:pPr>
      <w:r>
        <w:rPr>
          <w:b/>
          <w:bCs/>
          <w:noProof/>
          <w:sz w:val="24"/>
        </w:rPr>
        <w:lastRenderedPageBreak/>
        <w:drawing>
          <wp:inline distT="0" distB="0" distL="0" distR="0">
            <wp:extent cx="6286500" cy="6433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qMethod_C06-VS-H06.path.enrichm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6433820"/>
                    </a:xfrm>
                    <a:prstGeom prst="rect">
                      <a:avLst/>
                    </a:prstGeom>
                  </pic:spPr>
                </pic:pic>
              </a:graphicData>
            </a:graphic>
          </wp:inline>
        </w:drawing>
      </w:r>
    </w:p>
    <w:p w:rsidR="00D41BFA" w:rsidRPr="00BC16D2" w:rsidRDefault="00CE70FC" w:rsidP="00A55A10">
      <w:pPr>
        <w:widowControl/>
        <w:autoSpaceDE w:val="0"/>
        <w:autoSpaceDN w:val="0"/>
        <w:adjustRightInd w:val="0"/>
        <w:spacing w:line="360" w:lineRule="auto"/>
        <w:rPr>
          <w:sz w:val="24"/>
        </w:rPr>
      </w:pPr>
      <w:r w:rsidRPr="00BC16D2">
        <w:rPr>
          <w:rStyle w:val="Strong"/>
          <w:sz w:val="24"/>
        </w:rPr>
        <w:t>Supplemental Fig</w:t>
      </w:r>
      <w:r>
        <w:rPr>
          <w:rStyle w:val="Strong"/>
          <w:sz w:val="24"/>
        </w:rPr>
        <w:t>ure</w:t>
      </w:r>
      <w:r w:rsidR="00D12946">
        <w:rPr>
          <w:rStyle w:val="Strong"/>
          <w:sz w:val="24"/>
        </w:rPr>
        <w:t xml:space="preserve"> 3</w:t>
      </w:r>
      <w:r w:rsidR="00A55A10">
        <w:rPr>
          <w:rStyle w:val="Strong"/>
          <w:sz w:val="24"/>
        </w:rPr>
        <w:t xml:space="preserve">: </w:t>
      </w:r>
      <w:r w:rsidR="00711225">
        <w:rPr>
          <w:rStyle w:val="Strong"/>
          <w:b w:val="0"/>
          <w:sz w:val="24"/>
        </w:rPr>
        <w:t xml:space="preserve">KEGG </w:t>
      </w:r>
      <w:r w:rsidR="00076271" w:rsidRPr="006A1617">
        <w:rPr>
          <w:rStyle w:val="Strong"/>
          <w:b w:val="0"/>
          <w:sz w:val="24"/>
        </w:rPr>
        <w:t>pathway enrichment of DEGs in each pairwise comparison</w:t>
      </w:r>
      <w:r w:rsidR="00076271" w:rsidRPr="006A1617">
        <w:rPr>
          <w:rStyle w:val="red-underline"/>
          <w:b/>
          <w:bCs/>
          <w:sz w:val="24"/>
        </w:rPr>
        <w:t>:</w:t>
      </w:r>
      <w:r w:rsidR="00076271" w:rsidRPr="00BC16D2">
        <w:rPr>
          <w:rStyle w:val="red-underline"/>
          <w:b/>
          <w:bCs/>
          <w:sz w:val="24"/>
        </w:rPr>
        <w:t xml:space="preserve"> </w:t>
      </w:r>
      <w:r w:rsidR="00076271" w:rsidRPr="00BC16D2">
        <w:rPr>
          <w:sz w:val="24"/>
        </w:rPr>
        <w:t xml:space="preserve">RichFactor is the ratio of differentially expressed gene numbers annotated in the pathway term to all gene numbers annotated in this pathway term. Greater </w:t>
      </w:r>
      <w:r w:rsidR="00076271" w:rsidRPr="00BC16D2">
        <w:rPr>
          <w:rStyle w:val="red-underline"/>
          <w:sz w:val="24"/>
        </w:rPr>
        <w:t>richFator</w:t>
      </w:r>
      <w:r w:rsidR="00076271" w:rsidRPr="00BC16D2">
        <w:rPr>
          <w:sz w:val="24"/>
        </w:rPr>
        <w:t xml:space="preserve"> means greater intensiveness. </w:t>
      </w:r>
      <w:r w:rsidR="00076271" w:rsidRPr="00BC16D2">
        <w:rPr>
          <w:rStyle w:val="red-underline"/>
          <w:sz w:val="24"/>
        </w:rPr>
        <w:t>Q-values are </w:t>
      </w:r>
      <w:r w:rsidR="00076271" w:rsidRPr="00BC16D2">
        <w:rPr>
          <w:sz w:val="24"/>
        </w:rPr>
        <w:t>corrected p-</w:t>
      </w:r>
      <w:r w:rsidR="00076271" w:rsidRPr="00BC16D2">
        <w:rPr>
          <w:rStyle w:val="red-underline"/>
          <w:sz w:val="24"/>
        </w:rPr>
        <w:t>values</w:t>
      </w:r>
      <w:r w:rsidR="00076271" w:rsidRPr="00BC16D2">
        <w:rPr>
          <w:sz w:val="24"/>
        </w:rPr>
        <w:t xml:space="preserve"> ranging from 0</w:t>
      </w:r>
      <w:r w:rsidR="00076271" w:rsidRPr="00BC16D2">
        <w:rPr>
          <w:rStyle w:val="red-underline"/>
          <w:sz w:val="24"/>
        </w:rPr>
        <w:t>~</w:t>
      </w:r>
      <w:r w:rsidR="00076271" w:rsidRPr="00BC16D2">
        <w:rPr>
          <w:sz w:val="24"/>
        </w:rPr>
        <w:t xml:space="preserve">1, and a lower Q-value means greater intensiveness. The top 20 enriched pathway terms are displayed according to the pairwise comparison between treatment and control: </w:t>
      </w:r>
      <w:r w:rsidR="00BD213F">
        <w:rPr>
          <w:sz w:val="24"/>
        </w:rPr>
        <w:t>(A) HT06 vs. CB06</w:t>
      </w:r>
      <w:r w:rsidR="00076271" w:rsidRPr="00BC16D2">
        <w:rPr>
          <w:sz w:val="24"/>
        </w:rPr>
        <w:t xml:space="preserve">, </w:t>
      </w:r>
      <w:r w:rsidR="00BD213F">
        <w:rPr>
          <w:sz w:val="24"/>
        </w:rPr>
        <w:t>(B) HT12 vs. CB12 (C</w:t>
      </w:r>
      <w:r w:rsidR="00076271" w:rsidRPr="00BC16D2">
        <w:rPr>
          <w:sz w:val="24"/>
        </w:rPr>
        <w:t xml:space="preserve">), </w:t>
      </w:r>
      <w:r w:rsidR="00BD213F">
        <w:rPr>
          <w:sz w:val="24"/>
        </w:rPr>
        <w:t>HT24 vs. CB24 (D</w:t>
      </w:r>
      <w:r w:rsidR="00076271" w:rsidRPr="00BC16D2">
        <w:rPr>
          <w:sz w:val="24"/>
        </w:rPr>
        <w:t>).HT48 vs. CB48</w:t>
      </w:r>
    </w:p>
    <w:p w:rsidR="00FC3ECA" w:rsidRDefault="00FC3ECA">
      <w:pPr>
        <w:rPr>
          <w:sz w:val="22"/>
          <w:szCs w:val="22"/>
        </w:rPr>
      </w:pPr>
    </w:p>
    <w:p w:rsidR="00FC3ECA" w:rsidRDefault="008B3B23" w:rsidP="00ED25F0">
      <w:pPr>
        <w:jc w:val="center"/>
        <w:rPr>
          <w:sz w:val="22"/>
          <w:szCs w:val="22"/>
        </w:rPr>
      </w:pPr>
      <w:r>
        <w:rPr>
          <w:noProof/>
          <w:sz w:val="22"/>
          <w:szCs w:val="22"/>
        </w:rPr>
        <w:lastRenderedPageBreak/>
        <w:drawing>
          <wp:inline distT="0" distB="0" distL="0" distR="0">
            <wp:extent cx="5991225" cy="604845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1225" cy="6048451"/>
                    </a:xfrm>
                    <a:prstGeom prst="rect">
                      <a:avLst/>
                    </a:prstGeom>
                  </pic:spPr>
                </pic:pic>
              </a:graphicData>
            </a:graphic>
          </wp:inline>
        </w:drawing>
      </w:r>
    </w:p>
    <w:p w:rsidR="008B3B23" w:rsidRPr="00626F99" w:rsidRDefault="008B3B23" w:rsidP="008B3B23">
      <w:pPr>
        <w:spacing w:line="360" w:lineRule="auto"/>
        <w:rPr>
          <w:sz w:val="24"/>
        </w:rPr>
      </w:pPr>
      <w:r w:rsidRPr="00BC16D2">
        <w:rPr>
          <w:rStyle w:val="Strong"/>
          <w:sz w:val="24"/>
        </w:rPr>
        <w:t>Supplemental Fig</w:t>
      </w:r>
      <w:r>
        <w:rPr>
          <w:rStyle w:val="Strong"/>
          <w:sz w:val="24"/>
        </w:rPr>
        <w:t>ure</w:t>
      </w:r>
      <w:r w:rsidR="00D12946">
        <w:rPr>
          <w:rStyle w:val="Strong"/>
          <w:sz w:val="24"/>
        </w:rPr>
        <w:t xml:space="preserve"> 4</w:t>
      </w:r>
      <w:r>
        <w:rPr>
          <w:rStyle w:val="Strong"/>
          <w:sz w:val="24"/>
        </w:rPr>
        <w:t xml:space="preserve">: </w:t>
      </w:r>
      <w:r w:rsidR="00711225">
        <w:rPr>
          <w:sz w:val="24"/>
        </w:rPr>
        <w:t>Defense</w:t>
      </w:r>
      <w:r w:rsidRPr="00626F99">
        <w:rPr>
          <w:sz w:val="24"/>
        </w:rPr>
        <w:t xml:space="preserve"> metabolic pathways. </w:t>
      </w:r>
      <w:r>
        <w:rPr>
          <w:sz w:val="24"/>
        </w:rPr>
        <w:t>(A)</w:t>
      </w:r>
      <w:r w:rsidRPr="00626F99">
        <w:rPr>
          <w:sz w:val="24"/>
        </w:rPr>
        <w:t xml:space="preserve"> Phenylp</w:t>
      </w:r>
      <w:r>
        <w:rPr>
          <w:sz w:val="24"/>
        </w:rPr>
        <w:t>ropanoids and lignin pathways (B) Diterpenoids pathway and (C</w:t>
      </w:r>
      <w:r w:rsidRPr="00626F99">
        <w:rPr>
          <w:sz w:val="24"/>
        </w:rPr>
        <w:t>) Benzoxazinoids pathways.</w:t>
      </w:r>
    </w:p>
    <w:p w:rsidR="00F1666E" w:rsidRDefault="008B3B23" w:rsidP="00CC7706">
      <w:pPr>
        <w:spacing w:line="360" w:lineRule="auto"/>
        <w:rPr>
          <w:sz w:val="24"/>
        </w:rPr>
      </w:pPr>
      <w:r>
        <w:rPr>
          <w:sz w:val="24"/>
        </w:rPr>
        <w:t xml:space="preserve">Red </w:t>
      </w:r>
      <w:r w:rsidRPr="00626F99">
        <w:rPr>
          <w:sz w:val="24"/>
        </w:rPr>
        <w:t xml:space="preserve">rectangles are upregulated, green </w:t>
      </w:r>
      <w:r>
        <w:rPr>
          <w:sz w:val="24"/>
        </w:rPr>
        <w:t>rectangles represent down</w:t>
      </w:r>
      <w:r w:rsidRPr="00626F99">
        <w:rPr>
          <w:sz w:val="24"/>
        </w:rPr>
        <w:t>regulated genes</w:t>
      </w:r>
      <w:r>
        <w:rPr>
          <w:sz w:val="24"/>
        </w:rPr>
        <w:t>, and black ones</w:t>
      </w:r>
      <w:r w:rsidRPr="00626F99">
        <w:rPr>
          <w:sz w:val="24"/>
        </w:rPr>
        <w:t xml:space="preserve"> are no</w:t>
      </w:r>
      <w:r>
        <w:rPr>
          <w:sz w:val="24"/>
        </w:rPr>
        <w:t>n-responsive to hrip1 treatment.</w:t>
      </w:r>
    </w:p>
    <w:p w:rsidR="00A55A10" w:rsidRDefault="00A55A10" w:rsidP="00376B07">
      <w:pPr>
        <w:spacing w:line="360" w:lineRule="auto"/>
        <w:jc w:val="center"/>
        <w:rPr>
          <w:sz w:val="24"/>
        </w:rPr>
      </w:pPr>
      <w:r>
        <w:rPr>
          <w:noProof/>
          <w:sz w:val="24"/>
        </w:rPr>
        <w:lastRenderedPageBreak/>
        <w:drawing>
          <wp:inline distT="0" distB="0" distL="0" distR="0">
            <wp:extent cx="5343525" cy="683809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ogen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4520" cy="6839366"/>
                    </a:xfrm>
                    <a:prstGeom prst="rect">
                      <a:avLst/>
                    </a:prstGeom>
                  </pic:spPr>
                </pic:pic>
              </a:graphicData>
            </a:graphic>
          </wp:inline>
        </w:drawing>
      </w:r>
    </w:p>
    <w:p w:rsidR="00A55A10" w:rsidRDefault="00A55A10" w:rsidP="00CC7706">
      <w:pPr>
        <w:spacing w:line="360" w:lineRule="auto"/>
        <w:rPr>
          <w:rStyle w:val="Strong"/>
          <w:b w:val="0"/>
          <w:sz w:val="24"/>
        </w:rPr>
      </w:pPr>
      <w:r w:rsidRPr="00BC16D2">
        <w:rPr>
          <w:rStyle w:val="Strong"/>
          <w:sz w:val="24"/>
        </w:rPr>
        <w:t>Supplemental Fig</w:t>
      </w:r>
      <w:r w:rsidR="00D12946">
        <w:rPr>
          <w:rStyle w:val="Strong"/>
          <w:sz w:val="24"/>
        </w:rPr>
        <w:t>ure 5</w:t>
      </w:r>
      <w:r>
        <w:rPr>
          <w:rStyle w:val="Strong"/>
          <w:sz w:val="24"/>
        </w:rPr>
        <w:t>:</w:t>
      </w:r>
      <w:r w:rsidRPr="00A55A10">
        <w:rPr>
          <w:rStyle w:val="Strong"/>
          <w:b w:val="0"/>
          <w:sz w:val="24"/>
        </w:rPr>
        <w:t xml:space="preserve"> </w:t>
      </w:r>
      <w:r w:rsidR="00711225">
        <w:rPr>
          <w:rStyle w:val="Strong"/>
          <w:b w:val="0"/>
          <w:sz w:val="24"/>
        </w:rPr>
        <w:t xml:space="preserve">Phylogeny </w:t>
      </w:r>
      <w:r w:rsidRPr="00A55A10">
        <w:rPr>
          <w:rStyle w:val="Strong"/>
          <w:b w:val="0"/>
          <w:sz w:val="24"/>
        </w:rPr>
        <w:t>analysis of induced pathway genes</w:t>
      </w:r>
    </w:p>
    <w:p w:rsidR="00ED46F0" w:rsidRPr="00522470" w:rsidRDefault="00522470" w:rsidP="00522470">
      <w:pPr>
        <w:pStyle w:val="ListParagraph"/>
        <w:spacing w:line="360" w:lineRule="auto"/>
        <w:ind w:left="0"/>
        <w:rPr>
          <w:sz w:val="24"/>
          <w:shd w:val="clear" w:color="auto" w:fill="FFFFFF"/>
        </w:rPr>
      </w:pPr>
      <w:r>
        <w:rPr>
          <w:sz w:val="24"/>
        </w:rPr>
        <w:t>(A)</w:t>
      </w:r>
      <w:r w:rsidRPr="00522470">
        <w:rPr>
          <w:sz w:val="24"/>
        </w:rPr>
        <w:t xml:space="preserve">. </w:t>
      </w:r>
      <w:r w:rsidR="00380E86">
        <w:rPr>
          <w:sz w:val="24"/>
        </w:rPr>
        <w:t>Phylogenetic</w:t>
      </w:r>
      <w:r>
        <w:rPr>
          <w:sz w:val="24"/>
        </w:rPr>
        <w:t xml:space="preserve"> of tree lignin </w:t>
      </w:r>
      <w:r w:rsidR="00380E86">
        <w:rPr>
          <w:sz w:val="24"/>
        </w:rPr>
        <w:t>biosynthetic</w:t>
      </w:r>
      <w:r>
        <w:rPr>
          <w:sz w:val="24"/>
        </w:rPr>
        <w:t xml:space="preserve"> genes (B) </w:t>
      </w:r>
      <w:r w:rsidR="00D00770" w:rsidRPr="00522470">
        <w:rPr>
          <w:sz w:val="24"/>
        </w:rPr>
        <w:t xml:space="preserve">Phylogenetic analysis </w:t>
      </w:r>
      <w:r w:rsidRPr="00522470">
        <w:rPr>
          <w:sz w:val="24"/>
        </w:rPr>
        <w:t>diterpenoids biosynthetic genes</w:t>
      </w:r>
      <w:r w:rsidR="00D00770" w:rsidRPr="00522470">
        <w:rPr>
          <w:sz w:val="24"/>
        </w:rPr>
        <w:t xml:space="preserve">. </w:t>
      </w:r>
      <w:r w:rsidR="00D00770" w:rsidRPr="00522470">
        <w:rPr>
          <w:sz w:val="24"/>
          <w:shd w:val="clear" w:color="auto" w:fill="FFFFFF"/>
        </w:rPr>
        <w:t xml:space="preserve">I = Kaurene synthase or class I diterpene synthases (KSL),  II = </w:t>
      </w:r>
      <w:r w:rsidR="00D00770" w:rsidRPr="00522470">
        <w:rPr>
          <w:rStyle w:val="Emphasis"/>
          <w:sz w:val="24"/>
        </w:rPr>
        <w:t>ent</w:t>
      </w:r>
      <w:r w:rsidR="00D00770" w:rsidRPr="00522470">
        <w:rPr>
          <w:sz w:val="24"/>
        </w:rPr>
        <w:t xml:space="preserve">- and </w:t>
      </w:r>
      <w:r w:rsidR="00D00770" w:rsidRPr="00522470">
        <w:rPr>
          <w:rStyle w:val="Emphasis"/>
          <w:sz w:val="24"/>
        </w:rPr>
        <w:t>syn</w:t>
      </w:r>
      <w:r w:rsidR="00D00770" w:rsidRPr="00522470">
        <w:rPr>
          <w:sz w:val="24"/>
        </w:rPr>
        <w:t>-copalyl diphosphate or class II diterpene synthases</w:t>
      </w:r>
      <w:r w:rsidR="00D00770" w:rsidRPr="00522470">
        <w:rPr>
          <w:sz w:val="24"/>
          <w:shd w:val="clear" w:color="auto" w:fill="FFFFFF"/>
        </w:rPr>
        <w:t xml:space="preserve"> (</w:t>
      </w:r>
      <w:r w:rsidR="00A47439">
        <w:rPr>
          <w:sz w:val="24"/>
          <w:shd w:val="clear" w:color="auto" w:fill="FFFFFF"/>
        </w:rPr>
        <w:t>CPS), III =</w:t>
      </w:r>
      <w:r w:rsidR="00D00770" w:rsidRPr="00522470">
        <w:rPr>
          <w:sz w:val="24"/>
          <w:shd w:val="clear" w:color="auto" w:fill="FFFFFF"/>
        </w:rPr>
        <w:t xml:space="preserve"> Momilactone synthases, IV = Geraylgeranylediphosphate precursor  (GGPP), V = Cytochrome P450 subfamily (CYP71Z), VI = Cytochrome P450 subfamily (CYP70M)</w:t>
      </w:r>
      <w:r>
        <w:rPr>
          <w:sz w:val="24"/>
          <w:shd w:val="clear" w:color="auto" w:fill="FFFFFF"/>
        </w:rPr>
        <w:t xml:space="preserve"> (C</w:t>
      </w:r>
      <w:r w:rsidRPr="00522470">
        <w:rPr>
          <w:sz w:val="24"/>
          <w:shd w:val="clear" w:color="auto" w:fill="FFFFFF"/>
        </w:rPr>
        <w:t xml:space="preserve">) </w:t>
      </w:r>
      <w:r w:rsidR="00ED46F0" w:rsidRPr="00522470">
        <w:rPr>
          <w:sz w:val="24"/>
        </w:rPr>
        <w:t>A phylogenetic tree illustrating the functional relatedness of BX genes</w:t>
      </w:r>
    </w:p>
    <w:sectPr w:rsidR="00ED46F0" w:rsidRPr="00522470" w:rsidSect="00CC7706">
      <w:headerReference w:type="default" r:id="rId15"/>
      <w:pgSz w:w="12240" w:h="15840"/>
      <w:pgMar w:top="1535" w:right="1170" w:bottom="432"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8AA" w:rsidRDefault="004038AA" w:rsidP="00BC52E0">
      <w:r>
        <w:separator/>
      </w:r>
    </w:p>
  </w:endnote>
  <w:endnote w:type="continuationSeparator" w:id="0">
    <w:p w:rsidR="004038AA" w:rsidRDefault="004038AA" w:rsidP="00BC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书宋简体">
    <w:altName w:val="SimSun"/>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8AA" w:rsidRDefault="004038AA" w:rsidP="00BC52E0">
      <w:r>
        <w:separator/>
      </w:r>
    </w:p>
  </w:footnote>
  <w:footnote w:type="continuationSeparator" w:id="0">
    <w:p w:rsidR="004038AA" w:rsidRDefault="004038AA" w:rsidP="00BC52E0">
      <w:r>
        <w:continuationSeparator/>
      </w:r>
    </w:p>
  </w:footnote>
  <w:footnote w:id="1">
    <w:p w:rsidR="00DC136F" w:rsidRDefault="00DC136F" w:rsidP="00DC136F">
      <w:pPr>
        <w:pStyle w:val="FootnoteText"/>
        <w:rPr>
          <w:rFonts w:ascii="Times New Roman" w:hAnsi="Times New Roman"/>
          <w:sz w:val="17"/>
          <w:szCs w:val="17"/>
        </w:rPr>
      </w:pPr>
      <w:r w:rsidRPr="00A07798">
        <w:rPr>
          <w:rFonts w:ascii="Times New Roman" w:eastAsia="方正书宋简体" w:hAnsi="Times New Roman"/>
          <w:b/>
          <w:bCs/>
          <w:snapToGrid w:val="0"/>
          <w:sz w:val="17"/>
          <w:szCs w:val="17"/>
        </w:rPr>
        <w:t>†</w:t>
      </w:r>
      <w:r w:rsidRPr="00A07798">
        <w:rPr>
          <w:rFonts w:ascii="Times New Roman" w:hAnsi="Times New Roman"/>
          <w:sz w:val="17"/>
          <w:szCs w:val="17"/>
        </w:rPr>
        <w:t xml:space="preserve">Corresponding author. Hongmei Zeng, E-mail: </w:t>
      </w:r>
      <w:hyperlink r:id="rId1" w:history="1">
        <w:r w:rsidRPr="0049205D">
          <w:rPr>
            <w:rStyle w:val="Hyperlink"/>
            <w:rFonts w:ascii="Times New Roman" w:hAnsi="Times New Roman" w:hint="eastAsia"/>
            <w:sz w:val="17"/>
            <w:szCs w:val="17"/>
          </w:rPr>
          <w:t>z</w:t>
        </w:r>
        <w:r w:rsidRPr="0049205D">
          <w:rPr>
            <w:rStyle w:val="Hyperlink"/>
            <w:rFonts w:ascii="Times New Roman" w:hAnsi="Times New Roman"/>
            <w:sz w:val="17"/>
            <w:szCs w:val="17"/>
          </w:rPr>
          <w:t>enghongmei@caas.cn</w:t>
        </w:r>
      </w:hyperlink>
    </w:p>
    <w:p w:rsidR="00DC136F" w:rsidRPr="00A07798" w:rsidRDefault="00DC136F" w:rsidP="00DC136F">
      <w:pPr>
        <w:pStyle w:val="FootnoteText"/>
        <w:rPr>
          <w:rFonts w:ascii="Times New Roman" w:hAnsi="Times New Roman"/>
          <w:sz w:val="17"/>
          <w:szCs w:val="17"/>
        </w:rPr>
      </w:pPr>
      <w:r>
        <w:rPr>
          <w:rFonts w:ascii="Times New Roman" w:hAnsi="Times New Roman"/>
          <w:sz w:val="17"/>
          <w:szCs w:val="17"/>
        </w:rPr>
        <w:t>Funding agency: The National Key Research and Development Program of China, Grand number: 2017YFD0200900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964"/>
    </w:tblGrid>
    <w:tr w:rsidR="00C2011E" w:rsidTr="00B5526C">
      <w:tc>
        <w:tcPr>
          <w:tcW w:w="1152" w:type="dxa"/>
        </w:tcPr>
        <w:p w:rsidR="00C2011E" w:rsidRDefault="00C2011E" w:rsidP="00B5526C">
          <w:pPr>
            <w:pStyle w:val="Header"/>
            <w:jc w:val="right"/>
            <w:rPr>
              <w:b/>
              <w:bCs/>
            </w:rPr>
          </w:pPr>
          <w:r>
            <w:fldChar w:fldCharType="begin"/>
          </w:r>
          <w:r>
            <w:instrText xml:space="preserve"> PAGE   \* MERGEFORMAT </w:instrText>
          </w:r>
          <w:r>
            <w:fldChar w:fldCharType="separate"/>
          </w:r>
          <w:r w:rsidR="00B23706">
            <w:rPr>
              <w:noProof/>
            </w:rPr>
            <w:t>6</w:t>
          </w:r>
          <w:r>
            <w:rPr>
              <w:noProof/>
            </w:rPr>
            <w:fldChar w:fldCharType="end"/>
          </w:r>
        </w:p>
      </w:tc>
      <w:tc>
        <w:tcPr>
          <w:tcW w:w="0" w:type="auto"/>
          <w:noWrap/>
        </w:tcPr>
        <w:p w:rsidR="00C2011E" w:rsidRDefault="00C2011E" w:rsidP="00B5526C">
          <w:pPr>
            <w:ind w:right="440"/>
            <w:rPr>
              <w:sz w:val="24"/>
            </w:rPr>
          </w:pPr>
          <w:r>
            <w:t xml:space="preserve">HRIP1 MEDIATES CELL WALL AND PHYTOALEXINS DEFENSE </w:t>
          </w:r>
        </w:p>
        <w:p w:rsidR="00C2011E" w:rsidRDefault="00C2011E" w:rsidP="00B5526C">
          <w:pPr>
            <w:pStyle w:val="Header"/>
            <w:rPr>
              <w:b/>
              <w:bCs/>
            </w:rPr>
          </w:pPr>
        </w:p>
      </w:tc>
    </w:tr>
  </w:tbl>
  <w:p w:rsidR="00C2011E" w:rsidRPr="00C2011E" w:rsidRDefault="00C2011E" w:rsidP="00C201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7639F"/>
    <w:multiLevelType w:val="hybridMultilevel"/>
    <w:tmpl w:val="3248549A"/>
    <w:lvl w:ilvl="0" w:tplc="41C0CC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521263"/>
    <w:multiLevelType w:val="hybridMultilevel"/>
    <w:tmpl w:val="29C82FD8"/>
    <w:lvl w:ilvl="0" w:tplc="AB820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E1A3D"/>
    <w:multiLevelType w:val="hybridMultilevel"/>
    <w:tmpl w:val="199CD988"/>
    <w:lvl w:ilvl="0" w:tplc="4B2C6EFC">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2559E3"/>
    <w:multiLevelType w:val="hybridMultilevel"/>
    <w:tmpl w:val="F7449708"/>
    <w:lvl w:ilvl="0" w:tplc="6C58E5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Y1NzIztzA0tTCxNDBQ0lEKTi0uzszPAymwqAUAwuBCgiwAAAA="/>
  </w:docVars>
  <w:rsids>
    <w:rsidRoot w:val="00D41BFA"/>
    <w:rsid w:val="00002ECB"/>
    <w:rsid w:val="00004F0D"/>
    <w:rsid w:val="000476E5"/>
    <w:rsid w:val="00076271"/>
    <w:rsid w:val="00083D73"/>
    <w:rsid w:val="00086171"/>
    <w:rsid w:val="000C5288"/>
    <w:rsid w:val="000F1945"/>
    <w:rsid w:val="0012471F"/>
    <w:rsid w:val="00170B16"/>
    <w:rsid w:val="001945E5"/>
    <w:rsid w:val="001E66BA"/>
    <w:rsid w:val="0025016C"/>
    <w:rsid w:val="00277703"/>
    <w:rsid w:val="002C4B5F"/>
    <w:rsid w:val="002D5A1A"/>
    <w:rsid w:val="00306F6C"/>
    <w:rsid w:val="00350CDD"/>
    <w:rsid w:val="003750AB"/>
    <w:rsid w:val="00376B07"/>
    <w:rsid w:val="00380E86"/>
    <w:rsid w:val="003D21AC"/>
    <w:rsid w:val="003E7071"/>
    <w:rsid w:val="004038AA"/>
    <w:rsid w:val="004B35B6"/>
    <w:rsid w:val="004C118D"/>
    <w:rsid w:val="004C2E5A"/>
    <w:rsid w:val="00522470"/>
    <w:rsid w:val="00595055"/>
    <w:rsid w:val="00596F3D"/>
    <w:rsid w:val="005978DA"/>
    <w:rsid w:val="00617B83"/>
    <w:rsid w:val="00626F99"/>
    <w:rsid w:val="00637A5D"/>
    <w:rsid w:val="00653860"/>
    <w:rsid w:val="00655F9D"/>
    <w:rsid w:val="006A1617"/>
    <w:rsid w:val="006C28AB"/>
    <w:rsid w:val="006D7780"/>
    <w:rsid w:val="006E2DDA"/>
    <w:rsid w:val="006F38F7"/>
    <w:rsid w:val="007038CC"/>
    <w:rsid w:val="00711225"/>
    <w:rsid w:val="00767F71"/>
    <w:rsid w:val="00771726"/>
    <w:rsid w:val="00774971"/>
    <w:rsid w:val="00805E11"/>
    <w:rsid w:val="00807671"/>
    <w:rsid w:val="00816210"/>
    <w:rsid w:val="00895E70"/>
    <w:rsid w:val="00896694"/>
    <w:rsid w:val="008B3B23"/>
    <w:rsid w:val="008E3F10"/>
    <w:rsid w:val="0092122A"/>
    <w:rsid w:val="00977B50"/>
    <w:rsid w:val="00A3268D"/>
    <w:rsid w:val="00A47439"/>
    <w:rsid w:val="00A55A10"/>
    <w:rsid w:val="00AD6F5F"/>
    <w:rsid w:val="00B10618"/>
    <w:rsid w:val="00B23706"/>
    <w:rsid w:val="00B25C97"/>
    <w:rsid w:val="00B41EF0"/>
    <w:rsid w:val="00B57D7D"/>
    <w:rsid w:val="00BB545B"/>
    <w:rsid w:val="00BC16D2"/>
    <w:rsid w:val="00BC52E0"/>
    <w:rsid w:val="00BD213F"/>
    <w:rsid w:val="00BF4C69"/>
    <w:rsid w:val="00C2011E"/>
    <w:rsid w:val="00C878A8"/>
    <w:rsid w:val="00C93340"/>
    <w:rsid w:val="00CC7706"/>
    <w:rsid w:val="00CE70FC"/>
    <w:rsid w:val="00D00770"/>
    <w:rsid w:val="00D07F3D"/>
    <w:rsid w:val="00D12946"/>
    <w:rsid w:val="00D32856"/>
    <w:rsid w:val="00D41BFA"/>
    <w:rsid w:val="00DC136F"/>
    <w:rsid w:val="00DE41C4"/>
    <w:rsid w:val="00E35E77"/>
    <w:rsid w:val="00E57FA0"/>
    <w:rsid w:val="00EC7028"/>
    <w:rsid w:val="00ED25F0"/>
    <w:rsid w:val="00ED46F0"/>
    <w:rsid w:val="00F0169F"/>
    <w:rsid w:val="00F1666E"/>
    <w:rsid w:val="00F27796"/>
    <w:rsid w:val="00F724AE"/>
    <w:rsid w:val="00FC3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BFA"/>
    <w:pPr>
      <w:widowControl w:val="0"/>
      <w:spacing w:after="0" w:line="240" w:lineRule="auto"/>
      <w:jc w:val="both"/>
    </w:pPr>
    <w:rPr>
      <w:rFonts w:ascii="Times New Roman" w:eastAsia="SimSun" w:hAnsi="Times New Roman"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BFA"/>
    <w:rPr>
      <w:rFonts w:ascii="Tahoma" w:hAnsi="Tahoma" w:cs="Tahoma"/>
      <w:sz w:val="16"/>
      <w:szCs w:val="16"/>
    </w:rPr>
  </w:style>
  <w:style w:type="character" w:customStyle="1" w:styleId="BalloonTextChar">
    <w:name w:val="Balloon Text Char"/>
    <w:basedOn w:val="DefaultParagraphFont"/>
    <w:link w:val="BalloonText"/>
    <w:uiPriority w:val="99"/>
    <w:semiHidden/>
    <w:rsid w:val="00D41BFA"/>
    <w:rPr>
      <w:rFonts w:ascii="Tahoma" w:eastAsia="SimSun" w:hAnsi="Tahoma" w:cs="Tahoma"/>
      <w:kern w:val="2"/>
      <w:sz w:val="16"/>
      <w:szCs w:val="16"/>
    </w:rPr>
  </w:style>
  <w:style w:type="character" w:styleId="Strong">
    <w:name w:val="Strong"/>
    <w:basedOn w:val="DefaultParagraphFont"/>
    <w:uiPriority w:val="22"/>
    <w:qFormat/>
    <w:rsid w:val="00076271"/>
    <w:rPr>
      <w:b/>
      <w:bCs/>
    </w:rPr>
  </w:style>
  <w:style w:type="character" w:customStyle="1" w:styleId="red-underline">
    <w:name w:val="red-underline"/>
    <w:basedOn w:val="DefaultParagraphFont"/>
    <w:rsid w:val="00076271"/>
  </w:style>
  <w:style w:type="paragraph" w:styleId="Header">
    <w:name w:val="header"/>
    <w:basedOn w:val="Normal"/>
    <w:link w:val="HeaderChar"/>
    <w:uiPriority w:val="99"/>
    <w:unhideWhenUsed/>
    <w:rsid w:val="00BC52E0"/>
    <w:pPr>
      <w:tabs>
        <w:tab w:val="center" w:pos="4680"/>
        <w:tab w:val="right" w:pos="9360"/>
      </w:tabs>
    </w:pPr>
  </w:style>
  <w:style w:type="character" w:customStyle="1" w:styleId="HeaderChar">
    <w:name w:val="Header Char"/>
    <w:basedOn w:val="DefaultParagraphFont"/>
    <w:link w:val="Header"/>
    <w:uiPriority w:val="99"/>
    <w:rsid w:val="00BC52E0"/>
    <w:rPr>
      <w:rFonts w:ascii="Times New Roman" w:eastAsia="SimSun" w:hAnsi="Times New Roman" w:cs="Times New Roman"/>
      <w:kern w:val="2"/>
      <w:sz w:val="21"/>
      <w:szCs w:val="24"/>
    </w:rPr>
  </w:style>
  <w:style w:type="paragraph" w:styleId="Footer">
    <w:name w:val="footer"/>
    <w:basedOn w:val="Normal"/>
    <w:link w:val="FooterChar"/>
    <w:uiPriority w:val="99"/>
    <w:unhideWhenUsed/>
    <w:rsid w:val="00BC52E0"/>
    <w:pPr>
      <w:tabs>
        <w:tab w:val="center" w:pos="4680"/>
        <w:tab w:val="right" w:pos="9360"/>
      </w:tabs>
    </w:pPr>
  </w:style>
  <w:style w:type="character" w:customStyle="1" w:styleId="FooterChar">
    <w:name w:val="Footer Char"/>
    <w:basedOn w:val="DefaultParagraphFont"/>
    <w:link w:val="Footer"/>
    <w:uiPriority w:val="99"/>
    <w:rsid w:val="00BC52E0"/>
    <w:rPr>
      <w:rFonts w:ascii="Times New Roman" w:eastAsia="SimSun" w:hAnsi="Times New Roman" w:cs="Times New Roman"/>
      <w:kern w:val="2"/>
      <w:sz w:val="21"/>
      <w:szCs w:val="24"/>
    </w:rPr>
  </w:style>
  <w:style w:type="table" w:styleId="TableGrid">
    <w:name w:val="Table Grid"/>
    <w:basedOn w:val="TableNormal"/>
    <w:uiPriority w:val="59"/>
    <w:rsid w:val="001E6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25C97"/>
  </w:style>
  <w:style w:type="character" w:styleId="Hyperlink">
    <w:name w:val="Hyperlink"/>
    <w:basedOn w:val="DefaultParagraphFont"/>
    <w:uiPriority w:val="99"/>
    <w:unhideWhenUsed/>
    <w:rsid w:val="006C28AB"/>
    <w:rPr>
      <w:color w:val="0000FF"/>
      <w:u w:val="single"/>
    </w:rPr>
  </w:style>
  <w:style w:type="paragraph" w:customStyle="1" w:styleId="root-block-node">
    <w:name w:val="root-block-node"/>
    <w:basedOn w:val="Normal"/>
    <w:rsid w:val="006C28AB"/>
    <w:pPr>
      <w:widowControl/>
      <w:spacing w:before="100" w:beforeAutospacing="1" w:after="100" w:afterAutospacing="1"/>
      <w:jc w:val="left"/>
    </w:pPr>
    <w:rPr>
      <w:rFonts w:eastAsia="Times New Roman"/>
      <w:kern w:val="0"/>
      <w:sz w:val="24"/>
    </w:rPr>
  </w:style>
  <w:style w:type="character" w:styleId="Emphasis">
    <w:name w:val="Emphasis"/>
    <w:basedOn w:val="DefaultParagraphFont"/>
    <w:uiPriority w:val="20"/>
    <w:qFormat/>
    <w:rsid w:val="006C28AB"/>
    <w:rPr>
      <w:i/>
      <w:iCs/>
    </w:rPr>
  </w:style>
  <w:style w:type="character" w:styleId="FootnoteReference">
    <w:name w:val="footnote reference"/>
    <w:qFormat/>
    <w:rsid w:val="00DC136F"/>
    <w:rPr>
      <w:vertAlign w:val="superscript"/>
    </w:rPr>
  </w:style>
  <w:style w:type="paragraph" w:styleId="FootnoteText">
    <w:name w:val="footnote text"/>
    <w:basedOn w:val="Normal"/>
    <w:link w:val="FootnoteTextChar"/>
    <w:qFormat/>
    <w:rsid w:val="00DC136F"/>
    <w:pPr>
      <w:snapToGrid w:val="0"/>
      <w:jc w:val="left"/>
    </w:pPr>
    <w:rPr>
      <w:rFonts w:ascii="Calibri" w:hAnsi="Calibri"/>
      <w:sz w:val="18"/>
    </w:rPr>
  </w:style>
  <w:style w:type="character" w:customStyle="1" w:styleId="FootnoteTextChar">
    <w:name w:val="Footnote Text Char"/>
    <w:basedOn w:val="DefaultParagraphFont"/>
    <w:link w:val="FootnoteText"/>
    <w:rsid w:val="00DC136F"/>
    <w:rPr>
      <w:rFonts w:ascii="Calibri" w:eastAsia="SimSun" w:hAnsi="Calibri" w:cs="Times New Roman"/>
      <w:kern w:val="2"/>
      <w:sz w:val="18"/>
      <w:szCs w:val="24"/>
    </w:rPr>
  </w:style>
  <w:style w:type="paragraph" w:styleId="ListParagraph">
    <w:name w:val="List Paragraph"/>
    <w:basedOn w:val="Normal"/>
    <w:uiPriority w:val="34"/>
    <w:qFormat/>
    <w:rsid w:val="008E3F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BFA"/>
    <w:pPr>
      <w:widowControl w:val="0"/>
      <w:spacing w:after="0" w:line="240" w:lineRule="auto"/>
      <w:jc w:val="both"/>
    </w:pPr>
    <w:rPr>
      <w:rFonts w:ascii="Times New Roman" w:eastAsia="SimSun" w:hAnsi="Times New Roman"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BFA"/>
    <w:rPr>
      <w:rFonts w:ascii="Tahoma" w:hAnsi="Tahoma" w:cs="Tahoma"/>
      <w:sz w:val="16"/>
      <w:szCs w:val="16"/>
    </w:rPr>
  </w:style>
  <w:style w:type="character" w:customStyle="1" w:styleId="BalloonTextChar">
    <w:name w:val="Balloon Text Char"/>
    <w:basedOn w:val="DefaultParagraphFont"/>
    <w:link w:val="BalloonText"/>
    <w:uiPriority w:val="99"/>
    <w:semiHidden/>
    <w:rsid w:val="00D41BFA"/>
    <w:rPr>
      <w:rFonts w:ascii="Tahoma" w:eastAsia="SimSun" w:hAnsi="Tahoma" w:cs="Tahoma"/>
      <w:kern w:val="2"/>
      <w:sz w:val="16"/>
      <w:szCs w:val="16"/>
    </w:rPr>
  </w:style>
  <w:style w:type="character" w:styleId="Strong">
    <w:name w:val="Strong"/>
    <w:basedOn w:val="DefaultParagraphFont"/>
    <w:uiPriority w:val="22"/>
    <w:qFormat/>
    <w:rsid w:val="00076271"/>
    <w:rPr>
      <w:b/>
      <w:bCs/>
    </w:rPr>
  </w:style>
  <w:style w:type="character" w:customStyle="1" w:styleId="red-underline">
    <w:name w:val="red-underline"/>
    <w:basedOn w:val="DefaultParagraphFont"/>
    <w:rsid w:val="00076271"/>
  </w:style>
  <w:style w:type="paragraph" w:styleId="Header">
    <w:name w:val="header"/>
    <w:basedOn w:val="Normal"/>
    <w:link w:val="HeaderChar"/>
    <w:uiPriority w:val="99"/>
    <w:unhideWhenUsed/>
    <w:rsid w:val="00BC52E0"/>
    <w:pPr>
      <w:tabs>
        <w:tab w:val="center" w:pos="4680"/>
        <w:tab w:val="right" w:pos="9360"/>
      </w:tabs>
    </w:pPr>
  </w:style>
  <w:style w:type="character" w:customStyle="1" w:styleId="HeaderChar">
    <w:name w:val="Header Char"/>
    <w:basedOn w:val="DefaultParagraphFont"/>
    <w:link w:val="Header"/>
    <w:uiPriority w:val="99"/>
    <w:rsid w:val="00BC52E0"/>
    <w:rPr>
      <w:rFonts w:ascii="Times New Roman" w:eastAsia="SimSun" w:hAnsi="Times New Roman" w:cs="Times New Roman"/>
      <w:kern w:val="2"/>
      <w:sz w:val="21"/>
      <w:szCs w:val="24"/>
    </w:rPr>
  </w:style>
  <w:style w:type="paragraph" w:styleId="Footer">
    <w:name w:val="footer"/>
    <w:basedOn w:val="Normal"/>
    <w:link w:val="FooterChar"/>
    <w:uiPriority w:val="99"/>
    <w:unhideWhenUsed/>
    <w:rsid w:val="00BC52E0"/>
    <w:pPr>
      <w:tabs>
        <w:tab w:val="center" w:pos="4680"/>
        <w:tab w:val="right" w:pos="9360"/>
      </w:tabs>
    </w:pPr>
  </w:style>
  <w:style w:type="character" w:customStyle="1" w:styleId="FooterChar">
    <w:name w:val="Footer Char"/>
    <w:basedOn w:val="DefaultParagraphFont"/>
    <w:link w:val="Footer"/>
    <w:uiPriority w:val="99"/>
    <w:rsid w:val="00BC52E0"/>
    <w:rPr>
      <w:rFonts w:ascii="Times New Roman" w:eastAsia="SimSun" w:hAnsi="Times New Roman" w:cs="Times New Roman"/>
      <w:kern w:val="2"/>
      <w:sz w:val="21"/>
      <w:szCs w:val="24"/>
    </w:rPr>
  </w:style>
  <w:style w:type="table" w:styleId="TableGrid">
    <w:name w:val="Table Grid"/>
    <w:basedOn w:val="TableNormal"/>
    <w:uiPriority w:val="59"/>
    <w:rsid w:val="001E6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25C97"/>
  </w:style>
  <w:style w:type="character" w:styleId="Hyperlink">
    <w:name w:val="Hyperlink"/>
    <w:basedOn w:val="DefaultParagraphFont"/>
    <w:uiPriority w:val="99"/>
    <w:unhideWhenUsed/>
    <w:rsid w:val="006C28AB"/>
    <w:rPr>
      <w:color w:val="0000FF"/>
      <w:u w:val="single"/>
    </w:rPr>
  </w:style>
  <w:style w:type="paragraph" w:customStyle="1" w:styleId="root-block-node">
    <w:name w:val="root-block-node"/>
    <w:basedOn w:val="Normal"/>
    <w:rsid w:val="006C28AB"/>
    <w:pPr>
      <w:widowControl/>
      <w:spacing w:before="100" w:beforeAutospacing="1" w:after="100" w:afterAutospacing="1"/>
      <w:jc w:val="left"/>
    </w:pPr>
    <w:rPr>
      <w:rFonts w:eastAsia="Times New Roman"/>
      <w:kern w:val="0"/>
      <w:sz w:val="24"/>
    </w:rPr>
  </w:style>
  <w:style w:type="character" w:styleId="Emphasis">
    <w:name w:val="Emphasis"/>
    <w:basedOn w:val="DefaultParagraphFont"/>
    <w:uiPriority w:val="20"/>
    <w:qFormat/>
    <w:rsid w:val="006C28AB"/>
    <w:rPr>
      <w:i/>
      <w:iCs/>
    </w:rPr>
  </w:style>
  <w:style w:type="character" w:styleId="FootnoteReference">
    <w:name w:val="footnote reference"/>
    <w:qFormat/>
    <w:rsid w:val="00DC136F"/>
    <w:rPr>
      <w:vertAlign w:val="superscript"/>
    </w:rPr>
  </w:style>
  <w:style w:type="paragraph" w:styleId="FootnoteText">
    <w:name w:val="footnote text"/>
    <w:basedOn w:val="Normal"/>
    <w:link w:val="FootnoteTextChar"/>
    <w:qFormat/>
    <w:rsid w:val="00DC136F"/>
    <w:pPr>
      <w:snapToGrid w:val="0"/>
      <w:jc w:val="left"/>
    </w:pPr>
    <w:rPr>
      <w:rFonts w:ascii="Calibri" w:hAnsi="Calibri"/>
      <w:sz w:val="18"/>
    </w:rPr>
  </w:style>
  <w:style w:type="character" w:customStyle="1" w:styleId="FootnoteTextChar">
    <w:name w:val="Footnote Text Char"/>
    <w:basedOn w:val="DefaultParagraphFont"/>
    <w:link w:val="FootnoteText"/>
    <w:rsid w:val="00DC136F"/>
    <w:rPr>
      <w:rFonts w:ascii="Calibri" w:eastAsia="SimSun" w:hAnsi="Calibri" w:cs="Times New Roman"/>
      <w:kern w:val="2"/>
      <w:sz w:val="18"/>
      <w:szCs w:val="24"/>
    </w:rPr>
  </w:style>
  <w:style w:type="paragraph" w:styleId="ListParagraph">
    <w:name w:val="List Paragraph"/>
    <w:basedOn w:val="Normal"/>
    <w:uiPriority w:val="34"/>
    <w:qFormat/>
    <w:rsid w:val="008E3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90051">
      <w:bodyDiv w:val="1"/>
      <w:marLeft w:val="0"/>
      <w:marRight w:val="0"/>
      <w:marTop w:val="0"/>
      <w:marBottom w:val="0"/>
      <w:divBdr>
        <w:top w:val="none" w:sz="0" w:space="0" w:color="auto"/>
        <w:left w:val="none" w:sz="0" w:space="0" w:color="auto"/>
        <w:bottom w:val="none" w:sz="0" w:space="0" w:color="auto"/>
        <w:right w:val="none" w:sz="0" w:space="0" w:color="auto"/>
      </w:divBdr>
    </w:div>
    <w:div w:id="376203101">
      <w:bodyDiv w:val="1"/>
      <w:marLeft w:val="0"/>
      <w:marRight w:val="0"/>
      <w:marTop w:val="0"/>
      <w:marBottom w:val="0"/>
      <w:divBdr>
        <w:top w:val="none" w:sz="0" w:space="0" w:color="auto"/>
        <w:left w:val="none" w:sz="0" w:space="0" w:color="auto"/>
        <w:bottom w:val="none" w:sz="0" w:space="0" w:color="auto"/>
        <w:right w:val="none" w:sz="0" w:space="0" w:color="auto"/>
      </w:divBdr>
    </w:div>
    <w:div w:id="491725214">
      <w:bodyDiv w:val="1"/>
      <w:marLeft w:val="0"/>
      <w:marRight w:val="0"/>
      <w:marTop w:val="0"/>
      <w:marBottom w:val="0"/>
      <w:divBdr>
        <w:top w:val="none" w:sz="0" w:space="0" w:color="auto"/>
        <w:left w:val="none" w:sz="0" w:space="0" w:color="auto"/>
        <w:bottom w:val="none" w:sz="0" w:space="0" w:color="auto"/>
        <w:right w:val="none" w:sz="0" w:space="0" w:color="auto"/>
      </w:divBdr>
    </w:div>
    <w:div w:id="616331783">
      <w:bodyDiv w:val="1"/>
      <w:marLeft w:val="0"/>
      <w:marRight w:val="0"/>
      <w:marTop w:val="0"/>
      <w:marBottom w:val="0"/>
      <w:divBdr>
        <w:top w:val="none" w:sz="0" w:space="0" w:color="auto"/>
        <w:left w:val="none" w:sz="0" w:space="0" w:color="auto"/>
        <w:bottom w:val="none" w:sz="0" w:space="0" w:color="auto"/>
        <w:right w:val="none" w:sz="0" w:space="0" w:color="auto"/>
      </w:divBdr>
    </w:div>
    <w:div w:id="680621471">
      <w:bodyDiv w:val="1"/>
      <w:marLeft w:val="0"/>
      <w:marRight w:val="0"/>
      <w:marTop w:val="0"/>
      <w:marBottom w:val="0"/>
      <w:divBdr>
        <w:top w:val="none" w:sz="0" w:space="0" w:color="auto"/>
        <w:left w:val="none" w:sz="0" w:space="0" w:color="auto"/>
        <w:bottom w:val="none" w:sz="0" w:space="0" w:color="auto"/>
        <w:right w:val="none" w:sz="0" w:space="0" w:color="auto"/>
      </w:divBdr>
    </w:div>
    <w:div w:id="768618352">
      <w:bodyDiv w:val="1"/>
      <w:marLeft w:val="0"/>
      <w:marRight w:val="0"/>
      <w:marTop w:val="0"/>
      <w:marBottom w:val="0"/>
      <w:divBdr>
        <w:top w:val="none" w:sz="0" w:space="0" w:color="auto"/>
        <w:left w:val="none" w:sz="0" w:space="0" w:color="auto"/>
        <w:bottom w:val="none" w:sz="0" w:space="0" w:color="auto"/>
        <w:right w:val="none" w:sz="0" w:space="0" w:color="auto"/>
      </w:divBdr>
    </w:div>
    <w:div w:id="897396598">
      <w:bodyDiv w:val="1"/>
      <w:marLeft w:val="0"/>
      <w:marRight w:val="0"/>
      <w:marTop w:val="0"/>
      <w:marBottom w:val="0"/>
      <w:divBdr>
        <w:top w:val="none" w:sz="0" w:space="0" w:color="auto"/>
        <w:left w:val="none" w:sz="0" w:space="0" w:color="auto"/>
        <w:bottom w:val="none" w:sz="0" w:space="0" w:color="auto"/>
        <w:right w:val="none" w:sz="0" w:space="0" w:color="auto"/>
      </w:divBdr>
    </w:div>
    <w:div w:id="949581650">
      <w:bodyDiv w:val="1"/>
      <w:marLeft w:val="0"/>
      <w:marRight w:val="0"/>
      <w:marTop w:val="0"/>
      <w:marBottom w:val="0"/>
      <w:divBdr>
        <w:top w:val="none" w:sz="0" w:space="0" w:color="auto"/>
        <w:left w:val="none" w:sz="0" w:space="0" w:color="auto"/>
        <w:bottom w:val="none" w:sz="0" w:space="0" w:color="auto"/>
        <w:right w:val="none" w:sz="0" w:space="0" w:color="auto"/>
      </w:divBdr>
    </w:div>
    <w:div w:id="2001957418">
      <w:bodyDiv w:val="1"/>
      <w:marLeft w:val="0"/>
      <w:marRight w:val="0"/>
      <w:marTop w:val="0"/>
      <w:marBottom w:val="0"/>
      <w:divBdr>
        <w:top w:val="none" w:sz="0" w:space="0" w:color="auto"/>
        <w:left w:val="none" w:sz="0" w:space="0" w:color="auto"/>
        <w:bottom w:val="none" w:sz="0" w:space="0" w:color="auto"/>
        <w:right w:val="none" w:sz="0" w:space="0" w:color="auto"/>
      </w:divBdr>
    </w:div>
    <w:div w:id="2014406400">
      <w:bodyDiv w:val="1"/>
      <w:marLeft w:val="0"/>
      <w:marRight w:val="0"/>
      <w:marTop w:val="0"/>
      <w:marBottom w:val="0"/>
      <w:divBdr>
        <w:top w:val="none" w:sz="0" w:space="0" w:color="auto"/>
        <w:left w:val="none" w:sz="0" w:space="0" w:color="auto"/>
        <w:bottom w:val="none" w:sz="0" w:space="0" w:color="auto"/>
        <w:right w:val="none" w:sz="0" w:space="0" w:color="auto"/>
      </w:divBdr>
    </w:div>
    <w:div w:id="2042709696">
      <w:bodyDiv w:val="1"/>
      <w:marLeft w:val="0"/>
      <w:marRight w:val="0"/>
      <w:marTop w:val="0"/>
      <w:marBottom w:val="0"/>
      <w:divBdr>
        <w:top w:val="none" w:sz="0" w:space="0" w:color="auto"/>
        <w:left w:val="none" w:sz="0" w:space="0" w:color="auto"/>
        <w:bottom w:val="none" w:sz="0" w:space="0" w:color="auto"/>
        <w:right w:val="none" w:sz="0" w:space="0" w:color="auto"/>
      </w:divBdr>
    </w:div>
    <w:div w:id="209632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ghongmei@caas.cn"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s>
</file>

<file path=word/_rels/footnotes.xml.rels><?xml version="1.0" encoding="UTF-8" standalone="yes"?>
<Relationships xmlns="http://schemas.openxmlformats.org/package/2006/relationships"><Relationship Id="rId1" Type="http://schemas.openxmlformats.org/officeDocument/2006/relationships/hyperlink" Target="mailto:zenghongmei@caas.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Ninkuu</dc:creator>
  <cp:lastModifiedBy>Vincent Ninkuu</cp:lastModifiedBy>
  <cp:revision>5</cp:revision>
  <cp:lastPrinted>2022-02-23T08:29:00Z</cp:lastPrinted>
  <dcterms:created xsi:type="dcterms:W3CDTF">2022-04-12T09:20:00Z</dcterms:created>
  <dcterms:modified xsi:type="dcterms:W3CDTF">2022-06-20T03:08:00Z</dcterms:modified>
</cp:coreProperties>
</file>