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3D340" w14:textId="01E70B43" w:rsidR="00D44670" w:rsidRDefault="00D44670" w:rsidP="00D44670">
      <w:pPr>
        <w:pStyle w:val="SupplementaryMaterial"/>
      </w:pPr>
      <w:r>
        <w:t>S</w:t>
      </w:r>
      <w:r w:rsidRPr="001549D3">
        <w:t>upplementary Material</w:t>
      </w:r>
    </w:p>
    <w:p w14:paraId="033C6EE7" w14:textId="68EFC50C" w:rsidR="00590828" w:rsidRPr="000F2E10" w:rsidRDefault="000F2E10" w:rsidP="000F2E10">
      <w:pPr>
        <w:pStyle w:val="MDPI21heading1"/>
        <w:spacing w:line="360" w:lineRule="auto"/>
        <w:ind w:left="0"/>
        <w:jc w:val="both"/>
        <w:rPr>
          <w:rFonts w:ascii="Times New Roman" w:hAnsi="Times New Roman"/>
          <w:b w:val="0"/>
          <w:bCs/>
          <w:sz w:val="22"/>
          <w:lang w:eastAsia="zh-CN"/>
        </w:rPr>
      </w:pPr>
      <w:r>
        <w:rPr>
          <w:rFonts w:ascii="Times New Roman" w:hAnsi="Times New Roman"/>
          <w:bCs/>
          <w:snapToGrid/>
          <w:color w:val="212121"/>
          <w:sz w:val="22"/>
          <w:lang w:eastAsia="pt-PT" w:bidi="ar-SA"/>
        </w:rPr>
        <w:t xml:space="preserve">           </w:t>
      </w:r>
      <w:r w:rsidR="00CB4F2C" w:rsidRPr="000F2E10">
        <w:rPr>
          <w:rFonts w:ascii="Times New Roman" w:hAnsi="Times New Roman"/>
          <w:bCs/>
          <w:snapToGrid/>
          <w:color w:val="212121"/>
          <w:sz w:val="22"/>
          <w:lang w:eastAsia="pt-PT" w:bidi="ar-SA"/>
        </w:rPr>
        <w:t>Supplementary Table</w:t>
      </w:r>
      <w:r w:rsidR="00590828" w:rsidRPr="000F2E10">
        <w:rPr>
          <w:rFonts w:ascii="Times New Roman" w:hAnsi="Times New Roman"/>
          <w:bCs/>
          <w:snapToGrid/>
          <w:color w:val="212121"/>
          <w:sz w:val="22"/>
          <w:lang w:eastAsia="pt-PT" w:bidi="ar-SA"/>
        </w:rPr>
        <w:t xml:space="preserve"> 1.</w:t>
      </w:r>
      <w:r w:rsidR="00590828" w:rsidRPr="000F2E10">
        <w:rPr>
          <w:rFonts w:ascii="Times New Roman" w:hAnsi="Times New Roman"/>
          <w:b w:val="0"/>
          <w:bCs/>
          <w:sz w:val="22"/>
          <w:lang w:eastAsia="zh-CN"/>
        </w:rPr>
        <w:t xml:space="preserve"> Main antimicrobials used in treatment of swine enteric colibacillosis</w:t>
      </w:r>
    </w:p>
    <w:tbl>
      <w:tblPr>
        <w:tblStyle w:val="TableGrid1"/>
        <w:tblW w:w="85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89"/>
        <w:gridCol w:w="20"/>
        <w:gridCol w:w="30"/>
        <w:gridCol w:w="1470"/>
        <w:gridCol w:w="59"/>
        <w:gridCol w:w="50"/>
        <w:gridCol w:w="1528"/>
        <w:gridCol w:w="51"/>
        <w:gridCol w:w="17"/>
        <w:gridCol w:w="1616"/>
        <w:gridCol w:w="1799"/>
      </w:tblGrid>
      <w:tr w:rsidR="00590828" w:rsidRPr="00590828" w14:paraId="25DCCD0A" w14:textId="77777777" w:rsidTr="009D666B">
        <w:trPr>
          <w:trHeight w:val="179"/>
          <w:jc w:val="center"/>
        </w:trPr>
        <w:tc>
          <w:tcPr>
            <w:tcW w:w="1890" w:type="dxa"/>
            <w:vMerge w:val="restart"/>
            <w:tcBorders>
              <w:top w:val="single" w:sz="4" w:space="0" w:color="auto"/>
              <w:bottom w:val="single" w:sz="4" w:space="0" w:color="auto"/>
            </w:tcBorders>
            <w:vAlign w:val="center"/>
          </w:tcPr>
          <w:p w14:paraId="40774BE4" w14:textId="2E75F63B" w:rsidR="00590828" w:rsidRPr="009D666B" w:rsidRDefault="00590828" w:rsidP="00DA165C">
            <w:pPr>
              <w:suppressAutoHyphens w:val="0"/>
              <w:autoSpaceDE w:val="0"/>
              <w:autoSpaceDN w:val="0"/>
              <w:adjustRightInd w:val="0"/>
              <w:snapToGrid w:val="0"/>
              <w:spacing w:before="0" w:after="0" w:line="360" w:lineRule="auto"/>
              <w:jc w:val="both"/>
              <w:rPr>
                <w:b/>
                <w:sz w:val="18"/>
                <w:szCs w:val="18"/>
              </w:rPr>
            </w:pPr>
            <w:proofErr w:type="spellStart"/>
            <w:r w:rsidRPr="009D666B">
              <w:rPr>
                <w:b/>
                <w:sz w:val="18"/>
                <w:szCs w:val="18"/>
              </w:rPr>
              <w:t>Antimicrobial</w:t>
            </w:r>
            <w:proofErr w:type="spellEnd"/>
            <w:r w:rsidRPr="009D666B">
              <w:rPr>
                <w:b/>
                <w:sz w:val="18"/>
                <w:szCs w:val="18"/>
              </w:rPr>
              <w:t>/</w:t>
            </w:r>
            <w:r w:rsidR="004D627E" w:rsidRPr="009D666B">
              <w:rPr>
                <w:b/>
                <w:sz w:val="18"/>
                <w:szCs w:val="18"/>
                <w:highlight w:val="yellow"/>
              </w:rPr>
              <w:t xml:space="preserve"> </w:t>
            </w:r>
            <w:proofErr w:type="spellStart"/>
            <w:r w:rsidR="00E67D26" w:rsidRPr="009D666B">
              <w:rPr>
                <w:b/>
                <w:sz w:val="18"/>
                <w:szCs w:val="18"/>
                <w:highlight w:val="yellow"/>
                <w:lang w:eastAsia="en-US"/>
              </w:rPr>
              <w:t>Prescribing</w:t>
            </w:r>
            <w:proofErr w:type="spellEnd"/>
            <w:r w:rsidR="00E67D26" w:rsidRPr="009D666B">
              <w:rPr>
                <w:b/>
                <w:sz w:val="18"/>
                <w:szCs w:val="18"/>
                <w:highlight w:val="yellow"/>
              </w:rPr>
              <w:t xml:space="preserve"> </w:t>
            </w:r>
            <w:proofErr w:type="spellStart"/>
            <w:r w:rsidR="004D627E" w:rsidRPr="009D666B">
              <w:rPr>
                <w:b/>
                <w:sz w:val="18"/>
                <w:szCs w:val="18"/>
                <w:highlight w:val="yellow"/>
              </w:rPr>
              <w:t>category</w:t>
            </w:r>
            <w:r w:rsidR="004D627E" w:rsidRPr="009D666B">
              <w:rPr>
                <w:b/>
                <w:sz w:val="18"/>
                <w:szCs w:val="18"/>
                <w:highlight w:val="yellow"/>
                <w:vertAlign w:val="superscript"/>
              </w:rPr>
              <w:t>a</w:t>
            </w:r>
            <w:proofErr w:type="spellEnd"/>
          </w:p>
        </w:tc>
        <w:tc>
          <w:tcPr>
            <w:tcW w:w="4839" w:type="dxa"/>
            <w:gridSpan w:val="9"/>
            <w:tcBorders>
              <w:top w:val="single" w:sz="4" w:space="0" w:color="auto"/>
              <w:bottom w:val="single" w:sz="4" w:space="0" w:color="auto"/>
            </w:tcBorders>
            <w:vAlign w:val="center"/>
          </w:tcPr>
          <w:p w14:paraId="3BA7379B" w14:textId="77777777" w:rsidR="00590828" w:rsidRPr="009D666B" w:rsidRDefault="00590828" w:rsidP="009D666B">
            <w:pPr>
              <w:suppressAutoHyphens w:val="0"/>
              <w:autoSpaceDE w:val="0"/>
              <w:autoSpaceDN w:val="0"/>
              <w:adjustRightInd w:val="0"/>
              <w:snapToGrid w:val="0"/>
              <w:spacing w:before="0" w:after="0"/>
              <w:jc w:val="both"/>
              <w:rPr>
                <w:b/>
                <w:sz w:val="18"/>
                <w:szCs w:val="18"/>
                <w:lang w:val="en-US"/>
              </w:rPr>
            </w:pPr>
            <w:r w:rsidRPr="009D666B">
              <w:rPr>
                <w:b/>
                <w:sz w:val="18"/>
                <w:szCs w:val="18"/>
                <w:lang w:val="en-US"/>
              </w:rPr>
              <w:t>Administration and dosage (mg/kg body weight)</w:t>
            </w:r>
          </w:p>
        </w:tc>
        <w:tc>
          <w:tcPr>
            <w:tcW w:w="1800" w:type="dxa"/>
            <w:vMerge w:val="restart"/>
            <w:tcBorders>
              <w:top w:val="single" w:sz="4" w:space="0" w:color="auto"/>
              <w:bottom w:val="single" w:sz="4" w:space="0" w:color="auto"/>
            </w:tcBorders>
            <w:vAlign w:val="center"/>
          </w:tcPr>
          <w:p w14:paraId="190D149F" w14:textId="77777777" w:rsidR="00590828" w:rsidRPr="009D666B" w:rsidRDefault="00590828" w:rsidP="009D666B">
            <w:pPr>
              <w:autoSpaceDE w:val="0"/>
              <w:autoSpaceDN w:val="0"/>
              <w:adjustRightInd w:val="0"/>
              <w:snapToGrid w:val="0"/>
              <w:spacing w:before="0" w:after="0"/>
              <w:jc w:val="both"/>
              <w:rPr>
                <w:b/>
                <w:sz w:val="18"/>
                <w:szCs w:val="18"/>
              </w:rPr>
            </w:pPr>
            <w:proofErr w:type="spellStart"/>
            <w:r w:rsidRPr="009D666B">
              <w:rPr>
                <w:b/>
                <w:sz w:val="18"/>
                <w:szCs w:val="18"/>
              </w:rPr>
              <w:t>Adminsitration</w:t>
            </w:r>
            <w:proofErr w:type="spellEnd"/>
            <w:r w:rsidRPr="009D666B">
              <w:rPr>
                <w:b/>
                <w:sz w:val="18"/>
                <w:szCs w:val="18"/>
              </w:rPr>
              <w:t xml:space="preserve"> in </w:t>
            </w:r>
            <w:proofErr w:type="spellStart"/>
            <w:r w:rsidRPr="009D666B">
              <w:rPr>
                <w:b/>
                <w:sz w:val="18"/>
                <w:szCs w:val="18"/>
              </w:rPr>
              <w:t>enteric</w:t>
            </w:r>
            <w:proofErr w:type="spellEnd"/>
            <w:r w:rsidRPr="009D666B">
              <w:rPr>
                <w:b/>
                <w:sz w:val="18"/>
                <w:szCs w:val="18"/>
              </w:rPr>
              <w:t xml:space="preserve"> </w:t>
            </w:r>
            <w:proofErr w:type="spellStart"/>
            <w:r w:rsidRPr="009D666B">
              <w:rPr>
                <w:b/>
                <w:sz w:val="18"/>
                <w:szCs w:val="18"/>
              </w:rPr>
              <w:t>colibacillosis</w:t>
            </w:r>
            <w:proofErr w:type="spellEnd"/>
          </w:p>
        </w:tc>
      </w:tr>
      <w:tr w:rsidR="00590828" w:rsidRPr="00590828" w14:paraId="002774EA" w14:textId="77777777" w:rsidTr="009D666B">
        <w:trPr>
          <w:trHeight w:val="320"/>
          <w:jc w:val="center"/>
        </w:trPr>
        <w:tc>
          <w:tcPr>
            <w:tcW w:w="1890" w:type="dxa"/>
            <w:vMerge/>
            <w:tcBorders>
              <w:top w:val="single" w:sz="4" w:space="0" w:color="auto"/>
              <w:bottom w:val="single" w:sz="4" w:space="0" w:color="auto"/>
            </w:tcBorders>
            <w:vAlign w:val="center"/>
          </w:tcPr>
          <w:p w14:paraId="22B2B1BB" w14:textId="77777777" w:rsidR="00590828" w:rsidRPr="00590828" w:rsidRDefault="00590828" w:rsidP="009D666B">
            <w:pPr>
              <w:suppressAutoHyphens w:val="0"/>
              <w:autoSpaceDE w:val="0"/>
              <w:autoSpaceDN w:val="0"/>
              <w:adjustRightInd w:val="0"/>
              <w:snapToGrid w:val="0"/>
              <w:spacing w:before="0" w:after="0"/>
              <w:jc w:val="both"/>
              <w:rPr>
                <w:sz w:val="20"/>
              </w:rPr>
            </w:pPr>
          </w:p>
        </w:tc>
        <w:tc>
          <w:tcPr>
            <w:tcW w:w="1580" w:type="dxa"/>
            <w:gridSpan w:val="4"/>
            <w:tcBorders>
              <w:top w:val="single" w:sz="4" w:space="0" w:color="auto"/>
              <w:bottom w:val="single" w:sz="4" w:space="0" w:color="auto"/>
            </w:tcBorders>
            <w:vAlign w:val="center"/>
          </w:tcPr>
          <w:p w14:paraId="3C591625" w14:textId="77777777" w:rsidR="00590828" w:rsidRPr="00590828" w:rsidRDefault="00590828" w:rsidP="009D666B">
            <w:pPr>
              <w:suppressAutoHyphens w:val="0"/>
              <w:autoSpaceDE w:val="0"/>
              <w:autoSpaceDN w:val="0"/>
              <w:adjustRightInd w:val="0"/>
              <w:snapToGrid w:val="0"/>
              <w:spacing w:before="0" w:after="0"/>
              <w:jc w:val="both"/>
              <w:rPr>
                <w:b/>
                <w:bCs/>
                <w:sz w:val="20"/>
                <w:lang w:val="en-US"/>
              </w:rPr>
            </w:pPr>
            <w:r w:rsidRPr="00590828">
              <w:rPr>
                <w:b/>
                <w:bCs/>
                <w:sz w:val="20"/>
                <w:lang w:val="en-US"/>
              </w:rPr>
              <w:t>Injection</w:t>
            </w:r>
          </w:p>
        </w:tc>
        <w:tc>
          <w:tcPr>
            <w:tcW w:w="1579" w:type="dxa"/>
            <w:gridSpan w:val="2"/>
            <w:tcBorders>
              <w:top w:val="single" w:sz="4" w:space="0" w:color="auto"/>
              <w:bottom w:val="single" w:sz="4" w:space="0" w:color="auto"/>
            </w:tcBorders>
            <w:vAlign w:val="center"/>
          </w:tcPr>
          <w:p w14:paraId="40B360A9" w14:textId="77777777" w:rsidR="00590828" w:rsidRPr="00590828" w:rsidRDefault="00590828" w:rsidP="009D666B">
            <w:pPr>
              <w:autoSpaceDE w:val="0"/>
              <w:autoSpaceDN w:val="0"/>
              <w:adjustRightInd w:val="0"/>
              <w:snapToGrid w:val="0"/>
              <w:spacing w:before="0" w:after="0"/>
              <w:jc w:val="both"/>
              <w:rPr>
                <w:b/>
                <w:bCs/>
                <w:sz w:val="20"/>
              </w:rPr>
            </w:pPr>
            <w:r w:rsidRPr="00590828">
              <w:rPr>
                <w:b/>
                <w:bCs/>
                <w:sz w:val="20"/>
              </w:rPr>
              <w:t xml:space="preserve">In </w:t>
            </w:r>
            <w:proofErr w:type="spellStart"/>
            <w:r w:rsidRPr="00590828">
              <w:rPr>
                <w:b/>
                <w:bCs/>
                <w:sz w:val="20"/>
              </w:rPr>
              <w:t>water</w:t>
            </w:r>
            <w:proofErr w:type="spellEnd"/>
          </w:p>
        </w:tc>
        <w:tc>
          <w:tcPr>
            <w:tcW w:w="1680" w:type="dxa"/>
            <w:gridSpan w:val="3"/>
            <w:tcBorders>
              <w:top w:val="single" w:sz="4" w:space="0" w:color="auto"/>
              <w:bottom w:val="single" w:sz="4" w:space="0" w:color="auto"/>
            </w:tcBorders>
            <w:vAlign w:val="center"/>
          </w:tcPr>
          <w:p w14:paraId="3C8FF75B" w14:textId="77777777" w:rsidR="00590828" w:rsidRPr="00590828" w:rsidRDefault="00590828" w:rsidP="009D666B">
            <w:pPr>
              <w:suppressAutoHyphens w:val="0"/>
              <w:autoSpaceDE w:val="0"/>
              <w:autoSpaceDN w:val="0"/>
              <w:adjustRightInd w:val="0"/>
              <w:snapToGrid w:val="0"/>
              <w:spacing w:before="0" w:after="0"/>
              <w:jc w:val="both"/>
              <w:rPr>
                <w:b/>
                <w:bCs/>
                <w:sz w:val="20"/>
              </w:rPr>
            </w:pPr>
            <w:r w:rsidRPr="00590828">
              <w:rPr>
                <w:b/>
                <w:bCs/>
                <w:sz w:val="20"/>
              </w:rPr>
              <w:t xml:space="preserve">In </w:t>
            </w:r>
            <w:proofErr w:type="spellStart"/>
            <w:r w:rsidRPr="00590828">
              <w:rPr>
                <w:b/>
                <w:bCs/>
                <w:sz w:val="20"/>
              </w:rPr>
              <w:t>feed</w:t>
            </w:r>
            <w:proofErr w:type="spellEnd"/>
          </w:p>
        </w:tc>
        <w:tc>
          <w:tcPr>
            <w:tcW w:w="1800" w:type="dxa"/>
            <w:vMerge/>
            <w:tcBorders>
              <w:top w:val="single" w:sz="4" w:space="0" w:color="auto"/>
              <w:bottom w:val="single" w:sz="4" w:space="0" w:color="auto"/>
            </w:tcBorders>
            <w:vAlign w:val="center"/>
          </w:tcPr>
          <w:p w14:paraId="7A112E3B" w14:textId="77777777" w:rsidR="00590828" w:rsidRPr="00590828" w:rsidRDefault="00590828" w:rsidP="009D666B">
            <w:pPr>
              <w:autoSpaceDE w:val="0"/>
              <w:autoSpaceDN w:val="0"/>
              <w:adjustRightInd w:val="0"/>
              <w:snapToGrid w:val="0"/>
              <w:spacing w:before="0" w:after="0"/>
              <w:jc w:val="both"/>
              <w:rPr>
                <w:sz w:val="20"/>
              </w:rPr>
            </w:pPr>
          </w:p>
        </w:tc>
      </w:tr>
      <w:tr w:rsidR="00D628E3" w:rsidRPr="00590828" w14:paraId="6736D1F5" w14:textId="77777777" w:rsidTr="009D666B">
        <w:trPr>
          <w:trHeight w:val="342"/>
          <w:jc w:val="center"/>
        </w:trPr>
        <w:tc>
          <w:tcPr>
            <w:tcW w:w="8529" w:type="dxa"/>
            <w:gridSpan w:val="11"/>
            <w:tcBorders>
              <w:top w:val="single" w:sz="4" w:space="0" w:color="auto"/>
            </w:tcBorders>
            <w:shd w:val="clear" w:color="auto" w:fill="D9D9D9" w:themeFill="background1" w:themeFillShade="D9"/>
            <w:vAlign w:val="center"/>
          </w:tcPr>
          <w:p w14:paraId="1B8C0F62" w14:textId="1443B708" w:rsidR="00D628E3" w:rsidRPr="009D666B" w:rsidRDefault="00D628E3">
            <w:pPr>
              <w:pStyle w:val="MDPI31text"/>
              <w:autoSpaceDE w:val="0"/>
              <w:autoSpaceDN w:val="0"/>
              <w:spacing w:line="240" w:lineRule="auto"/>
              <w:ind w:left="0" w:firstLine="0"/>
              <w:rPr>
                <w:rFonts w:ascii="Times New Roman" w:hAnsi="Times New Roman"/>
                <w:b/>
                <w:bCs/>
                <w:highlight w:val="yellow"/>
                <w:lang w:val="en-US"/>
              </w:rPr>
            </w:pPr>
            <w:r w:rsidRPr="009D666B">
              <w:rPr>
                <w:rFonts w:ascii="Times New Roman" w:hAnsi="Times New Roman"/>
                <w:b/>
                <w:bCs/>
                <w:lang w:val="en-US"/>
              </w:rPr>
              <w:t xml:space="preserve">TETRACYCLINE </w:t>
            </w:r>
            <w:r w:rsidR="007354FD" w:rsidRPr="009D666B">
              <w:rPr>
                <w:rFonts w:ascii="Times New Roman" w:hAnsi="Times New Roman"/>
                <w:b/>
                <w:bCs/>
                <w:lang w:val="en-US"/>
              </w:rPr>
              <w:t xml:space="preserve">/ </w:t>
            </w:r>
            <w:r w:rsidR="007354FD" w:rsidRPr="009D666B">
              <w:rPr>
                <w:rFonts w:ascii="Times New Roman" w:hAnsi="Times New Roman"/>
                <w:b/>
                <w:bCs/>
                <w:highlight w:val="yellow"/>
                <w:lang w:val="en-US"/>
              </w:rPr>
              <w:t>Class One – Use with Prudence</w:t>
            </w:r>
            <w:r w:rsidRPr="009D666B">
              <w:rPr>
                <w:rFonts w:ascii="Times New Roman" w:hAnsi="Times New Roman"/>
                <w:b/>
                <w:bCs/>
                <w:highlight w:val="yellow"/>
                <w:lang w:val="en-US"/>
              </w:rPr>
              <w:t xml:space="preserve">        </w:t>
            </w:r>
            <w:r w:rsidR="00C92FB3" w:rsidRPr="009D666B">
              <w:rPr>
                <w:rFonts w:ascii="Times New Roman" w:hAnsi="Times New Roman"/>
                <w:b/>
                <w:bCs/>
                <w:highlight w:val="yellow"/>
                <w:lang w:val="en-US"/>
              </w:rPr>
              <w:t xml:space="preserve">            </w:t>
            </w:r>
          </w:p>
        </w:tc>
      </w:tr>
      <w:tr w:rsidR="00C92FB3" w:rsidRPr="00590828" w14:paraId="12011BEF" w14:textId="77777777" w:rsidTr="009D666B">
        <w:trPr>
          <w:trHeight w:val="342"/>
          <w:jc w:val="center"/>
        </w:trPr>
        <w:tc>
          <w:tcPr>
            <w:tcW w:w="1910" w:type="dxa"/>
            <w:gridSpan w:val="2"/>
            <w:shd w:val="clear" w:color="auto" w:fill="auto"/>
            <w:vAlign w:val="center"/>
          </w:tcPr>
          <w:p w14:paraId="1774E4F7" w14:textId="77777777" w:rsidR="00C92FB3" w:rsidRPr="009D666B" w:rsidRDefault="00C92FB3">
            <w:pPr>
              <w:pStyle w:val="MDPI31text"/>
              <w:autoSpaceDE w:val="0"/>
              <w:autoSpaceDN w:val="0"/>
              <w:spacing w:line="240" w:lineRule="auto"/>
              <w:ind w:left="0" w:firstLine="0"/>
              <w:rPr>
                <w:rFonts w:ascii="Times New Roman" w:hAnsi="Times New Roman"/>
                <w:b/>
                <w:bCs/>
                <w:highlight w:val="yellow"/>
              </w:rPr>
            </w:pPr>
            <w:proofErr w:type="spellStart"/>
            <w:r w:rsidRPr="009D666B">
              <w:rPr>
                <w:rFonts w:ascii="Times New Roman" w:hAnsi="Times New Roman"/>
                <w:b/>
                <w:bCs/>
                <w:highlight w:val="yellow"/>
              </w:rPr>
              <w:t>Chlortetracycline</w:t>
            </w:r>
            <w:proofErr w:type="spellEnd"/>
            <w:r w:rsidRPr="009D666B">
              <w:rPr>
                <w:rFonts w:ascii="Times New Roman" w:hAnsi="Times New Roman"/>
                <w:b/>
                <w:bCs/>
                <w:highlight w:val="yellow"/>
              </w:rPr>
              <w:t xml:space="preserve"> </w:t>
            </w:r>
          </w:p>
        </w:tc>
        <w:tc>
          <w:tcPr>
            <w:tcW w:w="1501" w:type="dxa"/>
            <w:gridSpan w:val="2"/>
            <w:shd w:val="clear" w:color="auto" w:fill="auto"/>
            <w:vAlign w:val="center"/>
          </w:tcPr>
          <w:p w14:paraId="7A8089B4" w14:textId="5ACD3A14" w:rsidR="00C92FB3" w:rsidRPr="009D666B" w:rsidRDefault="007354FD">
            <w:pPr>
              <w:pStyle w:val="MDPI31text"/>
              <w:autoSpaceDE w:val="0"/>
              <w:autoSpaceDN w:val="0"/>
              <w:spacing w:line="240" w:lineRule="auto"/>
              <w:ind w:left="0" w:firstLine="0"/>
              <w:rPr>
                <w:rFonts w:ascii="Times New Roman" w:hAnsi="Times New Roman"/>
                <w:highlight w:val="yellow"/>
              </w:rPr>
            </w:pPr>
            <w:r w:rsidRPr="009D666B">
              <w:rPr>
                <w:rFonts w:ascii="Times New Roman" w:hAnsi="Times New Roman"/>
                <w:highlight w:val="yellow"/>
              </w:rPr>
              <w:t>NA</w:t>
            </w:r>
          </w:p>
        </w:tc>
        <w:tc>
          <w:tcPr>
            <w:tcW w:w="1706" w:type="dxa"/>
            <w:gridSpan w:val="5"/>
            <w:shd w:val="clear" w:color="auto" w:fill="auto"/>
            <w:vAlign w:val="center"/>
          </w:tcPr>
          <w:p w14:paraId="302FC483" w14:textId="18DEF141" w:rsidR="00C92FB3" w:rsidRPr="009D666B" w:rsidRDefault="007354FD">
            <w:pPr>
              <w:pStyle w:val="MDPI31text"/>
              <w:autoSpaceDE w:val="0"/>
              <w:autoSpaceDN w:val="0"/>
              <w:spacing w:line="240" w:lineRule="auto"/>
              <w:ind w:left="0" w:firstLine="0"/>
              <w:rPr>
                <w:rFonts w:ascii="Times New Roman" w:hAnsi="Times New Roman"/>
                <w:highlight w:val="yellow"/>
              </w:rPr>
            </w:pPr>
            <w:r w:rsidRPr="009D666B">
              <w:rPr>
                <w:rFonts w:ascii="Times New Roman" w:hAnsi="Times New Roman"/>
                <w:highlight w:val="yellow"/>
              </w:rPr>
              <w:t xml:space="preserve">22 </w:t>
            </w:r>
          </w:p>
        </w:tc>
        <w:tc>
          <w:tcPr>
            <w:tcW w:w="1612" w:type="dxa"/>
            <w:shd w:val="clear" w:color="auto" w:fill="auto"/>
            <w:vAlign w:val="center"/>
          </w:tcPr>
          <w:p w14:paraId="3392B4D3" w14:textId="2946A7E1" w:rsidR="00C92FB3" w:rsidRPr="009D666B" w:rsidRDefault="007354FD">
            <w:pPr>
              <w:pStyle w:val="MDPI31text"/>
              <w:autoSpaceDE w:val="0"/>
              <w:autoSpaceDN w:val="0"/>
              <w:spacing w:line="240" w:lineRule="auto"/>
              <w:ind w:left="0" w:firstLine="0"/>
              <w:rPr>
                <w:rFonts w:ascii="Times New Roman" w:hAnsi="Times New Roman"/>
                <w:highlight w:val="yellow"/>
              </w:rPr>
            </w:pPr>
            <w:r w:rsidRPr="009D666B">
              <w:rPr>
                <w:rFonts w:ascii="Times New Roman" w:hAnsi="Times New Roman"/>
                <w:highlight w:val="yellow"/>
              </w:rPr>
              <w:t>NA</w:t>
            </w:r>
          </w:p>
        </w:tc>
        <w:tc>
          <w:tcPr>
            <w:tcW w:w="1800" w:type="dxa"/>
            <w:shd w:val="clear" w:color="auto" w:fill="auto"/>
            <w:vAlign w:val="center"/>
          </w:tcPr>
          <w:p w14:paraId="12BDAF77" w14:textId="6E454DA8" w:rsidR="00C92FB3" w:rsidRPr="009D666B" w:rsidRDefault="009D666B">
            <w:pPr>
              <w:pStyle w:val="MDPI31text"/>
              <w:autoSpaceDE w:val="0"/>
              <w:autoSpaceDN w:val="0"/>
              <w:spacing w:line="240" w:lineRule="auto"/>
              <w:ind w:left="0" w:firstLine="0"/>
              <w:rPr>
                <w:rFonts w:ascii="Times New Roman" w:hAnsi="Times New Roman"/>
                <w:highlight w:val="yellow"/>
              </w:rPr>
            </w:pPr>
            <w:proofErr w:type="spellStart"/>
            <w:r>
              <w:rPr>
                <w:rFonts w:ascii="Times New Roman" w:hAnsi="Times New Roman"/>
                <w:highlight w:val="yellow"/>
              </w:rPr>
              <w:t>O</w:t>
            </w:r>
            <w:r w:rsidR="003D317A" w:rsidRPr="009D666B">
              <w:rPr>
                <w:rFonts w:ascii="Times New Roman" w:hAnsi="Times New Roman"/>
                <w:highlight w:val="yellow"/>
              </w:rPr>
              <w:t>rally</w:t>
            </w:r>
            <w:proofErr w:type="spellEnd"/>
          </w:p>
        </w:tc>
      </w:tr>
      <w:tr w:rsidR="00C92FB3" w:rsidRPr="00590828" w14:paraId="2C10CCF2" w14:textId="77777777" w:rsidTr="009D666B">
        <w:trPr>
          <w:trHeight w:val="342"/>
          <w:jc w:val="center"/>
        </w:trPr>
        <w:tc>
          <w:tcPr>
            <w:tcW w:w="1910" w:type="dxa"/>
            <w:gridSpan w:val="2"/>
            <w:shd w:val="clear" w:color="auto" w:fill="auto"/>
            <w:vAlign w:val="center"/>
          </w:tcPr>
          <w:p w14:paraId="1DA4871D" w14:textId="77777777" w:rsidR="00C92FB3" w:rsidRPr="009D666B" w:rsidRDefault="00C92FB3">
            <w:pPr>
              <w:pStyle w:val="MDPI31text"/>
              <w:autoSpaceDE w:val="0"/>
              <w:autoSpaceDN w:val="0"/>
              <w:spacing w:line="240" w:lineRule="auto"/>
              <w:ind w:left="0" w:firstLine="0"/>
              <w:rPr>
                <w:rFonts w:ascii="Times New Roman" w:hAnsi="Times New Roman"/>
                <w:b/>
                <w:bCs/>
                <w:highlight w:val="yellow"/>
              </w:rPr>
            </w:pPr>
            <w:proofErr w:type="spellStart"/>
            <w:r w:rsidRPr="009D666B">
              <w:rPr>
                <w:rFonts w:ascii="Times New Roman" w:hAnsi="Times New Roman"/>
                <w:b/>
                <w:bCs/>
                <w:highlight w:val="yellow"/>
              </w:rPr>
              <w:t>Oxytetracycline</w:t>
            </w:r>
            <w:proofErr w:type="spellEnd"/>
          </w:p>
        </w:tc>
        <w:tc>
          <w:tcPr>
            <w:tcW w:w="1501" w:type="dxa"/>
            <w:gridSpan w:val="2"/>
            <w:shd w:val="clear" w:color="auto" w:fill="auto"/>
            <w:vAlign w:val="center"/>
          </w:tcPr>
          <w:p w14:paraId="4BE02399" w14:textId="2DEE88B0" w:rsidR="00C92FB3" w:rsidRPr="009D666B" w:rsidRDefault="003D317A">
            <w:pPr>
              <w:pStyle w:val="MDPI31text"/>
              <w:autoSpaceDE w:val="0"/>
              <w:autoSpaceDN w:val="0"/>
              <w:spacing w:line="240" w:lineRule="auto"/>
              <w:ind w:left="0" w:firstLine="0"/>
              <w:rPr>
                <w:rFonts w:ascii="Times New Roman" w:hAnsi="Times New Roman"/>
                <w:highlight w:val="yellow"/>
              </w:rPr>
            </w:pPr>
            <w:r w:rsidRPr="009D666B">
              <w:rPr>
                <w:rFonts w:ascii="Times New Roman" w:hAnsi="Times New Roman"/>
                <w:highlight w:val="yellow"/>
              </w:rPr>
              <w:t>3-5</w:t>
            </w:r>
          </w:p>
        </w:tc>
        <w:tc>
          <w:tcPr>
            <w:tcW w:w="1706" w:type="dxa"/>
            <w:gridSpan w:val="5"/>
            <w:shd w:val="clear" w:color="auto" w:fill="auto"/>
            <w:vAlign w:val="center"/>
          </w:tcPr>
          <w:p w14:paraId="70C28A08" w14:textId="346916DB" w:rsidR="00C92FB3" w:rsidRPr="009D666B" w:rsidRDefault="003D317A">
            <w:pPr>
              <w:pStyle w:val="MDPI31text"/>
              <w:autoSpaceDE w:val="0"/>
              <w:autoSpaceDN w:val="0"/>
              <w:spacing w:line="240" w:lineRule="auto"/>
              <w:ind w:left="0" w:firstLine="0"/>
              <w:rPr>
                <w:rFonts w:ascii="Times New Roman" w:hAnsi="Times New Roman"/>
                <w:highlight w:val="yellow"/>
              </w:rPr>
            </w:pPr>
            <w:r w:rsidRPr="009D666B">
              <w:rPr>
                <w:rFonts w:ascii="Times New Roman" w:hAnsi="Times New Roman"/>
                <w:highlight w:val="yellow"/>
              </w:rPr>
              <w:t>NA</w:t>
            </w:r>
          </w:p>
        </w:tc>
        <w:tc>
          <w:tcPr>
            <w:tcW w:w="1612" w:type="dxa"/>
            <w:shd w:val="clear" w:color="auto" w:fill="auto"/>
            <w:vAlign w:val="center"/>
          </w:tcPr>
          <w:p w14:paraId="723652DC" w14:textId="7C00E439" w:rsidR="00C92FB3" w:rsidRPr="009D666B" w:rsidRDefault="003D317A">
            <w:pPr>
              <w:pStyle w:val="MDPI31text"/>
              <w:autoSpaceDE w:val="0"/>
              <w:autoSpaceDN w:val="0"/>
              <w:spacing w:line="240" w:lineRule="auto"/>
              <w:ind w:left="0" w:firstLine="0"/>
              <w:rPr>
                <w:rFonts w:ascii="Times New Roman" w:hAnsi="Times New Roman"/>
                <w:highlight w:val="yellow"/>
              </w:rPr>
            </w:pPr>
            <w:r w:rsidRPr="009D666B">
              <w:rPr>
                <w:rFonts w:ascii="Times New Roman" w:hAnsi="Times New Roman"/>
                <w:highlight w:val="yellow"/>
              </w:rPr>
              <w:t>NA</w:t>
            </w:r>
          </w:p>
        </w:tc>
        <w:tc>
          <w:tcPr>
            <w:tcW w:w="1800" w:type="dxa"/>
            <w:shd w:val="clear" w:color="auto" w:fill="auto"/>
            <w:vAlign w:val="center"/>
          </w:tcPr>
          <w:p w14:paraId="57247106" w14:textId="12BBEEFD" w:rsidR="00C92FB3" w:rsidRPr="009D666B" w:rsidRDefault="003D317A">
            <w:pPr>
              <w:pStyle w:val="MDPI31text"/>
              <w:autoSpaceDE w:val="0"/>
              <w:autoSpaceDN w:val="0"/>
              <w:spacing w:line="240" w:lineRule="auto"/>
              <w:ind w:left="0" w:firstLine="0"/>
              <w:rPr>
                <w:rFonts w:ascii="Times New Roman" w:hAnsi="Times New Roman"/>
                <w:highlight w:val="yellow"/>
              </w:rPr>
            </w:pPr>
            <w:r w:rsidRPr="009D666B">
              <w:rPr>
                <w:rFonts w:ascii="Times New Roman" w:hAnsi="Times New Roman"/>
                <w:highlight w:val="yellow"/>
              </w:rPr>
              <w:t>IM</w:t>
            </w:r>
          </w:p>
        </w:tc>
      </w:tr>
      <w:tr w:rsidR="00856A2A" w:rsidRPr="00590828" w14:paraId="4CDA6D22" w14:textId="77777777" w:rsidTr="009D666B">
        <w:trPr>
          <w:trHeight w:val="342"/>
          <w:jc w:val="center"/>
        </w:trPr>
        <w:tc>
          <w:tcPr>
            <w:tcW w:w="8529" w:type="dxa"/>
            <w:gridSpan w:val="11"/>
            <w:shd w:val="clear" w:color="auto" w:fill="D9D9D9" w:themeFill="background1" w:themeFillShade="D9"/>
            <w:vAlign w:val="center"/>
          </w:tcPr>
          <w:p w14:paraId="5D4F78CE" w14:textId="27682CA6" w:rsidR="00856A2A" w:rsidRPr="009D666B" w:rsidRDefault="00856A2A" w:rsidP="009D666B">
            <w:pPr>
              <w:pStyle w:val="MDPI31text"/>
              <w:autoSpaceDE w:val="0"/>
              <w:autoSpaceDN w:val="0"/>
              <w:spacing w:line="240" w:lineRule="auto"/>
              <w:ind w:left="0" w:firstLine="0"/>
              <w:rPr>
                <w:rFonts w:ascii="Times New Roman" w:hAnsi="Times New Roman"/>
                <w:lang w:val="en-US"/>
              </w:rPr>
            </w:pPr>
            <w:r w:rsidRPr="009D666B">
              <w:rPr>
                <w:rFonts w:ascii="Times New Roman" w:hAnsi="Times New Roman"/>
                <w:b/>
                <w:bCs/>
                <w:lang w:val="en-US"/>
              </w:rPr>
              <w:t xml:space="preserve"> SULFONAMIDE</w:t>
            </w:r>
            <w:r w:rsidR="00DA165C">
              <w:rPr>
                <w:rFonts w:ascii="Times New Roman" w:hAnsi="Times New Roman"/>
                <w:b/>
                <w:bCs/>
                <w:lang w:val="en-US"/>
              </w:rPr>
              <w:t>/</w:t>
            </w:r>
            <w:r w:rsidRPr="009D666B">
              <w:rPr>
                <w:rFonts w:ascii="Times New Roman" w:hAnsi="Times New Roman"/>
                <w:lang w:val="en-US"/>
              </w:rPr>
              <w:t xml:space="preserve"> </w:t>
            </w:r>
            <w:r w:rsidRPr="009D666B">
              <w:rPr>
                <w:rFonts w:ascii="Times New Roman" w:hAnsi="Times New Roman"/>
                <w:b/>
                <w:bCs/>
                <w:highlight w:val="yellow"/>
                <w:lang w:val="en-US"/>
              </w:rPr>
              <w:t>Class On</w:t>
            </w:r>
            <w:r w:rsidR="008F4180" w:rsidRPr="009D666B">
              <w:rPr>
                <w:rFonts w:ascii="Times New Roman" w:hAnsi="Times New Roman"/>
                <w:b/>
                <w:bCs/>
                <w:highlight w:val="yellow"/>
                <w:lang w:val="en-US"/>
              </w:rPr>
              <w:t>e</w:t>
            </w:r>
            <w:r w:rsidR="00CE1E0B" w:rsidRPr="009D666B">
              <w:rPr>
                <w:rFonts w:ascii="Times New Roman" w:hAnsi="Times New Roman"/>
                <w:b/>
                <w:bCs/>
                <w:highlight w:val="yellow"/>
                <w:lang w:val="en-US"/>
              </w:rPr>
              <w:t xml:space="preserve"> – Use with Prudence</w:t>
            </w:r>
          </w:p>
        </w:tc>
      </w:tr>
      <w:tr w:rsidR="00590828" w:rsidRPr="00590828" w14:paraId="5FF88D26" w14:textId="77777777" w:rsidTr="009D666B">
        <w:trPr>
          <w:trHeight w:val="340"/>
          <w:jc w:val="center"/>
        </w:trPr>
        <w:tc>
          <w:tcPr>
            <w:tcW w:w="1890" w:type="dxa"/>
            <w:vAlign w:val="center"/>
          </w:tcPr>
          <w:p w14:paraId="7299936E" w14:textId="77777777" w:rsidR="00590828" w:rsidRPr="00590828" w:rsidRDefault="00590828" w:rsidP="009D666B">
            <w:pPr>
              <w:suppressAutoHyphens w:val="0"/>
              <w:autoSpaceDE w:val="0"/>
              <w:autoSpaceDN w:val="0"/>
              <w:adjustRightInd w:val="0"/>
              <w:snapToGrid w:val="0"/>
              <w:spacing w:before="0" w:after="0"/>
              <w:jc w:val="both"/>
              <w:rPr>
                <w:sz w:val="20"/>
              </w:rPr>
            </w:pPr>
            <w:proofErr w:type="spellStart"/>
            <w:r w:rsidRPr="00590828">
              <w:rPr>
                <w:sz w:val="20"/>
              </w:rPr>
              <w:t>Trimethoprim</w:t>
            </w:r>
            <w:proofErr w:type="spellEnd"/>
          </w:p>
        </w:tc>
        <w:tc>
          <w:tcPr>
            <w:tcW w:w="1580" w:type="dxa"/>
            <w:gridSpan w:val="4"/>
            <w:vAlign w:val="center"/>
          </w:tcPr>
          <w:p w14:paraId="08B9DA40" w14:textId="77777777" w:rsidR="00590828" w:rsidRPr="00590828" w:rsidRDefault="00590828" w:rsidP="009D666B">
            <w:pPr>
              <w:pStyle w:val="MDPI31text"/>
              <w:suppressAutoHyphens w:val="0"/>
              <w:autoSpaceDE w:val="0"/>
              <w:autoSpaceDN w:val="0"/>
              <w:spacing w:line="240" w:lineRule="auto"/>
              <w:ind w:left="0" w:firstLine="0"/>
              <w:rPr>
                <w:rFonts w:ascii="Times New Roman" w:hAnsi="Times New Roman"/>
              </w:rPr>
            </w:pPr>
            <w:r w:rsidRPr="00590828">
              <w:rPr>
                <w:rFonts w:ascii="Times New Roman" w:hAnsi="Times New Roman"/>
              </w:rPr>
              <w:t xml:space="preserve">15 </w:t>
            </w:r>
          </w:p>
        </w:tc>
        <w:tc>
          <w:tcPr>
            <w:tcW w:w="1579" w:type="dxa"/>
            <w:gridSpan w:val="2"/>
            <w:vAlign w:val="center"/>
          </w:tcPr>
          <w:p w14:paraId="5CF68351" w14:textId="77777777" w:rsidR="00590828" w:rsidRPr="00590828" w:rsidRDefault="00590828" w:rsidP="009D666B">
            <w:pPr>
              <w:pStyle w:val="MDPI31text"/>
              <w:autoSpaceDE w:val="0"/>
              <w:autoSpaceDN w:val="0"/>
              <w:spacing w:line="240" w:lineRule="auto"/>
              <w:ind w:left="0" w:firstLine="0"/>
              <w:rPr>
                <w:rFonts w:ascii="Times New Roman" w:hAnsi="Times New Roman"/>
              </w:rPr>
            </w:pPr>
            <w:r w:rsidRPr="00590828">
              <w:rPr>
                <w:rFonts w:ascii="Times New Roman" w:hAnsi="Times New Roman"/>
              </w:rPr>
              <w:t>30</w:t>
            </w:r>
          </w:p>
        </w:tc>
        <w:tc>
          <w:tcPr>
            <w:tcW w:w="1680" w:type="dxa"/>
            <w:gridSpan w:val="3"/>
            <w:vAlign w:val="center"/>
          </w:tcPr>
          <w:p w14:paraId="7818B1DC" w14:textId="77777777" w:rsidR="00590828" w:rsidRPr="00590828" w:rsidRDefault="00590828" w:rsidP="009D666B">
            <w:pPr>
              <w:pStyle w:val="MDPI31text"/>
              <w:suppressAutoHyphens w:val="0"/>
              <w:autoSpaceDE w:val="0"/>
              <w:autoSpaceDN w:val="0"/>
              <w:spacing w:line="240" w:lineRule="auto"/>
              <w:ind w:left="0" w:firstLine="0"/>
              <w:rPr>
                <w:rFonts w:ascii="Times New Roman" w:hAnsi="Times New Roman"/>
              </w:rPr>
            </w:pPr>
            <w:r w:rsidRPr="00590828">
              <w:rPr>
                <w:rFonts w:ascii="Times New Roman" w:hAnsi="Times New Roman"/>
              </w:rPr>
              <w:t>15</w:t>
            </w:r>
          </w:p>
        </w:tc>
        <w:tc>
          <w:tcPr>
            <w:tcW w:w="1800" w:type="dxa"/>
            <w:vAlign w:val="center"/>
          </w:tcPr>
          <w:p w14:paraId="666C334A" w14:textId="77777777" w:rsidR="00590828" w:rsidRPr="00590828" w:rsidRDefault="00590828" w:rsidP="009D666B">
            <w:pPr>
              <w:pStyle w:val="MDPI31text"/>
              <w:autoSpaceDE w:val="0"/>
              <w:autoSpaceDN w:val="0"/>
              <w:spacing w:line="240" w:lineRule="auto"/>
              <w:ind w:left="0" w:firstLine="0"/>
              <w:rPr>
                <w:rFonts w:ascii="Times New Roman" w:hAnsi="Times New Roman"/>
              </w:rPr>
            </w:pPr>
            <w:r w:rsidRPr="00590828">
              <w:rPr>
                <w:rFonts w:ascii="Times New Roman" w:hAnsi="Times New Roman"/>
              </w:rPr>
              <w:t xml:space="preserve">IM </w:t>
            </w:r>
            <w:proofErr w:type="spellStart"/>
            <w:r w:rsidRPr="00590828">
              <w:rPr>
                <w:rFonts w:ascii="Times New Roman" w:hAnsi="Times New Roman"/>
              </w:rPr>
              <w:t>and</w:t>
            </w:r>
            <w:proofErr w:type="spellEnd"/>
            <w:r w:rsidRPr="00590828">
              <w:rPr>
                <w:rFonts w:ascii="Times New Roman" w:hAnsi="Times New Roman"/>
              </w:rPr>
              <w:t xml:space="preserve"> </w:t>
            </w:r>
            <w:proofErr w:type="spellStart"/>
            <w:r w:rsidRPr="00590828">
              <w:rPr>
                <w:rFonts w:ascii="Times New Roman" w:hAnsi="Times New Roman"/>
              </w:rPr>
              <w:t>orally</w:t>
            </w:r>
            <w:proofErr w:type="spellEnd"/>
          </w:p>
        </w:tc>
      </w:tr>
      <w:tr w:rsidR="00590828" w:rsidRPr="00590828" w14:paraId="42FF6EDC" w14:textId="77777777" w:rsidTr="009D666B">
        <w:trPr>
          <w:trHeight w:val="273"/>
          <w:jc w:val="center"/>
        </w:trPr>
        <w:tc>
          <w:tcPr>
            <w:tcW w:w="8529" w:type="dxa"/>
            <w:gridSpan w:val="11"/>
            <w:shd w:val="clear" w:color="auto" w:fill="D9D9D9" w:themeFill="background1" w:themeFillShade="D9"/>
            <w:vAlign w:val="center"/>
          </w:tcPr>
          <w:p w14:paraId="5D4BE0E4" w14:textId="199A2ADC" w:rsidR="00590828" w:rsidRPr="009D666B" w:rsidRDefault="00590828" w:rsidP="009D666B">
            <w:pPr>
              <w:pStyle w:val="MDPI31text"/>
              <w:autoSpaceDE w:val="0"/>
              <w:autoSpaceDN w:val="0"/>
              <w:spacing w:line="240" w:lineRule="auto"/>
              <w:ind w:left="0" w:firstLine="0"/>
              <w:rPr>
                <w:rFonts w:ascii="Times New Roman" w:hAnsi="Times New Roman"/>
                <w:b/>
                <w:bCs/>
                <w:lang w:val="en-US"/>
              </w:rPr>
            </w:pPr>
            <w:r w:rsidRPr="009D666B">
              <w:rPr>
                <w:rFonts w:ascii="Times New Roman" w:hAnsi="Times New Roman"/>
                <w:b/>
                <w:bCs/>
                <w:lang w:val="en-US"/>
              </w:rPr>
              <w:t>SYNTHETIC PENINCILLINS</w:t>
            </w:r>
            <w:r w:rsidR="00DA165C">
              <w:rPr>
                <w:rFonts w:ascii="Times New Roman" w:hAnsi="Times New Roman"/>
                <w:b/>
                <w:bCs/>
                <w:lang w:val="en-US"/>
              </w:rPr>
              <w:t xml:space="preserve">/ </w:t>
            </w:r>
            <w:r w:rsidR="00856A2A" w:rsidRPr="009D666B">
              <w:rPr>
                <w:rFonts w:ascii="Times New Roman" w:hAnsi="Times New Roman"/>
                <w:b/>
                <w:bCs/>
                <w:highlight w:val="yellow"/>
                <w:lang w:val="en-US"/>
              </w:rPr>
              <w:t>Class One/</w:t>
            </w:r>
            <w:r w:rsidR="00CE1E0B" w:rsidRPr="009D666B">
              <w:rPr>
                <w:rFonts w:ascii="Times New Roman" w:hAnsi="Times New Roman"/>
                <w:b/>
                <w:bCs/>
                <w:highlight w:val="yellow"/>
                <w:lang w:val="en-US"/>
              </w:rPr>
              <w:t>T</w:t>
            </w:r>
            <w:r w:rsidR="00856A2A" w:rsidRPr="009D666B">
              <w:rPr>
                <w:rFonts w:ascii="Times New Roman" w:hAnsi="Times New Roman"/>
                <w:b/>
                <w:bCs/>
                <w:highlight w:val="yellow"/>
                <w:lang w:val="en-US"/>
              </w:rPr>
              <w:t>wo</w:t>
            </w:r>
            <w:r w:rsidR="00856A2A" w:rsidRPr="009D666B">
              <w:rPr>
                <w:rFonts w:ascii="Times New Roman" w:hAnsi="Times New Roman"/>
                <w:b/>
                <w:bCs/>
                <w:lang w:val="en-US"/>
              </w:rPr>
              <w:t xml:space="preserve"> </w:t>
            </w:r>
            <w:r w:rsidR="00856A2A" w:rsidRPr="009D666B">
              <w:rPr>
                <w:rFonts w:ascii="Times New Roman" w:hAnsi="Times New Roman"/>
                <w:b/>
                <w:bCs/>
                <w:highlight w:val="yellow"/>
                <w:lang w:val="en-US"/>
              </w:rPr>
              <w:t>– Use with Prudence</w:t>
            </w:r>
            <w:r w:rsidR="00CE1E0B" w:rsidRPr="009D666B">
              <w:rPr>
                <w:rFonts w:ascii="Times New Roman" w:hAnsi="Times New Roman"/>
                <w:b/>
                <w:bCs/>
                <w:highlight w:val="yellow"/>
                <w:lang w:val="en-US"/>
              </w:rPr>
              <w:t>/Caution</w:t>
            </w:r>
          </w:p>
        </w:tc>
      </w:tr>
      <w:tr w:rsidR="00590828" w:rsidRPr="00590828" w14:paraId="41C811FA" w14:textId="77777777" w:rsidTr="009D666B">
        <w:trPr>
          <w:trHeight w:val="278"/>
          <w:jc w:val="center"/>
        </w:trPr>
        <w:tc>
          <w:tcPr>
            <w:tcW w:w="1890" w:type="dxa"/>
            <w:vAlign w:val="center"/>
          </w:tcPr>
          <w:p w14:paraId="05AA1745" w14:textId="7E740022" w:rsidR="00590828" w:rsidRPr="00590828" w:rsidRDefault="00590828" w:rsidP="009D666B">
            <w:pPr>
              <w:suppressAutoHyphens w:val="0"/>
              <w:autoSpaceDE w:val="0"/>
              <w:autoSpaceDN w:val="0"/>
              <w:adjustRightInd w:val="0"/>
              <w:snapToGrid w:val="0"/>
              <w:spacing w:before="0" w:after="0"/>
              <w:jc w:val="both"/>
              <w:rPr>
                <w:sz w:val="20"/>
              </w:rPr>
            </w:pPr>
            <w:proofErr w:type="spellStart"/>
            <w:r w:rsidRPr="00590828">
              <w:rPr>
                <w:sz w:val="20"/>
                <w:lang w:val="en-US"/>
              </w:rPr>
              <w:t>Amoxicilin</w:t>
            </w:r>
            <w:proofErr w:type="spellEnd"/>
          </w:p>
        </w:tc>
        <w:tc>
          <w:tcPr>
            <w:tcW w:w="1580" w:type="dxa"/>
            <w:gridSpan w:val="4"/>
            <w:vAlign w:val="center"/>
          </w:tcPr>
          <w:p w14:paraId="694B6684" w14:textId="77777777" w:rsidR="00590828" w:rsidRPr="00590828" w:rsidRDefault="00590828" w:rsidP="009D666B">
            <w:pPr>
              <w:pStyle w:val="MDPI31text"/>
              <w:suppressAutoHyphens w:val="0"/>
              <w:autoSpaceDE w:val="0"/>
              <w:autoSpaceDN w:val="0"/>
              <w:spacing w:line="240" w:lineRule="auto"/>
              <w:ind w:left="0" w:firstLine="0"/>
              <w:rPr>
                <w:rFonts w:ascii="Times New Roman" w:hAnsi="Times New Roman"/>
              </w:rPr>
            </w:pPr>
            <w:r w:rsidRPr="00590828">
              <w:rPr>
                <w:rFonts w:ascii="Times New Roman" w:hAnsi="Times New Roman"/>
              </w:rPr>
              <w:t>7</w:t>
            </w:r>
          </w:p>
        </w:tc>
        <w:tc>
          <w:tcPr>
            <w:tcW w:w="1579" w:type="dxa"/>
            <w:gridSpan w:val="2"/>
            <w:vAlign w:val="center"/>
          </w:tcPr>
          <w:p w14:paraId="0CA8B57D" w14:textId="77777777" w:rsidR="00590828" w:rsidRPr="00590828" w:rsidRDefault="00590828" w:rsidP="009D666B">
            <w:pPr>
              <w:pStyle w:val="MDPI31text"/>
              <w:autoSpaceDE w:val="0"/>
              <w:autoSpaceDN w:val="0"/>
              <w:spacing w:line="240" w:lineRule="auto"/>
              <w:ind w:left="0" w:firstLine="0"/>
              <w:rPr>
                <w:rFonts w:ascii="Times New Roman" w:hAnsi="Times New Roman"/>
              </w:rPr>
            </w:pPr>
            <w:r w:rsidRPr="00590828">
              <w:rPr>
                <w:rFonts w:ascii="Times New Roman" w:hAnsi="Times New Roman"/>
              </w:rPr>
              <w:t>20</w:t>
            </w:r>
          </w:p>
        </w:tc>
        <w:tc>
          <w:tcPr>
            <w:tcW w:w="1680" w:type="dxa"/>
            <w:gridSpan w:val="3"/>
            <w:vAlign w:val="center"/>
          </w:tcPr>
          <w:p w14:paraId="3F474697" w14:textId="77777777" w:rsidR="00590828" w:rsidRPr="00590828" w:rsidRDefault="00590828" w:rsidP="009D666B">
            <w:pPr>
              <w:pStyle w:val="MDPI31text"/>
              <w:suppressAutoHyphens w:val="0"/>
              <w:autoSpaceDE w:val="0"/>
              <w:autoSpaceDN w:val="0"/>
              <w:spacing w:line="240" w:lineRule="auto"/>
              <w:ind w:left="0" w:firstLine="0"/>
              <w:rPr>
                <w:rFonts w:ascii="Times New Roman" w:hAnsi="Times New Roman"/>
              </w:rPr>
            </w:pPr>
            <w:r w:rsidRPr="00590828">
              <w:rPr>
                <w:rFonts w:ascii="Times New Roman" w:hAnsi="Times New Roman"/>
              </w:rPr>
              <w:t>15-20</w:t>
            </w:r>
          </w:p>
        </w:tc>
        <w:tc>
          <w:tcPr>
            <w:tcW w:w="1800" w:type="dxa"/>
            <w:vAlign w:val="center"/>
          </w:tcPr>
          <w:p w14:paraId="2C6BE1F4" w14:textId="77777777" w:rsidR="00590828" w:rsidRPr="00590828" w:rsidRDefault="00590828" w:rsidP="009D666B">
            <w:pPr>
              <w:pStyle w:val="MDPI31text"/>
              <w:autoSpaceDE w:val="0"/>
              <w:autoSpaceDN w:val="0"/>
              <w:spacing w:line="240" w:lineRule="auto"/>
              <w:ind w:left="0" w:firstLine="0"/>
              <w:rPr>
                <w:rFonts w:ascii="Times New Roman" w:hAnsi="Times New Roman"/>
              </w:rPr>
            </w:pPr>
            <w:r w:rsidRPr="00590828">
              <w:rPr>
                <w:rFonts w:ascii="Times New Roman" w:hAnsi="Times New Roman"/>
              </w:rPr>
              <w:t xml:space="preserve">IM </w:t>
            </w:r>
            <w:proofErr w:type="spellStart"/>
            <w:r w:rsidRPr="00590828">
              <w:rPr>
                <w:rFonts w:ascii="Times New Roman" w:hAnsi="Times New Roman"/>
              </w:rPr>
              <w:t>and</w:t>
            </w:r>
            <w:proofErr w:type="spellEnd"/>
            <w:r w:rsidRPr="00590828">
              <w:rPr>
                <w:rFonts w:ascii="Times New Roman" w:hAnsi="Times New Roman"/>
              </w:rPr>
              <w:t xml:space="preserve"> </w:t>
            </w:r>
            <w:proofErr w:type="spellStart"/>
            <w:r w:rsidRPr="00590828">
              <w:rPr>
                <w:rFonts w:ascii="Times New Roman" w:hAnsi="Times New Roman"/>
              </w:rPr>
              <w:t>orally</w:t>
            </w:r>
            <w:proofErr w:type="spellEnd"/>
          </w:p>
        </w:tc>
      </w:tr>
      <w:tr w:rsidR="00590828" w:rsidRPr="00590828" w14:paraId="315CD0D2" w14:textId="77777777" w:rsidTr="009D666B">
        <w:trPr>
          <w:trHeight w:val="539"/>
          <w:jc w:val="center"/>
        </w:trPr>
        <w:tc>
          <w:tcPr>
            <w:tcW w:w="1890" w:type="dxa"/>
            <w:vAlign w:val="center"/>
          </w:tcPr>
          <w:p w14:paraId="33667079" w14:textId="77777777" w:rsidR="00590828" w:rsidRPr="00590828" w:rsidRDefault="00590828" w:rsidP="009D666B">
            <w:pPr>
              <w:suppressAutoHyphens w:val="0"/>
              <w:autoSpaceDE w:val="0"/>
              <w:autoSpaceDN w:val="0"/>
              <w:adjustRightInd w:val="0"/>
              <w:snapToGrid w:val="0"/>
              <w:spacing w:before="0" w:after="0"/>
              <w:jc w:val="both"/>
              <w:rPr>
                <w:sz w:val="20"/>
                <w:lang w:val="en-US"/>
              </w:rPr>
            </w:pPr>
            <w:proofErr w:type="spellStart"/>
            <w:r w:rsidRPr="00590828">
              <w:rPr>
                <w:sz w:val="20"/>
                <w:lang w:val="en-US"/>
              </w:rPr>
              <w:t>Amoxicilin</w:t>
            </w:r>
            <w:proofErr w:type="spellEnd"/>
            <w:r w:rsidRPr="00590828">
              <w:rPr>
                <w:sz w:val="20"/>
                <w:lang w:val="en-US"/>
              </w:rPr>
              <w:t xml:space="preserve"> plus Clavulanic acid</w:t>
            </w:r>
          </w:p>
        </w:tc>
        <w:tc>
          <w:tcPr>
            <w:tcW w:w="1580" w:type="dxa"/>
            <w:gridSpan w:val="4"/>
            <w:vAlign w:val="center"/>
          </w:tcPr>
          <w:p w14:paraId="7BF5A4D3" w14:textId="77777777" w:rsidR="00590828" w:rsidRPr="00590828" w:rsidRDefault="00590828" w:rsidP="009D666B">
            <w:pPr>
              <w:pStyle w:val="MDPI31text"/>
              <w:suppressAutoHyphens w:val="0"/>
              <w:autoSpaceDE w:val="0"/>
              <w:autoSpaceDN w:val="0"/>
              <w:spacing w:line="240" w:lineRule="auto"/>
              <w:ind w:left="0" w:firstLine="0"/>
              <w:rPr>
                <w:rFonts w:ascii="Times New Roman" w:hAnsi="Times New Roman"/>
              </w:rPr>
            </w:pPr>
            <w:r w:rsidRPr="00590828">
              <w:rPr>
                <w:rFonts w:ascii="Times New Roman" w:hAnsi="Times New Roman"/>
              </w:rPr>
              <w:t>7.5 + 1.75</w:t>
            </w:r>
          </w:p>
        </w:tc>
        <w:tc>
          <w:tcPr>
            <w:tcW w:w="1579" w:type="dxa"/>
            <w:gridSpan w:val="2"/>
            <w:vAlign w:val="center"/>
          </w:tcPr>
          <w:p w14:paraId="19C12ED0" w14:textId="77777777" w:rsidR="00590828" w:rsidRPr="00590828" w:rsidRDefault="00590828" w:rsidP="009D666B">
            <w:pPr>
              <w:pStyle w:val="MDPI31text"/>
              <w:autoSpaceDE w:val="0"/>
              <w:autoSpaceDN w:val="0"/>
              <w:spacing w:line="240" w:lineRule="auto"/>
              <w:ind w:left="0" w:firstLine="0"/>
              <w:rPr>
                <w:rFonts w:ascii="Times New Roman" w:hAnsi="Times New Roman"/>
              </w:rPr>
            </w:pPr>
            <w:r w:rsidRPr="00590828">
              <w:rPr>
                <w:rFonts w:ascii="Times New Roman" w:hAnsi="Times New Roman"/>
              </w:rPr>
              <w:t>NA</w:t>
            </w:r>
          </w:p>
        </w:tc>
        <w:tc>
          <w:tcPr>
            <w:tcW w:w="1680" w:type="dxa"/>
            <w:gridSpan w:val="3"/>
            <w:vAlign w:val="center"/>
          </w:tcPr>
          <w:p w14:paraId="232D944B" w14:textId="77777777" w:rsidR="00590828" w:rsidRPr="00590828" w:rsidRDefault="00590828" w:rsidP="009D666B">
            <w:pPr>
              <w:pStyle w:val="MDPI31text"/>
              <w:suppressAutoHyphens w:val="0"/>
              <w:autoSpaceDE w:val="0"/>
              <w:autoSpaceDN w:val="0"/>
              <w:spacing w:line="240" w:lineRule="auto"/>
              <w:ind w:left="0" w:firstLine="0"/>
              <w:rPr>
                <w:rFonts w:ascii="Times New Roman" w:hAnsi="Times New Roman"/>
              </w:rPr>
            </w:pPr>
            <w:r w:rsidRPr="00590828">
              <w:rPr>
                <w:rFonts w:ascii="Times New Roman" w:hAnsi="Times New Roman"/>
              </w:rPr>
              <w:t>NA</w:t>
            </w:r>
          </w:p>
        </w:tc>
        <w:tc>
          <w:tcPr>
            <w:tcW w:w="1800" w:type="dxa"/>
            <w:vAlign w:val="center"/>
          </w:tcPr>
          <w:p w14:paraId="269EB39A" w14:textId="77777777" w:rsidR="00590828" w:rsidRPr="00590828" w:rsidRDefault="00590828" w:rsidP="009D666B">
            <w:pPr>
              <w:pStyle w:val="MDPI31text"/>
              <w:autoSpaceDE w:val="0"/>
              <w:autoSpaceDN w:val="0"/>
              <w:spacing w:line="240" w:lineRule="auto"/>
              <w:ind w:left="0" w:firstLine="0"/>
              <w:rPr>
                <w:rFonts w:ascii="Times New Roman" w:hAnsi="Times New Roman"/>
              </w:rPr>
            </w:pPr>
            <w:r w:rsidRPr="00590828">
              <w:rPr>
                <w:rFonts w:ascii="Times New Roman" w:hAnsi="Times New Roman"/>
              </w:rPr>
              <w:t>IM</w:t>
            </w:r>
          </w:p>
        </w:tc>
      </w:tr>
      <w:tr w:rsidR="009321D5" w:rsidRPr="00590828" w14:paraId="376FBAFE" w14:textId="77777777" w:rsidTr="009D666B">
        <w:trPr>
          <w:trHeight w:val="386"/>
          <w:jc w:val="center"/>
        </w:trPr>
        <w:tc>
          <w:tcPr>
            <w:tcW w:w="8529" w:type="dxa"/>
            <w:gridSpan w:val="11"/>
            <w:shd w:val="clear" w:color="auto" w:fill="D9D9D9" w:themeFill="background1" w:themeFillShade="D9"/>
            <w:vAlign w:val="center"/>
          </w:tcPr>
          <w:p w14:paraId="37DD14B2" w14:textId="5B93D209" w:rsidR="009321D5" w:rsidRPr="009D666B" w:rsidRDefault="009321D5" w:rsidP="009321D5">
            <w:pPr>
              <w:pStyle w:val="MDPI31text"/>
              <w:autoSpaceDE w:val="0"/>
              <w:autoSpaceDN w:val="0"/>
              <w:spacing w:line="240" w:lineRule="auto"/>
              <w:ind w:left="0" w:firstLine="0"/>
              <w:rPr>
                <w:rFonts w:ascii="Times New Roman" w:hAnsi="Times New Roman"/>
                <w:lang w:val="en-US"/>
              </w:rPr>
            </w:pPr>
            <w:r w:rsidRPr="00156CE1">
              <w:rPr>
                <w:rFonts w:ascii="Times New Roman" w:hAnsi="Times New Roman"/>
                <w:b/>
                <w:bCs/>
                <w:lang w:val="en-US"/>
              </w:rPr>
              <w:t>A</w:t>
            </w:r>
            <w:r w:rsidRPr="00156CE1">
              <w:rPr>
                <w:rFonts w:ascii="Times New Roman" w:hAnsi="Times New Roman"/>
                <w:b/>
                <w:bCs/>
                <w:shd w:val="clear" w:color="auto" w:fill="D9D9D9" w:themeFill="background1" w:themeFillShade="D9"/>
                <w:lang w:val="en-US"/>
              </w:rPr>
              <w:t>MINOGLYCOSIDES</w:t>
            </w:r>
            <w:r>
              <w:rPr>
                <w:rFonts w:ascii="Times New Roman" w:hAnsi="Times New Roman"/>
                <w:b/>
                <w:bCs/>
                <w:shd w:val="clear" w:color="auto" w:fill="D9D9D9" w:themeFill="background1" w:themeFillShade="D9"/>
                <w:lang w:val="en-US"/>
              </w:rPr>
              <w:t xml:space="preserve">/ </w:t>
            </w:r>
            <w:r w:rsidRPr="00156CE1">
              <w:rPr>
                <w:rFonts w:ascii="Times New Roman" w:hAnsi="Times New Roman"/>
                <w:b/>
                <w:bCs/>
                <w:highlight w:val="yellow"/>
                <w:shd w:val="clear" w:color="auto" w:fill="D9D9D9" w:themeFill="background1" w:themeFillShade="D9"/>
                <w:lang w:val="en-US"/>
              </w:rPr>
              <w:t>Class Two – Use with Caution</w:t>
            </w:r>
          </w:p>
        </w:tc>
      </w:tr>
      <w:tr w:rsidR="009321D5" w:rsidRPr="00590828" w14:paraId="3110C9AD" w14:textId="77777777" w:rsidTr="009D666B">
        <w:trPr>
          <w:trHeight w:val="269"/>
          <w:jc w:val="center"/>
        </w:trPr>
        <w:tc>
          <w:tcPr>
            <w:tcW w:w="1890" w:type="dxa"/>
            <w:vAlign w:val="center"/>
          </w:tcPr>
          <w:p w14:paraId="2ED339BE" w14:textId="0E2B5D12" w:rsidR="009321D5" w:rsidRPr="00590828" w:rsidRDefault="009321D5" w:rsidP="009321D5">
            <w:pPr>
              <w:autoSpaceDE w:val="0"/>
              <w:autoSpaceDN w:val="0"/>
              <w:adjustRightInd w:val="0"/>
              <w:snapToGrid w:val="0"/>
              <w:spacing w:before="0" w:after="0"/>
              <w:jc w:val="both"/>
              <w:rPr>
                <w:sz w:val="20"/>
              </w:rPr>
            </w:pPr>
            <w:proofErr w:type="spellStart"/>
            <w:r w:rsidRPr="00590828">
              <w:rPr>
                <w:sz w:val="20"/>
              </w:rPr>
              <w:t>Neomycin</w:t>
            </w:r>
            <w:proofErr w:type="spellEnd"/>
          </w:p>
        </w:tc>
        <w:tc>
          <w:tcPr>
            <w:tcW w:w="1580" w:type="dxa"/>
            <w:gridSpan w:val="4"/>
            <w:vAlign w:val="center"/>
          </w:tcPr>
          <w:p w14:paraId="785AFE45" w14:textId="309E3AC8" w:rsidR="009321D5" w:rsidRPr="00590828" w:rsidRDefault="009321D5" w:rsidP="009321D5">
            <w:pPr>
              <w:pStyle w:val="MDPI31text"/>
              <w:autoSpaceDE w:val="0"/>
              <w:autoSpaceDN w:val="0"/>
              <w:spacing w:line="240" w:lineRule="auto"/>
              <w:ind w:left="0" w:firstLine="0"/>
              <w:rPr>
                <w:rFonts w:ascii="Times New Roman" w:hAnsi="Times New Roman"/>
              </w:rPr>
            </w:pPr>
            <w:r w:rsidRPr="00590828">
              <w:rPr>
                <w:rFonts w:ascii="Times New Roman" w:hAnsi="Times New Roman"/>
              </w:rPr>
              <w:t>NA</w:t>
            </w:r>
          </w:p>
        </w:tc>
        <w:tc>
          <w:tcPr>
            <w:tcW w:w="1579" w:type="dxa"/>
            <w:gridSpan w:val="2"/>
            <w:vAlign w:val="center"/>
          </w:tcPr>
          <w:p w14:paraId="55D98B82" w14:textId="4141C9D2" w:rsidR="009321D5" w:rsidRPr="00590828" w:rsidRDefault="009321D5" w:rsidP="009321D5">
            <w:pPr>
              <w:pStyle w:val="MDPI31text"/>
              <w:autoSpaceDE w:val="0"/>
              <w:autoSpaceDN w:val="0"/>
              <w:spacing w:line="240" w:lineRule="auto"/>
              <w:ind w:left="0" w:firstLine="0"/>
              <w:rPr>
                <w:rFonts w:ascii="Times New Roman" w:hAnsi="Times New Roman"/>
              </w:rPr>
            </w:pPr>
            <w:r w:rsidRPr="00590828">
              <w:rPr>
                <w:rFonts w:ascii="Times New Roman" w:hAnsi="Times New Roman"/>
              </w:rPr>
              <w:t>11</w:t>
            </w:r>
          </w:p>
        </w:tc>
        <w:tc>
          <w:tcPr>
            <w:tcW w:w="1680" w:type="dxa"/>
            <w:gridSpan w:val="3"/>
            <w:vAlign w:val="center"/>
          </w:tcPr>
          <w:p w14:paraId="15C9F08B" w14:textId="13E85BDA" w:rsidR="009321D5" w:rsidRPr="00590828" w:rsidRDefault="009321D5" w:rsidP="009321D5">
            <w:pPr>
              <w:pStyle w:val="MDPI31text"/>
              <w:autoSpaceDE w:val="0"/>
              <w:autoSpaceDN w:val="0"/>
              <w:spacing w:line="240" w:lineRule="auto"/>
              <w:ind w:left="0" w:firstLine="0"/>
              <w:rPr>
                <w:rFonts w:ascii="Times New Roman" w:hAnsi="Times New Roman"/>
              </w:rPr>
            </w:pPr>
            <w:r w:rsidRPr="00590828">
              <w:rPr>
                <w:rFonts w:ascii="Times New Roman" w:hAnsi="Times New Roman"/>
              </w:rPr>
              <w:t>11</w:t>
            </w:r>
          </w:p>
        </w:tc>
        <w:tc>
          <w:tcPr>
            <w:tcW w:w="1800" w:type="dxa"/>
            <w:vAlign w:val="center"/>
          </w:tcPr>
          <w:p w14:paraId="7F1DB0B3" w14:textId="54187683" w:rsidR="009321D5" w:rsidRPr="00590828" w:rsidRDefault="009321D5" w:rsidP="009321D5">
            <w:pPr>
              <w:pStyle w:val="MDPI31text"/>
              <w:autoSpaceDE w:val="0"/>
              <w:autoSpaceDN w:val="0"/>
              <w:spacing w:line="240" w:lineRule="auto"/>
              <w:ind w:left="0" w:firstLine="0"/>
              <w:rPr>
                <w:rFonts w:ascii="Times New Roman" w:hAnsi="Times New Roman"/>
              </w:rPr>
            </w:pPr>
            <w:r w:rsidRPr="00590828">
              <w:rPr>
                <w:rFonts w:ascii="Times New Roman" w:hAnsi="Times New Roman"/>
              </w:rPr>
              <w:t>Orally</w:t>
            </w:r>
          </w:p>
        </w:tc>
      </w:tr>
      <w:tr w:rsidR="009321D5" w:rsidRPr="00590828" w14:paraId="683D0F9F" w14:textId="77777777" w:rsidTr="009D666B">
        <w:trPr>
          <w:trHeight w:val="291"/>
          <w:jc w:val="center"/>
        </w:trPr>
        <w:tc>
          <w:tcPr>
            <w:tcW w:w="1890" w:type="dxa"/>
            <w:vAlign w:val="center"/>
          </w:tcPr>
          <w:p w14:paraId="10B4379A" w14:textId="498761E5" w:rsidR="009321D5" w:rsidRPr="00590828" w:rsidRDefault="009321D5" w:rsidP="009321D5">
            <w:pPr>
              <w:autoSpaceDE w:val="0"/>
              <w:autoSpaceDN w:val="0"/>
              <w:adjustRightInd w:val="0"/>
              <w:snapToGrid w:val="0"/>
              <w:spacing w:before="0" w:after="0"/>
              <w:jc w:val="both"/>
              <w:rPr>
                <w:sz w:val="20"/>
              </w:rPr>
            </w:pPr>
            <w:proofErr w:type="spellStart"/>
            <w:r w:rsidRPr="00590828">
              <w:rPr>
                <w:sz w:val="20"/>
              </w:rPr>
              <w:t>Apramycin</w:t>
            </w:r>
            <w:proofErr w:type="spellEnd"/>
            <w:r w:rsidRPr="00590828">
              <w:rPr>
                <w:sz w:val="20"/>
              </w:rPr>
              <w:t xml:space="preserve"> </w:t>
            </w:r>
          </w:p>
        </w:tc>
        <w:tc>
          <w:tcPr>
            <w:tcW w:w="1580" w:type="dxa"/>
            <w:gridSpan w:val="4"/>
            <w:vAlign w:val="center"/>
          </w:tcPr>
          <w:p w14:paraId="6CC5BAED" w14:textId="69C37404" w:rsidR="009321D5" w:rsidRPr="00590828" w:rsidRDefault="009321D5" w:rsidP="009321D5">
            <w:pPr>
              <w:pStyle w:val="MDPI31text"/>
              <w:autoSpaceDE w:val="0"/>
              <w:autoSpaceDN w:val="0"/>
              <w:spacing w:line="240" w:lineRule="auto"/>
              <w:ind w:left="0" w:firstLine="0"/>
              <w:rPr>
                <w:rFonts w:ascii="Times New Roman" w:hAnsi="Times New Roman"/>
              </w:rPr>
            </w:pPr>
            <w:r w:rsidRPr="00590828">
              <w:rPr>
                <w:rFonts w:ascii="Times New Roman" w:hAnsi="Times New Roman"/>
              </w:rPr>
              <w:t>NA</w:t>
            </w:r>
          </w:p>
        </w:tc>
        <w:tc>
          <w:tcPr>
            <w:tcW w:w="1579" w:type="dxa"/>
            <w:gridSpan w:val="2"/>
            <w:vAlign w:val="center"/>
          </w:tcPr>
          <w:p w14:paraId="78A107D6" w14:textId="0A46B7E4" w:rsidR="009321D5" w:rsidRPr="00590828" w:rsidRDefault="009321D5" w:rsidP="009321D5">
            <w:pPr>
              <w:pStyle w:val="MDPI31text"/>
              <w:autoSpaceDE w:val="0"/>
              <w:autoSpaceDN w:val="0"/>
              <w:spacing w:line="240" w:lineRule="auto"/>
              <w:ind w:left="0" w:firstLine="0"/>
              <w:rPr>
                <w:rFonts w:ascii="Times New Roman" w:hAnsi="Times New Roman"/>
              </w:rPr>
            </w:pPr>
            <w:r w:rsidRPr="00590828">
              <w:rPr>
                <w:rFonts w:ascii="Times New Roman" w:hAnsi="Times New Roman"/>
              </w:rPr>
              <w:t>7.5-12.5</w:t>
            </w:r>
          </w:p>
        </w:tc>
        <w:tc>
          <w:tcPr>
            <w:tcW w:w="1680" w:type="dxa"/>
            <w:gridSpan w:val="3"/>
            <w:vAlign w:val="center"/>
          </w:tcPr>
          <w:p w14:paraId="54B692C1" w14:textId="560951A9" w:rsidR="009321D5" w:rsidRPr="00590828" w:rsidRDefault="009321D5" w:rsidP="009321D5">
            <w:pPr>
              <w:pStyle w:val="MDPI31text"/>
              <w:autoSpaceDE w:val="0"/>
              <w:autoSpaceDN w:val="0"/>
              <w:spacing w:line="240" w:lineRule="auto"/>
              <w:ind w:left="0" w:firstLine="0"/>
              <w:rPr>
                <w:rFonts w:ascii="Times New Roman" w:hAnsi="Times New Roman"/>
              </w:rPr>
            </w:pPr>
            <w:r w:rsidRPr="00590828">
              <w:rPr>
                <w:rFonts w:ascii="Times New Roman" w:hAnsi="Times New Roman"/>
              </w:rPr>
              <w:t>4-8</w:t>
            </w:r>
          </w:p>
        </w:tc>
        <w:tc>
          <w:tcPr>
            <w:tcW w:w="1800" w:type="dxa"/>
            <w:vAlign w:val="center"/>
          </w:tcPr>
          <w:p w14:paraId="7B28D33F" w14:textId="3E8EA433" w:rsidR="009321D5" w:rsidRPr="00590828" w:rsidRDefault="009321D5" w:rsidP="009321D5">
            <w:pPr>
              <w:pStyle w:val="MDPI31text"/>
              <w:autoSpaceDE w:val="0"/>
              <w:autoSpaceDN w:val="0"/>
              <w:spacing w:line="240" w:lineRule="auto"/>
              <w:ind w:left="0" w:firstLine="0"/>
              <w:rPr>
                <w:rFonts w:ascii="Times New Roman" w:hAnsi="Times New Roman"/>
              </w:rPr>
            </w:pPr>
            <w:r w:rsidRPr="00590828">
              <w:rPr>
                <w:rFonts w:ascii="Times New Roman" w:hAnsi="Times New Roman"/>
              </w:rPr>
              <w:t>Orally</w:t>
            </w:r>
          </w:p>
        </w:tc>
      </w:tr>
      <w:tr w:rsidR="009321D5" w:rsidRPr="00590828" w14:paraId="281BD933" w14:textId="77777777" w:rsidTr="009D666B">
        <w:trPr>
          <w:trHeight w:val="313"/>
          <w:jc w:val="center"/>
        </w:trPr>
        <w:tc>
          <w:tcPr>
            <w:tcW w:w="1890" w:type="dxa"/>
            <w:vAlign w:val="center"/>
          </w:tcPr>
          <w:p w14:paraId="6C15B50E" w14:textId="013E1046" w:rsidR="009321D5" w:rsidRPr="00590828" w:rsidRDefault="009321D5" w:rsidP="009321D5">
            <w:pPr>
              <w:autoSpaceDE w:val="0"/>
              <w:autoSpaceDN w:val="0"/>
              <w:adjustRightInd w:val="0"/>
              <w:snapToGrid w:val="0"/>
              <w:spacing w:before="0" w:after="0"/>
              <w:jc w:val="both"/>
              <w:rPr>
                <w:sz w:val="20"/>
              </w:rPr>
            </w:pPr>
            <w:proofErr w:type="spellStart"/>
            <w:r w:rsidRPr="00590828">
              <w:rPr>
                <w:sz w:val="20"/>
              </w:rPr>
              <w:t>Spectinomycin</w:t>
            </w:r>
            <w:proofErr w:type="spellEnd"/>
          </w:p>
        </w:tc>
        <w:tc>
          <w:tcPr>
            <w:tcW w:w="1580" w:type="dxa"/>
            <w:gridSpan w:val="4"/>
            <w:vAlign w:val="center"/>
          </w:tcPr>
          <w:p w14:paraId="17CFD7AB" w14:textId="4502F571" w:rsidR="009321D5" w:rsidRPr="00590828" w:rsidRDefault="009321D5" w:rsidP="009321D5">
            <w:pPr>
              <w:pStyle w:val="MDPI31text"/>
              <w:autoSpaceDE w:val="0"/>
              <w:autoSpaceDN w:val="0"/>
              <w:spacing w:line="240" w:lineRule="auto"/>
              <w:ind w:left="0" w:firstLine="0"/>
              <w:rPr>
                <w:rFonts w:ascii="Times New Roman" w:hAnsi="Times New Roman"/>
              </w:rPr>
            </w:pPr>
            <w:r w:rsidRPr="00590828">
              <w:rPr>
                <w:rFonts w:ascii="Times New Roman" w:hAnsi="Times New Roman"/>
              </w:rPr>
              <w:t>NA</w:t>
            </w:r>
          </w:p>
        </w:tc>
        <w:tc>
          <w:tcPr>
            <w:tcW w:w="1579" w:type="dxa"/>
            <w:gridSpan w:val="2"/>
            <w:vAlign w:val="center"/>
          </w:tcPr>
          <w:p w14:paraId="1B917F15" w14:textId="1D8EC9BE" w:rsidR="009321D5" w:rsidRPr="00590828" w:rsidRDefault="009321D5" w:rsidP="009321D5">
            <w:pPr>
              <w:pStyle w:val="MDPI31text"/>
              <w:autoSpaceDE w:val="0"/>
              <w:autoSpaceDN w:val="0"/>
              <w:spacing w:line="240" w:lineRule="auto"/>
              <w:ind w:left="0" w:firstLine="0"/>
              <w:rPr>
                <w:rFonts w:ascii="Times New Roman" w:hAnsi="Times New Roman"/>
              </w:rPr>
            </w:pPr>
            <w:r w:rsidRPr="00590828">
              <w:rPr>
                <w:rFonts w:ascii="Times New Roman" w:hAnsi="Times New Roman"/>
              </w:rPr>
              <w:t>10-50</w:t>
            </w:r>
          </w:p>
        </w:tc>
        <w:tc>
          <w:tcPr>
            <w:tcW w:w="1680" w:type="dxa"/>
            <w:gridSpan w:val="3"/>
            <w:vAlign w:val="center"/>
          </w:tcPr>
          <w:p w14:paraId="37C518CE" w14:textId="09DE4D3A" w:rsidR="009321D5" w:rsidRPr="00590828" w:rsidRDefault="009321D5" w:rsidP="009321D5">
            <w:pPr>
              <w:pStyle w:val="MDPI31text"/>
              <w:autoSpaceDE w:val="0"/>
              <w:autoSpaceDN w:val="0"/>
              <w:spacing w:line="240" w:lineRule="auto"/>
              <w:ind w:left="0" w:firstLine="0"/>
              <w:rPr>
                <w:rFonts w:ascii="Times New Roman" w:hAnsi="Times New Roman"/>
              </w:rPr>
            </w:pPr>
            <w:r w:rsidRPr="00590828">
              <w:rPr>
                <w:rFonts w:ascii="Times New Roman" w:hAnsi="Times New Roman"/>
              </w:rPr>
              <w:t>1.1-2.2</w:t>
            </w:r>
          </w:p>
        </w:tc>
        <w:tc>
          <w:tcPr>
            <w:tcW w:w="1800" w:type="dxa"/>
            <w:vAlign w:val="center"/>
          </w:tcPr>
          <w:p w14:paraId="1F5557F3" w14:textId="30455D53" w:rsidR="009321D5" w:rsidRPr="00590828" w:rsidRDefault="009321D5" w:rsidP="009321D5">
            <w:pPr>
              <w:pStyle w:val="MDPI31text"/>
              <w:autoSpaceDE w:val="0"/>
              <w:autoSpaceDN w:val="0"/>
              <w:spacing w:line="240" w:lineRule="auto"/>
              <w:ind w:left="0" w:firstLine="0"/>
              <w:rPr>
                <w:rFonts w:ascii="Times New Roman" w:hAnsi="Times New Roman"/>
              </w:rPr>
            </w:pPr>
            <w:r w:rsidRPr="00590828">
              <w:rPr>
                <w:rFonts w:ascii="Times New Roman" w:hAnsi="Times New Roman"/>
              </w:rPr>
              <w:t>Orally</w:t>
            </w:r>
          </w:p>
        </w:tc>
      </w:tr>
      <w:tr w:rsidR="009321D5" w:rsidRPr="00590828" w14:paraId="36520D4C" w14:textId="77777777" w:rsidTr="009D666B">
        <w:trPr>
          <w:trHeight w:val="321"/>
          <w:jc w:val="center"/>
        </w:trPr>
        <w:tc>
          <w:tcPr>
            <w:tcW w:w="1890" w:type="dxa"/>
            <w:vAlign w:val="center"/>
          </w:tcPr>
          <w:p w14:paraId="1E8DFB69" w14:textId="6F4C549D" w:rsidR="009321D5" w:rsidRPr="00590828" w:rsidRDefault="009321D5" w:rsidP="009321D5">
            <w:pPr>
              <w:autoSpaceDE w:val="0"/>
              <w:autoSpaceDN w:val="0"/>
              <w:adjustRightInd w:val="0"/>
              <w:snapToGrid w:val="0"/>
              <w:spacing w:before="0" w:after="0"/>
              <w:jc w:val="both"/>
              <w:rPr>
                <w:sz w:val="20"/>
              </w:rPr>
            </w:pPr>
            <w:proofErr w:type="spellStart"/>
            <w:r w:rsidRPr="00156CE1">
              <w:rPr>
                <w:sz w:val="20"/>
                <w:highlight w:val="yellow"/>
              </w:rPr>
              <w:t>Gentamicin</w:t>
            </w:r>
            <w:proofErr w:type="spellEnd"/>
          </w:p>
        </w:tc>
        <w:tc>
          <w:tcPr>
            <w:tcW w:w="1580" w:type="dxa"/>
            <w:gridSpan w:val="4"/>
            <w:vAlign w:val="center"/>
          </w:tcPr>
          <w:p w14:paraId="47F2AC2F" w14:textId="5E570E7F" w:rsidR="009321D5" w:rsidRPr="00590828" w:rsidRDefault="009321D5" w:rsidP="009321D5">
            <w:pPr>
              <w:pStyle w:val="MDPI31text"/>
              <w:autoSpaceDE w:val="0"/>
              <w:autoSpaceDN w:val="0"/>
              <w:spacing w:line="240" w:lineRule="auto"/>
              <w:ind w:left="0" w:firstLine="0"/>
              <w:rPr>
                <w:rFonts w:ascii="Times New Roman" w:hAnsi="Times New Roman"/>
              </w:rPr>
            </w:pPr>
            <w:r w:rsidRPr="00156CE1">
              <w:rPr>
                <w:rFonts w:ascii="Times New Roman" w:hAnsi="Times New Roman"/>
                <w:szCs w:val="22"/>
                <w:highlight w:val="yellow"/>
              </w:rPr>
              <w:t>1</w:t>
            </w:r>
          </w:p>
        </w:tc>
        <w:tc>
          <w:tcPr>
            <w:tcW w:w="1579" w:type="dxa"/>
            <w:gridSpan w:val="2"/>
            <w:vAlign w:val="center"/>
          </w:tcPr>
          <w:p w14:paraId="43C45407" w14:textId="4CD3FF51" w:rsidR="009321D5" w:rsidRPr="00590828" w:rsidRDefault="009321D5" w:rsidP="009321D5">
            <w:pPr>
              <w:pStyle w:val="MDPI31text"/>
              <w:autoSpaceDE w:val="0"/>
              <w:autoSpaceDN w:val="0"/>
              <w:spacing w:line="240" w:lineRule="auto"/>
              <w:ind w:left="0" w:firstLine="0"/>
              <w:rPr>
                <w:rFonts w:ascii="Times New Roman" w:hAnsi="Times New Roman"/>
              </w:rPr>
            </w:pPr>
            <w:r>
              <w:rPr>
                <w:rFonts w:ascii="Times New Roman" w:hAnsi="Times New Roman"/>
                <w:highlight w:val="yellow"/>
              </w:rPr>
              <w:t>0.5+0.5+0.5</w:t>
            </w:r>
          </w:p>
        </w:tc>
        <w:tc>
          <w:tcPr>
            <w:tcW w:w="1680" w:type="dxa"/>
            <w:gridSpan w:val="3"/>
            <w:vAlign w:val="center"/>
          </w:tcPr>
          <w:p w14:paraId="5DD858EC" w14:textId="7BF6B6D1" w:rsidR="009321D5" w:rsidRPr="00590828" w:rsidRDefault="009321D5" w:rsidP="009321D5">
            <w:pPr>
              <w:pStyle w:val="MDPI31text"/>
              <w:autoSpaceDE w:val="0"/>
              <w:autoSpaceDN w:val="0"/>
              <w:spacing w:line="240" w:lineRule="auto"/>
              <w:ind w:left="0" w:firstLine="0"/>
              <w:rPr>
                <w:rFonts w:ascii="Times New Roman" w:hAnsi="Times New Roman"/>
              </w:rPr>
            </w:pPr>
            <w:r>
              <w:rPr>
                <w:rFonts w:ascii="Times New Roman" w:hAnsi="Times New Roman"/>
                <w:highlight w:val="yellow"/>
              </w:rPr>
              <w:t>NA</w:t>
            </w:r>
          </w:p>
        </w:tc>
        <w:tc>
          <w:tcPr>
            <w:tcW w:w="1800" w:type="dxa"/>
            <w:vAlign w:val="center"/>
          </w:tcPr>
          <w:p w14:paraId="4FD84168" w14:textId="42D05B73" w:rsidR="009321D5" w:rsidRPr="00590828" w:rsidRDefault="009321D5" w:rsidP="009321D5">
            <w:pPr>
              <w:pStyle w:val="MDPI31text"/>
              <w:autoSpaceDE w:val="0"/>
              <w:autoSpaceDN w:val="0"/>
              <w:spacing w:line="240" w:lineRule="auto"/>
              <w:ind w:left="0" w:firstLine="0"/>
              <w:rPr>
                <w:rFonts w:ascii="Times New Roman" w:hAnsi="Times New Roman"/>
              </w:rPr>
            </w:pPr>
            <w:r w:rsidRPr="00156CE1">
              <w:rPr>
                <w:rFonts w:ascii="Times New Roman" w:hAnsi="Times New Roman"/>
                <w:highlight w:val="yellow"/>
              </w:rPr>
              <w:t>IM/Orally</w:t>
            </w:r>
          </w:p>
        </w:tc>
      </w:tr>
      <w:tr w:rsidR="009321D5" w:rsidRPr="00590828" w14:paraId="37EC9C62" w14:textId="77777777" w:rsidTr="009D666B">
        <w:trPr>
          <w:trHeight w:val="314"/>
          <w:jc w:val="center"/>
        </w:trPr>
        <w:tc>
          <w:tcPr>
            <w:tcW w:w="8529" w:type="dxa"/>
            <w:gridSpan w:val="11"/>
            <w:shd w:val="clear" w:color="auto" w:fill="D9D9D9" w:themeFill="background1" w:themeFillShade="D9"/>
            <w:vAlign w:val="center"/>
          </w:tcPr>
          <w:p w14:paraId="291579C1" w14:textId="07387F2F" w:rsidR="009321D5" w:rsidRPr="009D666B" w:rsidRDefault="009321D5" w:rsidP="009D666B">
            <w:pPr>
              <w:pStyle w:val="MDPI31text"/>
              <w:autoSpaceDE w:val="0"/>
              <w:autoSpaceDN w:val="0"/>
              <w:spacing w:line="240" w:lineRule="auto"/>
              <w:ind w:left="0" w:firstLine="0"/>
              <w:rPr>
                <w:rFonts w:ascii="Times New Roman" w:hAnsi="Times New Roman"/>
                <w:b/>
                <w:bCs/>
                <w:lang w:val="en-US"/>
              </w:rPr>
            </w:pPr>
            <w:r w:rsidRPr="009D666B">
              <w:rPr>
                <w:rFonts w:ascii="Times New Roman" w:hAnsi="Times New Roman"/>
                <w:b/>
                <w:bCs/>
                <w:lang w:val="en-US"/>
              </w:rPr>
              <w:t>FLUOROQUINOLONES</w:t>
            </w:r>
            <w:r>
              <w:rPr>
                <w:rFonts w:ascii="Times New Roman" w:hAnsi="Times New Roman"/>
                <w:b/>
                <w:bCs/>
                <w:lang w:val="en-US"/>
              </w:rPr>
              <w:t>/</w:t>
            </w:r>
            <w:r w:rsidRPr="009D666B">
              <w:rPr>
                <w:rFonts w:ascii="Times New Roman" w:hAnsi="Times New Roman"/>
                <w:b/>
                <w:bCs/>
                <w:lang w:val="en-US"/>
              </w:rPr>
              <w:t xml:space="preserve"> </w:t>
            </w:r>
            <w:r w:rsidRPr="009D666B">
              <w:rPr>
                <w:rFonts w:ascii="Times New Roman" w:hAnsi="Times New Roman"/>
                <w:b/>
                <w:bCs/>
                <w:highlight w:val="yellow"/>
                <w:lang w:val="en-US"/>
              </w:rPr>
              <w:t>Class Three – Restrict use</w:t>
            </w:r>
          </w:p>
        </w:tc>
      </w:tr>
      <w:tr w:rsidR="009321D5" w:rsidRPr="00590828" w14:paraId="61894B0E" w14:textId="77777777" w:rsidTr="009D666B">
        <w:trPr>
          <w:trHeight w:val="278"/>
          <w:jc w:val="center"/>
        </w:trPr>
        <w:tc>
          <w:tcPr>
            <w:tcW w:w="1890" w:type="dxa"/>
            <w:vAlign w:val="center"/>
          </w:tcPr>
          <w:p w14:paraId="0B382915" w14:textId="77777777" w:rsidR="009321D5" w:rsidRPr="00590828" w:rsidRDefault="009321D5" w:rsidP="009D666B">
            <w:pPr>
              <w:spacing w:before="0" w:after="0"/>
              <w:jc w:val="both"/>
              <w:rPr>
                <w:sz w:val="20"/>
              </w:rPr>
            </w:pPr>
            <w:proofErr w:type="spellStart"/>
            <w:r w:rsidRPr="00590828">
              <w:rPr>
                <w:sz w:val="20"/>
              </w:rPr>
              <w:t>Enrofloxacin</w:t>
            </w:r>
            <w:proofErr w:type="spellEnd"/>
          </w:p>
        </w:tc>
        <w:tc>
          <w:tcPr>
            <w:tcW w:w="1580" w:type="dxa"/>
            <w:gridSpan w:val="4"/>
            <w:vAlign w:val="center"/>
          </w:tcPr>
          <w:p w14:paraId="048CB711" w14:textId="77777777" w:rsidR="009321D5" w:rsidRPr="00590828" w:rsidRDefault="009321D5" w:rsidP="009D666B">
            <w:pPr>
              <w:pStyle w:val="MDPI31text"/>
              <w:autoSpaceDE w:val="0"/>
              <w:autoSpaceDN w:val="0"/>
              <w:spacing w:line="240" w:lineRule="auto"/>
              <w:ind w:left="0" w:firstLine="0"/>
              <w:rPr>
                <w:rFonts w:ascii="Times New Roman" w:hAnsi="Times New Roman"/>
              </w:rPr>
            </w:pPr>
            <w:r w:rsidRPr="00590828">
              <w:rPr>
                <w:rFonts w:ascii="Times New Roman" w:hAnsi="Times New Roman"/>
              </w:rPr>
              <w:t>2.5</w:t>
            </w:r>
          </w:p>
        </w:tc>
        <w:tc>
          <w:tcPr>
            <w:tcW w:w="1579" w:type="dxa"/>
            <w:gridSpan w:val="2"/>
            <w:vAlign w:val="center"/>
          </w:tcPr>
          <w:p w14:paraId="2557AFA4" w14:textId="77777777" w:rsidR="009321D5" w:rsidRPr="00590828" w:rsidRDefault="009321D5" w:rsidP="009D666B">
            <w:pPr>
              <w:pStyle w:val="MDPI31text"/>
              <w:autoSpaceDE w:val="0"/>
              <w:autoSpaceDN w:val="0"/>
              <w:spacing w:line="240" w:lineRule="auto"/>
              <w:ind w:left="0" w:firstLine="0"/>
              <w:rPr>
                <w:rFonts w:ascii="Times New Roman" w:hAnsi="Times New Roman"/>
              </w:rPr>
            </w:pPr>
            <w:r w:rsidRPr="00590828">
              <w:rPr>
                <w:rFonts w:ascii="Times New Roman" w:hAnsi="Times New Roman"/>
              </w:rPr>
              <w:t>NA</w:t>
            </w:r>
          </w:p>
        </w:tc>
        <w:tc>
          <w:tcPr>
            <w:tcW w:w="1680" w:type="dxa"/>
            <w:gridSpan w:val="3"/>
            <w:vAlign w:val="center"/>
          </w:tcPr>
          <w:p w14:paraId="2FF9DD5A" w14:textId="77777777" w:rsidR="009321D5" w:rsidRPr="00590828" w:rsidRDefault="009321D5" w:rsidP="009D666B">
            <w:pPr>
              <w:pStyle w:val="MDPI31text"/>
              <w:autoSpaceDE w:val="0"/>
              <w:autoSpaceDN w:val="0"/>
              <w:spacing w:line="240" w:lineRule="auto"/>
              <w:ind w:left="0" w:firstLine="0"/>
              <w:rPr>
                <w:rFonts w:ascii="Times New Roman" w:hAnsi="Times New Roman"/>
              </w:rPr>
            </w:pPr>
            <w:r w:rsidRPr="00590828">
              <w:rPr>
                <w:rFonts w:ascii="Times New Roman" w:hAnsi="Times New Roman"/>
              </w:rPr>
              <w:t>NA</w:t>
            </w:r>
          </w:p>
        </w:tc>
        <w:tc>
          <w:tcPr>
            <w:tcW w:w="1800" w:type="dxa"/>
            <w:vAlign w:val="center"/>
          </w:tcPr>
          <w:p w14:paraId="1FAD9712" w14:textId="77777777" w:rsidR="009321D5" w:rsidRPr="00590828" w:rsidRDefault="009321D5" w:rsidP="009D666B">
            <w:pPr>
              <w:pStyle w:val="MDPI31text"/>
              <w:autoSpaceDE w:val="0"/>
              <w:autoSpaceDN w:val="0"/>
              <w:spacing w:line="240" w:lineRule="auto"/>
              <w:ind w:left="0" w:firstLine="0"/>
              <w:rPr>
                <w:rFonts w:ascii="Times New Roman" w:hAnsi="Times New Roman"/>
              </w:rPr>
            </w:pPr>
            <w:r w:rsidRPr="00590828">
              <w:rPr>
                <w:rFonts w:ascii="Times New Roman" w:hAnsi="Times New Roman"/>
              </w:rPr>
              <w:t>IM</w:t>
            </w:r>
          </w:p>
        </w:tc>
      </w:tr>
      <w:tr w:rsidR="009321D5" w:rsidRPr="00590828" w14:paraId="0E2B57AB" w14:textId="77777777" w:rsidTr="009D666B">
        <w:trPr>
          <w:trHeight w:val="264"/>
          <w:jc w:val="center"/>
        </w:trPr>
        <w:tc>
          <w:tcPr>
            <w:tcW w:w="8529" w:type="dxa"/>
            <w:gridSpan w:val="11"/>
            <w:shd w:val="clear" w:color="auto" w:fill="D9D9D9" w:themeFill="background1" w:themeFillShade="D9"/>
            <w:vAlign w:val="center"/>
          </w:tcPr>
          <w:p w14:paraId="2DCC3573" w14:textId="3AEEFFC2" w:rsidR="009321D5" w:rsidRPr="009D666B" w:rsidRDefault="009321D5" w:rsidP="009321D5">
            <w:pPr>
              <w:pStyle w:val="MDPI31text"/>
              <w:autoSpaceDE w:val="0"/>
              <w:autoSpaceDN w:val="0"/>
              <w:spacing w:line="240" w:lineRule="auto"/>
              <w:ind w:left="0" w:firstLine="0"/>
              <w:rPr>
                <w:rFonts w:ascii="Times New Roman" w:hAnsi="Times New Roman"/>
                <w:lang w:val="en-US"/>
              </w:rPr>
            </w:pPr>
            <w:r w:rsidRPr="00156CE1">
              <w:rPr>
                <w:rFonts w:ascii="Times New Roman" w:hAnsi="Times New Roman"/>
                <w:b/>
                <w:bCs/>
                <w:lang w:val="en-US"/>
              </w:rPr>
              <w:t>CEPHALOSPORINS</w:t>
            </w:r>
            <w:r>
              <w:rPr>
                <w:rFonts w:ascii="Times New Roman" w:hAnsi="Times New Roman"/>
                <w:b/>
                <w:bCs/>
                <w:lang w:val="en-US"/>
              </w:rPr>
              <w:t xml:space="preserve">/ </w:t>
            </w:r>
            <w:r w:rsidRPr="00156CE1">
              <w:rPr>
                <w:rFonts w:ascii="Times New Roman" w:hAnsi="Times New Roman"/>
                <w:b/>
                <w:bCs/>
                <w:highlight w:val="yellow"/>
                <w:lang w:val="en-US"/>
              </w:rPr>
              <w:t>Class Three – Restrict Use</w:t>
            </w:r>
          </w:p>
        </w:tc>
      </w:tr>
      <w:tr w:rsidR="009321D5" w:rsidRPr="00590828" w14:paraId="34E7FA08" w14:textId="77777777" w:rsidTr="009D666B">
        <w:trPr>
          <w:trHeight w:val="285"/>
          <w:jc w:val="center"/>
        </w:trPr>
        <w:tc>
          <w:tcPr>
            <w:tcW w:w="1890" w:type="dxa"/>
            <w:vAlign w:val="center"/>
          </w:tcPr>
          <w:p w14:paraId="5FBBB3A8" w14:textId="32B0A777" w:rsidR="009321D5" w:rsidRPr="00590828" w:rsidRDefault="009321D5" w:rsidP="009321D5">
            <w:pPr>
              <w:spacing w:before="0" w:after="0"/>
              <w:jc w:val="both"/>
              <w:rPr>
                <w:sz w:val="20"/>
              </w:rPr>
            </w:pPr>
            <w:proofErr w:type="spellStart"/>
            <w:r w:rsidRPr="00590828">
              <w:rPr>
                <w:sz w:val="20"/>
              </w:rPr>
              <w:t>Ceftiofur</w:t>
            </w:r>
            <w:proofErr w:type="spellEnd"/>
          </w:p>
        </w:tc>
        <w:tc>
          <w:tcPr>
            <w:tcW w:w="1580" w:type="dxa"/>
            <w:gridSpan w:val="4"/>
            <w:vAlign w:val="center"/>
          </w:tcPr>
          <w:p w14:paraId="3EE81D28" w14:textId="3E154B29" w:rsidR="009321D5" w:rsidRPr="00590828" w:rsidRDefault="009321D5" w:rsidP="009321D5">
            <w:pPr>
              <w:pStyle w:val="MDPI31text"/>
              <w:autoSpaceDE w:val="0"/>
              <w:autoSpaceDN w:val="0"/>
              <w:spacing w:line="240" w:lineRule="auto"/>
              <w:ind w:left="0" w:firstLine="0"/>
              <w:rPr>
                <w:rFonts w:ascii="Times New Roman" w:hAnsi="Times New Roman"/>
              </w:rPr>
            </w:pPr>
            <w:r w:rsidRPr="00590828">
              <w:rPr>
                <w:rFonts w:ascii="Times New Roman" w:hAnsi="Times New Roman"/>
              </w:rPr>
              <w:t>3</w:t>
            </w:r>
          </w:p>
        </w:tc>
        <w:tc>
          <w:tcPr>
            <w:tcW w:w="1579" w:type="dxa"/>
            <w:gridSpan w:val="2"/>
            <w:vAlign w:val="center"/>
          </w:tcPr>
          <w:p w14:paraId="69B35B4D" w14:textId="51F12FF2" w:rsidR="009321D5" w:rsidRPr="00590828" w:rsidRDefault="009321D5" w:rsidP="009321D5">
            <w:pPr>
              <w:pStyle w:val="MDPI31text"/>
              <w:autoSpaceDE w:val="0"/>
              <w:autoSpaceDN w:val="0"/>
              <w:spacing w:line="240" w:lineRule="auto"/>
              <w:ind w:left="0" w:firstLine="0"/>
              <w:rPr>
                <w:rFonts w:ascii="Times New Roman" w:hAnsi="Times New Roman"/>
              </w:rPr>
            </w:pPr>
            <w:r w:rsidRPr="00590828">
              <w:rPr>
                <w:rFonts w:ascii="Times New Roman" w:hAnsi="Times New Roman"/>
              </w:rPr>
              <w:t>NA</w:t>
            </w:r>
          </w:p>
        </w:tc>
        <w:tc>
          <w:tcPr>
            <w:tcW w:w="1680" w:type="dxa"/>
            <w:gridSpan w:val="3"/>
            <w:vAlign w:val="center"/>
          </w:tcPr>
          <w:p w14:paraId="20C275A9" w14:textId="2CC93EC4" w:rsidR="009321D5" w:rsidRPr="00590828" w:rsidRDefault="009321D5" w:rsidP="009321D5">
            <w:pPr>
              <w:pStyle w:val="MDPI31text"/>
              <w:autoSpaceDE w:val="0"/>
              <w:autoSpaceDN w:val="0"/>
              <w:spacing w:line="240" w:lineRule="auto"/>
              <w:ind w:left="0" w:firstLine="0"/>
              <w:rPr>
                <w:rFonts w:ascii="Times New Roman" w:hAnsi="Times New Roman"/>
              </w:rPr>
            </w:pPr>
            <w:r w:rsidRPr="00590828">
              <w:rPr>
                <w:rFonts w:ascii="Times New Roman" w:hAnsi="Times New Roman"/>
              </w:rPr>
              <w:t>NA</w:t>
            </w:r>
          </w:p>
        </w:tc>
        <w:tc>
          <w:tcPr>
            <w:tcW w:w="1800" w:type="dxa"/>
            <w:vAlign w:val="center"/>
          </w:tcPr>
          <w:p w14:paraId="5F28A252" w14:textId="3F79B59A" w:rsidR="009321D5" w:rsidRPr="00590828" w:rsidRDefault="009321D5" w:rsidP="009321D5">
            <w:pPr>
              <w:pStyle w:val="MDPI31text"/>
              <w:autoSpaceDE w:val="0"/>
              <w:autoSpaceDN w:val="0"/>
              <w:spacing w:line="240" w:lineRule="auto"/>
              <w:ind w:left="0" w:firstLine="0"/>
              <w:rPr>
                <w:rFonts w:ascii="Times New Roman" w:hAnsi="Times New Roman"/>
              </w:rPr>
            </w:pPr>
            <w:r w:rsidRPr="00590828">
              <w:rPr>
                <w:rFonts w:ascii="Times New Roman" w:hAnsi="Times New Roman"/>
              </w:rPr>
              <w:t>IM</w:t>
            </w:r>
          </w:p>
        </w:tc>
      </w:tr>
      <w:tr w:rsidR="009321D5" w:rsidRPr="00590828" w14:paraId="4126E14A" w14:textId="77777777" w:rsidTr="009D666B">
        <w:trPr>
          <w:trHeight w:val="262"/>
          <w:jc w:val="center"/>
        </w:trPr>
        <w:tc>
          <w:tcPr>
            <w:tcW w:w="1890" w:type="dxa"/>
            <w:vAlign w:val="center"/>
          </w:tcPr>
          <w:p w14:paraId="27036108" w14:textId="5A3A1333" w:rsidR="009321D5" w:rsidRPr="00590828" w:rsidRDefault="009321D5" w:rsidP="009D666B">
            <w:pPr>
              <w:autoSpaceDE w:val="0"/>
              <w:autoSpaceDN w:val="0"/>
              <w:adjustRightInd w:val="0"/>
              <w:snapToGrid w:val="0"/>
              <w:spacing w:before="0" w:after="0"/>
              <w:jc w:val="both"/>
              <w:rPr>
                <w:sz w:val="20"/>
              </w:rPr>
            </w:pPr>
            <w:proofErr w:type="spellStart"/>
            <w:r w:rsidRPr="00590828">
              <w:rPr>
                <w:sz w:val="20"/>
              </w:rPr>
              <w:t>Cefquinome</w:t>
            </w:r>
            <w:proofErr w:type="spellEnd"/>
          </w:p>
        </w:tc>
        <w:tc>
          <w:tcPr>
            <w:tcW w:w="1580" w:type="dxa"/>
            <w:gridSpan w:val="4"/>
            <w:vAlign w:val="center"/>
          </w:tcPr>
          <w:p w14:paraId="47AE26FA" w14:textId="08038D4A" w:rsidR="009321D5" w:rsidRPr="00590828" w:rsidRDefault="009321D5" w:rsidP="009321D5">
            <w:pPr>
              <w:pStyle w:val="MDPI31text"/>
              <w:autoSpaceDE w:val="0"/>
              <w:autoSpaceDN w:val="0"/>
              <w:spacing w:line="240" w:lineRule="auto"/>
              <w:ind w:left="0" w:firstLine="0"/>
              <w:rPr>
                <w:rFonts w:ascii="Times New Roman" w:hAnsi="Times New Roman"/>
              </w:rPr>
            </w:pPr>
            <w:r w:rsidRPr="00590828">
              <w:rPr>
                <w:rFonts w:ascii="Times New Roman" w:hAnsi="Times New Roman"/>
              </w:rPr>
              <w:t>1-2</w:t>
            </w:r>
          </w:p>
        </w:tc>
        <w:tc>
          <w:tcPr>
            <w:tcW w:w="1579" w:type="dxa"/>
            <w:gridSpan w:val="2"/>
            <w:vAlign w:val="center"/>
          </w:tcPr>
          <w:p w14:paraId="7F1A3210" w14:textId="0B501545" w:rsidR="009321D5" w:rsidRPr="00590828" w:rsidRDefault="009321D5" w:rsidP="009321D5">
            <w:pPr>
              <w:pStyle w:val="MDPI31text"/>
              <w:autoSpaceDE w:val="0"/>
              <w:autoSpaceDN w:val="0"/>
              <w:spacing w:line="240" w:lineRule="auto"/>
              <w:ind w:left="0" w:firstLine="0"/>
              <w:rPr>
                <w:rFonts w:ascii="Times New Roman" w:hAnsi="Times New Roman"/>
              </w:rPr>
            </w:pPr>
            <w:r w:rsidRPr="00590828">
              <w:rPr>
                <w:rFonts w:ascii="Times New Roman" w:hAnsi="Times New Roman"/>
              </w:rPr>
              <w:t>NA</w:t>
            </w:r>
          </w:p>
        </w:tc>
        <w:tc>
          <w:tcPr>
            <w:tcW w:w="1680" w:type="dxa"/>
            <w:gridSpan w:val="3"/>
            <w:vAlign w:val="center"/>
          </w:tcPr>
          <w:p w14:paraId="2AFF8993" w14:textId="1A4CB330" w:rsidR="009321D5" w:rsidRPr="00590828" w:rsidRDefault="009321D5" w:rsidP="009321D5">
            <w:pPr>
              <w:pStyle w:val="MDPI31text"/>
              <w:autoSpaceDE w:val="0"/>
              <w:autoSpaceDN w:val="0"/>
              <w:spacing w:line="240" w:lineRule="auto"/>
              <w:ind w:left="0" w:firstLine="0"/>
              <w:rPr>
                <w:rFonts w:ascii="Times New Roman" w:hAnsi="Times New Roman"/>
              </w:rPr>
            </w:pPr>
            <w:r w:rsidRPr="00590828">
              <w:rPr>
                <w:rFonts w:ascii="Times New Roman" w:hAnsi="Times New Roman"/>
              </w:rPr>
              <w:t>NA</w:t>
            </w:r>
          </w:p>
        </w:tc>
        <w:tc>
          <w:tcPr>
            <w:tcW w:w="1800" w:type="dxa"/>
            <w:vAlign w:val="center"/>
          </w:tcPr>
          <w:p w14:paraId="284D8653" w14:textId="0B82F7FB" w:rsidR="009321D5" w:rsidRPr="00590828" w:rsidRDefault="009321D5" w:rsidP="009321D5">
            <w:pPr>
              <w:pStyle w:val="MDPI31text"/>
              <w:autoSpaceDE w:val="0"/>
              <w:autoSpaceDN w:val="0"/>
              <w:spacing w:line="240" w:lineRule="auto"/>
              <w:ind w:left="0" w:firstLine="0"/>
              <w:rPr>
                <w:rFonts w:ascii="Times New Roman" w:hAnsi="Times New Roman"/>
              </w:rPr>
            </w:pPr>
            <w:r w:rsidRPr="00590828">
              <w:rPr>
                <w:rFonts w:ascii="Times New Roman" w:hAnsi="Times New Roman"/>
              </w:rPr>
              <w:t>IM</w:t>
            </w:r>
          </w:p>
        </w:tc>
      </w:tr>
      <w:tr w:rsidR="00E67D26" w:rsidRPr="00590828" w14:paraId="59587C34" w14:textId="77777777" w:rsidTr="009D666B">
        <w:trPr>
          <w:trHeight w:val="329"/>
          <w:jc w:val="center"/>
        </w:trPr>
        <w:tc>
          <w:tcPr>
            <w:tcW w:w="8529" w:type="dxa"/>
            <w:gridSpan w:val="11"/>
            <w:shd w:val="clear" w:color="auto" w:fill="D9D9D9" w:themeFill="background1" w:themeFillShade="D9"/>
            <w:vAlign w:val="center"/>
          </w:tcPr>
          <w:p w14:paraId="3E3A3037" w14:textId="3FA62BF0" w:rsidR="00E67D26" w:rsidRPr="009D666B" w:rsidRDefault="00E67D26" w:rsidP="009321D5">
            <w:pPr>
              <w:pStyle w:val="MDPI31text"/>
              <w:autoSpaceDE w:val="0"/>
              <w:autoSpaceDN w:val="0"/>
              <w:spacing w:line="240" w:lineRule="auto"/>
              <w:ind w:left="0" w:firstLine="0"/>
              <w:rPr>
                <w:rFonts w:ascii="Times New Roman" w:hAnsi="Times New Roman"/>
                <w:lang w:val="en-US"/>
              </w:rPr>
            </w:pPr>
            <w:r w:rsidRPr="00156CE1">
              <w:rPr>
                <w:rFonts w:ascii="Times New Roman" w:hAnsi="Times New Roman"/>
                <w:b/>
                <w:bCs/>
                <w:lang w:val="en-US"/>
              </w:rPr>
              <w:t>POLYMIXIN</w:t>
            </w:r>
            <w:r>
              <w:rPr>
                <w:rFonts w:ascii="Times New Roman" w:hAnsi="Times New Roman"/>
                <w:b/>
                <w:bCs/>
                <w:lang w:val="en-US"/>
              </w:rPr>
              <w:t>/</w:t>
            </w:r>
            <w:r w:rsidR="00A83BEF">
              <w:rPr>
                <w:rFonts w:ascii="Times New Roman" w:hAnsi="Times New Roman"/>
                <w:b/>
                <w:bCs/>
                <w:lang w:val="en-US"/>
              </w:rPr>
              <w:t xml:space="preserve"> </w:t>
            </w:r>
            <w:r w:rsidRPr="009D666B">
              <w:rPr>
                <w:rFonts w:ascii="Times New Roman" w:hAnsi="Times New Roman"/>
                <w:b/>
                <w:bCs/>
                <w:highlight w:val="yellow"/>
                <w:lang w:val="en-US"/>
              </w:rPr>
              <w:t>Class Three – Restrict use</w:t>
            </w:r>
          </w:p>
        </w:tc>
      </w:tr>
      <w:tr w:rsidR="00E67D26" w:rsidRPr="00590828" w14:paraId="74C3D662" w14:textId="77777777" w:rsidTr="009D666B">
        <w:trPr>
          <w:trHeight w:val="539"/>
          <w:jc w:val="center"/>
        </w:trPr>
        <w:tc>
          <w:tcPr>
            <w:tcW w:w="1890" w:type="dxa"/>
            <w:vAlign w:val="center"/>
          </w:tcPr>
          <w:p w14:paraId="48820C00" w14:textId="77777777" w:rsidR="00E67D26" w:rsidRPr="00590828" w:rsidRDefault="00E67D26" w:rsidP="00E67D26">
            <w:pPr>
              <w:tabs>
                <w:tab w:val="left" w:pos="1202"/>
              </w:tabs>
              <w:autoSpaceDE w:val="0"/>
              <w:autoSpaceDN w:val="0"/>
              <w:adjustRightInd w:val="0"/>
              <w:snapToGrid w:val="0"/>
              <w:spacing w:before="0" w:after="0"/>
              <w:jc w:val="both"/>
              <w:rPr>
                <w:sz w:val="20"/>
              </w:rPr>
            </w:pPr>
            <w:r w:rsidRPr="00590828">
              <w:rPr>
                <w:sz w:val="20"/>
              </w:rPr>
              <w:t>Colistin sulphate</w:t>
            </w:r>
            <w:r>
              <w:rPr>
                <w:sz w:val="20"/>
                <w:vertAlign w:val="superscript"/>
              </w:rPr>
              <w:t>b</w:t>
            </w:r>
          </w:p>
          <w:p w14:paraId="4DED636A" w14:textId="77777777" w:rsidR="00E67D26" w:rsidRPr="00590828" w:rsidRDefault="00E67D26" w:rsidP="00E67D26">
            <w:pPr>
              <w:autoSpaceDE w:val="0"/>
              <w:autoSpaceDN w:val="0"/>
              <w:adjustRightInd w:val="0"/>
              <w:snapToGrid w:val="0"/>
              <w:spacing w:before="0" w:after="0"/>
              <w:jc w:val="both"/>
              <w:rPr>
                <w:sz w:val="20"/>
              </w:rPr>
            </w:pPr>
          </w:p>
        </w:tc>
        <w:tc>
          <w:tcPr>
            <w:tcW w:w="1580" w:type="dxa"/>
            <w:gridSpan w:val="4"/>
            <w:vAlign w:val="center"/>
          </w:tcPr>
          <w:p w14:paraId="270BAFE7" w14:textId="40132E46" w:rsidR="00E67D26" w:rsidRPr="00590828" w:rsidRDefault="00E67D26" w:rsidP="00E67D26">
            <w:pPr>
              <w:pStyle w:val="MDPI31text"/>
              <w:autoSpaceDE w:val="0"/>
              <w:autoSpaceDN w:val="0"/>
              <w:spacing w:line="240" w:lineRule="auto"/>
              <w:ind w:left="0" w:firstLine="0"/>
              <w:rPr>
                <w:rFonts w:ascii="Times New Roman" w:hAnsi="Times New Roman"/>
              </w:rPr>
            </w:pPr>
            <w:r w:rsidRPr="00590828">
              <w:rPr>
                <w:rFonts w:ascii="Times New Roman" w:hAnsi="Times New Roman"/>
              </w:rPr>
              <w:t>NA</w:t>
            </w:r>
          </w:p>
        </w:tc>
        <w:tc>
          <w:tcPr>
            <w:tcW w:w="1579" w:type="dxa"/>
            <w:gridSpan w:val="2"/>
            <w:vAlign w:val="center"/>
          </w:tcPr>
          <w:p w14:paraId="0667F4F5" w14:textId="3AE2F7D7" w:rsidR="00E67D26" w:rsidRPr="00590828" w:rsidRDefault="00E67D26" w:rsidP="00E67D26">
            <w:pPr>
              <w:pStyle w:val="MDPI31text"/>
              <w:autoSpaceDE w:val="0"/>
              <w:autoSpaceDN w:val="0"/>
              <w:spacing w:line="240" w:lineRule="auto"/>
              <w:ind w:left="0" w:firstLine="0"/>
              <w:rPr>
                <w:rFonts w:ascii="Times New Roman" w:hAnsi="Times New Roman"/>
              </w:rPr>
            </w:pPr>
            <w:r w:rsidRPr="00590828">
              <w:rPr>
                <w:rFonts w:ascii="Times New Roman" w:hAnsi="Times New Roman"/>
              </w:rPr>
              <w:t>100.00 IU/Kg body weight</w:t>
            </w:r>
          </w:p>
        </w:tc>
        <w:tc>
          <w:tcPr>
            <w:tcW w:w="1680" w:type="dxa"/>
            <w:gridSpan w:val="3"/>
            <w:vAlign w:val="center"/>
          </w:tcPr>
          <w:p w14:paraId="5D2D0BC8" w14:textId="304AC6BA" w:rsidR="00E67D26" w:rsidRPr="00590828" w:rsidRDefault="00E67D26" w:rsidP="00E67D26">
            <w:pPr>
              <w:pStyle w:val="MDPI31text"/>
              <w:autoSpaceDE w:val="0"/>
              <w:autoSpaceDN w:val="0"/>
              <w:spacing w:line="240" w:lineRule="auto"/>
              <w:ind w:left="0" w:firstLine="0"/>
              <w:rPr>
                <w:rFonts w:ascii="Times New Roman" w:hAnsi="Times New Roman"/>
              </w:rPr>
            </w:pPr>
            <w:r w:rsidRPr="00590828">
              <w:rPr>
                <w:rFonts w:ascii="Times New Roman" w:hAnsi="Times New Roman"/>
              </w:rPr>
              <w:t>100.00 IU/Kg body weight</w:t>
            </w:r>
          </w:p>
        </w:tc>
        <w:tc>
          <w:tcPr>
            <w:tcW w:w="1800" w:type="dxa"/>
            <w:vAlign w:val="center"/>
          </w:tcPr>
          <w:p w14:paraId="2429DB03" w14:textId="3FB69C52" w:rsidR="00E67D26" w:rsidRPr="00590828" w:rsidRDefault="00E67D26" w:rsidP="00E67D26">
            <w:pPr>
              <w:pStyle w:val="MDPI31text"/>
              <w:autoSpaceDE w:val="0"/>
              <w:autoSpaceDN w:val="0"/>
              <w:spacing w:line="240" w:lineRule="auto"/>
              <w:ind w:left="0" w:firstLine="0"/>
              <w:rPr>
                <w:rFonts w:ascii="Times New Roman" w:hAnsi="Times New Roman"/>
              </w:rPr>
            </w:pPr>
            <w:r w:rsidRPr="00590828">
              <w:rPr>
                <w:rFonts w:ascii="Times New Roman" w:hAnsi="Times New Roman"/>
              </w:rPr>
              <w:t>Orally</w:t>
            </w:r>
          </w:p>
        </w:tc>
      </w:tr>
      <w:tr w:rsidR="00E67D26" w:rsidRPr="00590828" w14:paraId="018FA2EB" w14:textId="77777777" w:rsidTr="009D666B">
        <w:trPr>
          <w:trHeight w:val="355"/>
          <w:jc w:val="center"/>
        </w:trPr>
        <w:tc>
          <w:tcPr>
            <w:tcW w:w="8529" w:type="dxa"/>
            <w:gridSpan w:val="11"/>
            <w:shd w:val="clear" w:color="auto" w:fill="D9D9D9" w:themeFill="background1" w:themeFillShade="D9"/>
            <w:vAlign w:val="center"/>
          </w:tcPr>
          <w:p w14:paraId="34176BCF" w14:textId="48DAF2EB" w:rsidR="00E67D26" w:rsidRPr="009D666B" w:rsidRDefault="00E67D26" w:rsidP="009D666B">
            <w:pPr>
              <w:pStyle w:val="MDPI31text"/>
              <w:autoSpaceDE w:val="0"/>
              <w:autoSpaceDN w:val="0"/>
              <w:spacing w:line="240" w:lineRule="auto"/>
              <w:ind w:left="0" w:firstLine="0"/>
              <w:rPr>
                <w:rFonts w:ascii="Times New Roman" w:hAnsi="Times New Roman"/>
                <w:b/>
                <w:bCs/>
                <w:vertAlign w:val="superscript"/>
                <w:lang w:val="en-US"/>
              </w:rPr>
            </w:pPr>
            <w:proofErr w:type="spellStart"/>
            <w:r w:rsidRPr="009D666B">
              <w:rPr>
                <w:rFonts w:ascii="Times New Roman" w:hAnsi="Times New Roman"/>
                <w:b/>
                <w:bCs/>
                <w:lang w:val="en-US"/>
              </w:rPr>
              <w:t>QUINOXALINES</w:t>
            </w:r>
            <w:r w:rsidR="00E12BBD">
              <w:rPr>
                <w:rFonts w:ascii="Times New Roman" w:hAnsi="Times New Roman"/>
                <w:b/>
                <w:bCs/>
                <w:vertAlign w:val="superscript"/>
                <w:lang w:val="en-US"/>
              </w:rPr>
              <w:t>c</w:t>
            </w:r>
            <w:proofErr w:type="spellEnd"/>
            <w:r w:rsidRPr="009D666B">
              <w:rPr>
                <w:rFonts w:ascii="Times New Roman" w:hAnsi="Times New Roman"/>
                <w:b/>
                <w:bCs/>
                <w:color w:val="auto"/>
                <w:highlight w:val="yellow"/>
                <w:lang w:val="en-US"/>
              </w:rPr>
              <w:t xml:space="preserve">/Not included in </w:t>
            </w:r>
            <w:r w:rsidR="00310B09" w:rsidRPr="009D666B">
              <w:rPr>
                <w:rFonts w:ascii="Times New Roman" w:hAnsi="Times New Roman"/>
                <w:b/>
                <w:bCs/>
                <w:color w:val="auto"/>
                <w:highlight w:val="yellow"/>
                <w:lang w:val="en-US"/>
              </w:rPr>
              <w:t>prescribing category list</w:t>
            </w:r>
          </w:p>
        </w:tc>
      </w:tr>
      <w:tr w:rsidR="00E67D26" w:rsidRPr="00590828" w14:paraId="3AE2684F" w14:textId="77777777" w:rsidTr="009D666B">
        <w:trPr>
          <w:trHeight w:val="355"/>
          <w:jc w:val="center"/>
        </w:trPr>
        <w:tc>
          <w:tcPr>
            <w:tcW w:w="1940" w:type="dxa"/>
            <w:gridSpan w:val="3"/>
            <w:shd w:val="clear" w:color="auto" w:fill="auto"/>
            <w:vAlign w:val="center"/>
          </w:tcPr>
          <w:p w14:paraId="7D2CF08C" w14:textId="77777777" w:rsidR="00E67D26" w:rsidRPr="009D666B" w:rsidRDefault="00E67D26" w:rsidP="009D666B">
            <w:pPr>
              <w:pStyle w:val="MDPI31text"/>
              <w:autoSpaceDE w:val="0"/>
              <w:autoSpaceDN w:val="0"/>
              <w:spacing w:line="240" w:lineRule="auto"/>
              <w:ind w:left="0" w:firstLine="0"/>
              <w:rPr>
                <w:rFonts w:ascii="Times New Roman" w:hAnsi="Times New Roman"/>
                <w:highlight w:val="yellow"/>
              </w:rPr>
            </w:pPr>
            <w:proofErr w:type="spellStart"/>
            <w:r w:rsidRPr="009D666B">
              <w:rPr>
                <w:rFonts w:ascii="Times New Roman" w:hAnsi="Times New Roman"/>
                <w:highlight w:val="yellow"/>
              </w:rPr>
              <w:t>Carbadox</w:t>
            </w:r>
            <w:proofErr w:type="spellEnd"/>
          </w:p>
        </w:tc>
        <w:tc>
          <w:tcPr>
            <w:tcW w:w="1580" w:type="dxa"/>
            <w:gridSpan w:val="3"/>
            <w:shd w:val="clear" w:color="auto" w:fill="auto"/>
            <w:vAlign w:val="center"/>
          </w:tcPr>
          <w:p w14:paraId="40151482" w14:textId="1789E8F1" w:rsidR="00E67D26" w:rsidRPr="009D666B" w:rsidRDefault="00E67D26" w:rsidP="009D666B">
            <w:pPr>
              <w:pStyle w:val="MDPI31text"/>
              <w:autoSpaceDE w:val="0"/>
              <w:autoSpaceDN w:val="0"/>
              <w:spacing w:line="240" w:lineRule="auto"/>
              <w:ind w:left="0" w:firstLine="0"/>
              <w:rPr>
                <w:rFonts w:ascii="Times New Roman" w:hAnsi="Times New Roman"/>
                <w:highlight w:val="yellow"/>
              </w:rPr>
            </w:pPr>
            <w:r w:rsidRPr="009D666B">
              <w:rPr>
                <w:rFonts w:ascii="Times New Roman" w:hAnsi="Times New Roman"/>
                <w:highlight w:val="yellow"/>
              </w:rPr>
              <w:t>NA</w:t>
            </w:r>
          </w:p>
        </w:tc>
        <w:tc>
          <w:tcPr>
            <w:tcW w:w="1580" w:type="dxa"/>
            <w:gridSpan w:val="2"/>
            <w:shd w:val="clear" w:color="auto" w:fill="auto"/>
            <w:vAlign w:val="center"/>
          </w:tcPr>
          <w:p w14:paraId="03C09D91" w14:textId="774F6B4C" w:rsidR="00E67D26" w:rsidRPr="009D666B" w:rsidRDefault="00E67D26" w:rsidP="009D666B">
            <w:pPr>
              <w:pStyle w:val="MDPI31text"/>
              <w:autoSpaceDE w:val="0"/>
              <w:autoSpaceDN w:val="0"/>
              <w:spacing w:line="240" w:lineRule="auto"/>
              <w:ind w:left="0" w:firstLine="0"/>
              <w:rPr>
                <w:rFonts w:ascii="Times New Roman" w:hAnsi="Times New Roman"/>
                <w:highlight w:val="yellow"/>
              </w:rPr>
            </w:pPr>
            <w:r w:rsidRPr="009D666B">
              <w:rPr>
                <w:rFonts w:ascii="Times New Roman" w:hAnsi="Times New Roman"/>
                <w:highlight w:val="yellow"/>
              </w:rPr>
              <w:t>NA</w:t>
            </w:r>
          </w:p>
        </w:tc>
        <w:tc>
          <w:tcPr>
            <w:tcW w:w="1634" w:type="dxa"/>
            <w:gridSpan w:val="2"/>
            <w:shd w:val="clear" w:color="auto" w:fill="auto"/>
            <w:vAlign w:val="center"/>
          </w:tcPr>
          <w:p w14:paraId="0F696B17" w14:textId="22FF4076" w:rsidR="00E67D26" w:rsidRPr="009D666B" w:rsidRDefault="00E67D26" w:rsidP="009D666B">
            <w:pPr>
              <w:pStyle w:val="MDPI31text"/>
              <w:autoSpaceDE w:val="0"/>
              <w:autoSpaceDN w:val="0"/>
              <w:spacing w:line="240" w:lineRule="auto"/>
              <w:ind w:left="0" w:firstLine="0"/>
              <w:rPr>
                <w:rFonts w:ascii="Times New Roman" w:hAnsi="Times New Roman"/>
                <w:highlight w:val="yellow"/>
              </w:rPr>
            </w:pPr>
            <w:r w:rsidRPr="009D666B">
              <w:rPr>
                <w:rFonts w:ascii="Times New Roman" w:hAnsi="Times New Roman"/>
                <w:highlight w:val="yellow"/>
              </w:rPr>
              <w:t>50</w:t>
            </w:r>
          </w:p>
        </w:tc>
        <w:tc>
          <w:tcPr>
            <w:tcW w:w="1795" w:type="dxa"/>
            <w:shd w:val="clear" w:color="auto" w:fill="auto"/>
            <w:vAlign w:val="center"/>
          </w:tcPr>
          <w:p w14:paraId="7E69C61E" w14:textId="5C662D58" w:rsidR="00E67D26" w:rsidRPr="009D666B" w:rsidRDefault="00E67D26" w:rsidP="009D666B">
            <w:pPr>
              <w:pStyle w:val="MDPI31text"/>
              <w:autoSpaceDE w:val="0"/>
              <w:autoSpaceDN w:val="0"/>
              <w:spacing w:line="240" w:lineRule="auto"/>
              <w:ind w:left="0" w:firstLine="0"/>
              <w:rPr>
                <w:rFonts w:ascii="Times New Roman" w:hAnsi="Times New Roman"/>
                <w:highlight w:val="yellow"/>
              </w:rPr>
            </w:pPr>
            <w:r w:rsidRPr="009D666B">
              <w:rPr>
                <w:rFonts w:ascii="Times New Roman" w:hAnsi="Times New Roman"/>
                <w:highlight w:val="yellow"/>
              </w:rPr>
              <w:t>Orally</w:t>
            </w:r>
          </w:p>
        </w:tc>
      </w:tr>
      <w:tr w:rsidR="00DC2C33" w:rsidRPr="00590828" w14:paraId="0FE2FACD" w14:textId="77777777" w:rsidTr="009D666B">
        <w:trPr>
          <w:trHeight w:val="64"/>
          <w:jc w:val="center"/>
        </w:trPr>
        <w:tc>
          <w:tcPr>
            <w:tcW w:w="1940" w:type="dxa"/>
            <w:gridSpan w:val="3"/>
            <w:tcBorders>
              <w:bottom w:val="single" w:sz="4" w:space="0" w:color="auto"/>
            </w:tcBorders>
            <w:shd w:val="clear" w:color="auto" w:fill="auto"/>
            <w:vAlign w:val="center"/>
          </w:tcPr>
          <w:p w14:paraId="123CE510" w14:textId="45C5941A" w:rsidR="00DC2C33" w:rsidRPr="009D666B" w:rsidRDefault="00DC2C33" w:rsidP="00DC2C33">
            <w:pPr>
              <w:pStyle w:val="MDPI31text"/>
              <w:autoSpaceDE w:val="0"/>
              <w:autoSpaceDN w:val="0"/>
              <w:spacing w:line="240" w:lineRule="auto"/>
              <w:ind w:left="0" w:firstLine="0"/>
              <w:rPr>
                <w:rFonts w:ascii="Times New Roman" w:hAnsi="Times New Roman"/>
              </w:rPr>
            </w:pPr>
            <w:proofErr w:type="spellStart"/>
            <w:r w:rsidRPr="009D666B">
              <w:rPr>
                <w:rFonts w:ascii="Times New Roman" w:hAnsi="Times New Roman"/>
                <w:highlight w:val="yellow"/>
              </w:rPr>
              <w:t>Olaquindox</w:t>
            </w:r>
            <w:proofErr w:type="spellEnd"/>
            <w:r w:rsidRPr="009D666B">
              <w:rPr>
                <w:rFonts w:ascii="Times New Roman" w:hAnsi="Times New Roman"/>
                <w:highlight w:val="yellow"/>
              </w:rPr>
              <w:t xml:space="preserve"> 10%</w:t>
            </w:r>
          </w:p>
        </w:tc>
        <w:tc>
          <w:tcPr>
            <w:tcW w:w="1580" w:type="dxa"/>
            <w:gridSpan w:val="3"/>
            <w:tcBorders>
              <w:bottom w:val="single" w:sz="4" w:space="0" w:color="auto"/>
            </w:tcBorders>
            <w:shd w:val="clear" w:color="auto" w:fill="auto"/>
            <w:vAlign w:val="center"/>
          </w:tcPr>
          <w:p w14:paraId="452C60EB" w14:textId="4A37EFA8" w:rsidR="00DC2C33" w:rsidRPr="00343D8C" w:rsidRDefault="00DC2C33" w:rsidP="00DC2C33">
            <w:pPr>
              <w:pStyle w:val="MDPI31text"/>
              <w:autoSpaceDE w:val="0"/>
              <w:autoSpaceDN w:val="0"/>
              <w:spacing w:line="240" w:lineRule="auto"/>
              <w:ind w:left="0" w:firstLine="0"/>
              <w:rPr>
                <w:rFonts w:ascii="Times New Roman" w:hAnsi="Times New Roman"/>
                <w:highlight w:val="yellow"/>
              </w:rPr>
            </w:pPr>
            <w:r>
              <w:rPr>
                <w:rFonts w:ascii="Times New Roman" w:hAnsi="Times New Roman"/>
                <w:highlight w:val="yellow"/>
              </w:rPr>
              <w:t>NA</w:t>
            </w:r>
          </w:p>
        </w:tc>
        <w:tc>
          <w:tcPr>
            <w:tcW w:w="1580" w:type="dxa"/>
            <w:gridSpan w:val="2"/>
            <w:tcBorders>
              <w:bottom w:val="single" w:sz="4" w:space="0" w:color="auto"/>
            </w:tcBorders>
            <w:shd w:val="clear" w:color="auto" w:fill="auto"/>
            <w:vAlign w:val="center"/>
          </w:tcPr>
          <w:p w14:paraId="528EFA80" w14:textId="4C78FA70" w:rsidR="00DC2C33" w:rsidRPr="00343D8C" w:rsidRDefault="00DC2C33" w:rsidP="00DC2C33">
            <w:pPr>
              <w:pStyle w:val="MDPI31text"/>
              <w:autoSpaceDE w:val="0"/>
              <w:autoSpaceDN w:val="0"/>
              <w:spacing w:line="240" w:lineRule="auto"/>
              <w:ind w:left="0" w:firstLine="0"/>
              <w:rPr>
                <w:rFonts w:ascii="Times New Roman" w:hAnsi="Times New Roman"/>
                <w:highlight w:val="yellow"/>
              </w:rPr>
            </w:pPr>
            <w:r>
              <w:rPr>
                <w:rFonts w:ascii="Times New Roman" w:hAnsi="Times New Roman"/>
                <w:highlight w:val="yellow"/>
              </w:rPr>
              <w:t>NA</w:t>
            </w:r>
          </w:p>
        </w:tc>
        <w:tc>
          <w:tcPr>
            <w:tcW w:w="1634" w:type="dxa"/>
            <w:gridSpan w:val="2"/>
            <w:tcBorders>
              <w:bottom w:val="single" w:sz="4" w:space="0" w:color="auto"/>
            </w:tcBorders>
            <w:shd w:val="clear" w:color="auto" w:fill="auto"/>
            <w:vAlign w:val="center"/>
          </w:tcPr>
          <w:p w14:paraId="522CE640" w14:textId="7CE1947D" w:rsidR="00DC2C33" w:rsidRPr="00343D8C" w:rsidRDefault="00DC2C33" w:rsidP="00DC2C33">
            <w:pPr>
              <w:pStyle w:val="MDPI31text"/>
              <w:autoSpaceDE w:val="0"/>
              <w:autoSpaceDN w:val="0"/>
              <w:spacing w:line="240" w:lineRule="auto"/>
              <w:ind w:left="0" w:firstLine="0"/>
              <w:rPr>
                <w:rFonts w:ascii="Times New Roman" w:hAnsi="Times New Roman"/>
                <w:highlight w:val="yellow"/>
              </w:rPr>
            </w:pPr>
            <w:r>
              <w:rPr>
                <w:rFonts w:ascii="Times New Roman" w:hAnsi="Times New Roman"/>
                <w:highlight w:val="yellow"/>
              </w:rPr>
              <w:t>100000/kg</w:t>
            </w:r>
          </w:p>
        </w:tc>
        <w:tc>
          <w:tcPr>
            <w:tcW w:w="1795" w:type="dxa"/>
            <w:tcBorders>
              <w:bottom w:val="single" w:sz="4" w:space="0" w:color="auto"/>
            </w:tcBorders>
            <w:shd w:val="clear" w:color="auto" w:fill="auto"/>
            <w:vAlign w:val="center"/>
          </w:tcPr>
          <w:p w14:paraId="1F8A18B8" w14:textId="779AA66D" w:rsidR="00DC2C33" w:rsidRPr="00343D8C" w:rsidRDefault="00DC2C33" w:rsidP="00DC2C33">
            <w:pPr>
              <w:pStyle w:val="MDPI31text"/>
              <w:autoSpaceDE w:val="0"/>
              <w:autoSpaceDN w:val="0"/>
              <w:spacing w:line="240" w:lineRule="auto"/>
              <w:ind w:left="0" w:firstLine="0"/>
              <w:rPr>
                <w:rFonts w:ascii="Times New Roman" w:hAnsi="Times New Roman"/>
                <w:highlight w:val="yellow"/>
              </w:rPr>
            </w:pPr>
            <w:r w:rsidRPr="00156CE1">
              <w:rPr>
                <w:rFonts w:ascii="Times New Roman" w:hAnsi="Times New Roman"/>
                <w:highlight w:val="yellow"/>
              </w:rPr>
              <w:t>Orally</w:t>
            </w:r>
          </w:p>
        </w:tc>
      </w:tr>
    </w:tbl>
    <w:p w14:paraId="5EFBDF35" w14:textId="65552CCE" w:rsidR="00310B09" w:rsidRPr="009D666B" w:rsidRDefault="00590828" w:rsidP="00310B09">
      <w:pPr>
        <w:pStyle w:val="MDPI21heading1"/>
        <w:spacing w:before="0" w:after="0"/>
        <w:ind w:left="0"/>
        <w:jc w:val="both"/>
        <w:rPr>
          <w:rFonts w:ascii="Times New Roman" w:hAnsi="Times New Roman"/>
          <w:b w:val="0"/>
          <w:sz w:val="18"/>
          <w:szCs w:val="18"/>
          <w:highlight w:val="yellow"/>
          <w:lang w:eastAsia="zh-CN"/>
        </w:rPr>
      </w:pPr>
      <w:r w:rsidRPr="009D666B">
        <w:rPr>
          <w:rFonts w:ascii="Times New Roman" w:hAnsi="Times New Roman"/>
          <w:bCs/>
          <w:sz w:val="18"/>
          <w:szCs w:val="18"/>
          <w:lang w:eastAsia="zh-CN"/>
        </w:rPr>
        <w:t>Abbreviation:</w:t>
      </w:r>
      <w:r w:rsidRPr="009D666B">
        <w:rPr>
          <w:rFonts w:ascii="Times New Roman" w:hAnsi="Times New Roman"/>
          <w:b w:val="0"/>
          <w:sz w:val="18"/>
          <w:szCs w:val="18"/>
          <w:lang w:eastAsia="zh-CN"/>
        </w:rPr>
        <w:t xml:space="preserve"> IM (intramuscular); NA (not applicable)</w:t>
      </w:r>
      <w:r w:rsidR="00FB108A" w:rsidRPr="009D666B">
        <w:rPr>
          <w:rFonts w:ascii="Times New Roman" w:hAnsi="Times New Roman"/>
          <w:b w:val="0"/>
          <w:sz w:val="18"/>
          <w:szCs w:val="18"/>
          <w:lang w:eastAsia="zh-CN"/>
        </w:rPr>
        <w:t xml:space="preserve">. </w:t>
      </w:r>
      <w:r w:rsidR="00A6720C" w:rsidRPr="009D666B">
        <w:rPr>
          <w:rFonts w:ascii="Times New Roman" w:hAnsi="Times New Roman"/>
          <w:b w:val="0"/>
          <w:sz w:val="18"/>
          <w:szCs w:val="18"/>
          <w:highlight w:val="yellow"/>
          <w:lang w:eastAsia="zh-CN"/>
        </w:rPr>
        <w:t>Notes</w:t>
      </w:r>
      <w:bookmarkStart w:id="0" w:name="_Hlk109853729"/>
      <w:r w:rsidR="00E67D26" w:rsidRPr="009D666B">
        <w:rPr>
          <w:rFonts w:ascii="Times New Roman" w:hAnsi="Times New Roman"/>
          <w:b w:val="0"/>
          <w:sz w:val="18"/>
          <w:szCs w:val="18"/>
          <w:highlight w:val="yellow"/>
          <w:lang w:eastAsia="zh-CN"/>
        </w:rPr>
        <w:t xml:space="preserve">: </w:t>
      </w:r>
      <w:proofErr w:type="gramStart"/>
      <w:r w:rsidR="00DC2C33" w:rsidRPr="009D666B">
        <w:rPr>
          <w:rFonts w:ascii="Times New Roman" w:hAnsi="Times New Roman"/>
          <w:b w:val="0"/>
          <w:sz w:val="18"/>
          <w:szCs w:val="18"/>
          <w:highlight w:val="yellow"/>
          <w:vertAlign w:val="superscript"/>
          <w:lang w:eastAsia="zh-CN"/>
        </w:rPr>
        <w:t>a</w:t>
      </w:r>
      <w:proofErr w:type="gramEnd"/>
      <w:r w:rsidR="00DC2C33" w:rsidRPr="009D666B">
        <w:rPr>
          <w:rFonts w:ascii="Times New Roman" w:hAnsi="Times New Roman"/>
          <w:b w:val="0"/>
          <w:sz w:val="18"/>
          <w:szCs w:val="18"/>
          <w:highlight w:val="yellow"/>
          <w:lang w:eastAsia="zh-CN"/>
        </w:rPr>
        <w:t xml:space="preserve"> Prescribing</w:t>
      </w:r>
      <w:r w:rsidR="00E67D26" w:rsidRPr="009D666B">
        <w:rPr>
          <w:rFonts w:ascii="Times New Roman" w:hAnsi="Times New Roman"/>
          <w:b w:val="0"/>
          <w:sz w:val="18"/>
          <w:szCs w:val="18"/>
          <w:highlight w:val="yellow"/>
          <w:lang w:eastAsia="zh-CN"/>
        </w:rPr>
        <w:t xml:space="preserve"> guidance note for the use of antimicrobials under the cascade. </w:t>
      </w:r>
      <w:r w:rsidR="00310B09" w:rsidRPr="009D666B">
        <w:rPr>
          <w:rFonts w:ascii="Times New Roman" w:hAnsi="Times New Roman"/>
          <w:b w:val="0"/>
          <w:sz w:val="18"/>
          <w:szCs w:val="18"/>
          <w:highlight w:val="yellow"/>
          <w:lang w:eastAsia="zh-CN"/>
        </w:rPr>
        <w:t>Class 1 – refers to standard prescribing within responsible use guidelines. Class 2 – not to be used unless sensitivity tests or clinical experience has proven that first-choice antimicrobials are not effective. Class 3 – products of last resort; only to be used when no other options are available and supported by laboratory sensitivity tests or in extreme circumstances when all else has failed.</w:t>
      </w:r>
      <w:r w:rsidR="00310B09" w:rsidRPr="009D666B">
        <w:rPr>
          <w:rFonts w:ascii="Times New Roman" w:hAnsi="Times New Roman"/>
          <w:b w:val="0"/>
          <w:highlight w:val="yellow"/>
          <w:vertAlign w:val="superscript"/>
        </w:rPr>
        <w:t xml:space="preserve"> b </w:t>
      </w:r>
      <w:proofErr w:type="gramStart"/>
      <w:r w:rsidR="00310B09" w:rsidRPr="009D666B">
        <w:rPr>
          <w:rFonts w:ascii="Times New Roman" w:hAnsi="Times New Roman"/>
          <w:b w:val="0"/>
          <w:sz w:val="18"/>
          <w:szCs w:val="18"/>
          <w:highlight w:val="yellow"/>
          <w:lang w:eastAsia="zh-CN"/>
        </w:rPr>
        <w:t>The</w:t>
      </w:r>
      <w:proofErr w:type="gramEnd"/>
      <w:r w:rsidR="00310B09" w:rsidRPr="009D666B">
        <w:rPr>
          <w:rFonts w:ascii="Times New Roman" w:hAnsi="Times New Roman"/>
          <w:b w:val="0"/>
          <w:sz w:val="18"/>
          <w:szCs w:val="18"/>
          <w:highlight w:val="yellow"/>
          <w:lang w:eastAsia="zh-CN"/>
        </w:rPr>
        <w:t xml:space="preserve"> use of colistin in Europe varies widely between countries. </w:t>
      </w:r>
      <w:r w:rsidR="00A6720C" w:rsidRPr="009D666B">
        <w:rPr>
          <w:rFonts w:ascii="Times New Roman" w:hAnsi="Times New Roman"/>
          <w:b w:val="0"/>
          <w:sz w:val="18"/>
          <w:szCs w:val="18"/>
          <w:highlight w:val="yellow"/>
          <w:lang w:eastAsia="zh-CN"/>
        </w:rPr>
        <w:t xml:space="preserve">Countries with intensive livestock production can have a level of </w:t>
      </w:r>
      <w:r w:rsidR="00D90779" w:rsidRPr="009D666B">
        <w:rPr>
          <w:rFonts w:ascii="Times New Roman" w:hAnsi="Times New Roman"/>
          <w:b w:val="0"/>
          <w:sz w:val="18"/>
          <w:szCs w:val="18"/>
          <w:highlight w:val="yellow"/>
          <w:lang w:eastAsia="zh-CN"/>
        </w:rPr>
        <w:t>practice</w:t>
      </w:r>
      <w:r w:rsidR="00A6720C" w:rsidRPr="009D666B">
        <w:rPr>
          <w:rFonts w:ascii="Times New Roman" w:hAnsi="Times New Roman"/>
          <w:b w:val="0"/>
          <w:sz w:val="18"/>
          <w:szCs w:val="18"/>
          <w:highlight w:val="yellow"/>
          <w:lang w:eastAsia="zh-CN"/>
        </w:rPr>
        <w:t xml:space="preserve"> below 1 mg/PCU (</w:t>
      </w:r>
      <w:proofErr w:type="gramStart"/>
      <w:r w:rsidR="00A6720C" w:rsidRPr="009D666B">
        <w:rPr>
          <w:rFonts w:ascii="Times New Roman" w:hAnsi="Times New Roman"/>
          <w:b w:val="0"/>
          <w:sz w:val="18"/>
          <w:szCs w:val="18"/>
          <w:highlight w:val="yellow"/>
          <w:lang w:eastAsia="zh-CN"/>
        </w:rPr>
        <w:t>e.g.</w:t>
      </w:r>
      <w:proofErr w:type="gramEnd"/>
      <w:r w:rsidR="00A6720C" w:rsidRPr="009D666B">
        <w:rPr>
          <w:rFonts w:ascii="Times New Roman" w:hAnsi="Times New Roman"/>
          <w:b w:val="0"/>
          <w:sz w:val="18"/>
          <w:szCs w:val="18"/>
          <w:highlight w:val="yellow"/>
          <w:lang w:eastAsia="zh-CN"/>
        </w:rPr>
        <w:t xml:space="preserve"> Denmark and the UK) or much higher, up to 20 to 25 mg/PCU (Italy and Spain). </w:t>
      </w:r>
      <w:r w:rsidR="002E247B" w:rsidRPr="009D666B">
        <w:rPr>
          <w:rFonts w:ascii="Times New Roman" w:hAnsi="Times New Roman"/>
          <w:b w:val="0"/>
          <w:sz w:val="18"/>
          <w:szCs w:val="18"/>
          <w:highlight w:val="yellow"/>
          <w:lang w:eastAsia="zh-CN"/>
        </w:rPr>
        <w:t>Furthermore, some countries like USA and Canada never approved colistin usage in animal feed</w:t>
      </w:r>
      <w:r w:rsidR="002F7E47" w:rsidRPr="009D666B">
        <w:rPr>
          <w:rFonts w:ascii="Times New Roman" w:hAnsi="Times New Roman"/>
          <w:b w:val="0"/>
          <w:sz w:val="18"/>
          <w:szCs w:val="18"/>
          <w:highlight w:val="yellow"/>
          <w:lang w:eastAsia="zh-CN"/>
        </w:rPr>
        <w:t xml:space="preserve"> </w:t>
      </w:r>
      <w:r w:rsidR="002F7E47" w:rsidRPr="009D666B">
        <w:rPr>
          <w:rFonts w:ascii="Times New Roman" w:hAnsi="Times New Roman"/>
          <w:b w:val="0"/>
          <w:sz w:val="18"/>
          <w:szCs w:val="18"/>
          <w:highlight w:val="yellow"/>
          <w:lang w:eastAsia="zh-CN"/>
        </w:rPr>
        <w:fldChar w:fldCharType="begin" w:fldLock="1"/>
      </w:r>
      <w:r w:rsidR="002F7E47" w:rsidRPr="009D666B">
        <w:rPr>
          <w:rFonts w:ascii="Times New Roman" w:hAnsi="Times New Roman"/>
          <w:b w:val="0"/>
          <w:sz w:val="18"/>
          <w:szCs w:val="18"/>
          <w:highlight w:val="yellow"/>
          <w:lang w:eastAsia="zh-CN"/>
        </w:rPr>
        <w:instrText>ADDIN CSL_CITATION {"citationItems":[{"id":"ITEM-1","itemData":{"DOI":"10.3390/ani10101892","author":[{"dropping-particle":"","family":"Kumar","given":"Harsh","non-dropping-particle":"","parse-names":false,"suffix":""},{"dropping-particle":"","family":"Chen","given":"Bing-huei","non-dropping-particle":"","parse-names":false,"suffix":""},{"dropping-particle":"","family":"Kuca","given":"Kamil","non-dropping-particle":"","parse-names":false,"suffix":""},{"dropping-particle":"","family":"Nepovimova","given":"Eugenie","non-dropping-particle":"","parse-names":false,"suffix":""},{"dropping-particle":"","family":"Kaushal","given":"Ankur","non-dropping-particle":"","parse-names":false,"suffix":""},{"dropping-particle":"","family":"Nagraik","given":"Rupak","non-dropping-particle":"","parse-names":false,"suffix":""},{"dropping-particle":"","family":"Bhatia","given":"Shashi Kant","non-dropping-particle":"","parse-names":false,"suffix":""},{"dropping-particle":"","family":"Dhanjal","given":"Daljeet Singh","non-dropping-particle":"","parse-names":false,"suffix":""},{"dropping-particle":"","family":"Kumar","given":"Vinod","non-dropping-particle":"","parse-names":false,"suffix":""}],"container-title":"Animals","id":"ITEM-1","issued":{"date-parts":[["2020"]]},"page":"1-19","title":"Understanding of Colistin Usage in Food Animals and Available Detection Techniques : A Review","type":"article-journal","volume":"10, 1892"},"uris":["http://www.mendeley.com/documents/?uuid=7aa1711e-7601-4fc2-b647-a1313a7bacc2"]}],"mendeley":{"formattedCitation":"(Kumar et al., 2020)","plainTextFormattedCitation":"(Kumar et al., 2020)","previouslyFormattedCitation":"(Kumar et al., 2020)"},"properties":{"noteIndex":0},"schema":"https://github.com/citation-style-language/schema/raw/master/csl-citation.json"}</w:instrText>
      </w:r>
      <w:r w:rsidR="002F7E47" w:rsidRPr="009D666B">
        <w:rPr>
          <w:rFonts w:ascii="Times New Roman" w:hAnsi="Times New Roman"/>
          <w:b w:val="0"/>
          <w:sz w:val="18"/>
          <w:szCs w:val="18"/>
          <w:highlight w:val="yellow"/>
          <w:lang w:eastAsia="zh-CN"/>
        </w:rPr>
        <w:fldChar w:fldCharType="separate"/>
      </w:r>
      <w:r w:rsidR="002F7E47" w:rsidRPr="009D666B">
        <w:rPr>
          <w:rFonts w:ascii="Times New Roman" w:hAnsi="Times New Roman"/>
          <w:b w:val="0"/>
          <w:noProof/>
          <w:sz w:val="18"/>
          <w:szCs w:val="18"/>
          <w:highlight w:val="yellow"/>
          <w:lang w:eastAsia="zh-CN"/>
        </w:rPr>
        <w:t>(Kumar et al., 2020)</w:t>
      </w:r>
      <w:r w:rsidR="002F7E47" w:rsidRPr="009D666B">
        <w:rPr>
          <w:rFonts w:ascii="Times New Roman" w:hAnsi="Times New Roman"/>
          <w:b w:val="0"/>
          <w:sz w:val="18"/>
          <w:szCs w:val="18"/>
          <w:highlight w:val="yellow"/>
          <w:lang w:eastAsia="zh-CN"/>
        </w:rPr>
        <w:fldChar w:fldCharType="end"/>
      </w:r>
      <w:r w:rsidR="002E247B" w:rsidRPr="009D666B">
        <w:rPr>
          <w:rFonts w:ascii="Times New Roman" w:hAnsi="Times New Roman"/>
          <w:b w:val="0"/>
          <w:sz w:val="18"/>
          <w:szCs w:val="18"/>
          <w:highlight w:val="yellow"/>
          <w:lang w:eastAsia="zh-CN"/>
        </w:rPr>
        <w:t>.</w:t>
      </w:r>
      <w:r w:rsidR="00E67D26" w:rsidRPr="009D666B">
        <w:rPr>
          <w:rFonts w:ascii="Times New Roman" w:hAnsi="Times New Roman"/>
          <w:b w:val="0"/>
          <w:sz w:val="18"/>
          <w:szCs w:val="18"/>
          <w:highlight w:val="yellow"/>
          <w:lang w:eastAsia="zh-CN"/>
        </w:rPr>
        <w:t xml:space="preserve"> </w:t>
      </w:r>
      <w:r w:rsidR="00E67D26" w:rsidRPr="009D666B">
        <w:rPr>
          <w:rFonts w:ascii="Times New Roman" w:hAnsi="Times New Roman"/>
          <w:b w:val="0"/>
          <w:sz w:val="18"/>
          <w:szCs w:val="18"/>
          <w:highlight w:val="yellow"/>
          <w:vertAlign w:val="superscript"/>
          <w:lang w:eastAsia="zh-CN"/>
        </w:rPr>
        <w:t>c</w:t>
      </w:r>
      <w:r w:rsidR="00DC2C33" w:rsidRPr="009D666B">
        <w:rPr>
          <w:rFonts w:ascii="Times New Roman" w:hAnsi="Times New Roman"/>
          <w:b w:val="0"/>
          <w:sz w:val="18"/>
          <w:szCs w:val="18"/>
          <w:highlight w:val="yellow"/>
          <w:vertAlign w:val="superscript"/>
          <w:lang w:eastAsia="zh-CN"/>
        </w:rPr>
        <w:t xml:space="preserve"> </w:t>
      </w:r>
      <w:proofErr w:type="gramStart"/>
      <w:r w:rsidR="00E67D26" w:rsidRPr="009D666B">
        <w:rPr>
          <w:rFonts w:ascii="Times New Roman" w:hAnsi="Times New Roman"/>
          <w:b w:val="0"/>
          <w:sz w:val="18"/>
          <w:szCs w:val="18"/>
          <w:highlight w:val="yellow"/>
          <w:lang w:eastAsia="zh-CN"/>
        </w:rPr>
        <w:t>The</w:t>
      </w:r>
      <w:proofErr w:type="gramEnd"/>
      <w:r w:rsidR="00E67D26" w:rsidRPr="009D666B">
        <w:rPr>
          <w:rFonts w:ascii="Times New Roman" w:hAnsi="Times New Roman"/>
          <w:b w:val="0"/>
          <w:sz w:val="18"/>
          <w:szCs w:val="18"/>
          <w:highlight w:val="yellow"/>
          <w:lang w:eastAsia="zh-CN"/>
        </w:rPr>
        <w:t xml:space="preserve"> authorization of carbadox and olaquindox as feed additives was withdrawn in the European Union in 1999.  </w:t>
      </w:r>
    </w:p>
    <w:p w14:paraId="3732F468" w14:textId="1B61973F" w:rsidR="00310B09" w:rsidRDefault="00310B09" w:rsidP="00310B09">
      <w:pPr>
        <w:pStyle w:val="MDPI21heading1"/>
        <w:spacing w:before="0" w:after="0"/>
        <w:ind w:left="0"/>
        <w:jc w:val="both"/>
        <w:rPr>
          <w:rFonts w:ascii="Times New Roman" w:hAnsi="Times New Roman"/>
          <w:b w:val="0"/>
          <w:bCs/>
          <w:sz w:val="18"/>
          <w:szCs w:val="18"/>
          <w:highlight w:val="yellow"/>
          <w:lang w:eastAsia="zh-CN"/>
        </w:rPr>
      </w:pPr>
    </w:p>
    <w:p w14:paraId="50016A6E" w14:textId="5AEE3DE6" w:rsidR="00310B09" w:rsidRDefault="00310B09" w:rsidP="00310B09">
      <w:pPr>
        <w:pStyle w:val="MDPI21heading1"/>
        <w:spacing w:before="0" w:after="0"/>
        <w:ind w:left="0"/>
        <w:jc w:val="both"/>
        <w:rPr>
          <w:rFonts w:ascii="Times New Roman" w:hAnsi="Times New Roman"/>
          <w:b w:val="0"/>
          <w:bCs/>
          <w:sz w:val="18"/>
          <w:szCs w:val="18"/>
          <w:highlight w:val="yellow"/>
          <w:lang w:eastAsia="zh-CN"/>
        </w:rPr>
      </w:pPr>
    </w:p>
    <w:p w14:paraId="00C99945" w14:textId="3BAA2B51" w:rsidR="00310B09" w:rsidRDefault="00310B09" w:rsidP="00310B09">
      <w:pPr>
        <w:pStyle w:val="MDPI21heading1"/>
        <w:spacing w:before="0" w:after="0"/>
        <w:ind w:left="0"/>
        <w:jc w:val="both"/>
        <w:rPr>
          <w:rFonts w:ascii="Times New Roman" w:hAnsi="Times New Roman"/>
          <w:b w:val="0"/>
          <w:bCs/>
          <w:sz w:val="18"/>
          <w:szCs w:val="18"/>
          <w:highlight w:val="yellow"/>
          <w:lang w:eastAsia="zh-CN"/>
        </w:rPr>
      </w:pPr>
    </w:p>
    <w:p w14:paraId="0A4C88B6" w14:textId="77777777" w:rsidR="00310B09" w:rsidRDefault="00310B09" w:rsidP="00310B09">
      <w:pPr>
        <w:pStyle w:val="MDPI21heading1"/>
        <w:spacing w:before="0" w:after="0"/>
        <w:ind w:left="0"/>
        <w:jc w:val="both"/>
        <w:rPr>
          <w:rFonts w:ascii="Times New Roman" w:hAnsi="Times New Roman"/>
          <w:b w:val="0"/>
          <w:bCs/>
          <w:sz w:val="18"/>
          <w:szCs w:val="18"/>
          <w:highlight w:val="yellow"/>
          <w:lang w:eastAsia="zh-CN"/>
        </w:rPr>
      </w:pPr>
    </w:p>
    <w:p w14:paraId="0413B6E5" w14:textId="77777777" w:rsidR="00310B09" w:rsidRPr="009D666B" w:rsidRDefault="00310B09" w:rsidP="009D666B">
      <w:pPr>
        <w:pStyle w:val="MDPI21heading1"/>
        <w:spacing w:before="0" w:after="0"/>
        <w:ind w:left="0"/>
        <w:jc w:val="both"/>
        <w:rPr>
          <w:rFonts w:ascii="Times New Roman" w:hAnsi="Times New Roman"/>
          <w:b w:val="0"/>
          <w:bCs/>
          <w:sz w:val="18"/>
          <w:szCs w:val="18"/>
          <w:highlight w:val="yellow"/>
          <w:lang w:eastAsia="zh-CN"/>
        </w:rPr>
      </w:pPr>
    </w:p>
    <w:bookmarkEnd w:id="0"/>
    <w:p w14:paraId="0C457BA0" w14:textId="77777777" w:rsidR="00DA165C" w:rsidRDefault="00DA165C" w:rsidP="009D666B">
      <w:pPr>
        <w:pStyle w:val="MDPI21heading1"/>
        <w:spacing w:before="0" w:line="240" w:lineRule="auto"/>
        <w:ind w:left="0"/>
        <w:jc w:val="both"/>
        <w:rPr>
          <w:rFonts w:ascii="Times New Roman" w:hAnsi="Times New Roman"/>
          <w:b w:val="0"/>
          <w:bCs/>
          <w:lang w:eastAsia="zh-CN"/>
        </w:rPr>
      </w:pPr>
    </w:p>
    <w:p w14:paraId="176067BF" w14:textId="5E7E5E12" w:rsidR="00BA4FA7" w:rsidRPr="00C77C42" w:rsidRDefault="004A3266" w:rsidP="00C77C42">
      <w:pPr>
        <w:pStyle w:val="MDPI21heading1"/>
        <w:spacing w:before="0" w:line="240" w:lineRule="auto"/>
        <w:ind w:left="0"/>
        <w:rPr>
          <w:rFonts w:ascii="Times New Roman" w:hAnsi="Times New Roman"/>
          <w:b w:val="0"/>
          <w:bCs/>
          <w:color w:val="000000" w:themeColor="text1"/>
          <w:sz w:val="22"/>
          <w:lang w:eastAsia="zh-CN"/>
        </w:rPr>
      </w:pPr>
      <w:r w:rsidRPr="000F2E10">
        <w:rPr>
          <w:rFonts w:ascii="Times New Roman" w:hAnsi="Times New Roman"/>
          <w:bCs/>
          <w:snapToGrid/>
          <w:color w:val="212121"/>
          <w:sz w:val="22"/>
          <w:lang w:eastAsia="pt-PT" w:bidi="ar-SA"/>
        </w:rPr>
        <w:lastRenderedPageBreak/>
        <w:t xml:space="preserve">Supplementary Table </w:t>
      </w:r>
      <w:r>
        <w:rPr>
          <w:rFonts w:ascii="Times New Roman" w:hAnsi="Times New Roman"/>
          <w:bCs/>
          <w:snapToGrid/>
          <w:color w:val="212121"/>
          <w:sz w:val="22"/>
          <w:lang w:eastAsia="pt-PT" w:bidi="ar-SA"/>
        </w:rPr>
        <w:t>2</w:t>
      </w:r>
      <w:r w:rsidR="00BA4FA7" w:rsidRPr="00C77C42">
        <w:rPr>
          <w:rFonts w:ascii="Times New Roman" w:hAnsi="Times New Roman"/>
          <w:sz w:val="22"/>
          <w:lang w:eastAsia="zh-CN"/>
        </w:rPr>
        <w:t xml:space="preserve">. </w:t>
      </w:r>
      <w:r w:rsidR="00BA4FA7" w:rsidRPr="00C77C42">
        <w:rPr>
          <w:rFonts w:ascii="Times New Roman" w:hAnsi="Times New Roman"/>
          <w:b w:val="0"/>
          <w:bCs/>
          <w:color w:val="000000" w:themeColor="text1"/>
          <w:sz w:val="22"/>
          <w:lang w:eastAsia="zh-CN"/>
        </w:rPr>
        <w:t>List of current vaccines available in the market</w:t>
      </w:r>
      <w:r w:rsidR="00C77C42" w:rsidRPr="00C77C42">
        <w:rPr>
          <w:rFonts w:ascii="Times New Roman" w:hAnsi="Times New Roman"/>
          <w:b w:val="0"/>
          <w:bCs/>
          <w:color w:val="000000" w:themeColor="text1"/>
          <w:sz w:val="22"/>
          <w:lang w:eastAsia="zh-CN"/>
        </w:rPr>
        <w:t xml:space="preserve"> used in</w:t>
      </w:r>
      <w:r w:rsidR="002F2400">
        <w:rPr>
          <w:rFonts w:ascii="Times New Roman" w:hAnsi="Times New Roman"/>
          <w:b w:val="0"/>
          <w:bCs/>
          <w:color w:val="000000" w:themeColor="text1"/>
          <w:sz w:val="22"/>
          <w:lang w:eastAsia="zh-CN"/>
        </w:rPr>
        <w:t xml:space="preserve"> the</w:t>
      </w:r>
      <w:r w:rsidR="00C77C42" w:rsidRPr="00C77C42">
        <w:rPr>
          <w:rFonts w:ascii="Times New Roman" w:hAnsi="Times New Roman"/>
          <w:b w:val="0"/>
          <w:bCs/>
          <w:color w:val="000000" w:themeColor="text1"/>
          <w:sz w:val="22"/>
          <w:lang w:eastAsia="zh-CN"/>
        </w:rPr>
        <w:t xml:space="preserve"> control </w:t>
      </w:r>
      <w:r w:rsidR="002F2400">
        <w:rPr>
          <w:rFonts w:ascii="Times New Roman" w:hAnsi="Times New Roman"/>
          <w:b w:val="0"/>
          <w:bCs/>
          <w:color w:val="000000" w:themeColor="text1"/>
          <w:sz w:val="22"/>
          <w:lang w:eastAsia="zh-CN"/>
        </w:rPr>
        <w:t xml:space="preserve">of </w:t>
      </w:r>
      <w:r w:rsidR="00C77C42" w:rsidRPr="00C77C42">
        <w:rPr>
          <w:rFonts w:ascii="Times New Roman" w:hAnsi="Times New Roman"/>
          <w:b w:val="0"/>
          <w:bCs/>
          <w:sz w:val="22"/>
          <w:lang w:eastAsia="zh-CN"/>
        </w:rPr>
        <w:t>swine enteric colibacillosis</w:t>
      </w:r>
    </w:p>
    <w:tbl>
      <w:tblPr>
        <w:tblStyle w:val="TabelaSimples4"/>
        <w:tblW w:w="9418" w:type="dxa"/>
        <w:tblLayout w:type="fixed"/>
        <w:tblLook w:val="04A0" w:firstRow="1" w:lastRow="0" w:firstColumn="1" w:lastColumn="0" w:noHBand="0" w:noVBand="1"/>
      </w:tblPr>
      <w:tblGrid>
        <w:gridCol w:w="2338"/>
        <w:gridCol w:w="1201"/>
        <w:gridCol w:w="4394"/>
        <w:gridCol w:w="1485"/>
      </w:tblGrid>
      <w:tr w:rsidR="00E8439F" w:rsidRPr="00E90DFD" w14:paraId="3719FE3A" w14:textId="77777777" w:rsidTr="009D666B">
        <w:trPr>
          <w:cnfStyle w:val="100000000000" w:firstRow="1" w:lastRow="0" w:firstColumn="0" w:lastColumn="0" w:oddVBand="0" w:evenVBand="0" w:oddHBand="0"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4" w:space="0" w:color="auto"/>
            </w:tcBorders>
          </w:tcPr>
          <w:p w14:paraId="3BE31421" w14:textId="3781DB62" w:rsidR="00BA4FA7" w:rsidRPr="00E90DFD" w:rsidRDefault="00BA4FA7" w:rsidP="000B6498">
            <w:pPr>
              <w:pStyle w:val="TableContents"/>
              <w:rPr>
                <w:rFonts w:hint="eastAsia"/>
                <w:color w:val="000000"/>
                <w:sz w:val="20"/>
                <w:szCs w:val="20"/>
              </w:rPr>
            </w:pPr>
            <w:r w:rsidRPr="00E90DFD">
              <w:rPr>
                <w:color w:val="000000"/>
                <w:sz w:val="20"/>
                <w:szCs w:val="20"/>
              </w:rPr>
              <w:t>Vaccines</w:t>
            </w:r>
          </w:p>
        </w:tc>
        <w:tc>
          <w:tcPr>
            <w:tcW w:w="0" w:type="dxa"/>
            <w:tcBorders>
              <w:top w:val="single" w:sz="4" w:space="0" w:color="auto"/>
              <w:bottom w:val="single" w:sz="4" w:space="0" w:color="auto"/>
            </w:tcBorders>
          </w:tcPr>
          <w:p w14:paraId="11881CF1" w14:textId="77777777" w:rsidR="00BA4FA7" w:rsidRPr="00E90DFD" w:rsidRDefault="00BA4FA7" w:rsidP="000B6498">
            <w:pPr>
              <w:pStyle w:val="TableContents"/>
              <w:cnfStyle w:val="100000000000" w:firstRow="1" w:lastRow="0" w:firstColumn="0" w:lastColumn="0" w:oddVBand="0" w:evenVBand="0" w:oddHBand="0" w:evenHBand="0" w:firstRowFirstColumn="0" w:firstRowLastColumn="0" w:lastRowFirstColumn="0" w:lastRowLastColumn="0"/>
              <w:rPr>
                <w:rFonts w:hint="eastAsia"/>
                <w:color w:val="000000"/>
                <w:sz w:val="20"/>
                <w:szCs w:val="20"/>
              </w:rPr>
            </w:pPr>
            <w:r w:rsidRPr="00E90DFD">
              <w:rPr>
                <w:color w:val="000000"/>
                <w:sz w:val="20"/>
                <w:szCs w:val="20"/>
              </w:rPr>
              <w:t>Dosage</w:t>
            </w:r>
          </w:p>
        </w:tc>
        <w:tc>
          <w:tcPr>
            <w:tcW w:w="0" w:type="dxa"/>
            <w:tcBorders>
              <w:top w:val="single" w:sz="4" w:space="0" w:color="auto"/>
              <w:bottom w:val="single" w:sz="4" w:space="0" w:color="auto"/>
            </w:tcBorders>
          </w:tcPr>
          <w:p w14:paraId="2DCB130F" w14:textId="77777777" w:rsidR="00BA4FA7" w:rsidRPr="00E90DFD" w:rsidRDefault="00BA4FA7" w:rsidP="000B6498">
            <w:pPr>
              <w:pStyle w:val="TableContents"/>
              <w:cnfStyle w:val="100000000000" w:firstRow="1" w:lastRow="0" w:firstColumn="0" w:lastColumn="0" w:oddVBand="0" w:evenVBand="0" w:oddHBand="0" w:evenHBand="0" w:firstRowFirstColumn="0" w:firstRowLastColumn="0" w:lastRowFirstColumn="0" w:lastRowLastColumn="0"/>
              <w:rPr>
                <w:rFonts w:hint="eastAsia"/>
                <w:color w:val="000000"/>
                <w:sz w:val="20"/>
                <w:szCs w:val="20"/>
              </w:rPr>
            </w:pPr>
            <w:r w:rsidRPr="00E90DFD">
              <w:rPr>
                <w:color w:val="000000"/>
                <w:sz w:val="20"/>
                <w:szCs w:val="20"/>
              </w:rPr>
              <w:t>Typology of vaccine</w:t>
            </w:r>
          </w:p>
        </w:tc>
        <w:tc>
          <w:tcPr>
            <w:tcW w:w="0" w:type="dxa"/>
            <w:tcBorders>
              <w:top w:val="single" w:sz="4" w:space="0" w:color="auto"/>
              <w:bottom w:val="single" w:sz="4" w:space="0" w:color="auto"/>
            </w:tcBorders>
          </w:tcPr>
          <w:p w14:paraId="62A6E131" w14:textId="77777777" w:rsidR="00BA4FA7" w:rsidRPr="00E90DFD" w:rsidRDefault="00BA4FA7" w:rsidP="000B6498">
            <w:pPr>
              <w:pStyle w:val="TableContents"/>
              <w:cnfStyle w:val="100000000000" w:firstRow="1" w:lastRow="0" w:firstColumn="0" w:lastColumn="0" w:oddVBand="0" w:evenVBand="0" w:oddHBand="0" w:evenHBand="0" w:firstRowFirstColumn="0" w:firstRowLastColumn="0" w:lastRowFirstColumn="0" w:lastRowLastColumn="0"/>
              <w:rPr>
                <w:rFonts w:hint="eastAsia"/>
                <w:color w:val="000000"/>
                <w:sz w:val="20"/>
                <w:szCs w:val="20"/>
              </w:rPr>
            </w:pPr>
            <w:r w:rsidRPr="00E90DFD">
              <w:rPr>
                <w:color w:val="000000"/>
                <w:sz w:val="20"/>
                <w:szCs w:val="20"/>
              </w:rPr>
              <w:t>Manufacturer</w:t>
            </w:r>
          </w:p>
        </w:tc>
      </w:tr>
      <w:tr w:rsidR="00E8439F" w:rsidRPr="00E90DFD" w14:paraId="7915941A" w14:textId="77777777" w:rsidTr="009D666B">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tcBorders>
          </w:tcPr>
          <w:p w14:paraId="7B3AC059" w14:textId="77777777" w:rsidR="00BA4FA7" w:rsidRPr="00E8439F" w:rsidRDefault="00BA4FA7" w:rsidP="00E8439F">
            <w:pPr>
              <w:pStyle w:val="TableContents"/>
              <w:rPr>
                <w:rFonts w:hint="eastAsia"/>
                <w:color w:val="000000"/>
                <w:sz w:val="20"/>
                <w:szCs w:val="20"/>
              </w:rPr>
            </w:pPr>
            <w:r w:rsidRPr="00E8439F">
              <w:rPr>
                <w:color w:val="000000"/>
                <w:sz w:val="20"/>
                <w:szCs w:val="20"/>
              </w:rPr>
              <w:t>Porcilis® coli</w:t>
            </w:r>
          </w:p>
          <w:p w14:paraId="17F208E6" w14:textId="77777777" w:rsidR="00BA4FA7" w:rsidRPr="00E8439F" w:rsidRDefault="00BA4FA7" w:rsidP="00E8439F">
            <w:pPr>
              <w:pStyle w:val="TableContents"/>
              <w:rPr>
                <w:rFonts w:hint="eastAsia"/>
                <w:color w:val="000000"/>
                <w:sz w:val="20"/>
                <w:szCs w:val="20"/>
              </w:rPr>
            </w:pPr>
            <w:r w:rsidRPr="00E8439F">
              <w:rPr>
                <w:color w:val="000000"/>
                <w:sz w:val="20"/>
                <w:szCs w:val="20"/>
              </w:rPr>
              <w:t>(F4ab, F4ac, F5, F6, LT)</w:t>
            </w:r>
          </w:p>
          <w:p w14:paraId="3B4C2F0E" w14:textId="77777777" w:rsidR="00BA4FA7" w:rsidRPr="00E8439F" w:rsidRDefault="00BA4FA7" w:rsidP="00E8439F">
            <w:pPr>
              <w:pStyle w:val="TableContents"/>
              <w:rPr>
                <w:rFonts w:hint="eastAsia"/>
                <w:color w:val="000000"/>
                <w:sz w:val="20"/>
                <w:szCs w:val="20"/>
              </w:rPr>
            </w:pPr>
          </w:p>
        </w:tc>
        <w:tc>
          <w:tcPr>
            <w:tcW w:w="0" w:type="dxa"/>
            <w:tcBorders>
              <w:top w:val="single" w:sz="4" w:space="0" w:color="auto"/>
            </w:tcBorders>
          </w:tcPr>
          <w:p w14:paraId="74B5FB35" w14:textId="58EF0012" w:rsidR="00BA4FA7" w:rsidRPr="00E8439F" w:rsidRDefault="00BA4FA7" w:rsidP="00E8439F">
            <w:pPr>
              <w:pStyle w:val="TableContents"/>
              <w:cnfStyle w:val="000000100000" w:firstRow="0" w:lastRow="0" w:firstColumn="0" w:lastColumn="0" w:oddVBand="0" w:evenVBand="0" w:oddHBand="1" w:evenHBand="0" w:firstRowFirstColumn="0" w:firstRowLastColumn="0" w:lastRowFirstColumn="0" w:lastRowLastColumn="0"/>
              <w:rPr>
                <w:rFonts w:hint="eastAsia"/>
                <w:color w:val="000000"/>
                <w:sz w:val="20"/>
                <w:szCs w:val="20"/>
              </w:rPr>
            </w:pPr>
            <w:r w:rsidRPr="00E8439F">
              <w:rPr>
                <w:color w:val="000000"/>
                <w:sz w:val="20"/>
                <w:szCs w:val="20"/>
              </w:rPr>
              <w:t>2 m</w:t>
            </w:r>
            <w:r w:rsidR="00E90DFD" w:rsidRPr="00E8439F">
              <w:rPr>
                <w:color w:val="000000"/>
                <w:sz w:val="20"/>
                <w:szCs w:val="20"/>
              </w:rPr>
              <w:t>L</w:t>
            </w:r>
          </w:p>
        </w:tc>
        <w:tc>
          <w:tcPr>
            <w:tcW w:w="0" w:type="dxa"/>
            <w:tcBorders>
              <w:top w:val="single" w:sz="4" w:space="0" w:color="auto"/>
            </w:tcBorders>
          </w:tcPr>
          <w:p w14:paraId="04731944" w14:textId="651C4862" w:rsidR="00BA4FA7" w:rsidRPr="00E8439F" w:rsidRDefault="00E90DFD" w:rsidP="00E8439F">
            <w:pPr>
              <w:pStyle w:val="TableContents"/>
              <w:widowControl/>
              <w:cnfStyle w:val="000000100000" w:firstRow="0" w:lastRow="0" w:firstColumn="0" w:lastColumn="0" w:oddVBand="0" w:evenVBand="0" w:oddHBand="1" w:evenHBand="0" w:firstRowFirstColumn="0" w:firstRowLastColumn="0" w:lastRowFirstColumn="0" w:lastRowLastColumn="0"/>
              <w:rPr>
                <w:rFonts w:hint="eastAsia"/>
                <w:color w:val="000000"/>
                <w:sz w:val="20"/>
                <w:szCs w:val="20"/>
                <w:lang w:val="en-US"/>
              </w:rPr>
            </w:pPr>
            <w:r w:rsidRPr="00E8439F">
              <w:rPr>
                <w:color w:val="000000"/>
                <w:sz w:val="20"/>
                <w:szCs w:val="20"/>
                <w:lang w:val="en-US"/>
              </w:rPr>
              <w:t>V</w:t>
            </w:r>
            <w:r w:rsidR="00BA4FA7" w:rsidRPr="00E8439F">
              <w:rPr>
                <w:color w:val="000000"/>
                <w:sz w:val="20"/>
                <w:szCs w:val="20"/>
                <w:lang w:val="en-US"/>
              </w:rPr>
              <w:t>accine to provide passive immunity to the progeny against </w:t>
            </w:r>
            <w:r w:rsidR="00BA4FA7" w:rsidRPr="00E8439F">
              <w:rPr>
                <w:i/>
                <w:iCs/>
                <w:color w:val="000000"/>
                <w:sz w:val="20"/>
                <w:szCs w:val="20"/>
                <w:lang w:val="en-US"/>
              </w:rPr>
              <w:t>Escherichia coli</w:t>
            </w:r>
            <w:r w:rsidR="00BA4FA7" w:rsidRPr="00E8439F">
              <w:rPr>
                <w:color w:val="000000"/>
                <w:sz w:val="20"/>
                <w:szCs w:val="20"/>
                <w:lang w:val="en-US"/>
              </w:rPr>
              <w:t xml:space="preserve"> and </w:t>
            </w:r>
            <w:r w:rsidR="00BA4FA7" w:rsidRPr="00E8439F">
              <w:rPr>
                <w:i/>
                <w:iCs/>
                <w:color w:val="000000"/>
                <w:sz w:val="20"/>
                <w:szCs w:val="20"/>
                <w:lang w:val="en-US"/>
              </w:rPr>
              <w:t>Clostridium perfringens</w:t>
            </w:r>
            <w:r w:rsidR="00BA4FA7" w:rsidRPr="00E8439F">
              <w:rPr>
                <w:color w:val="000000"/>
                <w:sz w:val="20"/>
                <w:szCs w:val="20"/>
                <w:lang w:val="en-US"/>
              </w:rPr>
              <w:t xml:space="preserve"> in pigs (live attenuated)</w:t>
            </w:r>
          </w:p>
        </w:tc>
        <w:tc>
          <w:tcPr>
            <w:tcW w:w="0" w:type="dxa"/>
            <w:tcBorders>
              <w:top w:val="single" w:sz="4" w:space="0" w:color="auto"/>
            </w:tcBorders>
          </w:tcPr>
          <w:p w14:paraId="4E9D06AA" w14:textId="77777777" w:rsidR="00BA4FA7" w:rsidRPr="00E8439F" w:rsidRDefault="00BA4FA7" w:rsidP="00E8439F">
            <w:pPr>
              <w:pStyle w:val="TableContents"/>
              <w:cnfStyle w:val="000000100000" w:firstRow="0" w:lastRow="0" w:firstColumn="0" w:lastColumn="0" w:oddVBand="0" w:evenVBand="0" w:oddHBand="1" w:evenHBand="0" w:firstRowFirstColumn="0" w:firstRowLastColumn="0" w:lastRowFirstColumn="0" w:lastRowLastColumn="0"/>
              <w:rPr>
                <w:rFonts w:hint="eastAsia"/>
                <w:i/>
                <w:iCs/>
                <w:color w:val="000000"/>
                <w:sz w:val="20"/>
                <w:szCs w:val="20"/>
              </w:rPr>
            </w:pPr>
            <w:r w:rsidRPr="00E8439F">
              <w:rPr>
                <w:i/>
                <w:iCs/>
                <w:color w:val="000000"/>
                <w:sz w:val="20"/>
                <w:szCs w:val="20"/>
              </w:rPr>
              <w:t>MSD Animal Health</w:t>
            </w:r>
          </w:p>
        </w:tc>
      </w:tr>
      <w:tr w:rsidR="00E8439F" w:rsidRPr="00E90DFD" w14:paraId="005C3DB6" w14:textId="77777777" w:rsidTr="00E8439F">
        <w:trPr>
          <w:trHeight w:val="839"/>
        </w:trPr>
        <w:tc>
          <w:tcPr>
            <w:cnfStyle w:val="001000000000" w:firstRow="0" w:lastRow="0" w:firstColumn="1" w:lastColumn="0" w:oddVBand="0" w:evenVBand="0" w:oddHBand="0" w:evenHBand="0" w:firstRowFirstColumn="0" w:firstRowLastColumn="0" w:lastRowFirstColumn="0" w:lastRowLastColumn="0"/>
            <w:tcW w:w="2338" w:type="dxa"/>
          </w:tcPr>
          <w:p w14:paraId="4BDF9C4F" w14:textId="77777777" w:rsidR="00BA4FA7" w:rsidRPr="00E8439F" w:rsidRDefault="00BA4FA7" w:rsidP="00E8439F">
            <w:pPr>
              <w:pStyle w:val="TableContents"/>
              <w:rPr>
                <w:rFonts w:hint="eastAsia"/>
                <w:color w:val="000000"/>
                <w:sz w:val="20"/>
                <w:szCs w:val="20"/>
              </w:rPr>
            </w:pPr>
            <w:r w:rsidRPr="00E8439F">
              <w:rPr>
                <w:color w:val="000000"/>
                <w:sz w:val="20"/>
                <w:szCs w:val="20"/>
              </w:rPr>
              <w:t>Porcilis® 2*4*3</w:t>
            </w:r>
          </w:p>
          <w:p w14:paraId="5C7C6E12" w14:textId="77777777" w:rsidR="00BA4FA7" w:rsidRPr="00E8439F" w:rsidRDefault="00BA4FA7" w:rsidP="00E8439F">
            <w:pPr>
              <w:pStyle w:val="TableContents"/>
              <w:rPr>
                <w:rFonts w:hint="eastAsia"/>
                <w:color w:val="000000"/>
                <w:sz w:val="20"/>
                <w:szCs w:val="20"/>
              </w:rPr>
            </w:pPr>
            <w:r w:rsidRPr="00E8439F">
              <w:rPr>
                <w:color w:val="000000"/>
                <w:sz w:val="20"/>
                <w:szCs w:val="20"/>
              </w:rPr>
              <w:t>((K88, K99, F41 e 987P)</w:t>
            </w:r>
          </w:p>
        </w:tc>
        <w:tc>
          <w:tcPr>
            <w:tcW w:w="1201" w:type="dxa"/>
          </w:tcPr>
          <w:p w14:paraId="2C978D8B" w14:textId="04C8BB92" w:rsidR="00BA4FA7" w:rsidRPr="00E8439F" w:rsidRDefault="00BA4FA7" w:rsidP="00E8439F">
            <w:pPr>
              <w:pStyle w:val="TableContents"/>
              <w:cnfStyle w:val="000000000000" w:firstRow="0" w:lastRow="0" w:firstColumn="0" w:lastColumn="0" w:oddVBand="0" w:evenVBand="0" w:oddHBand="0" w:evenHBand="0" w:firstRowFirstColumn="0" w:firstRowLastColumn="0" w:lastRowFirstColumn="0" w:lastRowLastColumn="0"/>
              <w:rPr>
                <w:rFonts w:hint="eastAsia"/>
                <w:color w:val="000000"/>
                <w:sz w:val="20"/>
                <w:szCs w:val="20"/>
              </w:rPr>
            </w:pPr>
            <w:r w:rsidRPr="00E8439F">
              <w:rPr>
                <w:color w:val="000000"/>
                <w:sz w:val="20"/>
                <w:szCs w:val="20"/>
              </w:rPr>
              <w:t>2 m</w:t>
            </w:r>
            <w:r w:rsidR="00E90DFD" w:rsidRPr="00E8439F">
              <w:rPr>
                <w:color w:val="000000"/>
                <w:sz w:val="20"/>
                <w:szCs w:val="20"/>
              </w:rPr>
              <w:t>L</w:t>
            </w:r>
          </w:p>
        </w:tc>
        <w:tc>
          <w:tcPr>
            <w:tcW w:w="4394" w:type="dxa"/>
          </w:tcPr>
          <w:p w14:paraId="4D1DE1A4" w14:textId="5CBB097A" w:rsidR="00BA4FA7" w:rsidRPr="00E8439F" w:rsidRDefault="00E90DFD" w:rsidP="00E8439F">
            <w:pPr>
              <w:pStyle w:val="TableContents"/>
              <w:widowControl/>
              <w:cnfStyle w:val="000000000000" w:firstRow="0" w:lastRow="0" w:firstColumn="0" w:lastColumn="0" w:oddVBand="0" w:evenVBand="0" w:oddHBand="0" w:evenHBand="0" w:firstRowFirstColumn="0" w:firstRowLastColumn="0" w:lastRowFirstColumn="0" w:lastRowLastColumn="0"/>
              <w:rPr>
                <w:rFonts w:hint="eastAsia"/>
                <w:color w:val="000000"/>
                <w:sz w:val="20"/>
                <w:szCs w:val="20"/>
                <w:lang w:val="en-US"/>
              </w:rPr>
            </w:pPr>
            <w:r w:rsidRPr="00E8439F">
              <w:rPr>
                <w:color w:val="000000"/>
                <w:sz w:val="20"/>
                <w:szCs w:val="20"/>
                <w:lang w:val="en-US"/>
              </w:rPr>
              <w:t>V</w:t>
            </w:r>
            <w:r w:rsidR="00BA4FA7" w:rsidRPr="00E8439F">
              <w:rPr>
                <w:color w:val="000000"/>
                <w:sz w:val="20"/>
                <w:szCs w:val="20"/>
                <w:lang w:val="en-US"/>
              </w:rPr>
              <w:t>accine to provide passive immunity to the progeny against </w:t>
            </w:r>
            <w:r w:rsidR="00E8439F" w:rsidRPr="00E8439F">
              <w:rPr>
                <w:i/>
                <w:iCs/>
                <w:color w:val="000000"/>
                <w:sz w:val="20"/>
                <w:szCs w:val="20"/>
                <w:lang w:val="en-US"/>
              </w:rPr>
              <w:t>E</w:t>
            </w:r>
            <w:r w:rsidR="00E8439F">
              <w:rPr>
                <w:i/>
                <w:iCs/>
                <w:color w:val="000000"/>
                <w:sz w:val="20"/>
                <w:szCs w:val="20"/>
                <w:lang w:val="en-US"/>
              </w:rPr>
              <w:t>.</w:t>
            </w:r>
            <w:r w:rsidR="00E8439F" w:rsidRPr="00E8439F">
              <w:rPr>
                <w:i/>
                <w:iCs/>
                <w:color w:val="000000"/>
                <w:sz w:val="20"/>
                <w:szCs w:val="20"/>
                <w:lang w:val="en-US"/>
              </w:rPr>
              <w:t xml:space="preserve"> </w:t>
            </w:r>
            <w:r w:rsidR="00BA4FA7" w:rsidRPr="00E8439F">
              <w:rPr>
                <w:i/>
                <w:iCs/>
                <w:color w:val="000000"/>
                <w:sz w:val="20"/>
                <w:szCs w:val="20"/>
                <w:lang w:val="en-US"/>
              </w:rPr>
              <w:t>coli </w:t>
            </w:r>
            <w:r w:rsidR="00BA4FA7" w:rsidRPr="00E8439F">
              <w:rPr>
                <w:color w:val="000000"/>
                <w:sz w:val="20"/>
                <w:szCs w:val="20"/>
                <w:lang w:val="en-US"/>
              </w:rPr>
              <w:t xml:space="preserve">and </w:t>
            </w:r>
            <w:proofErr w:type="spellStart"/>
            <w:proofErr w:type="gramStart"/>
            <w:r w:rsidR="00E8439F" w:rsidRPr="00E8439F">
              <w:rPr>
                <w:i/>
                <w:iCs/>
                <w:color w:val="000000"/>
                <w:sz w:val="20"/>
                <w:szCs w:val="20"/>
                <w:lang w:val="en-US"/>
              </w:rPr>
              <w:t>C</w:t>
            </w:r>
            <w:r w:rsidR="00E8439F">
              <w:rPr>
                <w:i/>
                <w:iCs/>
                <w:color w:val="000000"/>
                <w:sz w:val="20"/>
                <w:szCs w:val="20"/>
                <w:lang w:val="en-US"/>
              </w:rPr>
              <w:t>.</w:t>
            </w:r>
            <w:r w:rsidR="00BA4FA7" w:rsidRPr="00E8439F">
              <w:rPr>
                <w:i/>
                <w:iCs/>
                <w:color w:val="000000"/>
                <w:sz w:val="20"/>
                <w:szCs w:val="20"/>
                <w:lang w:val="en-US"/>
              </w:rPr>
              <w:t>perfringens</w:t>
            </w:r>
            <w:proofErr w:type="spellEnd"/>
            <w:proofErr w:type="gramEnd"/>
            <w:r w:rsidR="00BA4FA7" w:rsidRPr="00E8439F">
              <w:rPr>
                <w:color w:val="000000"/>
                <w:sz w:val="20"/>
                <w:szCs w:val="20"/>
                <w:lang w:val="en-US"/>
              </w:rPr>
              <w:t xml:space="preserve"> in pigs (live attenuated)</w:t>
            </w:r>
          </w:p>
        </w:tc>
        <w:tc>
          <w:tcPr>
            <w:tcW w:w="1485" w:type="dxa"/>
          </w:tcPr>
          <w:p w14:paraId="0E6629BF" w14:textId="77777777" w:rsidR="00BA4FA7" w:rsidRPr="00E8439F" w:rsidRDefault="00BA4FA7" w:rsidP="00E8439F">
            <w:pPr>
              <w:pStyle w:val="TableContents"/>
              <w:cnfStyle w:val="000000000000" w:firstRow="0" w:lastRow="0" w:firstColumn="0" w:lastColumn="0" w:oddVBand="0" w:evenVBand="0" w:oddHBand="0" w:evenHBand="0" w:firstRowFirstColumn="0" w:firstRowLastColumn="0" w:lastRowFirstColumn="0" w:lastRowLastColumn="0"/>
              <w:rPr>
                <w:rFonts w:hint="eastAsia"/>
                <w:i/>
                <w:iCs/>
                <w:color w:val="000000"/>
                <w:sz w:val="20"/>
                <w:szCs w:val="20"/>
              </w:rPr>
            </w:pPr>
            <w:r w:rsidRPr="00E8439F">
              <w:rPr>
                <w:i/>
                <w:iCs/>
                <w:color w:val="000000"/>
                <w:sz w:val="20"/>
                <w:szCs w:val="20"/>
              </w:rPr>
              <w:t>MSD Animal Health</w:t>
            </w:r>
          </w:p>
        </w:tc>
      </w:tr>
      <w:tr w:rsidR="00E8439F" w:rsidRPr="00E90DFD" w14:paraId="33363034" w14:textId="77777777" w:rsidTr="00E8439F">
        <w:trPr>
          <w:cnfStyle w:val="000000100000" w:firstRow="0" w:lastRow="0" w:firstColumn="0" w:lastColumn="0" w:oddVBand="0" w:evenVBand="0" w:oddHBand="1" w:evenHBand="0" w:firstRowFirstColumn="0" w:firstRowLastColumn="0" w:lastRowFirstColumn="0" w:lastRowLastColumn="0"/>
          <w:trHeight w:val="846"/>
        </w:trPr>
        <w:tc>
          <w:tcPr>
            <w:cnfStyle w:val="001000000000" w:firstRow="0" w:lastRow="0" w:firstColumn="1" w:lastColumn="0" w:oddVBand="0" w:evenVBand="0" w:oddHBand="0" w:evenHBand="0" w:firstRowFirstColumn="0" w:firstRowLastColumn="0" w:lastRowFirstColumn="0" w:lastRowLastColumn="0"/>
            <w:tcW w:w="2338" w:type="dxa"/>
          </w:tcPr>
          <w:p w14:paraId="2BCF8F89" w14:textId="77777777" w:rsidR="00C55E74" w:rsidRPr="00E8439F" w:rsidRDefault="00BA4FA7" w:rsidP="00E8439F">
            <w:pPr>
              <w:pStyle w:val="TableContents"/>
              <w:rPr>
                <w:rFonts w:hint="eastAsia"/>
                <w:color w:val="000000"/>
                <w:sz w:val="20"/>
                <w:szCs w:val="20"/>
                <w:lang w:val="en-US"/>
              </w:rPr>
            </w:pPr>
            <w:r w:rsidRPr="00E8439F">
              <w:rPr>
                <w:color w:val="000000"/>
                <w:sz w:val="20"/>
                <w:szCs w:val="20"/>
                <w:lang w:val="en-US"/>
              </w:rPr>
              <w:t xml:space="preserve">SUISENG® Coli/C </w:t>
            </w:r>
          </w:p>
          <w:p w14:paraId="6DB820DE" w14:textId="7394BACF" w:rsidR="00BA4FA7" w:rsidRPr="00E8439F" w:rsidRDefault="00BA4FA7" w:rsidP="00E8439F">
            <w:pPr>
              <w:pStyle w:val="TableContents"/>
              <w:rPr>
                <w:rFonts w:hint="eastAsia"/>
                <w:color w:val="000000"/>
                <w:sz w:val="20"/>
                <w:szCs w:val="20"/>
                <w:lang w:val="en-US"/>
              </w:rPr>
            </w:pPr>
            <w:r w:rsidRPr="00E8439F">
              <w:rPr>
                <w:color w:val="000000"/>
                <w:sz w:val="20"/>
                <w:szCs w:val="20"/>
                <w:lang w:val="en-US"/>
              </w:rPr>
              <w:t>(F4ab, F4ac, F5, F6, LT)</w:t>
            </w:r>
          </w:p>
        </w:tc>
        <w:tc>
          <w:tcPr>
            <w:tcW w:w="1201" w:type="dxa"/>
          </w:tcPr>
          <w:p w14:paraId="4BD1D5DE" w14:textId="107D7A33" w:rsidR="00BA4FA7" w:rsidRPr="00E8439F" w:rsidRDefault="00BA4FA7" w:rsidP="00E8439F">
            <w:pPr>
              <w:pStyle w:val="TableContents"/>
              <w:cnfStyle w:val="000000100000" w:firstRow="0" w:lastRow="0" w:firstColumn="0" w:lastColumn="0" w:oddVBand="0" w:evenVBand="0" w:oddHBand="1" w:evenHBand="0" w:firstRowFirstColumn="0" w:firstRowLastColumn="0" w:lastRowFirstColumn="0" w:lastRowLastColumn="0"/>
              <w:rPr>
                <w:rFonts w:hint="eastAsia"/>
                <w:color w:val="000000"/>
                <w:sz w:val="20"/>
                <w:szCs w:val="20"/>
              </w:rPr>
            </w:pPr>
            <w:r w:rsidRPr="00E8439F">
              <w:rPr>
                <w:color w:val="000000"/>
                <w:sz w:val="20"/>
                <w:szCs w:val="20"/>
              </w:rPr>
              <w:t>2 m</w:t>
            </w:r>
            <w:r w:rsidR="00E90DFD" w:rsidRPr="00E8439F">
              <w:rPr>
                <w:color w:val="000000"/>
                <w:sz w:val="20"/>
                <w:szCs w:val="20"/>
              </w:rPr>
              <w:t>L</w:t>
            </w:r>
          </w:p>
        </w:tc>
        <w:tc>
          <w:tcPr>
            <w:tcW w:w="4394" w:type="dxa"/>
          </w:tcPr>
          <w:p w14:paraId="4C067931" w14:textId="0E677B78" w:rsidR="00BA4FA7" w:rsidRPr="009D666B" w:rsidRDefault="00BA4FA7" w:rsidP="00E8439F">
            <w:pPr>
              <w:pStyle w:val="TableContents"/>
              <w:widowControl/>
              <w:cnfStyle w:val="000000100000" w:firstRow="0" w:lastRow="0" w:firstColumn="0" w:lastColumn="0" w:oddVBand="0" w:evenVBand="0" w:oddHBand="1" w:evenHBand="0" w:firstRowFirstColumn="0" w:firstRowLastColumn="0" w:lastRowFirstColumn="0" w:lastRowLastColumn="0"/>
              <w:rPr>
                <w:rFonts w:hint="eastAsia"/>
                <w:sz w:val="20"/>
                <w:szCs w:val="20"/>
                <w:lang w:val="en-US"/>
              </w:rPr>
            </w:pPr>
            <w:r w:rsidRPr="00E8439F">
              <w:rPr>
                <w:color w:val="000000"/>
                <w:sz w:val="20"/>
                <w:szCs w:val="20"/>
                <w:lang w:val="en-US"/>
              </w:rPr>
              <w:t xml:space="preserve">Inactivated vaccine against neonatal colibacillosis and </w:t>
            </w:r>
            <w:r w:rsidRPr="00E8439F">
              <w:rPr>
                <w:rStyle w:val="nfase"/>
                <w:rFonts w:ascii="Liberation Serif" w:hAnsi="Liberation Serif"/>
                <w:color w:val="000000"/>
                <w:sz w:val="20"/>
                <w:szCs w:val="20"/>
                <w:lang w:val="en-US"/>
              </w:rPr>
              <w:t>Clostridium</w:t>
            </w:r>
            <w:r w:rsidRPr="00E8439F">
              <w:rPr>
                <w:color w:val="000000"/>
                <w:sz w:val="20"/>
                <w:szCs w:val="20"/>
                <w:lang w:val="en-US"/>
              </w:rPr>
              <w:t xml:space="preserve"> infections in swine, in injectable suspension </w:t>
            </w:r>
            <w:r w:rsidRPr="009D666B">
              <w:rPr>
                <w:color w:val="000000"/>
                <w:sz w:val="20"/>
                <w:szCs w:val="20"/>
                <w:lang w:val="en-US"/>
              </w:rPr>
              <w:t>(live attenuated)</w:t>
            </w:r>
          </w:p>
        </w:tc>
        <w:tc>
          <w:tcPr>
            <w:tcW w:w="1485" w:type="dxa"/>
          </w:tcPr>
          <w:p w14:paraId="2F643AF2" w14:textId="77777777" w:rsidR="00BA4FA7" w:rsidRPr="00E8439F" w:rsidRDefault="00BA4FA7" w:rsidP="00E8439F">
            <w:pPr>
              <w:pStyle w:val="TableContents"/>
              <w:cnfStyle w:val="000000100000" w:firstRow="0" w:lastRow="0" w:firstColumn="0" w:lastColumn="0" w:oddVBand="0" w:evenVBand="0" w:oddHBand="1" w:evenHBand="0" w:firstRowFirstColumn="0" w:firstRowLastColumn="0" w:lastRowFirstColumn="0" w:lastRowLastColumn="0"/>
              <w:rPr>
                <w:rFonts w:hint="eastAsia"/>
                <w:i/>
                <w:iCs/>
                <w:color w:val="000000"/>
                <w:sz w:val="20"/>
                <w:szCs w:val="20"/>
              </w:rPr>
            </w:pPr>
            <w:r w:rsidRPr="00E8439F">
              <w:rPr>
                <w:i/>
                <w:iCs/>
                <w:color w:val="000000"/>
                <w:sz w:val="20"/>
                <w:szCs w:val="20"/>
              </w:rPr>
              <w:t>HIPRA</w:t>
            </w:r>
          </w:p>
        </w:tc>
      </w:tr>
      <w:tr w:rsidR="00BA4FA7" w:rsidRPr="00E90DFD" w14:paraId="30AC0305" w14:textId="77777777" w:rsidTr="009D666B">
        <w:trPr>
          <w:trHeight w:val="575"/>
        </w:trPr>
        <w:tc>
          <w:tcPr>
            <w:cnfStyle w:val="001000000000" w:firstRow="0" w:lastRow="0" w:firstColumn="1" w:lastColumn="0" w:oddVBand="0" w:evenVBand="0" w:oddHBand="0" w:evenHBand="0" w:firstRowFirstColumn="0" w:firstRowLastColumn="0" w:lastRowFirstColumn="0" w:lastRowLastColumn="0"/>
            <w:tcW w:w="2338" w:type="dxa"/>
          </w:tcPr>
          <w:p w14:paraId="40E41002" w14:textId="77777777" w:rsidR="00BA4FA7" w:rsidRPr="00E8439F" w:rsidRDefault="00BA4FA7" w:rsidP="00E8439F">
            <w:pPr>
              <w:pStyle w:val="TableContents"/>
              <w:rPr>
                <w:rFonts w:hint="eastAsia"/>
                <w:color w:val="000000"/>
                <w:sz w:val="20"/>
                <w:szCs w:val="20"/>
              </w:rPr>
            </w:pPr>
            <w:r w:rsidRPr="00E8439F">
              <w:rPr>
                <w:color w:val="000000"/>
                <w:sz w:val="20"/>
                <w:szCs w:val="20"/>
              </w:rPr>
              <w:t>PILI SHIELD®</w:t>
            </w:r>
          </w:p>
          <w:p w14:paraId="084703C2" w14:textId="501C12A7" w:rsidR="00BA4FA7" w:rsidRPr="00E8439F" w:rsidRDefault="00BA4FA7" w:rsidP="00E8439F">
            <w:pPr>
              <w:pStyle w:val="TableContents"/>
              <w:rPr>
                <w:rFonts w:hint="eastAsia"/>
                <w:color w:val="000000"/>
                <w:sz w:val="20"/>
                <w:szCs w:val="20"/>
              </w:rPr>
            </w:pPr>
            <w:r w:rsidRPr="00E8439F">
              <w:rPr>
                <w:color w:val="000000"/>
                <w:sz w:val="20"/>
                <w:szCs w:val="20"/>
              </w:rPr>
              <w:t>(K99, K88, 987P e F41)</w:t>
            </w:r>
          </w:p>
        </w:tc>
        <w:tc>
          <w:tcPr>
            <w:tcW w:w="1201" w:type="dxa"/>
          </w:tcPr>
          <w:p w14:paraId="2767D397" w14:textId="11BBBE2D" w:rsidR="00BA4FA7" w:rsidRPr="00E8439F" w:rsidRDefault="00BA4FA7" w:rsidP="00E8439F">
            <w:pPr>
              <w:pStyle w:val="TableContents"/>
              <w:cnfStyle w:val="000000000000" w:firstRow="0" w:lastRow="0" w:firstColumn="0" w:lastColumn="0" w:oddVBand="0" w:evenVBand="0" w:oddHBand="0" w:evenHBand="0" w:firstRowFirstColumn="0" w:firstRowLastColumn="0" w:lastRowFirstColumn="0" w:lastRowLastColumn="0"/>
              <w:rPr>
                <w:rFonts w:hint="eastAsia"/>
                <w:color w:val="000000"/>
                <w:sz w:val="20"/>
                <w:szCs w:val="20"/>
              </w:rPr>
            </w:pPr>
            <w:r w:rsidRPr="00E8439F">
              <w:rPr>
                <w:color w:val="000000"/>
                <w:sz w:val="20"/>
                <w:szCs w:val="20"/>
              </w:rPr>
              <w:t>2 m</w:t>
            </w:r>
            <w:r w:rsidR="00E90DFD" w:rsidRPr="00E8439F">
              <w:rPr>
                <w:color w:val="000000"/>
                <w:sz w:val="20"/>
                <w:szCs w:val="20"/>
              </w:rPr>
              <w:t>L</w:t>
            </w:r>
          </w:p>
        </w:tc>
        <w:tc>
          <w:tcPr>
            <w:tcW w:w="4394" w:type="dxa"/>
          </w:tcPr>
          <w:p w14:paraId="552CFE7A" w14:textId="77777777" w:rsidR="00BA4FA7" w:rsidRPr="00E8439F" w:rsidRDefault="00BA4FA7" w:rsidP="00E8439F">
            <w:pPr>
              <w:pStyle w:val="TableContents"/>
              <w:cnfStyle w:val="000000000000" w:firstRow="0" w:lastRow="0" w:firstColumn="0" w:lastColumn="0" w:oddVBand="0" w:evenVBand="0" w:oddHBand="0" w:evenHBand="0" w:firstRowFirstColumn="0" w:firstRowLastColumn="0" w:lastRowFirstColumn="0" w:lastRowLastColumn="0"/>
              <w:rPr>
                <w:rFonts w:hint="eastAsia"/>
                <w:color w:val="000000"/>
                <w:sz w:val="20"/>
                <w:szCs w:val="20"/>
              </w:rPr>
            </w:pPr>
            <w:r w:rsidRPr="00E8439F">
              <w:rPr>
                <w:color w:val="000000"/>
                <w:sz w:val="20"/>
                <w:szCs w:val="20"/>
              </w:rPr>
              <w:t>Inactivated (live attenuated)</w:t>
            </w:r>
          </w:p>
        </w:tc>
        <w:tc>
          <w:tcPr>
            <w:tcW w:w="1485" w:type="dxa"/>
          </w:tcPr>
          <w:p w14:paraId="3A2B781F" w14:textId="77777777" w:rsidR="00BA4FA7" w:rsidRPr="00E8439F" w:rsidRDefault="00BA4FA7" w:rsidP="00E8439F">
            <w:pPr>
              <w:pStyle w:val="TableContents"/>
              <w:cnfStyle w:val="000000000000" w:firstRow="0" w:lastRow="0" w:firstColumn="0" w:lastColumn="0" w:oddVBand="0" w:evenVBand="0" w:oddHBand="0" w:evenHBand="0" w:firstRowFirstColumn="0" w:firstRowLastColumn="0" w:lastRowFirstColumn="0" w:lastRowLastColumn="0"/>
              <w:rPr>
                <w:rFonts w:hint="eastAsia"/>
                <w:i/>
                <w:iCs/>
                <w:color w:val="000000"/>
                <w:sz w:val="20"/>
                <w:szCs w:val="20"/>
              </w:rPr>
            </w:pPr>
            <w:r w:rsidRPr="00E8439F">
              <w:rPr>
                <w:i/>
                <w:iCs/>
                <w:color w:val="000000"/>
                <w:sz w:val="20"/>
                <w:szCs w:val="20"/>
              </w:rPr>
              <w:t>VETFARMA</w:t>
            </w:r>
          </w:p>
        </w:tc>
      </w:tr>
      <w:tr w:rsidR="00E8439F" w:rsidRPr="00E90DFD" w14:paraId="1E2F4064" w14:textId="77777777" w:rsidTr="009D666B">
        <w:trPr>
          <w:cnfStyle w:val="000000100000" w:firstRow="0" w:lastRow="0" w:firstColumn="0" w:lastColumn="0" w:oddVBand="0" w:evenVBand="0" w:oddHBand="1" w:evenHBand="0" w:firstRowFirstColumn="0" w:firstRowLastColumn="0" w:lastRowFirstColumn="0" w:lastRowLastColumn="0"/>
          <w:trHeight w:val="833"/>
        </w:trPr>
        <w:tc>
          <w:tcPr>
            <w:cnfStyle w:val="001000000000" w:firstRow="0" w:lastRow="0" w:firstColumn="1" w:lastColumn="0" w:oddVBand="0" w:evenVBand="0" w:oddHBand="0" w:evenHBand="0" w:firstRowFirstColumn="0" w:firstRowLastColumn="0" w:lastRowFirstColumn="0" w:lastRowLastColumn="0"/>
            <w:tcW w:w="0" w:type="dxa"/>
          </w:tcPr>
          <w:p w14:paraId="51FCB4C7" w14:textId="77777777" w:rsidR="00BA4FA7" w:rsidRPr="00E8439F" w:rsidRDefault="00BA4FA7" w:rsidP="00E8439F">
            <w:pPr>
              <w:pStyle w:val="TableContents"/>
              <w:rPr>
                <w:rFonts w:hint="eastAsia"/>
                <w:color w:val="000000"/>
                <w:sz w:val="20"/>
                <w:szCs w:val="20"/>
              </w:rPr>
            </w:pPr>
            <w:r w:rsidRPr="00E8439F">
              <w:rPr>
                <w:color w:val="000000"/>
                <w:sz w:val="20"/>
                <w:szCs w:val="20"/>
              </w:rPr>
              <w:t>SERKEL GASTRO RV®</w:t>
            </w:r>
          </w:p>
          <w:p w14:paraId="66B00797" w14:textId="65BA8A98" w:rsidR="00BA4FA7" w:rsidRPr="00E8439F" w:rsidRDefault="00BA4FA7" w:rsidP="00E8439F">
            <w:pPr>
              <w:pStyle w:val="TableContents"/>
              <w:rPr>
                <w:rFonts w:hint="eastAsia"/>
                <w:color w:val="000000"/>
                <w:sz w:val="20"/>
                <w:szCs w:val="20"/>
              </w:rPr>
            </w:pPr>
            <w:r w:rsidRPr="00E8439F">
              <w:rPr>
                <w:color w:val="000000"/>
                <w:sz w:val="20"/>
                <w:szCs w:val="20"/>
              </w:rPr>
              <w:t>(K88</w:t>
            </w:r>
            <w:r w:rsidR="00172128" w:rsidRPr="00E8439F">
              <w:rPr>
                <w:color w:val="000000"/>
                <w:sz w:val="20"/>
                <w:szCs w:val="20"/>
              </w:rPr>
              <w:t>,</w:t>
            </w:r>
            <w:r w:rsidRPr="00E8439F">
              <w:rPr>
                <w:color w:val="000000"/>
                <w:sz w:val="20"/>
                <w:szCs w:val="20"/>
              </w:rPr>
              <w:t xml:space="preserve"> 987P, K99, F41)</w:t>
            </w:r>
          </w:p>
        </w:tc>
        <w:tc>
          <w:tcPr>
            <w:tcW w:w="0" w:type="dxa"/>
          </w:tcPr>
          <w:p w14:paraId="0A2008C5" w14:textId="20234F22" w:rsidR="00BA4FA7" w:rsidRPr="00E8439F" w:rsidRDefault="00BA4FA7" w:rsidP="00E8439F">
            <w:pPr>
              <w:pStyle w:val="TableContents"/>
              <w:cnfStyle w:val="000000100000" w:firstRow="0" w:lastRow="0" w:firstColumn="0" w:lastColumn="0" w:oddVBand="0" w:evenVBand="0" w:oddHBand="1" w:evenHBand="0" w:firstRowFirstColumn="0" w:firstRowLastColumn="0" w:lastRowFirstColumn="0" w:lastRowLastColumn="0"/>
              <w:rPr>
                <w:rFonts w:hint="eastAsia"/>
                <w:color w:val="000000"/>
                <w:sz w:val="20"/>
                <w:szCs w:val="20"/>
              </w:rPr>
            </w:pPr>
            <w:r w:rsidRPr="00E8439F">
              <w:rPr>
                <w:color w:val="000000"/>
                <w:sz w:val="20"/>
                <w:szCs w:val="20"/>
              </w:rPr>
              <w:t>2 m</w:t>
            </w:r>
            <w:r w:rsidR="00E90DFD" w:rsidRPr="00E8439F">
              <w:rPr>
                <w:color w:val="000000"/>
                <w:sz w:val="20"/>
                <w:szCs w:val="20"/>
              </w:rPr>
              <w:t>L</w:t>
            </w:r>
          </w:p>
        </w:tc>
        <w:tc>
          <w:tcPr>
            <w:tcW w:w="0" w:type="dxa"/>
          </w:tcPr>
          <w:p w14:paraId="09FD2A0A" w14:textId="77777777" w:rsidR="00BA4FA7" w:rsidRPr="00E8439F" w:rsidRDefault="00BA4FA7" w:rsidP="00E8439F">
            <w:pPr>
              <w:pStyle w:val="TableContents"/>
              <w:cnfStyle w:val="000000100000" w:firstRow="0" w:lastRow="0" w:firstColumn="0" w:lastColumn="0" w:oddVBand="0" w:evenVBand="0" w:oddHBand="1" w:evenHBand="0" w:firstRowFirstColumn="0" w:firstRowLastColumn="0" w:lastRowFirstColumn="0" w:lastRowLastColumn="0"/>
              <w:rPr>
                <w:rFonts w:hint="eastAsia"/>
                <w:color w:val="000000"/>
                <w:sz w:val="20"/>
                <w:szCs w:val="20"/>
              </w:rPr>
            </w:pPr>
            <w:r w:rsidRPr="00E8439F">
              <w:rPr>
                <w:color w:val="000000"/>
                <w:sz w:val="20"/>
                <w:szCs w:val="20"/>
              </w:rPr>
              <w:t>Inactivated (live attenuated)</w:t>
            </w:r>
          </w:p>
        </w:tc>
        <w:tc>
          <w:tcPr>
            <w:tcW w:w="0" w:type="dxa"/>
          </w:tcPr>
          <w:p w14:paraId="50426526" w14:textId="77777777" w:rsidR="00BA4FA7" w:rsidRPr="00E8439F" w:rsidRDefault="00BA4FA7" w:rsidP="00E8439F">
            <w:pPr>
              <w:pStyle w:val="TableContents"/>
              <w:cnfStyle w:val="000000100000" w:firstRow="0" w:lastRow="0" w:firstColumn="0" w:lastColumn="0" w:oddVBand="0" w:evenVBand="0" w:oddHBand="1" w:evenHBand="0" w:firstRowFirstColumn="0" w:firstRowLastColumn="0" w:lastRowFirstColumn="0" w:lastRowLastColumn="0"/>
              <w:rPr>
                <w:rFonts w:hint="eastAsia"/>
                <w:i/>
                <w:iCs/>
                <w:color w:val="000000"/>
                <w:sz w:val="20"/>
                <w:szCs w:val="20"/>
              </w:rPr>
            </w:pPr>
            <w:r w:rsidRPr="00E8439F">
              <w:rPr>
                <w:i/>
                <w:iCs/>
                <w:color w:val="000000"/>
                <w:sz w:val="20"/>
                <w:szCs w:val="20"/>
              </w:rPr>
              <w:t>Vencofarma</w:t>
            </w:r>
          </w:p>
        </w:tc>
      </w:tr>
      <w:tr w:rsidR="00BA4FA7" w:rsidRPr="00E90DFD" w14:paraId="077C8C16" w14:textId="77777777" w:rsidTr="009D666B">
        <w:trPr>
          <w:trHeight w:val="1008"/>
        </w:trPr>
        <w:tc>
          <w:tcPr>
            <w:cnfStyle w:val="001000000000" w:firstRow="0" w:lastRow="0" w:firstColumn="1" w:lastColumn="0" w:oddVBand="0" w:evenVBand="0" w:oddHBand="0" w:evenHBand="0" w:firstRowFirstColumn="0" w:firstRowLastColumn="0" w:lastRowFirstColumn="0" w:lastRowLastColumn="0"/>
            <w:tcW w:w="2338" w:type="dxa"/>
          </w:tcPr>
          <w:p w14:paraId="15C61126" w14:textId="77777777" w:rsidR="00BA4FA7" w:rsidRPr="00E8439F" w:rsidRDefault="00BA4FA7" w:rsidP="00E8439F">
            <w:pPr>
              <w:pStyle w:val="TableContents"/>
              <w:rPr>
                <w:rFonts w:hint="eastAsia"/>
                <w:color w:val="000000"/>
                <w:sz w:val="20"/>
                <w:szCs w:val="20"/>
                <w:lang w:val="en-US"/>
              </w:rPr>
            </w:pPr>
            <w:r w:rsidRPr="00E8439F">
              <w:rPr>
                <w:color w:val="000000"/>
                <w:sz w:val="20"/>
                <w:szCs w:val="20"/>
                <w:lang w:val="en-US"/>
              </w:rPr>
              <w:t>COLIDEX-C</w:t>
            </w:r>
          </w:p>
          <w:p w14:paraId="6A8CA9F5" w14:textId="4063CF7F" w:rsidR="00BA4FA7" w:rsidRPr="00E8439F" w:rsidRDefault="00BA4FA7" w:rsidP="00E8439F">
            <w:pPr>
              <w:pStyle w:val="TableContents"/>
              <w:rPr>
                <w:rFonts w:hint="eastAsia"/>
                <w:color w:val="000000"/>
                <w:sz w:val="20"/>
                <w:szCs w:val="20"/>
                <w:lang w:val="en-US"/>
              </w:rPr>
            </w:pPr>
            <w:r w:rsidRPr="00E8439F">
              <w:rPr>
                <w:color w:val="000000"/>
                <w:sz w:val="20"/>
                <w:szCs w:val="20"/>
                <w:lang w:val="en-US"/>
              </w:rPr>
              <w:t xml:space="preserve">(K88, K99, F41, P987, LT, Sta, VT, </w:t>
            </w:r>
            <w:proofErr w:type="spellStart"/>
            <w:r w:rsidRPr="00E8439F">
              <w:rPr>
                <w:color w:val="000000"/>
                <w:sz w:val="20"/>
                <w:szCs w:val="20"/>
                <w:lang w:val="en-US"/>
              </w:rPr>
              <w:t>Hly</w:t>
            </w:r>
            <w:proofErr w:type="spellEnd"/>
            <w:r w:rsidRPr="00E8439F">
              <w:rPr>
                <w:color w:val="000000"/>
                <w:sz w:val="20"/>
                <w:szCs w:val="20"/>
                <w:lang w:val="en-US"/>
              </w:rPr>
              <w:t>)</w:t>
            </w:r>
          </w:p>
        </w:tc>
        <w:tc>
          <w:tcPr>
            <w:tcW w:w="1201" w:type="dxa"/>
          </w:tcPr>
          <w:p w14:paraId="3160FCF6" w14:textId="7C1D6802" w:rsidR="00BA4FA7" w:rsidRPr="00E8439F" w:rsidRDefault="00BA4FA7" w:rsidP="00E8439F">
            <w:pPr>
              <w:pStyle w:val="TableContents"/>
              <w:cnfStyle w:val="000000000000" w:firstRow="0" w:lastRow="0" w:firstColumn="0" w:lastColumn="0" w:oddVBand="0" w:evenVBand="0" w:oddHBand="0" w:evenHBand="0" w:firstRowFirstColumn="0" w:firstRowLastColumn="0" w:lastRowFirstColumn="0" w:lastRowLastColumn="0"/>
              <w:rPr>
                <w:rFonts w:hint="eastAsia"/>
                <w:color w:val="000000"/>
                <w:sz w:val="20"/>
                <w:szCs w:val="20"/>
                <w:lang w:val="en-US"/>
              </w:rPr>
            </w:pPr>
            <w:r w:rsidRPr="00E8439F">
              <w:rPr>
                <w:color w:val="000000"/>
                <w:sz w:val="20"/>
                <w:szCs w:val="20"/>
                <w:lang w:val="en-US"/>
              </w:rPr>
              <w:t xml:space="preserve">4 </w:t>
            </w:r>
            <w:proofErr w:type="spellStart"/>
            <w:r w:rsidRPr="00E8439F">
              <w:rPr>
                <w:color w:val="000000"/>
                <w:sz w:val="20"/>
                <w:szCs w:val="20"/>
                <w:lang w:val="en-US"/>
              </w:rPr>
              <w:t>m</w:t>
            </w:r>
            <w:r w:rsidR="00C77C42" w:rsidRPr="00E8439F">
              <w:rPr>
                <w:color w:val="000000"/>
                <w:sz w:val="20"/>
                <w:szCs w:val="20"/>
                <w:lang w:val="en-US"/>
              </w:rPr>
              <w:t>L</w:t>
            </w:r>
            <w:r w:rsidRPr="00E8439F">
              <w:rPr>
                <w:color w:val="000000"/>
                <w:sz w:val="20"/>
                <w:szCs w:val="20"/>
                <w:lang w:val="en-US"/>
              </w:rPr>
              <w:t>for</w:t>
            </w:r>
            <w:proofErr w:type="spellEnd"/>
            <w:r w:rsidRPr="00E8439F">
              <w:rPr>
                <w:color w:val="000000"/>
                <w:sz w:val="20"/>
                <w:szCs w:val="20"/>
                <w:lang w:val="en-US"/>
              </w:rPr>
              <w:t xml:space="preserve"> adults and 1 m</w:t>
            </w:r>
            <w:r w:rsidR="00C77C42" w:rsidRPr="00E8439F">
              <w:rPr>
                <w:color w:val="000000"/>
                <w:sz w:val="20"/>
                <w:szCs w:val="20"/>
                <w:lang w:val="en-US"/>
              </w:rPr>
              <w:t>L</w:t>
            </w:r>
            <w:r w:rsidRPr="00E8439F">
              <w:rPr>
                <w:color w:val="000000"/>
                <w:sz w:val="20"/>
                <w:szCs w:val="20"/>
                <w:lang w:val="en-US"/>
              </w:rPr>
              <w:t xml:space="preserve"> for piglets</w:t>
            </w:r>
          </w:p>
        </w:tc>
        <w:tc>
          <w:tcPr>
            <w:tcW w:w="4394" w:type="dxa"/>
          </w:tcPr>
          <w:p w14:paraId="70D544DA" w14:textId="32F85E85" w:rsidR="00BA4FA7" w:rsidRPr="00E8439F" w:rsidRDefault="00BA4FA7" w:rsidP="00E8439F">
            <w:pPr>
              <w:pStyle w:val="TableContents"/>
              <w:cnfStyle w:val="000000000000" w:firstRow="0" w:lastRow="0" w:firstColumn="0" w:lastColumn="0" w:oddVBand="0" w:evenVBand="0" w:oddHBand="0" w:evenHBand="0" w:firstRowFirstColumn="0" w:firstRowLastColumn="0" w:lastRowFirstColumn="0" w:lastRowLastColumn="0"/>
              <w:rPr>
                <w:rFonts w:hint="eastAsia"/>
                <w:color w:val="000000"/>
                <w:sz w:val="20"/>
                <w:szCs w:val="20"/>
                <w:lang w:val="en-US"/>
              </w:rPr>
            </w:pPr>
            <w:r w:rsidRPr="00E8439F">
              <w:rPr>
                <w:color w:val="000000"/>
                <w:sz w:val="20"/>
                <w:szCs w:val="20"/>
                <w:lang w:val="en-US"/>
              </w:rPr>
              <w:t>Inactivated vaccine against neonatal and post-weaning diarrhea in piglets caused by </w:t>
            </w:r>
            <w:r w:rsidR="00E8439F" w:rsidRPr="00E8439F">
              <w:rPr>
                <w:i/>
                <w:color w:val="000000"/>
                <w:sz w:val="20"/>
                <w:szCs w:val="20"/>
                <w:lang w:val="en-US"/>
              </w:rPr>
              <w:t>E</w:t>
            </w:r>
            <w:r w:rsidR="00E8439F">
              <w:rPr>
                <w:i/>
                <w:color w:val="000000"/>
                <w:sz w:val="20"/>
                <w:szCs w:val="20"/>
                <w:lang w:val="en-US"/>
              </w:rPr>
              <w:t xml:space="preserve">. </w:t>
            </w:r>
            <w:r w:rsidRPr="00E8439F">
              <w:rPr>
                <w:i/>
                <w:color w:val="000000"/>
                <w:sz w:val="20"/>
                <w:szCs w:val="20"/>
                <w:lang w:val="en-US"/>
              </w:rPr>
              <w:t>coli</w:t>
            </w:r>
            <w:r w:rsidRPr="00E8439F">
              <w:rPr>
                <w:color w:val="000000"/>
                <w:sz w:val="20"/>
                <w:szCs w:val="20"/>
                <w:lang w:val="en-US"/>
              </w:rPr>
              <w:t> and </w:t>
            </w:r>
            <w:r w:rsidRPr="00E8439F">
              <w:rPr>
                <w:i/>
                <w:color w:val="000000"/>
                <w:sz w:val="20"/>
                <w:szCs w:val="20"/>
                <w:lang w:val="en-US"/>
              </w:rPr>
              <w:t>Clostridium perfringens</w:t>
            </w:r>
            <w:r w:rsidRPr="00E8439F">
              <w:rPr>
                <w:color w:val="000000"/>
                <w:sz w:val="20"/>
                <w:szCs w:val="20"/>
                <w:lang w:val="en-US"/>
              </w:rPr>
              <w:t> type C. (live attenuated)</w:t>
            </w:r>
          </w:p>
        </w:tc>
        <w:tc>
          <w:tcPr>
            <w:tcW w:w="1485" w:type="dxa"/>
          </w:tcPr>
          <w:p w14:paraId="40BF5715" w14:textId="77777777" w:rsidR="00BA4FA7" w:rsidRPr="00E8439F" w:rsidRDefault="00BA4FA7" w:rsidP="00E8439F">
            <w:pPr>
              <w:pStyle w:val="TableContents"/>
              <w:cnfStyle w:val="000000000000" w:firstRow="0" w:lastRow="0" w:firstColumn="0" w:lastColumn="0" w:oddVBand="0" w:evenVBand="0" w:oddHBand="0" w:evenHBand="0" w:firstRowFirstColumn="0" w:firstRowLastColumn="0" w:lastRowFirstColumn="0" w:lastRowLastColumn="0"/>
              <w:rPr>
                <w:rFonts w:hint="eastAsia"/>
                <w:i/>
                <w:iCs/>
                <w:color w:val="000000"/>
                <w:sz w:val="20"/>
                <w:szCs w:val="20"/>
              </w:rPr>
            </w:pPr>
            <w:r w:rsidRPr="00E8439F">
              <w:rPr>
                <w:i/>
                <w:iCs/>
                <w:color w:val="000000"/>
                <w:sz w:val="20"/>
                <w:szCs w:val="20"/>
              </w:rPr>
              <w:t>CZ - VACCINES</w:t>
            </w:r>
          </w:p>
        </w:tc>
      </w:tr>
      <w:tr w:rsidR="00E8439F" w:rsidRPr="00E90DFD" w14:paraId="13123017" w14:textId="77777777" w:rsidTr="009D666B">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0" w:type="dxa"/>
          </w:tcPr>
          <w:p w14:paraId="5016D818" w14:textId="29B103A5" w:rsidR="00BA4FA7" w:rsidRPr="00E8439F" w:rsidRDefault="00BA4FA7" w:rsidP="00E8439F">
            <w:pPr>
              <w:pStyle w:val="TableContents"/>
              <w:widowControl/>
              <w:rPr>
                <w:rFonts w:hint="eastAsia"/>
                <w:color w:val="000000"/>
                <w:sz w:val="20"/>
                <w:szCs w:val="20"/>
              </w:rPr>
            </w:pPr>
            <w:r w:rsidRPr="00E8439F">
              <w:rPr>
                <w:color w:val="000000"/>
                <w:sz w:val="20"/>
                <w:szCs w:val="20"/>
              </w:rPr>
              <w:t>Enteroporc Coli</w:t>
            </w:r>
          </w:p>
          <w:p w14:paraId="176D0217" w14:textId="77777777" w:rsidR="00BA4FA7" w:rsidRPr="00E8439F" w:rsidRDefault="00BA4FA7" w:rsidP="00E8439F">
            <w:pPr>
              <w:pStyle w:val="TableContents"/>
              <w:widowControl/>
              <w:rPr>
                <w:rFonts w:hint="eastAsia"/>
                <w:color w:val="000000"/>
                <w:sz w:val="20"/>
                <w:szCs w:val="20"/>
              </w:rPr>
            </w:pPr>
            <w:r w:rsidRPr="00E8439F">
              <w:rPr>
                <w:color w:val="000000"/>
                <w:sz w:val="20"/>
                <w:szCs w:val="20"/>
              </w:rPr>
              <w:t>(F4ab, F4ac, F5, F6)</w:t>
            </w:r>
          </w:p>
        </w:tc>
        <w:tc>
          <w:tcPr>
            <w:tcW w:w="0" w:type="dxa"/>
          </w:tcPr>
          <w:p w14:paraId="4BF5D903" w14:textId="7A7EBA39" w:rsidR="00E90DFD" w:rsidRPr="00E8439F" w:rsidRDefault="00BA4FA7" w:rsidP="00E8439F">
            <w:pPr>
              <w:pStyle w:val="TableContents"/>
              <w:cnfStyle w:val="000000100000" w:firstRow="0" w:lastRow="0" w:firstColumn="0" w:lastColumn="0" w:oddVBand="0" w:evenVBand="0" w:oddHBand="1" w:evenHBand="0" w:firstRowFirstColumn="0" w:firstRowLastColumn="0" w:lastRowFirstColumn="0" w:lastRowLastColumn="0"/>
              <w:rPr>
                <w:rFonts w:hint="eastAsia"/>
                <w:color w:val="000000"/>
                <w:sz w:val="20"/>
                <w:szCs w:val="20"/>
              </w:rPr>
            </w:pPr>
            <w:r w:rsidRPr="00E8439F">
              <w:rPr>
                <w:color w:val="000000"/>
                <w:sz w:val="20"/>
                <w:szCs w:val="20"/>
              </w:rPr>
              <w:t>2 m</w:t>
            </w:r>
            <w:r w:rsidR="00E90DFD" w:rsidRPr="00E8439F">
              <w:rPr>
                <w:color w:val="000000"/>
                <w:sz w:val="20"/>
                <w:szCs w:val="20"/>
              </w:rPr>
              <w:t>L</w:t>
            </w:r>
          </w:p>
        </w:tc>
        <w:tc>
          <w:tcPr>
            <w:tcW w:w="0" w:type="dxa"/>
          </w:tcPr>
          <w:p w14:paraId="31932BD2" w14:textId="77777777" w:rsidR="00BA4FA7" w:rsidRPr="00E8439F" w:rsidRDefault="00BA4FA7" w:rsidP="00E8439F">
            <w:pPr>
              <w:pStyle w:val="TableContents"/>
              <w:widowControl/>
              <w:cnfStyle w:val="000000100000" w:firstRow="0" w:lastRow="0" w:firstColumn="0" w:lastColumn="0" w:oddVBand="0" w:evenVBand="0" w:oddHBand="1" w:evenHBand="0" w:firstRowFirstColumn="0" w:firstRowLastColumn="0" w:lastRowFirstColumn="0" w:lastRowLastColumn="0"/>
              <w:rPr>
                <w:rFonts w:hint="eastAsia"/>
                <w:sz w:val="20"/>
                <w:szCs w:val="20"/>
                <w:lang w:val="en-US"/>
              </w:rPr>
            </w:pPr>
            <w:r w:rsidRPr="00E8439F">
              <w:rPr>
                <w:rStyle w:val="nfase"/>
                <w:rFonts w:ascii="Liberation Serif" w:hAnsi="Liberation Serif"/>
                <w:i w:val="0"/>
                <w:iCs w:val="0"/>
                <w:color w:val="000000"/>
                <w:sz w:val="20"/>
                <w:szCs w:val="20"/>
                <w:lang w:val="en-US"/>
              </w:rPr>
              <w:t>Neonatal piglet colibacillosis vaccine (recombinant, inactivated)</w:t>
            </w:r>
            <w:r w:rsidRPr="00E8439F">
              <w:rPr>
                <w:color w:val="000000"/>
                <w:sz w:val="20"/>
                <w:szCs w:val="20"/>
                <w:lang w:val="en-US"/>
              </w:rPr>
              <w:t xml:space="preserve"> (live attenuated)</w:t>
            </w:r>
          </w:p>
        </w:tc>
        <w:tc>
          <w:tcPr>
            <w:tcW w:w="0" w:type="dxa"/>
          </w:tcPr>
          <w:p w14:paraId="3547804F" w14:textId="5325033E" w:rsidR="00BA4FA7" w:rsidRPr="00E8439F" w:rsidRDefault="00E8439F" w:rsidP="009D666B">
            <w:pPr>
              <w:pStyle w:val="Ttulo3"/>
              <w:numPr>
                <w:ilvl w:val="0"/>
                <w:numId w:val="0"/>
              </w:numPr>
              <w:ind w:left="567" w:hanging="567"/>
              <w:outlineLvl w:val="2"/>
              <w:cnfStyle w:val="000000100000" w:firstRow="0" w:lastRow="0" w:firstColumn="0" w:lastColumn="0" w:oddVBand="0" w:evenVBand="0" w:oddHBand="1" w:evenHBand="0" w:firstRowFirstColumn="0" w:firstRowLastColumn="0" w:lastRowFirstColumn="0" w:lastRowLastColumn="0"/>
              <w:rPr>
                <w:i/>
                <w:iCs/>
                <w:color w:val="000000"/>
                <w:sz w:val="20"/>
                <w:szCs w:val="20"/>
              </w:rPr>
            </w:pPr>
            <w:proofErr w:type="spellStart"/>
            <w:r w:rsidRPr="00E8439F">
              <w:rPr>
                <w:rFonts w:ascii="Liberation Serif" w:hAnsi="Liberation Serif"/>
                <w:b w:val="0"/>
                <w:i/>
                <w:iCs/>
                <w:color w:val="000000"/>
                <w:sz w:val="20"/>
                <w:szCs w:val="20"/>
              </w:rPr>
              <w:t>Ceva</w:t>
            </w:r>
            <w:proofErr w:type="spellEnd"/>
            <w:r w:rsidRPr="00E8439F">
              <w:rPr>
                <w:rFonts w:ascii="Liberation Serif" w:hAnsi="Liberation Serif"/>
                <w:b w:val="0"/>
                <w:i/>
                <w:iCs/>
                <w:color w:val="000000"/>
                <w:sz w:val="20"/>
                <w:szCs w:val="20"/>
              </w:rPr>
              <w:t xml:space="preserve"> Salud</w:t>
            </w:r>
            <w:r>
              <w:rPr>
                <w:rFonts w:ascii="Liberation Serif" w:hAnsi="Liberation Serif"/>
                <w:b w:val="0"/>
                <w:i/>
                <w:iCs/>
                <w:color w:val="000000"/>
                <w:sz w:val="20"/>
                <w:szCs w:val="20"/>
              </w:rPr>
              <w:t xml:space="preserve"> </w:t>
            </w:r>
            <w:r w:rsidRPr="00E8439F">
              <w:rPr>
                <w:rFonts w:ascii="Liberation Serif" w:hAnsi="Liberation Serif"/>
                <w:b w:val="0"/>
                <w:i/>
                <w:iCs/>
                <w:color w:val="000000"/>
                <w:sz w:val="20"/>
                <w:szCs w:val="20"/>
              </w:rPr>
              <w:t>Animal</w:t>
            </w:r>
          </w:p>
        </w:tc>
      </w:tr>
      <w:tr w:rsidR="00E8439F" w:rsidRPr="00E90DFD" w14:paraId="1D3F64CC" w14:textId="77777777" w:rsidTr="009D666B">
        <w:trPr>
          <w:trHeight w:val="548"/>
        </w:trPr>
        <w:tc>
          <w:tcPr>
            <w:cnfStyle w:val="001000000000" w:firstRow="0" w:lastRow="0" w:firstColumn="1" w:lastColumn="0" w:oddVBand="0" w:evenVBand="0" w:oddHBand="0" w:evenHBand="0" w:firstRowFirstColumn="0" w:firstRowLastColumn="0" w:lastRowFirstColumn="0" w:lastRowLastColumn="0"/>
            <w:tcW w:w="0" w:type="dxa"/>
          </w:tcPr>
          <w:p w14:paraId="3BCBB095" w14:textId="77777777" w:rsidR="00BA4FA7" w:rsidRPr="00E8439F" w:rsidRDefault="00BA4FA7" w:rsidP="00E8439F">
            <w:pPr>
              <w:pStyle w:val="TableContents"/>
              <w:rPr>
                <w:rFonts w:hint="eastAsia"/>
                <w:sz w:val="20"/>
                <w:szCs w:val="20"/>
                <w:lang w:val="en-US"/>
              </w:rPr>
            </w:pPr>
            <w:proofErr w:type="spellStart"/>
            <w:r w:rsidRPr="00E8439F">
              <w:rPr>
                <w:sz w:val="20"/>
                <w:szCs w:val="20"/>
                <w:lang w:val="en-US"/>
              </w:rPr>
              <w:t>Coliprotec</w:t>
            </w:r>
            <w:proofErr w:type="spellEnd"/>
            <w:r w:rsidRPr="00E8439F">
              <w:rPr>
                <w:sz w:val="20"/>
                <w:szCs w:val="20"/>
                <w:lang w:val="en-US"/>
              </w:rPr>
              <w:t xml:space="preserve"> F4/F18</w:t>
            </w:r>
          </w:p>
          <w:p w14:paraId="10420FE2" w14:textId="77777777" w:rsidR="00BA4FA7" w:rsidRPr="00E8439F" w:rsidRDefault="00BA4FA7" w:rsidP="00E8439F">
            <w:pPr>
              <w:pStyle w:val="TableContents"/>
              <w:rPr>
                <w:rFonts w:hint="eastAsia"/>
                <w:sz w:val="20"/>
                <w:szCs w:val="20"/>
                <w:lang w:val="en-US"/>
              </w:rPr>
            </w:pPr>
            <w:r w:rsidRPr="00E8439F">
              <w:rPr>
                <w:sz w:val="20"/>
                <w:szCs w:val="20"/>
                <w:lang w:val="en-US"/>
              </w:rPr>
              <w:t>(F18ac, F4ac)</w:t>
            </w:r>
          </w:p>
        </w:tc>
        <w:tc>
          <w:tcPr>
            <w:tcW w:w="0" w:type="dxa"/>
          </w:tcPr>
          <w:p w14:paraId="51681D14" w14:textId="237CB492" w:rsidR="00BA4FA7" w:rsidRPr="00E8439F" w:rsidRDefault="00BA4FA7" w:rsidP="00E8439F">
            <w:pPr>
              <w:pStyle w:val="TableContents"/>
              <w:cnfStyle w:val="000000000000" w:firstRow="0" w:lastRow="0" w:firstColumn="0" w:lastColumn="0" w:oddVBand="0" w:evenVBand="0" w:oddHBand="0" w:evenHBand="0" w:firstRowFirstColumn="0" w:firstRowLastColumn="0" w:lastRowFirstColumn="0" w:lastRowLastColumn="0"/>
              <w:rPr>
                <w:rFonts w:hint="eastAsia"/>
                <w:sz w:val="20"/>
                <w:szCs w:val="20"/>
              </w:rPr>
            </w:pPr>
            <w:r w:rsidRPr="00E8439F">
              <w:rPr>
                <w:sz w:val="20"/>
                <w:szCs w:val="20"/>
              </w:rPr>
              <w:t>2 m</w:t>
            </w:r>
            <w:r w:rsidR="00E90DFD" w:rsidRPr="00E8439F">
              <w:rPr>
                <w:sz w:val="20"/>
                <w:szCs w:val="20"/>
              </w:rPr>
              <w:t>L</w:t>
            </w:r>
          </w:p>
        </w:tc>
        <w:tc>
          <w:tcPr>
            <w:tcW w:w="0" w:type="dxa"/>
          </w:tcPr>
          <w:p w14:paraId="22306926" w14:textId="77777777" w:rsidR="00BA4FA7" w:rsidRPr="00E8439F" w:rsidRDefault="00BA4FA7" w:rsidP="00E8439F">
            <w:pPr>
              <w:pStyle w:val="TableContents"/>
              <w:cnfStyle w:val="000000000000" w:firstRow="0" w:lastRow="0" w:firstColumn="0" w:lastColumn="0" w:oddVBand="0" w:evenVBand="0" w:oddHBand="0" w:evenHBand="0" w:firstRowFirstColumn="0" w:firstRowLastColumn="0" w:lastRowFirstColumn="0" w:lastRowLastColumn="0"/>
              <w:rPr>
                <w:rFonts w:hint="eastAsia"/>
                <w:sz w:val="20"/>
                <w:szCs w:val="20"/>
              </w:rPr>
            </w:pPr>
            <w:r w:rsidRPr="00E8439F">
              <w:rPr>
                <w:sz w:val="20"/>
                <w:szCs w:val="20"/>
              </w:rPr>
              <w:t>Live attenuated</w:t>
            </w:r>
          </w:p>
        </w:tc>
        <w:tc>
          <w:tcPr>
            <w:tcW w:w="0" w:type="dxa"/>
          </w:tcPr>
          <w:p w14:paraId="363EAB53" w14:textId="77777777" w:rsidR="00BA4FA7" w:rsidRPr="00E8439F" w:rsidRDefault="00BA4FA7" w:rsidP="00E8439F">
            <w:pPr>
              <w:pStyle w:val="TableContents"/>
              <w:cnfStyle w:val="000000000000" w:firstRow="0" w:lastRow="0" w:firstColumn="0" w:lastColumn="0" w:oddVBand="0" w:evenVBand="0" w:oddHBand="0" w:evenHBand="0" w:firstRowFirstColumn="0" w:firstRowLastColumn="0" w:lastRowFirstColumn="0" w:lastRowLastColumn="0"/>
              <w:rPr>
                <w:rFonts w:hint="eastAsia"/>
                <w:i/>
                <w:iCs/>
                <w:sz w:val="20"/>
                <w:szCs w:val="20"/>
              </w:rPr>
            </w:pPr>
            <w:r w:rsidRPr="00E8439F">
              <w:rPr>
                <w:rFonts w:ascii="Times New Roman" w:hAnsi="Times New Roman"/>
                <w:i/>
                <w:iCs/>
                <w:color w:val="000000"/>
                <w:sz w:val="20"/>
                <w:szCs w:val="20"/>
              </w:rPr>
              <w:t>Prevtec microbia</w:t>
            </w:r>
          </w:p>
        </w:tc>
      </w:tr>
      <w:tr w:rsidR="00E8439F" w:rsidRPr="00E90DFD" w14:paraId="75BC228D" w14:textId="77777777" w:rsidTr="009D666B">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0" w:type="dxa"/>
          </w:tcPr>
          <w:p w14:paraId="68ACB259" w14:textId="77777777" w:rsidR="00012126" w:rsidRPr="009D666B" w:rsidRDefault="00012126" w:rsidP="00E8439F">
            <w:pPr>
              <w:pStyle w:val="TableContents"/>
              <w:rPr>
                <w:rFonts w:hint="eastAsia"/>
                <w:sz w:val="20"/>
                <w:szCs w:val="20"/>
                <w:highlight w:val="yellow"/>
                <w:lang w:val="en-US"/>
              </w:rPr>
            </w:pPr>
            <w:bookmarkStart w:id="1" w:name="_Hlk109906084"/>
            <w:r w:rsidRPr="009D666B">
              <w:rPr>
                <w:sz w:val="20"/>
                <w:szCs w:val="20"/>
                <w:highlight w:val="yellow"/>
                <w:lang w:val="en-US"/>
              </w:rPr>
              <w:t xml:space="preserve">Entero-Vac  </w:t>
            </w:r>
          </w:p>
          <w:p w14:paraId="3F71054B" w14:textId="77777777" w:rsidR="00012126" w:rsidRPr="009D666B" w:rsidRDefault="00012126" w:rsidP="00E8439F">
            <w:pPr>
              <w:pStyle w:val="TableContents"/>
              <w:rPr>
                <w:rFonts w:hint="eastAsia"/>
                <w:sz w:val="20"/>
                <w:szCs w:val="20"/>
                <w:highlight w:val="yellow"/>
                <w:lang w:val="en-US"/>
              </w:rPr>
            </w:pPr>
          </w:p>
        </w:tc>
        <w:tc>
          <w:tcPr>
            <w:tcW w:w="1201" w:type="dxa"/>
          </w:tcPr>
          <w:p w14:paraId="6DE4F798" w14:textId="4442F60B" w:rsidR="00012126" w:rsidRPr="009D666B" w:rsidRDefault="00012126" w:rsidP="00E8439F">
            <w:pPr>
              <w:pStyle w:val="TableContents"/>
              <w:cnfStyle w:val="000000100000" w:firstRow="0" w:lastRow="0" w:firstColumn="0" w:lastColumn="0" w:oddVBand="0" w:evenVBand="0" w:oddHBand="1" w:evenHBand="0" w:firstRowFirstColumn="0" w:firstRowLastColumn="0" w:lastRowFirstColumn="0" w:lastRowLastColumn="0"/>
              <w:rPr>
                <w:rFonts w:hint="eastAsia"/>
                <w:sz w:val="20"/>
                <w:szCs w:val="20"/>
                <w:highlight w:val="yellow"/>
              </w:rPr>
            </w:pPr>
            <w:r w:rsidRPr="009D666B">
              <w:rPr>
                <w:sz w:val="20"/>
                <w:szCs w:val="20"/>
                <w:highlight w:val="yellow"/>
              </w:rPr>
              <w:t>(100/500) dose</w:t>
            </w:r>
          </w:p>
        </w:tc>
        <w:tc>
          <w:tcPr>
            <w:tcW w:w="4394" w:type="dxa"/>
          </w:tcPr>
          <w:p w14:paraId="03FB81E7" w14:textId="263F6247" w:rsidR="00012126" w:rsidRPr="009D666B" w:rsidRDefault="0058330D" w:rsidP="00E8439F">
            <w:pPr>
              <w:pStyle w:val="TableContents"/>
              <w:cnfStyle w:val="000000100000" w:firstRow="0" w:lastRow="0" w:firstColumn="0" w:lastColumn="0" w:oddVBand="0" w:evenVBand="0" w:oddHBand="1" w:evenHBand="0" w:firstRowFirstColumn="0" w:firstRowLastColumn="0" w:lastRowFirstColumn="0" w:lastRowLastColumn="0"/>
              <w:rPr>
                <w:rFonts w:hint="eastAsia"/>
                <w:sz w:val="20"/>
                <w:szCs w:val="20"/>
                <w:highlight w:val="yellow"/>
                <w:lang w:val="en-US"/>
              </w:rPr>
            </w:pPr>
            <w:r w:rsidRPr="009D666B">
              <w:rPr>
                <w:sz w:val="20"/>
                <w:szCs w:val="20"/>
                <w:highlight w:val="yellow"/>
                <w:lang w:val="en-US"/>
              </w:rPr>
              <w:t>A</w:t>
            </w:r>
            <w:r w:rsidR="00012126" w:rsidRPr="009D666B">
              <w:rPr>
                <w:sz w:val="20"/>
                <w:szCs w:val="20"/>
                <w:highlight w:val="yellow"/>
                <w:lang w:val="en-US"/>
              </w:rPr>
              <w:t xml:space="preserve">virulent live </w:t>
            </w:r>
            <w:r w:rsidR="00012126" w:rsidRPr="009D666B">
              <w:rPr>
                <w:i/>
                <w:iCs/>
                <w:sz w:val="20"/>
                <w:szCs w:val="20"/>
                <w:highlight w:val="yellow"/>
                <w:lang w:val="en-US"/>
              </w:rPr>
              <w:t>Escherichia coli</w:t>
            </w:r>
            <w:r w:rsidR="00012126" w:rsidRPr="009D666B">
              <w:rPr>
                <w:sz w:val="20"/>
                <w:szCs w:val="20"/>
                <w:highlight w:val="yellow"/>
                <w:lang w:val="en-US"/>
              </w:rPr>
              <w:t xml:space="preserve"> vaccine recommended as an aid in the prevention of enteritis caused by K88 and </w:t>
            </w:r>
            <w:r w:rsidR="00012126" w:rsidRPr="009D666B">
              <w:rPr>
                <w:i/>
                <w:iCs/>
                <w:sz w:val="20"/>
                <w:szCs w:val="20"/>
                <w:highlight w:val="yellow"/>
                <w:lang w:val="en-US"/>
              </w:rPr>
              <w:t>E. coli</w:t>
            </w:r>
            <w:r w:rsidR="00012126" w:rsidRPr="009D666B">
              <w:rPr>
                <w:sz w:val="20"/>
                <w:szCs w:val="20"/>
                <w:highlight w:val="yellow"/>
                <w:lang w:val="en-US"/>
              </w:rPr>
              <w:t xml:space="preserve"> in swine</w:t>
            </w:r>
          </w:p>
        </w:tc>
        <w:tc>
          <w:tcPr>
            <w:tcW w:w="0" w:type="dxa"/>
          </w:tcPr>
          <w:p w14:paraId="62B31BCF" w14:textId="2A8A34C0" w:rsidR="00012126" w:rsidRPr="009D666B" w:rsidRDefault="00012126" w:rsidP="00E8439F">
            <w:pPr>
              <w:pStyle w:val="TableContents"/>
              <w:cnfStyle w:val="000000100000" w:firstRow="0" w:lastRow="0" w:firstColumn="0" w:lastColumn="0" w:oddVBand="0" w:evenVBand="0" w:oddHBand="1" w:evenHBand="0" w:firstRowFirstColumn="0" w:firstRowLastColumn="0" w:lastRowFirstColumn="0" w:lastRowLastColumn="0"/>
              <w:rPr>
                <w:rFonts w:ascii="Times New Roman" w:hAnsi="Times New Roman"/>
                <w:i/>
                <w:iCs/>
                <w:color w:val="000000"/>
                <w:sz w:val="20"/>
                <w:szCs w:val="20"/>
                <w:highlight w:val="yellow"/>
              </w:rPr>
            </w:pPr>
            <w:r w:rsidRPr="009D666B">
              <w:rPr>
                <w:i/>
                <w:iCs/>
                <w:sz w:val="20"/>
                <w:szCs w:val="20"/>
                <w:highlight w:val="yellow"/>
              </w:rPr>
              <w:t>ARKO Laboratories</w:t>
            </w:r>
          </w:p>
        </w:tc>
      </w:tr>
      <w:tr w:rsidR="00E8439F" w:rsidRPr="00E90DFD" w14:paraId="021A2102" w14:textId="77777777" w:rsidTr="009D666B">
        <w:trPr>
          <w:trHeight w:val="585"/>
        </w:trPr>
        <w:tc>
          <w:tcPr>
            <w:cnfStyle w:val="001000000000" w:firstRow="0" w:lastRow="0" w:firstColumn="1" w:lastColumn="0" w:oddVBand="0" w:evenVBand="0" w:oddHBand="0" w:evenHBand="0" w:firstRowFirstColumn="0" w:firstRowLastColumn="0" w:lastRowFirstColumn="0" w:lastRowLastColumn="0"/>
            <w:tcW w:w="0" w:type="dxa"/>
          </w:tcPr>
          <w:p w14:paraId="0303B01B" w14:textId="131669E4" w:rsidR="00012126" w:rsidRPr="009D666B" w:rsidRDefault="00012126" w:rsidP="00E8439F">
            <w:pPr>
              <w:pStyle w:val="TableContents"/>
              <w:rPr>
                <w:rFonts w:hint="eastAsia"/>
                <w:sz w:val="20"/>
                <w:szCs w:val="20"/>
                <w:highlight w:val="yellow"/>
                <w:lang w:val="en-US"/>
              </w:rPr>
            </w:pPr>
            <w:r w:rsidRPr="009D666B">
              <w:rPr>
                <w:sz w:val="20"/>
                <w:szCs w:val="20"/>
                <w:highlight w:val="yellow"/>
                <w:lang w:val="en-US"/>
              </w:rPr>
              <w:t xml:space="preserve">Edema-Vac </w:t>
            </w:r>
          </w:p>
        </w:tc>
        <w:tc>
          <w:tcPr>
            <w:tcW w:w="0" w:type="dxa"/>
          </w:tcPr>
          <w:p w14:paraId="3F87A6AB" w14:textId="5DE915E2" w:rsidR="00012126" w:rsidRPr="009D666B" w:rsidRDefault="00012126" w:rsidP="00E8439F">
            <w:pPr>
              <w:pStyle w:val="TableContents"/>
              <w:cnfStyle w:val="000000000000" w:firstRow="0" w:lastRow="0" w:firstColumn="0" w:lastColumn="0" w:oddVBand="0" w:evenVBand="0" w:oddHBand="0" w:evenHBand="0" w:firstRowFirstColumn="0" w:firstRowLastColumn="0" w:lastRowFirstColumn="0" w:lastRowLastColumn="0"/>
              <w:rPr>
                <w:rFonts w:hint="eastAsia"/>
                <w:sz w:val="20"/>
                <w:szCs w:val="20"/>
                <w:highlight w:val="yellow"/>
              </w:rPr>
            </w:pPr>
            <w:r w:rsidRPr="009D666B">
              <w:rPr>
                <w:sz w:val="20"/>
                <w:szCs w:val="20"/>
                <w:highlight w:val="yellow"/>
              </w:rPr>
              <w:t>(100/500) dose</w:t>
            </w:r>
          </w:p>
        </w:tc>
        <w:tc>
          <w:tcPr>
            <w:tcW w:w="0" w:type="dxa"/>
          </w:tcPr>
          <w:p w14:paraId="5211C411" w14:textId="51F978EF" w:rsidR="00012126" w:rsidRPr="009D666B" w:rsidRDefault="00012126" w:rsidP="00E8439F">
            <w:pPr>
              <w:pStyle w:val="TableContents"/>
              <w:cnfStyle w:val="000000000000" w:firstRow="0" w:lastRow="0" w:firstColumn="0" w:lastColumn="0" w:oddVBand="0" w:evenVBand="0" w:oddHBand="0" w:evenHBand="0" w:firstRowFirstColumn="0" w:firstRowLastColumn="0" w:lastRowFirstColumn="0" w:lastRowLastColumn="0"/>
              <w:rPr>
                <w:rFonts w:hint="eastAsia"/>
                <w:sz w:val="20"/>
                <w:szCs w:val="20"/>
                <w:highlight w:val="yellow"/>
                <w:lang w:val="en-US"/>
              </w:rPr>
            </w:pPr>
            <w:r w:rsidRPr="009D666B">
              <w:rPr>
                <w:sz w:val="20"/>
                <w:szCs w:val="20"/>
                <w:highlight w:val="yellow"/>
                <w:lang w:val="en-US"/>
              </w:rPr>
              <w:t xml:space="preserve">Avirulent live culture to the prevention of edema disease caused by F18-positive </w:t>
            </w:r>
            <w:r w:rsidRPr="009D666B">
              <w:rPr>
                <w:i/>
                <w:iCs/>
                <w:sz w:val="20"/>
                <w:szCs w:val="20"/>
                <w:highlight w:val="yellow"/>
                <w:lang w:val="en-US"/>
              </w:rPr>
              <w:t>E. coli</w:t>
            </w:r>
          </w:p>
        </w:tc>
        <w:tc>
          <w:tcPr>
            <w:tcW w:w="0" w:type="dxa"/>
          </w:tcPr>
          <w:p w14:paraId="0E9B97C5" w14:textId="6AA15000" w:rsidR="00012126" w:rsidRPr="009D666B" w:rsidRDefault="00012126" w:rsidP="00E8439F">
            <w:pPr>
              <w:pStyle w:val="TableContents"/>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000000"/>
                <w:sz w:val="20"/>
                <w:szCs w:val="20"/>
                <w:highlight w:val="yellow"/>
              </w:rPr>
            </w:pPr>
            <w:r w:rsidRPr="009D666B">
              <w:rPr>
                <w:i/>
                <w:iCs/>
                <w:sz w:val="20"/>
                <w:szCs w:val="20"/>
                <w:highlight w:val="yellow"/>
              </w:rPr>
              <w:t>ARKO Laboratories</w:t>
            </w:r>
          </w:p>
        </w:tc>
      </w:tr>
      <w:tr w:rsidR="00E8439F" w:rsidRPr="00E90DFD" w14:paraId="4BF1ED0D" w14:textId="77777777" w:rsidTr="009D666B">
        <w:trPr>
          <w:cnfStyle w:val="000000100000" w:firstRow="0" w:lastRow="0" w:firstColumn="0" w:lastColumn="0" w:oddVBand="0" w:evenVBand="0" w:oddHBand="1" w:evenHBand="0" w:firstRowFirstColumn="0" w:firstRowLastColumn="0" w:lastRowFirstColumn="0" w:lastRowLastColumn="0"/>
          <w:trHeight w:val="775"/>
        </w:trPr>
        <w:tc>
          <w:tcPr>
            <w:cnfStyle w:val="001000000000" w:firstRow="0" w:lastRow="0" w:firstColumn="1" w:lastColumn="0" w:oddVBand="0" w:evenVBand="0" w:oddHBand="0" w:evenHBand="0" w:firstRowFirstColumn="0" w:firstRowLastColumn="0" w:lastRowFirstColumn="0" w:lastRowLastColumn="0"/>
            <w:tcW w:w="0" w:type="dxa"/>
          </w:tcPr>
          <w:p w14:paraId="790D2494" w14:textId="4986EE69" w:rsidR="00012126" w:rsidRPr="009D666B" w:rsidRDefault="00012126" w:rsidP="00E8439F">
            <w:pPr>
              <w:pStyle w:val="TableContents"/>
              <w:rPr>
                <w:rFonts w:hint="eastAsia"/>
                <w:sz w:val="20"/>
                <w:szCs w:val="20"/>
                <w:highlight w:val="yellow"/>
                <w:lang w:val="en-US"/>
              </w:rPr>
            </w:pPr>
            <w:proofErr w:type="spellStart"/>
            <w:r w:rsidRPr="009D666B">
              <w:rPr>
                <w:sz w:val="20"/>
                <w:szCs w:val="20"/>
                <w:highlight w:val="yellow"/>
                <w:lang w:val="en-US"/>
              </w:rPr>
              <w:t>Prosystem</w:t>
            </w:r>
            <w:proofErr w:type="spellEnd"/>
            <w:r w:rsidRPr="009D666B">
              <w:rPr>
                <w:sz w:val="20"/>
                <w:szCs w:val="20"/>
                <w:highlight w:val="yellow"/>
                <w:lang w:val="en-US"/>
              </w:rPr>
              <w:t xml:space="preserve"> RCE</w:t>
            </w:r>
          </w:p>
        </w:tc>
        <w:tc>
          <w:tcPr>
            <w:tcW w:w="1201" w:type="dxa"/>
          </w:tcPr>
          <w:p w14:paraId="587506E3" w14:textId="77777777" w:rsidR="00012126" w:rsidRPr="009D666B" w:rsidRDefault="00012126" w:rsidP="00E8439F">
            <w:pPr>
              <w:pStyle w:val="TableContents"/>
              <w:cnfStyle w:val="000000100000" w:firstRow="0" w:lastRow="0" w:firstColumn="0" w:lastColumn="0" w:oddVBand="0" w:evenVBand="0" w:oddHBand="1" w:evenHBand="0" w:firstRowFirstColumn="0" w:firstRowLastColumn="0" w:lastRowFirstColumn="0" w:lastRowLastColumn="0"/>
              <w:rPr>
                <w:rFonts w:hint="eastAsia"/>
                <w:sz w:val="20"/>
                <w:szCs w:val="20"/>
                <w:highlight w:val="yellow"/>
              </w:rPr>
            </w:pPr>
          </w:p>
          <w:p w14:paraId="084139BB" w14:textId="1C961D04" w:rsidR="00012126" w:rsidRPr="009D666B" w:rsidRDefault="00012126" w:rsidP="00E8439F">
            <w:pPr>
              <w:pStyle w:val="TableContents"/>
              <w:cnfStyle w:val="000000100000" w:firstRow="0" w:lastRow="0" w:firstColumn="0" w:lastColumn="0" w:oddVBand="0" w:evenVBand="0" w:oddHBand="1" w:evenHBand="0" w:firstRowFirstColumn="0" w:firstRowLastColumn="0" w:lastRowFirstColumn="0" w:lastRowLastColumn="0"/>
              <w:rPr>
                <w:rFonts w:hint="eastAsia"/>
                <w:sz w:val="20"/>
                <w:szCs w:val="20"/>
                <w:highlight w:val="yellow"/>
              </w:rPr>
            </w:pPr>
            <w:r w:rsidRPr="009D666B">
              <w:rPr>
                <w:sz w:val="20"/>
                <w:szCs w:val="20"/>
                <w:highlight w:val="yellow"/>
              </w:rPr>
              <w:t>2 mL</w:t>
            </w:r>
          </w:p>
        </w:tc>
        <w:tc>
          <w:tcPr>
            <w:tcW w:w="4394" w:type="dxa"/>
          </w:tcPr>
          <w:p w14:paraId="49506711" w14:textId="7E889F3B" w:rsidR="00012126" w:rsidRPr="009D666B" w:rsidRDefault="0058330D" w:rsidP="00E8439F">
            <w:pPr>
              <w:pStyle w:val="TableContents"/>
              <w:cnfStyle w:val="000000100000" w:firstRow="0" w:lastRow="0" w:firstColumn="0" w:lastColumn="0" w:oddVBand="0" w:evenVBand="0" w:oddHBand="1" w:evenHBand="0" w:firstRowFirstColumn="0" w:firstRowLastColumn="0" w:lastRowFirstColumn="0" w:lastRowLastColumn="0"/>
              <w:rPr>
                <w:rFonts w:hint="eastAsia"/>
                <w:sz w:val="20"/>
                <w:szCs w:val="20"/>
                <w:highlight w:val="yellow"/>
                <w:lang w:val="en-US"/>
              </w:rPr>
            </w:pPr>
            <w:r w:rsidRPr="009D666B">
              <w:rPr>
                <w:rFonts w:ascii="Times New Roman" w:hAnsi="Times New Roman"/>
                <w:bCs/>
                <w:color w:val="000000" w:themeColor="text1"/>
                <w:sz w:val="20"/>
                <w:szCs w:val="20"/>
                <w:highlight w:val="yellow"/>
                <w:lang w:val="en-US"/>
              </w:rPr>
              <w:t>I</w:t>
            </w:r>
            <w:r w:rsidR="00012126" w:rsidRPr="009D666B">
              <w:rPr>
                <w:rFonts w:ascii="Times New Roman" w:hAnsi="Times New Roman"/>
                <w:bCs/>
                <w:color w:val="000000" w:themeColor="text1"/>
                <w:sz w:val="20"/>
                <w:szCs w:val="20"/>
                <w:highlight w:val="yellow"/>
                <w:lang w:val="en-US"/>
              </w:rPr>
              <w:t xml:space="preserve">ntramuscular injectable vaccine with four major </w:t>
            </w:r>
            <w:r w:rsidR="00012126" w:rsidRPr="009D666B">
              <w:rPr>
                <w:rFonts w:ascii="Times New Roman" w:hAnsi="Times New Roman"/>
                <w:bCs/>
                <w:i/>
                <w:iCs/>
                <w:color w:val="000000" w:themeColor="text1"/>
                <w:sz w:val="20"/>
                <w:szCs w:val="20"/>
                <w:highlight w:val="yellow"/>
                <w:lang w:val="en-US"/>
              </w:rPr>
              <w:t>E. coli</w:t>
            </w:r>
            <w:r w:rsidR="00012126" w:rsidRPr="009D666B">
              <w:rPr>
                <w:rFonts w:ascii="Times New Roman" w:hAnsi="Times New Roman"/>
                <w:bCs/>
                <w:color w:val="000000" w:themeColor="text1"/>
                <w:sz w:val="20"/>
                <w:szCs w:val="20"/>
                <w:highlight w:val="yellow"/>
                <w:lang w:val="en-US"/>
              </w:rPr>
              <w:t xml:space="preserve"> pilus antigens (K88, K99, F41 and 987P)</w:t>
            </w:r>
          </w:p>
        </w:tc>
        <w:tc>
          <w:tcPr>
            <w:tcW w:w="0" w:type="dxa"/>
          </w:tcPr>
          <w:p w14:paraId="4A7C4657" w14:textId="77777777" w:rsidR="00012126" w:rsidRPr="009D666B" w:rsidRDefault="00012126" w:rsidP="00E8439F">
            <w:pPr>
              <w:pStyle w:val="TableContents"/>
              <w:cnfStyle w:val="000000100000" w:firstRow="0" w:lastRow="0" w:firstColumn="0" w:lastColumn="0" w:oddVBand="0" w:evenVBand="0" w:oddHBand="1" w:evenHBand="0" w:firstRowFirstColumn="0" w:firstRowLastColumn="0" w:lastRowFirstColumn="0" w:lastRowLastColumn="0"/>
              <w:rPr>
                <w:rFonts w:hint="eastAsia"/>
                <w:i/>
                <w:iCs/>
                <w:sz w:val="20"/>
                <w:szCs w:val="20"/>
                <w:highlight w:val="yellow"/>
                <w:lang w:val="en-US"/>
              </w:rPr>
            </w:pPr>
          </w:p>
          <w:p w14:paraId="2C8ED07E" w14:textId="1CA357AB" w:rsidR="00012126" w:rsidRPr="009D666B" w:rsidRDefault="00012126" w:rsidP="00E8439F">
            <w:pPr>
              <w:pStyle w:val="TableContents"/>
              <w:cnfStyle w:val="000000100000" w:firstRow="0" w:lastRow="0" w:firstColumn="0" w:lastColumn="0" w:oddVBand="0" w:evenVBand="0" w:oddHBand="1" w:evenHBand="0" w:firstRowFirstColumn="0" w:firstRowLastColumn="0" w:lastRowFirstColumn="0" w:lastRowLastColumn="0"/>
              <w:rPr>
                <w:rFonts w:ascii="Times New Roman" w:hAnsi="Times New Roman"/>
                <w:i/>
                <w:iCs/>
                <w:color w:val="000000"/>
                <w:sz w:val="20"/>
                <w:szCs w:val="20"/>
                <w:highlight w:val="yellow"/>
              </w:rPr>
            </w:pPr>
            <w:r w:rsidRPr="009D666B">
              <w:rPr>
                <w:i/>
                <w:iCs/>
                <w:sz w:val="20"/>
                <w:szCs w:val="20"/>
                <w:highlight w:val="yellow"/>
              </w:rPr>
              <w:t>Merck Animal Health</w:t>
            </w:r>
          </w:p>
        </w:tc>
      </w:tr>
      <w:tr w:rsidR="00E8439F" w:rsidRPr="00E90DFD" w14:paraId="5EA19CE7" w14:textId="77777777" w:rsidTr="00E8439F">
        <w:trPr>
          <w:trHeight w:val="667"/>
        </w:trPr>
        <w:tc>
          <w:tcPr>
            <w:cnfStyle w:val="001000000000" w:firstRow="0" w:lastRow="0" w:firstColumn="1" w:lastColumn="0" w:oddVBand="0" w:evenVBand="0" w:oddHBand="0" w:evenHBand="0" w:firstRowFirstColumn="0" w:firstRowLastColumn="0" w:lastRowFirstColumn="0" w:lastRowLastColumn="0"/>
            <w:tcW w:w="2338" w:type="dxa"/>
          </w:tcPr>
          <w:p w14:paraId="1389B109" w14:textId="4166E95A" w:rsidR="00012126" w:rsidRPr="009D666B" w:rsidRDefault="00012126" w:rsidP="00E8439F">
            <w:pPr>
              <w:pStyle w:val="TableContents"/>
              <w:rPr>
                <w:rFonts w:hint="eastAsia"/>
                <w:sz w:val="20"/>
                <w:szCs w:val="20"/>
                <w:highlight w:val="yellow"/>
                <w:lang w:val="en-US"/>
              </w:rPr>
            </w:pPr>
            <w:proofErr w:type="spellStart"/>
            <w:r w:rsidRPr="009D666B">
              <w:rPr>
                <w:sz w:val="20"/>
                <w:szCs w:val="20"/>
                <w:highlight w:val="yellow"/>
                <w:lang w:val="en-US"/>
              </w:rPr>
              <w:t>Prosystem</w:t>
            </w:r>
            <w:proofErr w:type="spellEnd"/>
            <w:r w:rsidRPr="009D666B">
              <w:rPr>
                <w:sz w:val="20"/>
                <w:szCs w:val="20"/>
                <w:highlight w:val="yellow"/>
                <w:lang w:val="en-US"/>
              </w:rPr>
              <w:t xml:space="preserve"> CE</w:t>
            </w:r>
          </w:p>
        </w:tc>
        <w:tc>
          <w:tcPr>
            <w:tcW w:w="1201" w:type="dxa"/>
          </w:tcPr>
          <w:p w14:paraId="24596EA7" w14:textId="07B2E3A9" w:rsidR="00012126" w:rsidRPr="009D666B" w:rsidRDefault="00012126" w:rsidP="00E8439F">
            <w:pPr>
              <w:pStyle w:val="TableContents"/>
              <w:cnfStyle w:val="000000000000" w:firstRow="0" w:lastRow="0" w:firstColumn="0" w:lastColumn="0" w:oddVBand="0" w:evenVBand="0" w:oddHBand="0" w:evenHBand="0" w:firstRowFirstColumn="0" w:firstRowLastColumn="0" w:lastRowFirstColumn="0" w:lastRowLastColumn="0"/>
              <w:rPr>
                <w:rFonts w:hint="eastAsia"/>
                <w:sz w:val="20"/>
                <w:szCs w:val="20"/>
                <w:highlight w:val="yellow"/>
              </w:rPr>
            </w:pPr>
            <w:r w:rsidRPr="009D666B">
              <w:rPr>
                <w:sz w:val="20"/>
                <w:szCs w:val="20"/>
                <w:highlight w:val="yellow"/>
              </w:rPr>
              <w:t>2 mL</w:t>
            </w:r>
          </w:p>
        </w:tc>
        <w:tc>
          <w:tcPr>
            <w:tcW w:w="4394" w:type="dxa"/>
          </w:tcPr>
          <w:p w14:paraId="15F6C1FB" w14:textId="56E36F6D" w:rsidR="00012126" w:rsidRPr="009D666B" w:rsidRDefault="0058330D" w:rsidP="00E8439F">
            <w:pPr>
              <w:pStyle w:val="TableContents"/>
              <w:cnfStyle w:val="000000000000" w:firstRow="0" w:lastRow="0" w:firstColumn="0" w:lastColumn="0" w:oddVBand="0" w:evenVBand="0" w:oddHBand="0" w:evenHBand="0" w:firstRowFirstColumn="0" w:firstRowLastColumn="0" w:lastRowFirstColumn="0" w:lastRowLastColumn="0"/>
              <w:rPr>
                <w:rFonts w:hint="eastAsia"/>
                <w:sz w:val="20"/>
                <w:szCs w:val="20"/>
                <w:highlight w:val="yellow"/>
                <w:lang w:val="en-US"/>
              </w:rPr>
            </w:pPr>
            <w:r w:rsidRPr="009D666B">
              <w:rPr>
                <w:rFonts w:ascii="Times New Roman" w:hAnsi="Times New Roman"/>
                <w:bCs/>
                <w:color w:val="000000" w:themeColor="text1"/>
                <w:sz w:val="20"/>
                <w:szCs w:val="20"/>
                <w:highlight w:val="yellow"/>
                <w:lang w:val="en-US"/>
              </w:rPr>
              <w:t>I</w:t>
            </w:r>
            <w:r w:rsidR="00012126" w:rsidRPr="009D666B">
              <w:rPr>
                <w:rFonts w:ascii="Times New Roman" w:hAnsi="Times New Roman"/>
                <w:bCs/>
                <w:color w:val="000000" w:themeColor="text1"/>
                <w:sz w:val="20"/>
                <w:szCs w:val="20"/>
                <w:highlight w:val="yellow"/>
                <w:lang w:val="en-US"/>
              </w:rPr>
              <w:t xml:space="preserve">ntramuscular injectable vaccine with </w:t>
            </w:r>
            <w:r w:rsidR="00012126" w:rsidRPr="009D666B">
              <w:rPr>
                <w:sz w:val="20"/>
                <w:szCs w:val="20"/>
                <w:highlight w:val="yellow"/>
                <w:lang w:val="en-US"/>
              </w:rPr>
              <w:t xml:space="preserve">four major </w:t>
            </w:r>
            <w:r w:rsidR="00012126" w:rsidRPr="009D666B">
              <w:rPr>
                <w:i/>
                <w:iCs/>
                <w:sz w:val="20"/>
                <w:szCs w:val="20"/>
                <w:highlight w:val="yellow"/>
                <w:lang w:val="en-US"/>
              </w:rPr>
              <w:t>E. coli</w:t>
            </w:r>
            <w:r w:rsidR="00012126" w:rsidRPr="009D666B">
              <w:rPr>
                <w:sz w:val="20"/>
                <w:szCs w:val="20"/>
                <w:highlight w:val="yellow"/>
                <w:lang w:val="en-US"/>
              </w:rPr>
              <w:t xml:space="preserve"> pilus antigens (K88, K99, F41 and 987P)</w:t>
            </w:r>
          </w:p>
        </w:tc>
        <w:tc>
          <w:tcPr>
            <w:tcW w:w="1485" w:type="dxa"/>
          </w:tcPr>
          <w:p w14:paraId="39E6E946" w14:textId="77777777" w:rsidR="00012126" w:rsidRPr="009D666B" w:rsidRDefault="00012126" w:rsidP="00E8439F">
            <w:pPr>
              <w:pStyle w:val="TableContents"/>
              <w:cnfStyle w:val="000000000000" w:firstRow="0" w:lastRow="0" w:firstColumn="0" w:lastColumn="0" w:oddVBand="0" w:evenVBand="0" w:oddHBand="0" w:evenHBand="0" w:firstRowFirstColumn="0" w:firstRowLastColumn="0" w:lastRowFirstColumn="0" w:lastRowLastColumn="0"/>
              <w:rPr>
                <w:rFonts w:hint="eastAsia"/>
                <w:i/>
                <w:iCs/>
                <w:sz w:val="20"/>
                <w:szCs w:val="20"/>
                <w:highlight w:val="yellow"/>
                <w:lang w:val="en-US"/>
              </w:rPr>
            </w:pPr>
          </w:p>
          <w:p w14:paraId="367C6E56" w14:textId="6A8FFA3E" w:rsidR="00012126" w:rsidRPr="009D666B" w:rsidRDefault="00012126" w:rsidP="00E8439F">
            <w:pPr>
              <w:pStyle w:val="TableContents"/>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000000"/>
                <w:sz w:val="20"/>
                <w:szCs w:val="20"/>
                <w:highlight w:val="yellow"/>
              </w:rPr>
            </w:pPr>
            <w:r w:rsidRPr="009D666B">
              <w:rPr>
                <w:i/>
                <w:iCs/>
                <w:sz w:val="20"/>
                <w:szCs w:val="20"/>
                <w:highlight w:val="yellow"/>
              </w:rPr>
              <w:t>Merck Animal Health</w:t>
            </w:r>
          </w:p>
        </w:tc>
      </w:tr>
      <w:tr w:rsidR="00E8439F" w:rsidRPr="00E8439F" w14:paraId="7D373437" w14:textId="77777777" w:rsidTr="009D666B">
        <w:trPr>
          <w:cnfStyle w:val="000000100000" w:firstRow="0" w:lastRow="0" w:firstColumn="0" w:lastColumn="0" w:oddVBand="0" w:evenVBand="0" w:oddHBand="1" w:evenHBand="0" w:firstRowFirstColumn="0" w:firstRowLastColumn="0" w:lastRowFirstColumn="0" w:lastRowLastColumn="0"/>
          <w:trHeight w:val="1276"/>
        </w:trPr>
        <w:tc>
          <w:tcPr>
            <w:cnfStyle w:val="001000000000" w:firstRow="0" w:lastRow="0" w:firstColumn="1" w:lastColumn="0" w:oddVBand="0" w:evenVBand="0" w:oddHBand="0" w:evenHBand="0" w:firstRowFirstColumn="0" w:firstRowLastColumn="0" w:lastRowFirstColumn="0" w:lastRowLastColumn="0"/>
            <w:tcW w:w="2338" w:type="dxa"/>
          </w:tcPr>
          <w:p w14:paraId="3080183B" w14:textId="77777777" w:rsidR="00012126" w:rsidRPr="009D666B" w:rsidRDefault="00012126" w:rsidP="009D666B">
            <w:pPr>
              <w:pStyle w:val="TableContents"/>
              <w:rPr>
                <w:rFonts w:hint="eastAsia"/>
                <w:color w:val="000000"/>
                <w:sz w:val="20"/>
                <w:szCs w:val="20"/>
                <w:highlight w:val="yellow"/>
                <w:lang w:val="en-US"/>
              </w:rPr>
            </w:pPr>
            <w:proofErr w:type="spellStart"/>
            <w:r w:rsidRPr="009D666B">
              <w:rPr>
                <w:color w:val="000000"/>
                <w:sz w:val="20"/>
                <w:szCs w:val="20"/>
                <w:highlight w:val="yellow"/>
                <w:lang w:val="en-US"/>
              </w:rPr>
              <w:t>Neocolipor</w:t>
            </w:r>
            <w:proofErr w:type="spellEnd"/>
          </w:p>
          <w:p w14:paraId="10ACE4D1" w14:textId="3D2E6501" w:rsidR="00012126" w:rsidRPr="009D666B" w:rsidRDefault="00012126" w:rsidP="00E8439F">
            <w:pPr>
              <w:pStyle w:val="TableContents"/>
              <w:rPr>
                <w:rFonts w:hint="eastAsia"/>
                <w:color w:val="000000"/>
                <w:sz w:val="20"/>
                <w:szCs w:val="20"/>
                <w:highlight w:val="yellow"/>
                <w:lang w:val="en-US"/>
              </w:rPr>
            </w:pPr>
            <w:r w:rsidRPr="009D666B">
              <w:rPr>
                <w:color w:val="000000"/>
                <w:sz w:val="20"/>
                <w:szCs w:val="20"/>
                <w:highlight w:val="yellow"/>
                <w:lang w:val="en-US"/>
              </w:rPr>
              <w:t>(F4ab (K88ab), F4ac (K88ac), F4ad (|K88 ad) F5 (K99) F6 (987P) and F41)</w:t>
            </w:r>
          </w:p>
        </w:tc>
        <w:tc>
          <w:tcPr>
            <w:tcW w:w="1201" w:type="dxa"/>
          </w:tcPr>
          <w:p w14:paraId="53D2DB6C" w14:textId="37E59B79" w:rsidR="00012126" w:rsidRPr="009D666B" w:rsidRDefault="00012126" w:rsidP="00E8439F">
            <w:pPr>
              <w:pStyle w:val="TableContents"/>
              <w:cnfStyle w:val="000000100000" w:firstRow="0" w:lastRow="0" w:firstColumn="0" w:lastColumn="0" w:oddVBand="0" w:evenVBand="0" w:oddHBand="1" w:evenHBand="0" w:firstRowFirstColumn="0" w:firstRowLastColumn="0" w:lastRowFirstColumn="0" w:lastRowLastColumn="0"/>
              <w:rPr>
                <w:rFonts w:hint="eastAsia"/>
                <w:color w:val="000000"/>
                <w:sz w:val="20"/>
                <w:szCs w:val="20"/>
                <w:highlight w:val="yellow"/>
                <w:lang w:val="en-US"/>
              </w:rPr>
            </w:pPr>
            <w:r w:rsidRPr="009D666B">
              <w:rPr>
                <w:color w:val="000000"/>
                <w:sz w:val="20"/>
                <w:szCs w:val="20"/>
                <w:highlight w:val="yellow"/>
                <w:lang w:val="en-US"/>
              </w:rPr>
              <w:t>2 mL</w:t>
            </w:r>
          </w:p>
        </w:tc>
        <w:tc>
          <w:tcPr>
            <w:tcW w:w="4394" w:type="dxa"/>
          </w:tcPr>
          <w:p w14:paraId="5B38B299" w14:textId="7E8A4F10" w:rsidR="00012126" w:rsidRPr="009D666B" w:rsidRDefault="00012126" w:rsidP="00E8439F">
            <w:pPr>
              <w:pStyle w:val="TableContents"/>
              <w:cnfStyle w:val="000000100000" w:firstRow="0" w:lastRow="0" w:firstColumn="0" w:lastColumn="0" w:oddVBand="0" w:evenVBand="0" w:oddHBand="1" w:evenHBand="0" w:firstRowFirstColumn="0" w:firstRowLastColumn="0" w:lastRowFirstColumn="0" w:lastRowLastColumn="0"/>
              <w:rPr>
                <w:rFonts w:hint="eastAsia"/>
                <w:color w:val="000000"/>
                <w:sz w:val="20"/>
                <w:szCs w:val="20"/>
                <w:highlight w:val="yellow"/>
                <w:lang w:val="en-US"/>
              </w:rPr>
            </w:pPr>
            <w:r w:rsidRPr="009D666B">
              <w:rPr>
                <w:color w:val="000000"/>
                <w:sz w:val="20"/>
                <w:szCs w:val="20"/>
                <w:highlight w:val="yellow"/>
                <w:lang w:val="en-US"/>
              </w:rPr>
              <w:t>Live attenuated vaccine that contains inactivated strains of </w:t>
            </w:r>
            <w:r w:rsidRPr="009D666B">
              <w:rPr>
                <w:i/>
                <w:iCs/>
                <w:color w:val="000000"/>
                <w:sz w:val="20"/>
                <w:szCs w:val="20"/>
                <w:highlight w:val="yellow"/>
                <w:lang w:val="en-US"/>
              </w:rPr>
              <w:t>E. coli </w:t>
            </w:r>
          </w:p>
        </w:tc>
        <w:tc>
          <w:tcPr>
            <w:tcW w:w="1485" w:type="dxa"/>
          </w:tcPr>
          <w:p w14:paraId="292874CB" w14:textId="6B9F12F9" w:rsidR="00012126" w:rsidRPr="009D666B" w:rsidRDefault="00012126" w:rsidP="00E8439F">
            <w:pPr>
              <w:pStyle w:val="TableContents"/>
              <w:cnfStyle w:val="000000100000" w:firstRow="0" w:lastRow="0" w:firstColumn="0" w:lastColumn="0" w:oddVBand="0" w:evenVBand="0" w:oddHBand="1" w:evenHBand="0" w:firstRowFirstColumn="0" w:firstRowLastColumn="0" w:lastRowFirstColumn="0" w:lastRowLastColumn="0"/>
              <w:rPr>
                <w:rFonts w:hint="eastAsia"/>
                <w:color w:val="000000"/>
                <w:sz w:val="20"/>
                <w:szCs w:val="20"/>
                <w:highlight w:val="yellow"/>
                <w:lang w:val="en-US"/>
              </w:rPr>
            </w:pPr>
            <w:r w:rsidRPr="009D666B">
              <w:rPr>
                <w:color w:val="000000"/>
                <w:sz w:val="20"/>
                <w:szCs w:val="20"/>
                <w:highlight w:val="yellow"/>
                <w:lang w:val="en-US"/>
              </w:rPr>
              <w:t>M</w:t>
            </w:r>
            <w:r w:rsidR="00297591" w:rsidRPr="00E8439F">
              <w:rPr>
                <w:color w:val="000000"/>
                <w:sz w:val="20"/>
                <w:szCs w:val="20"/>
                <w:highlight w:val="yellow"/>
                <w:lang w:val="en-US"/>
              </w:rPr>
              <w:t>erial</w:t>
            </w:r>
          </w:p>
        </w:tc>
      </w:tr>
      <w:tr w:rsidR="00E8439F" w:rsidRPr="00E8439F" w14:paraId="585FD26E" w14:textId="77777777" w:rsidTr="009D666B">
        <w:trPr>
          <w:trHeight w:val="557"/>
        </w:trPr>
        <w:tc>
          <w:tcPr>
            <w:cnfStyle w:val="001000000000" w:firstRow="0" w:lastRow="0" w:firstColumn="1" w:lastColumn="0" w:oddVBand="0" w:evenVBand="0" w:oddHBand="0" w:evenHBand="0" w:firstRowFirstColumn="0" w:firstRowLastColumn="0" w:lastRowFirstColumn="0" w:lastRowLastColumn="0"/>
            <w:tcW w:w="0" w:type="dxa"/>
          </w:tcPr>
          <w:p w14:paraId="218376E4" w14:textId="77777777" w:rsidR="00012126" w:rsidRPr="009D666B" w:rsidRDefault="00012126" w:rsidP="009D666B">
            <w:pPr>
              <w:pStyle w:val="TableContents"/>
              <w:rPr>
                <w:rFonts w:hint="eastAsia"/>
                <w:color w:val="000000"/>
                <w:sz w:val="20"/>
                <w:szCs w:val="20"/>
                <w:highlight w:val="yellow"/>
                <w:lang w:val="en-US"/>
              </w:rPr>
            </w:pPr>
            <w:proofErr w:type="spellStart"/>
            <w:r w:rsidRPr="009D666B">
              <w:rPr>
                <w:color w:val="000000"/>
                <w:sz w:val="20"/>
                <w:szCs w:val="20"/>
                <w:highlight w:val="yellow"/>
                <w:lang w:val="en-US"/>
              </w:rPr>
              <w:t>LitterGuard</w:t>
            </w:r>
            <w:proofErr w:type="spellEnd"/>
            <w:r w:rsidRPr="009D666B">
              <w:rPr>
                <w:color w:val="000000"/>
                <w:sz w:val="20"/>
                <w:szCs w:val="20"/>
                <w:highlight w:val="yellow"/>
                <w:lang w:val="en-US"/>
              </w:rPr>
              <w:t>®</w:t>
            </w:r>
          </w:p>
          <w:p w14:paraId="2046F3C1" w14:textId="4B74CD03" w:rsidR="00012126" w:rsidRPr="009D666B" w:rsidRDefault="00012126" w:rsidP="00E8439F">
            <w:pPr>
              <w:pStyle w:val="TableContents"/>
              <w:rPr>
                <w:rFonts w:hint="eastAsia"/>
                <w:color w:val="000000"/>
                <w:sz w:val="20"/>
                <w:szCs w:val="20"/>
                <w:highlight w:val="yellow"/>
                <w:lang w:val="en-US"/>
              </w:rPr>
            </w:pPr>
            <w:r w:rsidRPr="009D666B">
              <w:rPr>
                <w:color w:val="000000"/>
                <w:sz w:val="20"/>
                <w:szCs w:val="20"/>
                <w:highlight w:val="yellow"/>
                <w:lang w:val="en-US"/>
              </w:rPr>
              <w:t>(K99, K88, 987P, F41)</w:t>
            </w:r>
          </w:p>
        </w:tc>
        <w:tc>
          <w:tcPr>
            <w:tcW w:w="1201" w:type="dxa"/>
          </w:tcPr>
          <w:p w14:paraId="5D01EBD5" w14:textId="5AE9D12B" w:rsidR="00012126" w:rsidRPr="009D666B" w:rsidRDefault="00012126" w:rsidP="00E8439F">
            <w:pPr>
              <w:pStyle w:val="TableContents"/>
              <w:cnfStyle w:val="000000000000" w:firstRow="0" w:lastRow="0" w:firstColumn="0" w:lastColumn="0" w:oddVBand="0" w:evenVBand="0" w:oddHBand="0" w:evenHBand="0" w:firstRowFirstColumn="0" w:firstRowLastColumn="0" w:lastRowFirstColumn="0" w:lastRowLastColumn="0"/>
              <w:rPr>
                <w:rFonts w:hint="eastAsia"/>
                <w:color w:val="000000"/>
                <w:sz w:val="20"/>
                <w:szCs w:val="20"/>
                <w:highlight w:val="yellow"/>
                <w:lang w:val="en-US"/>
              </w:rPr>
            </w:pPr>
            <w:r w:rsidRPr="009D666B">
              <w:rPr>
                <w:color w:val="000000"/>
                <w:sz w:val="20"/>
                <w:szCs w:val="20"/>
                <w:highlight w:val="yellow"/>
                <w:lang w:val="en-US"/>
              </w:rPr>
              <w:t>2 mL</w:t>
            </w:r>
          </w:p>
        </w:tc>
        <w:tc>
          <w:tcPr>
            <w:tcW w:w="4394" w:type="dxa"/>
          </w:tcPr>
          <w:p w14:paraId="2DC1377A" w14:textId="570A39BC" w:rsidR="00012126" w:rsidRPr="009D666B" w:rsidRDefault="00012126" w:rsidP="00E8439F">
            <w:pPr>
              <w:pStyle w:val="TableContents"/>
              <w:cnfStyle w:val="000000000000" w:firstRow="0" w:lastRow="0" w:firstColumn="0" w:lastColumn="0" w:oddVBand="0" w:evenVBand="0" w:oddHBand="0" w:evenHBand="0" w:firstRowFirstColumn="0" w:firstRowLastColumn="0" w:lastRowFirstColumn="0" w:lastRowLastColumn="0"/>
              <w:rPr>
                <w:rFonts w:hint="eastAsia"/>
                <w:color w:val="000000"/>
                <w:sz w:val="20"/>
                <w:szCs w:val="20"/>
                <w:highlight w:val="yellow"/>
                <w:lang w:val="en-US"/>
              </w:rPr>
            </w:pPr>
            <w:r w:rsidRPr="009D666B">
              <w:rPr>
                <w:color w:val="000000"/>
                <w:sz w:val="20"/>
                <w:szCs w:val="20"/>
                <w:highlight w:val="yellow"/>
                <w:lang w:val="en-US"/>
              </w:rPr>
              <w:t xml:space="preserve">Live attenuated vaccine that contains chemically inactivated strains of </w:t>
            </w:r>
            <w:r w:rsidRPr="009D666B">
              <w:rPr>
                <w:i/>
                <w:iCs/>
                <w:color w:val="000000"/>
                <w:sz w:val="20"/>
                <w:szCs w:val="20"/>
                <w:highlight w:val="yellow"/>
                <w:lang w:val="en-US"/>
              </w:rPr>
              <w:t>E. coli.</w:t>
            </w:r>
          </w:p>
        </w:tc>
        <w:tc>
          <w:tcPr>
            <w:tcW w:w="0" w:type="dxa"/>
          </w:tcPr>
          <w:p w14:paraId="687A08C7" w14:textId="4E4BFD85" w:rsidR="00012126" w:rsidRPr="009D666B" w:rsidRDefault="00297591" w:rsidP="00E8439F">
            <w:pPr>
              <w:pStyle w:val="TableContents"/>
              <w:cnfStyle w:val="000000000000" w:firstRow="0" w:lastRow="0" w:firstColumn="0" w:lastColumn="0" w:oddVBand="0" w:evenVBand="0" w:oddHBand="0" w:evenHBand="0" w:firstRowFirstColumn="0" w:firstRowLastColumn="0" w:lastRowFirstColumn="0" w:lastRowLastColumn="0"/>
              <w:rPr>
                <w:rFonts w:hint="eastAsia"/>
                <w:color w:val="000000"/>
                <w:sz w:val="20"/>
                <w:szCs w:val="20"/>
                <w:highlight w:val="yellow"/>
                <w:lang w:val="en-US"/>
              </w:rPr>
            </w:pPr>
            <w:r w:rsidRPr="00E8439F">
              <w:rPr>
                <w:color w:val="000000"/>
                <w:sz w:val="20"/>
                <w:szCs w:val="20"/>
                <w:highlight w:val="yellow"/>
                <w:lang w:val="en-US"/>
              </w:rPr>
              <w:t>Z</w:t>
            </w:r>
            <w:r w:rsidR="00012126" w:rsidRPr="009D666B">
              <w:rPr>
                <w:color w:val="000000"/>
                <w:sz w:val="20"/>
                <w:szCs w:val="20"/>
                <w:highlight w:val="yellow"/>
                <w:lang w:val="en-US"/>
              </w:rPr>
              <w:t>oetis</w:t>
            </w:r>
          </w:p>
        </w:tc>
      </w:tr>
      <w:tr w:rsidR="00E8439F" w:rsidRPr="00E8439F" w14:paraId="116B084B" w14:textId="77777777" w:rsidTr="009D666B">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2338" w:type="dxa"/>
            <w:tcBorders>
              <w:bottom w:val="single" w:sz="4" w:space="0" w:color="auto"/>
            </w:tcBorders>
          </w:tcPr>
          <w:p w14:paraId="690334CD" w14:textId="794107A9" w:rsidR="00012126" w:rsidRPr="009D666B" w:rsidRDefault="00012126" w:rsidP="00E8439F">
            <w:pPr>
              <w:pStyle w:val="TableContents"/>
              <w:rPr>
                <w:rFonts w:hint="eastAsia"/>
                <w:color w:val="000000"/>
                <w:sz w:val="20"/>
                <w:szCs w:val="20"/>
                <w:highlight w:val="yellow"/>
                <w:lang w:val="en-US"/>
              </w:rPr>
            </w:pPr>
            <w:proofErr w:type="spellStart"/>
            <w:r w:rsidRPr="009D666B">
              <w:rPr>
                <w:color w:val="000000"/>
                <w:sz w:val="20"/>
                <w:szCs w:val="20"/>
                <w:highlight w:val="yellow"/>
                <w:lang w:val="en-US"/>
              </w:rPr>
              <w:t>LitterGuard</w:t>
            </w:r>
            <w:proofErr w:type="spellEnd"/>
            <w:r w:rsidRPr="009D666B">
              <w:rPr>
                <w:color w:val="000000"/>
                <w:sz w:val="20"/>
                <w:szCs w:val="20"/>
                <w:highlight w:val="yellow"/>
                <w:lang w:val="en-US"/>
              </w:rPr>
              <w:t>® LT-C</w:t>
            </w:r>
          </w:p>
        </w:tc>
        <w:tc>
          <w:tcPr>
            <w:tcW w:w="1201" w:type="dxa"/>
            <w:tcBorders>
              <w:bottom w:val="single" w:sz="4" w:space="0" w:color="auto"/>
            </w:tcBorders>
          </w:tcPr>
          <w:p w14:paraId="3B0D9E40" w14:textId="4ECFD95A" w:rsidR="00012126" w:rsidRPr="009D666B" w:rsidRDefault="00012126" w:rsidP="00E8439F">
            <w:pPr>
              <w:pStyle w:val="TableContents"/>
              <w:cnfStyle w:val="000000100000" w:firstRow="0" w:lastRow="0" w:firstColumn="0" w:lastColumn="0" w:oddVBand="0" w:evenVBand="0" w:oddHBand="1" w:evenHBand="0" w:firstRowFirstColumn="0" w:firstRowLastColumn="0" w:lastRowFirstColumn="0" w:lastRowLastColumn="0"/>
              <w:rPr>
                <w:rFonts w:hint="eastAsia"/>
                <w:color w:val="000000"/>
                <w:sz w:val="20"/>
                <w:szCs w:val="20"/>
                <w:highlight w:val="yellow"/>
                <w:lang w:val="en-US"/>
              </w:rPr>
            </w:pPr>
            <w:r w:rsidRPr="009D666B">
              <w:rPr>
                <w:color w:val="000000"/>
                <w:sz w:val="20"/>
                <w:szCs w:val="20"/>
                <w:highlight w:val="yellow"/>
                <w:lang w:val="en-US"/>
              </w:rPr>
              <w:t>2 mL</w:t>
            </w:r>
          </w:p>
        </w:tc>
        <w:tc>
          <w:tcPr>
            <w:tcW w:w="4394" w:type="dxa"/>
            <w:tcBorders>
              <w:bottom w:val="single" w:sz="4" w:space="0" w:color="auto"/>
            </w:tcBorders>
          </w:tcPr>
          <w:p w14:paraId="147CC7CE" w14:textId="793FE71B" w:rsidR="00012126" w:rsidRPr="009D666B" w:rsidRDefault="00012126" w:rsidP="00E8439F">
            <w:pPr>
              <w:pStyle w:val="TableContents"/>
              <w:cnfStyle w:val="000000100000" w:firstRow="0" w:lastRow="0" w:firstColumn="0" w:lastColumn="0" w:oddVBand="0" w:evenVBand="0" w:oddHBand="1" w:evenHBand="0" w:firstRowFirstColumn="0" w:firstRowLastColumn="0" w:lastRowFirstColumn="0" w:lastRowLastColumn="0"/>
              <w:rPr>
                <w:rFonts w:hint="eastAsia"/>
                <w:color w:val="000000"/>
                <w:sz w:val="20"/>
                <w:szCs w:val="20"/>
                <w:highlight w:val="yellow"/>
                <w:lang w:val="en-US"/>
              </w:rPr>
            </w:pPr>
            <w:r w:rsidRPr="009D666B">
              <w:rPr>
                <w:color w:val="000000"/>
                <w:sz w:val="20"/>
                <w:szCs w:val="20"/>
                <w:highlight w:val="yellow"/>
                <w:lang w:val="en-US"/>
              </w:rPr>
              <w:t xml:space="preserve">Live attenuated vaccine that contains chemically inactivated strains of </w:t>
            </w:r>
            <w:r w:rsidRPr="009D666B">
              <w:rPr>
                <w:i/>
                <w:iCs/>
                <w:color w:val="000000"/>
                <w:sz w:val="20"/>
                <w:szCs w:val="20"/>
                <w:highlight w:val="yellow"/>
                <w:lang w:val="en-US"/>
              </w:rPr>
              <w:t>E. coli</w:t>
            </w:r>
            <w:r w:rsidRPr="009D666B">
              <w:rPr>
                <w:color w:val="000000"/>
                <w:sz w:val="20"/>
                <w:szCs w:val="20"/>
                <w:highlight w:val="yellow"/>
                <w:lang w:val="en-US"/>
              </w:rPr>
              <w:t xml:space="preserve"> and gives protection against beta toxin produced by </w:t>
            </w:r>
            <w:r w:rsidRPr="009D666B">
              <w:rPr>
                <w:i/>
                <w:iCs/>
                <w:color w:val="000000"/>
                <w:sz w:val="20"/>
                <w:szCs w:val="20"/>
                <w:highlight w:val="yellow"/>
                <w:lang w:val="en-US"/>
              </w:rPr>
              <w:t>Clostridium perfringens</w:t>
            </w:r>
            <w:r w:rsidRPr="009D666B">
              <w:rPr>
                <w:color w:val="000000"/>
                <w:sz w:val="20"/>
                <w:szCs w:val="20"/>
                <w:highlight w:val="yellow"/>
                <w:lang w:val="en-US"/>
              </w:rPr>
              <w:t xml:space="preserve"> Type C </w:t>
            </w:r>
          </w:p>
        </w:tc>
        <w:tc>
          <w:tcPr>
            <w:tcW w:w="1485" w:type="dxa"/>
            <w:tcBorders>
              <w:bottom w:val="single" w:sz="4" w:space="0" w:color="auto"/>
            </w:tcBorders>
          </w:tcPr>
          <w:p w14:paraId="1209F96A" w14:textId="79855424" w:rsidR="00012126" w:rsidRPr="009D666B" w:rsidRDefault="00297591" w:rsidP="00E8439F">
            <w:pPr>
              <w:pStyle w:val="TableContents"/>
              <w:cnfStyle w:val="000000100000" w:firstRow="0" w:lastRow="0" w:firstColumn="0" w:lastColumn="0" w:oddVBand="0" w:evenVBand="0" w:oddHBand="1" w:evenHBand="0" w:firstRowFirstColumn="0" w:firstRowLastColumn="0" w:lastRowFirstColumn="0" w:lastRowLastColumn="0"/>
              <w:rPr>
                <w:rFonts w:hint="eastAsia"/>
                <w:color w:val="000000"/>
                <w:sz w:val="20"/>
                <w:szCs w:val="20"/>
                <w:highlight w:val="yellow"/>
                <w:lang w:val="en-US"/>
              </w:rPr>
            </w:pPr>
            <w:r w:rsidRPr="00E8439F">
              <w:rPr>
                <w:color w:val="000000"/>
                <w:sz w:val="20"/>
                <w:szCs w:val="20"/>
                <w:highlight w:val="yellow"/>
                <w:lang w:val="en-US"/>
              </w:rPr>
              <w:t>Z</w:t>
            </w:r>
            <w:r w:rsidR="00012126" w:rsidRPr="009D666B">
              <w:rPr>
                <w:color w:val="000000"/>
                <w:sz w:val="20"/>
                <w:szCs w:val="20"/>
                <w:highlight w:val="yellow"/>
                <w:lang w:val="en-US"/>
              </w:rPr>
              <w:t>oetis</w:t>
            </w:r>
          </w:p>
        </w:tc>
      </w:tr>
      <w:bookmarkEnd w:id="1"/>
    </w:tbl>
    <w:p w14:paraId="0A796CF1" w14:textId="77777777" w:rsidR="00E90DFD" w:rsidRPr="009D666B" w:rsidRDefault="00E90DFD" w:rsidP="00E90DFD">
      <w:pPr>
        <w:spacing w:before="0" w:after="0"/>
        <w:rPr>
          <w:rFonts w:ascii="Liberation Serif" w:eastAsia="NSimSun" w:hAnsi="Liberation Serif" w:cs="Arial" w:hint="eastAsia"/>
          <w:color w:val="000000"/>
          <w:kern w:val="3"/>
          <w:sz w:val="20"/>
          <w:szCs w:val="20"/>
          <w:lang w:eastAsia="zh-CN" w:bidi="hi-IN"/>
        </w:rPr>
      </w:pPr>
    </w:p>
    <w:tbl>
      <w:tblPr>
        <w:tblStyle w:val="SimplesTabela1"/>
        <w:tblpPr w:leftFromText="141" w:rightFromText="141" w:vertAnchor="page" w:horzAnchor="margin" w:tblpY="198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1"/>
        <w:gridCol w:w="2956"/>
        <w:gridCol w:w="3539"/>
      </w:tblGrid>
      <w:tr w:rsidR="00590828" w:rsidRPr="00E90DFD" w14:paraId="03411F04" w14:textId="77777777" w:rsidTr="000F2E10">
        <w:trPr>
          <w:cnfStyle w:val="100000000000" w:firstRow="1" w:lastRow="0" w:firstColumn="0" w:lastColumn="0" w:oddVBand="0" w:evenVBand="0" w:oddHBand="0"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3111" w:type="dxa"/>
            <w:tcBorders>
              <w:top w:val="single" w:sz="4" w:space="0" w:color="auto"/>
              <w:bottom w:val="single" w:sz="4" w:space="0" w:color="auto"/>
            </w:tcBorders>
            <w:vAlign w:val="center"/>
          </w:tcPr>
          <w:p w14:paraId="6FE83014" w14:textId="77777777" w:rsidR="00590828" w:rsidRPr="00E90DFD" w:rsidRDefault="00590828" w:rsidP="00590828">
            <w:pPr>
              <w:spacing w:before="0" w:after="0"/>
              <w:rPr>
                <w:rFonts w:eastAsia="Calibri" w:cs="Times New Roman"/>
                <w:b w:val="0"/>
                <w:sz w:val="20"/>
                <w:szCs w:val="20"/>
              </w:rPr>
            </w:pPr>
            <w:r w:rsidRPr="00E90DFD">
              <w:rPr>
                <w:rFonts w:eastAsia="Calibri" w:cs="Times New Roman"/>
                <w:sz w:val="20"/>
                <w:szCs w:val="20"/>
              </w:rPr>
              <w:lastRenderedPageBreak/>
              <w:t>Genetic target</w:t>
            </w:r>
          </w:p>
        </w:tc>
        <w:tc>
          <w:tcPr>
            <w:tcW w:w="2956" w:type="dxa"/>
            <w:tcBorders>
              <w:top w:val="single" w:sz="4" w:space="0" w:color="auto"/>
              <w:bottom w:val="single" w:sz="4" w:space="0" w:color="auto"/>
            </w:tcBorders>
            <w:vAlign w:val="center"/>
          </w:tcPr>
          <w:p w14:paraId="39895099" w14:textId="77777777" w:rsidR="00590828" w:rsidRPr="00E90DFD" w:rsidRDefault="00590828" w:rsidP="00590828">
            <w:pPr>
              <w:spacing w:before="0" w:after="0"/>
              <w:cnfStyle w:val="100000000000" w:firstRow="1" w:lastRow="0" w:firstColumn="0" w:lastColumn="0" w:oddVBand="0" w:evenVBand="0" w:oddHBand="0" w:evenHBand="0" w:firstRowFirstColumn="0" w:firstRowLastColumn="0" w:lastRowFirstColumn="0" w:lastRowLastColumn="0"/>
              <w:rPr>
                <w:rFonts w:eastAsia="Calibri" w:cs="Times New Roman"/>
                <w:b w:val="0"/>
                <w:sz w:val="20"/>
                <w:szCs w:val="20"/>
              </w:rPr>
            </w:pPr>
            <w:r w:rsidRPr="00E90DFD">
              <w:rPr>
                <w:rFonts w:eastAsia="Calibri" w:cs="Times New Roman"/>
                <w:sz w:val="20"/>
                <w:szCs w:val="20"/>
              </w:rPr>
              <w:t>Chemistry of antisense oligonucleotide</w:t>
            </w:r>
          </w:p>
        </w:tc>
        <w:tc>
          <w:tcPr>
            <w:tcW w:w="3539" w:type="dxa"/>
            <w:tcBorders>
              <w:top w:val="single" w:sz="4" w:space="0" w:color="auto"/>
              <w:bottom w:val="single" w:sz="4" w:space="0" w:color="auto"/>
            </w:tcBorders>
            <w:vAlign w:val="center"/>
          </w:tcPr>
          <w:p w14:paraId="63E5D59F" w14:textId="2BC12B6E" w:rsidR="00590828" w:rsidRPr="00E90DFD" w:rsidRDefault="00590828" w:rsidP="00590828">
            <w:pPr>
              <w:spacing w:before="0" w:after="0"/>
              <w:cnfStyle w:val="100000000000" w:firstRow="1" w:lastRow="0" w:firstColumn="0" w:lastColumn="0" w:oddVBand="0" w:evenVBand="0" w:oddHBand="0" w:evenHBand="0" w:firstRowFirstColumn="0" w:firstRowLastColumn="0" w:lastRowFirstColumn="0" w:lastRowLastColumn="0"/>
              <w:rPr>
                <w:rFonts w:eastAsia="Calibri" w:cs="Times New Roman"/>
                <w:b w:val="0"/>
                <w:sz w:val="20"/>
                <w:szCs w:val="20"/>
              </w:rPr>
            </w:pPr>
            <w:r w:rsidRPr="00E90DFD">
              <w:rPr>
                <w:rFonts w:eastAsia="Calibri" w:cs="Times New Roman"/>
                <w:sz w:val="20"/>
                <w:szCs w:val="20"/>
              </w:rPr>
              <w:t>Reference</w:t>
            </w:r>
            <w:r w:rsidR="00CB4F2C" w:rsidRPr="00E90DFD">
              <w:rPr>
                <w:rFonts w:eastAsia="Calibri" w:cs="Times New Roman"/>
                <w:b w:val="0"/>
                <w:sz w:val="20"/>
                <w:szCs w:val="20"/>
              </w:rPr>
              <w:t xml:space="preserve"> </w:t>
            </w:r>
            <w:r w:rsidRPr="00E90DFD">
              <w:rPr>
                <w:rFonts w:eastAsia="Calibri" w:cs="Times New Roman"/>
                <w:sz w:val="20"/>
                <w:szCs w:val="20"/>
              </w:rPr>
              <w:t>(s)</w:t>
            </w:r>
          </w:p>
        </w:tc>
      </w:tr>
      <w:tr w:rsidR="00590828" w:rsidRPr="00E90DFD" w14:paraId="4A2E3469" w14:textId="77777777" w:rsidTr="000F2E10">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3111" w:type="dxa"/>
            <w:vMerge w:val="restart"/>
            <w:tcBorders>
              <w:top w:val="single" w:sz="4" w:space="0" w:color="auto"/>
            </w:tcBorders>
            <w:vAlign w:val="center"/>
          </w:tcPr>
          <w:p w14:paraId="744F7F4B" w14:textId="77777777" w:rsidR="00590828" w:rsidRPr="00E90DFD" w:rsidRDefault="00590828" w:rsidP="00590828">
            <w:pPr>
              <w:spacing w:before="0" w:after="0"/>
              <w:rPr>
                <w:rFonts w:eastAsia="Calibri" w:cs="Times New Roman"/>
                <w:sz w:val="20"/>
                <w:szCs w:val="20"/>
              </w:rPr>
            </w:pPr>
            <w:proofErr w:type="spellStart"/>
            <w:r w:rsidRPr="00E90DFD">
              <w:rPr>
                <w:rFonts w:eastAsia="Calibri" w:cs="Times New Roman"/>
                <w:i/>
                <w:iCs/>
                <w:sz w:val="20"/>
                <w:szCs w:val="20"/>
              </w:rPr>
              <w:t>acpP</w:t>
            </w:r>
            <w:proofErr w:type="spellEnd"/>
            <w:r w:rsidRPr="00E90DFD">
              <w:rPr>
                <w:rFonts w:eastAsia="Calibri" w:cs="Times New Roman"/>
                <w:sz w:val="20"/>
                <w:szCs w:val="20"/>
              </w:rPr>
              <w:t xml:space="preserve"> </w:t>
            </w:r>
          </w:p>
          <w:p w14:paraId="28D34BD9" w14:textId="77777777" w:rsidR="00590828" w:rsidRPr="00E90DFD" w:rsidRDefault="00590828" w:rsidP="00590828">
            <w:pPr>
              <w:spacing w:before="0" w:after="0"/>
              <w:rPr>
                <w:rFonts w:eastAsia="Calibri" w:cs="Times New Roman"/>
                <w:sz w:val="20"/>
                <w:szCs w:val="20"/>
              </w:rPr>
            </w:pPr>
            <w:r w:rsidRPr="00E90DFD">
              <w:rPr>
                <w:rFonts w:eastAsia="Calibri" w:cs="Times New Roman"/>
                <w:sz w:val="20"/>
                <w:szCs w:val="20"/>
              </w:rPr>
              <w:t>(</w:t>
            </w:r>
            <w:proofErr w:type="gramStart"/>
            <w:r w:rsidRPr="00E90DFD">
              <w:rPr>
                <w:rFonts w:eastAsia="Calibri" w:cs="Times New Roman"/>
                <w:sz w:val="20"/>
                <w:szCs w:val="20"/>
              </w:rPr>
              <w:t>acyl</w:t>
            </w:r>
            <w:proofErr w:type="gramEnd"/>
            <w:r w:rsidRPr="00E90DFD">
              <w:rPr>
                <w:rFonts w:eastAsia="Calibri" w:cs="Times New Roman"/>
                <w:sz w:val="20"/>
                <w:szCs w:val="20"/>
              </w:rPr>
              <w:t xml:space="preserve"> carrier protein; fatty acid biosynthesis)</w:t>
            </w:r>
          </w:p>
        </w:tc>
        <w:tc>
          <w:tcPr>
            <w:tcW w:w="2956" w:type="dxa"/>
            <w:tcBorders>
              <w:top w:val="single" w:sz="4" w:space="0" w:color="auto"/>
            </w:tcBorders>
            <w:vAlign w:val="center"/>
          </w:tcPr>
          <w:p w14:paraId="4D118817" w14:textId="77777777" w:rsidR="00590828" w:rsidRPr="00E90DFD" w:rsidRDefault="00590828" w:rsidP="00590828">
            <w:pPr>
              <w:spacing w:before="0" w:after="0"/>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E90DFD">
              <w:rPr>
                <w:rFonts w:eastAsia="Calibri" w:cs="Times New Roman"/>
                <w:sz w:val="20"/>
                <w:szCs w:val="20"/>
              </w:rPr>
              <w:t>Peptide-peptide nucleic acid (PNA) conjugate</w:t>
            </w:r>
          </w:p>
        </w:tc>
        <w:tc>
          <w:tcPr>
            <w:tcW w:w="3539" w:type="dxa"/>
            <w:tcBorders>
              <w:top w:val="single" w:sz="4" w:space="0" w:color="auto"/>
            </w:tcBorders>
            <w:vAlign w:val="center"/>
          </w:tcPr>
          <w:p w14:paraId="349EC667" w14:textId="488BD37D" w:rsidR="00590828" w:rsidRPr="00E90DFD" w:rsidRDefault="00590828" w:rsidP="00590828">
            <w:pPr>
              <w:spacing w:before="0" w:after="0"/>
              <w:cnfStyle w:val="000000100000" w:firstRow="0" w:lastRow="0" w:firstColumn="0" w:lastColumn="0" w:oddVBand="0" w:evenVBand="0" w:oddHBand="1" w:evenHBand="0" w:firstRowFirstColumn="0" w:firstRowLastColumn="0" w:lastRowFirstColumn="0" w:lastRowLastColumn="0"/>
              <w:rPr>
                <w:rFonts w:eastAsia="Calibri" w:cs="Times New Roman"/>
                <w:b/>
                <w:bCs/>
                <w:sz w:val="20"/>
                <w:szCs w:val="20"/>
              </w:rPr>
            </w:pPr>
            <w:r w:rsidRPr="00E90DFD">
              <w:rPr>
                <w:rFonts w:eastAsia="Calibri" w:cs="Times New Roman"/>
                <w:b/>
                <w:bCs/>
                <w:sz w:val="20"/>
                <w:szCs w:val="20"/>
              </w:rPr>
              <w:fldChar w:fldCharType="begin" w:fldLock="1"/>
            </w:r>
            <w:r w:rsidR="00D14EC6" w:rsidRPr="00E90DFD">
              <w:rPr>
                <w:rFonts w:eastAsia="Calibri" w:cs="Times New Roman"/>
                <w:b/>
                <w:bCs/>
                <w:sz w:val="20"/>
                <w:szCs w:val="20"/>
              </w:rPr>
              <w:instrText>ADDIN CSL_CITATION {"citationItems":[{"id":"ITEM-1","itemData":{"DOI":"10.1038/86753","ISSN":"10870156","PMID":"11283595","abstract":"Antisense peptide nucleic acids (PNAs) can specifically inhibit Escherichia coli gene expression and growth and hold promise as anti-infective agents and as tools for microbial functional genomics. Here we demonstrate that chemical modification improves the potency of standard PNAs. We show that 9- to 12-mer PNAs, especially when attached to the cell wall/membrane-active peptide KFFKFFKFFK, provide improvements in antisense potency in E. coli amounting to two orders of magnitude while retaining target specificity. Peptide-PNA conjugates targeted to ribosomal RNA (rRNA) and to messenger RNA (mRNA) encoding the essential fatty acid biosynthesis protein Acp prevented cell growth. The anti-acpP PNA at 2 μM concentration cured HeLa cell cultures noninvasively infected with E. coli K12 without any apparent toxicity to the human cells. These results indicate that peptides can be used to carry antisense PNA agents into bacteria. Such peptide-PNA conjugates open exciting possibilities for anti-infective drug development and provide new tools for microbial genetics.","author":[{"dropping-particle":"","family":"Good","given":"Liam","non-dropping-particle":"","parse-names":false,"suffix":""},{"dropping-particle":"","family":"Awasthi","given":"Satish Kumar","non-dropping-particle":"","parse-names":false,"suffix":""},{"dropping-particle":"","family":"Dryselius","given":"Rikard","non-dropping-particle":"","parse-names":false,"suffix":""},{"dropping-particle":"","family":"Larsson","given":"Ola","non-dropping-particle":"","parse-names":false,"suffix":""},{"dropping-particle":"","family":"Nielsen","given":"Peter E.","non-dropping-particle":"","parse-names":false,"suffix":""}],"container-title":"Nature Biotechnology","id":"ITEM-1","issue":"4","issued":{"date-parts":[["2001"]]},"page":"360-364","title":"Bactericidal antisense effects of peptide - PNA conjugates","type":"article-journal","volume":"19"},"uris":["http://www.mendeley.com/documents/?uuid=96ca7206-74f6-4d50-b7c7-60adc6fe7ada"]},{"id":"ITEM-2","itemData":{"DOI":"10.1128/AAC.49.8.3203-3207.2005","ISSN":"00664804","PMID":"16048926","abstract":"Antisense oligodeoxynucleotides (ODNs) and their analogs have been successfully utilized to inhibit gene expression and bacterial growth in vitro or in cell culture. In this study, acpP-targeting antisense peptide nucleic acid (PNA) and its peptide conjugate were tested as potential antibacterial agents in two groups of experiments using a mouse model. In the first group, Escherichia coli mutant strain SM101 with a defective outer membrane was used to induce bacteremia and peritonitis in BALB/c mice by intraperitoneal (i.p.) injection. The resulting bacteremia was fatal within 48 h. A single i.p injection of 5 nmol (or more) of PNA administered 30 min before bacterial challenge significantly reduced the bacterial load in mouse blood. Reductions in serum concentrations of the proinflammatory cytokines tumor necrosis factor alpha, interleukin-1β (IL-1β), IL-6, and IL-12 were also observed. PNA treatment was effective in rescuing 100% of infected animals. In the second group, bacteremia in BALB/c mice was induced by i.p. injection of E. coli wild-type strain K-12. The infected mice were treated by a single intravenous injection of peptide-PNA conjugate 30 min after bacterial challenge. Treatment with the peptide-PNA conjugate significantly reduced the K-12 load, with modest reduction in cytokine concentrations. The conjugate treatment was also able to rescue up to 60% of infected animals. This report is the first demonstration of ODNs' antibacterial efficacy in an animal disease model. The ability of PNA and its peptide conjugate to inhibit bacterial growth and to prevent fatal infection demonstrates the potential for this new class of antibacterial agents. Copyright © 2005, American Society for Microbiology. All Rights Reserved.","author":[{"dropping-particle":"","family":"Tan","given":"Xin Xing","non-dropping-particle":"","parse-names":false,"suffix":""},{"dropping-particle":"","family":"Actor","given":"Jeffrey K.","non-dropping-particle":"","parse-names":false,"suffix":""},{"dropping-particle":"","family":"Chen","given":"Yin","non-dropping-particle":"","parse-names":false,"suffix":""}],"container-title":"Antimicrobial Agents and Chemotherapy","id":"ITEM-2","issue":"8","issued":{"date-parts":[["2005"]]},"page":"3203-3207","title":"Peptide nucleic acid antisense oligomer as a therapeutic strategy against bacterial infection: Proof of principle using mouse intraperitoneal infection","type":"article-journal","volume":"49"},"uris":["http://www.mendeley.com/documents/?uuid=9df992ec-e9ec-4f88-a23a-07219719fcf6"]},{"id":"ITEM-3","itemData":{"DOI":"10.1038/sj.mt.6300209","ISSN":"15250016","PMID":"17534267","abstract":"Antisense agents that target growth-essential genes display surprisingly potent bactericidal properties. In particular, peptide nucleic acid (PNA) and phosphorodiamidate morpholino oligomers linked to cationic carrier peptides are effective in time kill assays and as inhibitors of bacterial peritonitis in mice. It is unclear how these relatively large antimicrobials overcome stringent bacterial barriers and mediate killing. Here we determined the transit kinetics of peptide-PNAs and observed an accumulation of cell-associated PNA in Escherichia coli and slow efflux. An inhibitor of drug efflux pumps did not alter peptide-PNA potency, indicating a lack of active efflux from cells. Consistent with cell retention, the post-antibiotic effect (PAE) of the anti-acyl carrier protein (acpP) peptide-PNA was greater than 11 hours. Bacterial cell accumulation and a long PAE are properties of significant interest for antimicrobial development.","author":[{"dropping-particle":"","family":"Nikravesh","given":"Abbas","non-dropping-particle":"","parse-names":false,"suffix":""},{"dropping-particle":"","family":"Dryselius","given":"Rikard","non-dropping-particle":"","parse-names":false,"suffix":""},{"dropping-particle":"","family":"Faridani","given":"Omid R.","non-dropping-particle":"","parse-names":false,"suffix":""},{"dropping-particle":"","family":"Goh","given":"Shan","non-dropping-particle":"","parse-names":false,"suffix":""},{"dropping-particle":"","family":"Sadeghizadeh","given":"Majid","non-dropping-particle":"","parse-names":false,"suffix":""},{"dropping-particle":"","family":"Behmanesh","given":"Mehrdad","non-dropping-particle":"","parse-names":false,"suffix":""},{"dropping-particle":"","family":"Ganyu","given":"Anita","non-dropping-particle":"","parse-names":false,"suffix":""},{"dropping-particle":"","family":"Klok","given":"Erik Jan","non-dropping-particle":"","parse-names":false,"suffix":""},{"dropping-particle":"","family":"Zain","given":"Rula","non-dropping-particle":"","parse-names":false,"suffix":""},{"dropping-particle":"","family":"Good","given":"Liam","non-dropping-particle":"","parse-names":false,"suffix":""}],"container-title":"Molecular Therapy","id":"ITEM-3","issue":"8","issued":{"date-parts":[["2007"]]},"page":"1537-1542","publisher":"The American Society of Gene Therapy","title":"Antisense PNA accumulates in Escherichia coli and mediates a long post-antibiotic effect","type":"article-journal","volume":"15"},"uris":["http://www.mendeley.com/documents/?uuid=fe339abc-b4cf-4b6f-9f24-8a69a598afb2"]}],"mendeley":{"formattedCitation":"(Good et al., 2001; Tan et al., 2005; Nikravesh et al., 2007)","plainTextFormattedCitation":"(Good et al., 2001; Tan et al., 2005; Nikravesh et al., 2007)","previouslyFormattedCitation":"(Good et al., 2001; Tan et al., 2005; Nikravesh et al., 2007)"},"properties":{"noteIndex":0},"schema":"https://github.com/citation-style-language/schema/raw/master/csl-citation.json"}</w:instrText>
            </w:r>
            <w:r w:rsidRPr="00E90DFD">
              <w:rPr>
                <w:rFonts w:eastAsia="Calibri" w:cs="Times New Roman"/>
                <w:b/>
                <w:bCs/>
                <w:sz w:val="20"/>
                <w:szCs w:val="20"/>
              </w:rPr>
              <w:fldChar w:fldCharType="separate"/>
            </w:r>
            <w:r w:rsidRPr="00E90DFD">
              <w:rPr>
                <w:rFonts w:eastAsia="Calibri" w:cs="Times New Roman"/>
                <w:b/>
                <w:bCs/>
                <w:noProof/>
                <w:sz w:val="20"/>
                <w:szCs w:val="20"/>
              </w:rPr>
              <w:t>(Good et al., 2001; Tan et al., 2005; Nikravesh et al., 2007)</w:t>
            </w:r>
            <w:r w:rsidRPr="00E90DFD">
              <w:rPr>
                <w:rFonts w:eastAsia="Calibri" w:cs="Times New Roman"/>
                <w:b/>
                <w:bCs/>
                <w:sz w:val="20"/>
                <w:szCs w:val="20"/>
              </w:rPr>
              <w:fldChar w:fldCharType="end"/>
            </w:r>
            <w:r w:rsidRPr="00E90DFD">
              <w:rPr>
                <w:rFonts w:eastAsia="Calibri" w:cs="Times New Roman"/>
                <w:b/>
                <w:bCs/>
                <w:sz w:val="20"/>
                <w:szCs w:val="20"/>
              </w:rPr>
              <w:t xml:space="preserve"> </w:t>
            </w:r>
          </w:p>
        </w:tc>
      </w:tr>
      <w:tr w:rsidR="00590828" w:rsidRPr="00E90DFD" w14:paraId="0C67A6AA" w14:textId="77777777" w:rsidTr="000F2E10">
        <w:trPr>
          <w:trHeight w:val="526"/>
        </w:trPr>
        <w:tc>
          <w:tcPr>
            <w:cnfStyle w:val="001000000000" w:firstRow="0" w:lastRow="0" w:firstColumn="1" w:lastColumn="0" w:oddVBand="0" w:evenVBand="0" w:oddHBand="0" w:evenHBand="0" w:firstRowFirstColumn="0" w:firstRowLastColumn="0" w:lastRowFirstColumn="0" w:lastRowLastColumn="0"/>
            <w:tcW w:w="3111" w:type="dxa"/>
            <w:vMerge/>
            <w:vAlign w:val="center"/>
          </w:tcPr>
          <w:p w14:paraId="699D7590" w14:textId="77777777" w:rsidR="00590828" w:rsidRPr="00E90DFD" w:rsidRDefault="00590828" w:rsidP="00590828">
            <w:pPr>
              <w:spacing w:before="0" w:after="0"/>
              <w:rPr>
                <w:rFonts w:eastAsia="Calibri" w:cs="Times New Roman"/>
                <w:sz w:val="20"/>
                <w:szCs w:val="20"/>
              </w:rPr>
            </w:pPr>
          </w:p>
        </w:tc>
        <w:tc>
          <w:tcPr>
            <w:tcW w:w="2956" w:type="dxa"/>
            <w:vAlign w:val="center"/>
          </w:tcPr>
          <w:p w14:paraId="58B3F1D9" w14:textId="77777777" w:rsidR="00590828" w:rsidRPr="00E90DFD" w:rsidRDefault="00590828" w:rsidP="00590828">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roofErr w:type="spellStart"/>
            <w:r w:rsidRPr="00E90DFD">
              <w:rPr>
                <w:rFonts w:eastAsia="Calibri" w:cs="Times New Roman"/>
                <w:sz w:val="20"/>
                <w:szCs w:val="20"/>
              </w:rPr>
              <w:t>Phosphorodiamidate</w:t>
            </w:r>
            <w:proofErr w:type="spellEnd"/>
            <w:r w:rsidRPr="00E90DFD">
              <w:rPr>
                <w:rFonts w:eastAsia="Calibri" w:cs="Times New Roman"/>
                <w:sz w:val="20"/>
                <w:szCs w:val="20"/>
              </w:rPr>
              <w:t xml:space="preserve"> morpholino (PMO)</w:t>
            </w:r>
          </w:p>
          <w:p w14:paraId="0A51F830" w14:textId="77777777" w:rsidR="00590828" w:rsidRPr="00E90DFD" w:rsidRDefault="00590828" w:rsidP="00590828">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3539" w:type="dxa"/>
            <w:vAlign w:val="center"/>
          </w:tcPr>
          <w:p w14:paraId="05AB0190" w14:textId="2157361F" w:rsidR="00590828" w:rsidRPr="00E90DFD" w:rsidRDefault="00590828" w:rsidP="00590828">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b/>
                <w:bCs/>
                <w:sz w:val="20"/>
                <w:szCs w:val="20"/>
              </w:rPr>
            </w:pPr>
            <w:r w:rsidRPr="00E90DFD">
              <w:rPr>
                <w:rFonts w:eastAsia="Calibri" w:cs="Times New Roman"/>
                <w:b/>
                <w:bCs/>
                <w:sz w:val="20"/>
                <w:szCs w:val="20"/>
              </w:rPr>
              <w:fldChar w:fldCharType="begin" w:fldLock="1"/>
            </w:r>
            <w:r w:rsidR="00D14EC6" w:rsidRPr="00E90DFD">
              <w:rPr>
                <w:rFonts w:eastAsia="Calibri" w:cs="Times New Roman"/>
                <w:b/>
                <w:bCs/>
                <w:sz w:val="20"/>
                <w:szCs w:val="20"/>
              </w:rPr>
              <w:instrText xml:space="preserve">ADDIN CSL_CITATION {"citationItems":[{"id":"ITEM-1","itemData":{"DOI":"10.1128/AAC.47.10.3233","author":[{"dropping-particle":"","family":"Geller","given":"B L","non-dropping-particle":"","parse-names":false,"suffix":""},{"dropping-particle":"","family":"Deere","given":"J D","non-dropping-particle":"","parse-names":false,"suffix":""},{"dropping-particle":"","family":"Stein","given":"D A","non-dropping-particle":"","parse-names":false,"suffix":""},{"dropping-particle":"","family":"Kroeker","given":"A D","non-dropping-particle":"","parse-names":false,"suffix":""},{"dropping-particle":"","family":"Iversen","given":"P L","non-dropping-particle":"","parse-names":false,"suffix":""},{"dropping-particle":"","family":"Moulton","given":"H M","non-dropping-particle":"","parse-names":false,"suffix":""}],"container-title":"Antimicrobial Agents and Chemotherapy","id":"ITEM-1","issue":"10","issued":{"date-parts":[["2003"]]},"page":"3233-3239","title":"Inhibition of Gene Expression in Escherichia coli by Antisense Phosphorodiamidate Morpholino Oligomers Downloaded from http://aac.asm.org/ on December 7 , 2012 by VETERINARY LABORATORIES AGENCY Inhibition of Gene Expression in Escherichia coli by Antisens","type":"article-journal","volume":"47"},"uris":["http://www.mendeley.com/documents/?uuid=4d7d70b9-2086-496e-922b-f1d1d142b62e"]},{"id":"ITEM-2","itemData":{"DOI":"10.1128/AAC.49.1.249-255.2005","ISSN":"00664804","PMID":"15616302","abstract":"Phosphorodiamidate morpholino oligomers (PMOs) are synthetic DNA analogs that inhibit gene expression in a sequence-dependent manner. PMOs of various lengths (7 to 20 bases) were tested for inhibition of luciferase expression in Escherichia coli. Shorter PMOs generally inhibited luciferase greater than longer PMOs. Conversely, in bacterial cell-free protein synthesis reactions, longer PMOs inhibited equally or more than shorter PMOs. Overlapping, isometric (10-base) PMOs complementary to the region around the start codon of luciferase inhibited to different extents in bacterial cell-free protein expression reactions. Including the anti-start codon in PMOs was not required for maximal inhibition. PMOs targeted to 5′ nontranslated or 3′ coding regions within luciferase mRNA did not inhibit, except for one PMO targeted to the ribosome-binding site. Inhibition of luciferase expression correlated negatively with the predicted secondary structure of mRNA regions targeted by PMO but did not correlate with C+G content of targeted regions. The effects of PMO length and position were corroborated by using PMOs (6 to 20 bases) targeted to acpP, a gene required for viability. Because inhibition by PMOs of </w:instrText>
            </w:r>
            <w:r w:rsidR="00D14EC6" w:rsidRPr="00E90DFD">
              <w:rPr>
                <w:rFonts w:ascii="Cambria Math" w:eastAsia="Calibri" w:hAnsi="Cambria Math" w:cs="Cambria Math"/>
                <w:b/>
                <w:bCs/>
                <w:sz w:val="20"/>
                <w:szCs w:val="20"/>
              </w:rPr>
              <w:instrText>∼</w:instrText>
            </w:r>
            <w:r w:rsidR="00D14EC6" w:rsidRPr="00E90DFD">
              <w:rPr>
                <w:rFonts w:eastAsia="Calibri" w:cs="Times New Roman"/>
                <w:b/>
                <w:bCs/>
                <w:sz w:val="20"/>
                <w:szCs w:val="20"/>
              </w:rPr>
              <w:instrText xml:space="preserve">11 bases was unexpected based on previous results in eukaryotes, we tested an 11-base PMO in HeLa cells and reticulocyte cell-free protein synthesis reactions. The 11-base PMO significantly inhibited luciferase expression in HeLa cells, although less than did a 20-base PMO. In reticulocyte cell-free reactions, there was a trend toward more inhibition with longer PMOs. These studies indicate that strategies for designing PMOs are substantially difierent for prokaryotic than eukaryotic targets.","author":[{"dropping-particle":"","family":"Deere","given":"Jesse","non-dropping-particle":"","parse-names":false,"suffix":""},{"dropping-particle":"","family":"Iversen","given":"Pat","non-dropping-particle":"","parse-names":false,"suffix":""},{"dropping-particle":"","family":"Geller","given":"Bruce L.","non-dropping-particle":"","parse-names":false,"suffix":""}],"container-title":"Antimicrobial Agents and Chemotherapy","id":"ITEM-2","issue":"1","issued":{"date-parts":[["2005"]]},"page":"249-255","title":"Antisense phosphorodiamidate morpholino oligomer length and target position effects on gene-specific inhibition in Escherichia coli","type":"article-journal","volume":"49"},"uris":["http://www.mendeley.com/documents/?uuid=39f09a6c-4c44-429d-af32-5cd61c28d571"]},{"id":"ITEM-3","itemData":{"DOI":"10.1093/jac/dki129","ISSN":"03057453","PMID":"15872045","abstract":"Objectives: Antisense phosphorodiamidate morpholino oligomers (PMOs) are synthetic DNA mimics that specifically inhibit gene expression in pure cultures of Escherichia coli. Previously, an 11 base PMO targeted to an essential gene (acpP) for phospholipid biosynthesis was shown to inhibit growth of a pure culture of E. coli AS19, which has an abnormally permeable outer membrane. The objectives of experiments in this report are to show that the AcpP PMO significantly inhibits growth of strain SM105, which has a normal, intact outer membrane, both in pure culture and in infected mice. Methods: In pure culture, SM105 was grown in rich broth supplemented with 20 μM AcpP PMO, and growth was monitored by optical density and viable cell count. Mice were infected by intraperitoneal injection with a non-lethal inoculum of either E. coli AS19 or SM105. Following infection, mice were treated intraperitoneally with 300 μg of the 11 base antisense PMO targeted to acpp, a scrambled sequence PMO or PBS. Results: Growth of SM105 was slower and viable cells were significantly reduced by up to 61% in pure cultures supplemented with AcpP PMO compared with untreated cultures or cultures supplemented with a scrambled sequence PMO. A single dose of AcpP PMO reduced peritoneal cfu of E. Coli AS19 about 39- to 600-fold compared with controls at 2, 7, 13 and 23 h after treatment. The same PMO significantly reduced cfu of E. coli SM105 75% compared with controls at 12 h after treatment. However, there was no difference in cfu at 2, 7 or 24h. A second dose at 24h again reduced SM105 cfu about 10-fold by 48 h post-infection. In other experiments with infected mice, multiple doses of AcpP PMO sustained the </w:instrText>
            </w:r>
            <w:r w:rsidR="00D14EC6" w:rsidRPr="00E90DFD">
              <w:rPr>
                <w:rFonts w:ascii="Cambria Math" w:eastAsia="Calibri" w:hAnsi="Cambria Math" w:cs="Cambria Math"/>
                <w:b/>
                <w:bCs/>
                <w:sz w:val="20"/>
                <w:szCs w:val="20"/>
              </w:rPr>
              <w:instrText>∼</w:instrText>
            </w:r>
            <w:r w:rsidR="00D14EC6" w:rsidRPr="00E90DFD">
              <w:rPr>
                <w:rFonts w:eastAsia="Calibri" w:cs="Times New Roman"/>
                <w:b/>
                <w:bCs/>
                <w:sz w:val="20"/>
                <w:szCs w:val="20"/>
              </w:rPr>
              <w:instrText>10-fold reduction in SM105 cfu at 6, 12 and 24 h post-infection. Compared with equivalent (micromolar) doses of ampicillin, AcpP PMO was significantly more effective at all time points. Specificity of PMO inhibition was shown in other experiments by treating infected mice with a PMO targeted to a non-essential reporter gene for luciferase. A luciferase-specific PMO reduced both the amount and activity of luciferase to the same extent, whereas scrambled PMO had no effect. Conclusions: An 11 base antisense PMO targeted to acpP significantly inhibited viability of a strain of E. coli with a normal, intact outer membrane both in pure culture and in infected mice. Inhibition by PMOs was sequence-specific. © The Author 2005. Published by Oxford University Press on behalf of the British…","author":[{"dropping-particle":"","family":"Geller","given":"Bruce L.","non-dropping-particle":"","parse-names":false,"suffix":""},{"dropping-particle":"","family":"Deere","given":"Jesse","non-dropping-particle":"","parse-names":false,"suffix":""},{"dropping-particle":"","family":"Tilley","given":"Lucas","non-dropping-particle":"","parse-names":false,"suffix":""},{"dropping-particle":"","family":"Iversen","given":"Patrick L.","non-dropping-particle":"","parse-names":false,"suffix":""}],"container-title":"Journal of Antimicrobial Chemotherapy","id":"ITEM-3","issue":"6","issued":{"date-parts":[["2005"]]},"page":"983-988","title":"Antisense phosphorodiamidate morpholino oligomer inhibits viability of Escherichia coli in pure culture and in mouse peritonitis","type":"article-journal","volume":"55"},"uris":["http://www.mendeley.com/documents/?uuid=e1a96387-89e5-4134-80f3-7c56eb845ed9"]}],"mendeley":{"formattedCitation":"(Geller et al., 2003, 2005; Deere et al., 2005)","plainTextFormattedCitation":"(Geller et al., 2003, 2005; Deere et al., 2005)","previouslyFormattedCitation":"(Geller et al., 2003, 2005; Deere et al., 2005)"},"properties":{"noteIndex":0},"schema":"https://github.com/citation-style-language/schema/raw/master/csl-citation.json"}</w:instrText>
            </w:r>
            <w:r w:rsidRPr="00E90DFD">
              <w:rPr>
                <w:rFonts w:eastAsia="Calibri" w:cs="Times New Roman"/>
                <w:b/>
                <w:bCs/>
                <w:sz w:val="20"/>
                <w:szCs w:val="20"/>
              </w:rPr>
              <w:fldChar w:fldCharType="separate"/>
            </w:r>
            <w:r w:rsidRPr="00E90DFD">
              <w:rPr>
                <w:rFonts w:eastAsia="Calibri" w:cs="Times New Roman"/>
                <w:b/>
                <w:bCs/>
                <w:noProof/>
                <w:sz w:val="20"/>
                <w:szCs w:val="20"/>
              </w:rPr>
              <w:t>(Geller et al., 2003, 2005; Deere et al., 2005)</w:t>
            </w:r>
            <w:r w:rsidRPr="00E90DFD">
              <w:rPr>
                <w:rFonts w:eastAsia="Calibri" w:cs="Times New Roman"/>
                <w:b/>
                <w:bCs/>
                <w:sz w:val="20"/>
                <w:szCs w:val="20"/>
              </w:rPr>
              <w:fldChar w:fldCharType="end"/>
            </w:r>
          </w:p>
        </w:tc>
      </w:tr>
      <w:tr w:rsidR="00590828" w:rsidRPr="00E90DFD" w14:paraId="0839E595" w14:textId="77777777" w:rsidTr="000F2E10">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3111" w:type="dxa"/>
            <w:vMerge/>
            <w:vAlign w:val="center"/>
          </w:tcPr>
          <w:p w14:paraId="7F7187D1" w14:textId="77777777" w:rsidR="00590828" w:rsidRPr="00E90DFD" w:rsidRDefault="00590828" w:rsidP="00590828">
            <w:pPr>
              <w:spacing w:before="0" w:after="0"/>
              <w:rPr>
                <w:rFonts w:eastAsia="Calibri" w:cs="Times New Roman"/>
                <w:sz w:val="20"/>
                <w:szCs w:val="20"/>
              </w:rPr>
            </w:pPr>
          </w:p>
        </w:tc>
        <w:tc>
          <w:tcPr>
            <w:tcW w:w="2956" w:type="dxa"/>
            <w:vAlign w:val="center"/>
          </w:tcPr>
          <w:p w14:paraId="417468BE" w14:textId="77777777" w:rsidR="00590828" w:rsidRPr="00E90DFD" w:rsidRDefault="00590828" w:rsidP="00590828">
            <w:pPr>
              <w:spacing w:before="0" w:after="0"/>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E90DFD">
              <w:rPr>
                <w:rFonts w:eastAsia="Calibri" w:cs="Times New Roman"/>
                <w:sz w:val="20"/>
                <w:szCs w:val="20"/>
              </w:rPr>
              <w:t>dendron–PNA conjugates</w:t>
            </w:r>
          </w:p>
        </w:tc>
        <w:tc>
          <w:tcPr>
            <w:tcW w:w="3539" w:type="dxa"/>
            <w:vAlign w:val="center"/>
          </w:tcPr>
          <w:p w14:paraId="29E318C4" w14:textId="3D72D8AB" w:rsidR="00590828" w:rsidRPr="00E90DFD" w:rsidRDefault="00590828" w:rsidP="00590828">
            <w:pPr>
              <w:spacing w:before="0" w:after="0"/>
              <w:cnfStyle w:val="000000100000" w:firstRow="0" w:lastRow="0" w:firstColumn="0" w:lastColumn="0" w:oddVBand="0" w:evenVBand="0" w:oddHBand="1" w:evenHBand="0" w:firstRowFirstColumn="0" w:firstRowLastColumn="0" w:lastRowFirstColumn="0" w:lastRowLastColumn="0"/>
              <w:rPr>
                <w:rFonts w:eastAsia="Calibri" w:cs="Times New Roman"/>
                <w:b/>
                <w:bCs/>
                <w:sz w:val="20"/>
                <w:szCs w:val="20"/>
              </w:rPr>
            </w:pPr>
            <w:r w:rsidRPr="00E90DFD">
              <w:rPr>
                <w:rFonts w:eastAsia="Calibri" w:cs="Times New Roman"/>
                <w:b/>
                <w:bCs/>
                <w:sz w:val="20"/>
                <w:szCs w:val="20"/>
              </w:rPr>
              <w:fldChar w:fldCharType="begin" w:fldLock="1"/>
            </w:r>
            <w:r w:rsidR="00D14EC6" w:rsidRPr="00E90DFD">
              <w:rPr>
                <w:rFonts w:eastAsia="Calibri" w:cs="Times New Roman"/>
                <w:b/>
                <w:bCs/>
                <w:sz w:val="20"/>
                <w:szCs w:val="20"/>
              </w:rPr>
              <w:instrText>ADDIN CSL_CITATION {"citationItems":[{"id":"ITEM-1","itemData":{"DOI":"10.1021/acsinfecdis.2c00089","ISSN":"2373-8227","author":[{"dropping-particle":"","family":"Iubatti","given":"Mirko","non-dropping-particle":"","parse-names":false,"suffix":""},{"dropping-particle":"","family":"Gabas","given":"Isabel Maicas","non-dropping-particle":"","parse-names":false,"suffix":""},{"dropping-particle":"","family":"Cavaco","given":"Lina M.","non-dropping-particle":"","parse-names":false,"suffix":""},{"dropping-particle":"","family":"Mood","given":"Elnaz Harifi","non-dropping-particle":"","parse-names":false,"suffix":""},{"dropping-particle":"","family":"Lim","given":"Ernest","non-dropping-particle":"","parse-names":false,"suffix":""},{"dropping-particle":"","family":"Bonanno","given":"Federica","non-dropping-particle":"","parse-names":false,"suffix":""},{"dropping-particle":"","family":"Yavari","given":"Niloofar","non-dropping-particle":"","parse-names":false,"suffix":""},{"dropping-particle":"","family":"Brolin","given":"Camilla","non-dropping-particle":"","parse-names":false,"suffix":""},{"dropping-particle":"","family":"Nielsen","given":"Peter E.","non-dropping-particle":"","parse-names":false,"suffix":""}],"container-title":"ACS Infectious Diseases","id":"ITEM-1","issued":{"date-parts":[["2022"]]},"title":"Antisense Peptide Nucleic Acid–Diaminobutanoic Acid Dendron Conjugates with SbmA-Independent Antimicrobial Activity against Gram-Negative Bacteria","type":"article-journal"},"uris":["http://www.mendeley.com/documents/?uuid=704c8a34-236a-4fa7-9006-6e42a3fe7e6f"]}],"mendeley":{"formattedCitation":"(Iubatti et al., 2022)","plainTextFormattedCitation":"(Iubatti et al., 2022)","previouslyFormattedCitation":"(Iubatti et al., 2022)"},"properties":{"noteIndex":0},"schema":"https://github.com/citation-style-language/schema/raw/master/csl-citation.json"}</w:instrText>
            </w:r>
            <w:r w:rsidRPr="00E90DFD">
              <w:rPr>
                <w:rFonts w:eastAsia="Calibri" w:cs="Times New Roman"/>
                <w:b/>
                <w:bCs/>
                <w:sz w:val="20"/>
                <w:szCs w:val="20"/>
              </w:rPr>
              <w:fldChar w:fldCharType="separate"/>
            </w:r>
            <w:r w:rsidRPr="00E90DFD">
              <w:rPr>
                <w:rFonts w:eastAsia="Calibri" w:cs="Times New Roman"/>
                <w:b/>
                <w:bCs/>
                <w:noProof/>
                <w:sz w:val="20"/>
                <w:szCs w:val="20"/>
              </w:rPr>
              <w:t>(Iubatti et al., 2022)</w:t>
            </w:r>
            <w:r w:rsidRPr="00E90DFD">
              <w:rPr>
                <w:rFonts w:eastAsia="Calibri" w:cs="Times New Roman"/>
                <w:b/>
                <w:bCs/>
                <w:sz w:val="20"/>
                <w:szCs w:val="20"/>
              </w:rPr>
              <w:fldChar w:fldCharType="end"/>
            </w:r>
          </w:p>
        </w:tc>
      </w:tr>
      <w:tr w:rsidR="00590828" w:rsidRPr="00E90DFD" w14:paraId="16C2EDC2" w14:textId="77777777" w:rsidTr="000F2E10">
        <w:trPr>
          <w:trHeight w:val="994"/>
        </w:trPr>
        <w:tc>
          <w:tcPr>
            <w:cnfStyle w:val="001000000000" w:firstRow="0" w:lastRow="0" w:firstColumn="1" w:lastColumn="0" w:oddVBand="0" w:evenVBand="0" w:oddHBand="0" w:evenHBand="0" w:firstRowFirstColumn="0" w:firstRowLastColumn="0" w:lastRowFirstColumn="0" w:lastRowLastColumn="0"/>
            <w:tcW w:w="3111" w:type="dxa"/>
            <w:vAlign w:val="center"/>
          </w:tcPr>
          <w:p w14:paraId="30293875" w14:textId="77777777" w:rsidR="00590828" w:rsidRPr="00E90DFD" w:rsidRDefault="00590828" w:rsidP="00590828">
            <w:pPr>
              <w:spacing w:before="0" w:after="0"/>
              <w:rPr>
                <w:rFonts w:eastAsia="Calibri" w:cs="Times New Roman"/>
                <w:i/>
                <w:iCs/>
                <w:sz w:val="20"/>
                <w:szCs w:val="20"/>
              </w:rPr>
            </w:pPr>
            <w:proofErr w:type="spellStart"/>
            <w:r w:rsidRPr="00E90DFD">
              <w:rPr>
                <w:rFonts w:eastAsia="Calibri" w:cs="Times New Roman"/>
                <w:i/>
                <w:iCs/>
                <w:sz w:val="20"/>
                <w:szCs w:val="20"/>
              </w:rPr>
              <w:t>rpoD</w:t>
            </w:r>
            <w:proofErr w:type="spellEnd"/>
          </w:p>
          <w:p w14:paraId="3867A43D" w14:textId="77777777" w:rsidR="00590828" w:rsidRPr="00E90DFD" w:rsidRDefault="00590828" w:rsidP="00590828">
            <w:pPr>
              <w:spacing w:before="0" w:after="0"/>
              <w:rPr>
                <w:rFonts w:eastAsia="Calibri" w:cs="Times New Roman"/>
                <w:sz w:val="20"/>
                <w:szCs w:val="20"/>
              </w:rPr>
            </w:pPr>
            <w:r w:rsidRPr="00E90DFD">
              <w:rPr>
                <w:rFonts w:eastAsia="Calibri" w:cs="Times New Roman"/>
                <w:i/>
                <w:iCs/>
                <w:sz w:val="20"/>
                <w:szCs w:val="20"/>
              </w:rPr>
              <w:t>(</w:t>
            </w:r>
            <w:hyperlink r:id="rId8" w:tooltip="Learn more about RNA polymerase from ScienceDirect's AI-generated Topic Pages" w:history="1">
              <w:r w:rsidRPr="00E90DFD">
                <w:rPr>
                  <w:rFonts w:eastAsia="Calibri" w:cs="Times New Roman"/>
                  <w:sz w:val="20"/>
                  <w:szCs w:val="20"/>
                </w:rPr>
                <w:t>RNA polymerase</w:t>
              </w:r>
            </w:hyperlink>
            <w:r w:rsidRPr="00E90DFD">
              <w:rPr>
                <w:rFonts w:eastAsia="Calibri" w:cs="Times New Roman"/>
                <w:sz w:val="20"/>
                <w:szCs w:val="20"/>
              </w:rPr>
              <w:t> primary)</w:t>
            </w:r>
          </w:p>
          <w:p w14:paraId="7B1499CA" w14:textId="77777777" w:rsidR="00590828" w:rsidRPr="00E90DFD" w:rsidRDefault="00590828" w:rsidP="00590828">
            <w:pPr>
              <w:spacing w:before="0" w:after="0"/>
              <w:rPr>
                <w:rFonts w:eastAsia="Calibri" w:cs="Times New Roman"/>
                <w:sz w:val="20"/>
                <w:szCs w:val="20"/>
              </w:rPr>
            </w:pPr>
          </w:p>
        </w:tc>
        <w:tc>
          <w:tcPr>
            <w:tcW w:w="2956" w:type="dxa"/>
            <w:vAlign w:val="center"/>
          </w:tcPr>
          <w:p w14:paraId="605CCE38" w14:textId="77777777" w:rsidR="00590828" w:rsidRPr="00E90DFD" w:rsidRDefault="00590828" w:rsidP="00590828">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E90DFD">
              <w:rPr>
                <w:rFonts w:eastAsia="Calibri" w:cs="Times New Roman"/>
                <w:sz w:val="20"/>
                <w:szCs w:val="20"/>
              </w:rPr>
              <w:t xml:space="preserve"> </w:t>
            </w:r>
          </w:p>
          <w:p w14:paraId="636033A7" w14:textId="77777777" w:rsidR="00590828" w:rsidRPr="00E90DFD" w:rsidRDefault="00590828" w:rsidP="00590828">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E90DFD">
              <w:rPr>
                <w:rFonts w:eastAsia="Calibri" w:cs="Times New Roman"/>
                <w:sz w:val="20"/>
                <w:szCs w:val="20"/>
              </w:rPr>
              <w:t>Conjugated peptide </w:t>
            </w:r>
            <w:hyperlink r:id="rId9" w:tooltip="Learn more about nucleic acids from ScienceDirect's AI-generated Topic Pages" w:history="1">
              <w:r w:rsidRPr="00E90DFD">
                <w:rPr>
                  <w:rFonts w:eastAsia="Calibri" w:cs="Times New Roman"/>
                  <w:sz w:val="20"/>
                  <w:szCs w:val="20"/>
                </w:rPr>
                <w:t>nucleic acids</w:t>
              </w:r>
            </w:hyperlink>
            <w:r w:rsidRPr="00E90DFD">
              <w:rPr>
                <w:rFonts w:eastAsia="Calibri" w:cs="Times New Roman"/>
                <w:sz w:val="20"/>
                <w:szCs w:val="20"/>
              </w:rPr>
              <w:t> (PPNAs)</w:t>
            </w:r>
          </w:p>
        </w:tc>
        <w:tc>
          <w:tcPr>
            <w:tcW w:w="3539" w:type="dxa"/>
            <w:vAlign w:val="center"/>
          </w:tcPr>
          <w:p w14:paraId="7CAA6A6D" w14:textId="77777777" w:rsidR="00590828" w:rsidRPr="00E90DFD" w:rsidRDefault="00590828" w:rsidP="00590828">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b/>
                <w:bCs/>
                <w:sz w:val="20"/>
                <w:szCs w:val="20"/>
              </w:rPr>
            </w:pPr>
          </w:p>
          <w:p w14:paraId="30C1D2DB" w14:textId="442E6F4C" w:rsidR="00590828" w:rsidRPr="00E90DFD" w:rsidRDefault="00590828" w:rsidP="00590828">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b/>
                <w:bCs/>
                <w:sz w:val="20"/>
                <w:szCs w:val="20"/>
              </w:rPr>
            </w:pPr>
            <w:r w:rsidRPr="00E90DFD">
              <w:rPr>
                <w:rFonts w:eastAsia="Calibri" w:cs="Times New Roman"/>
                <w:b/>
                <w:bCs/>
                <w:sz w:val="20"/>
                <w:szCs w:val="20"/>
              </w:rPr>
              <w:fldChar w:fldCharType="begin" w:fldLock="1"/>
            </w:r>
            <w:r w:rsidR="00D14EC6" w:rsidRPr="00E90DFD">
              <w:rPr>
                <w:rFonts w:eastAsia="Calibri" w:cs="Times New Roman"/>
                <w:b/>
                <w:bCs/>
                <w:sz w:val="20"/>
                <w:szCs w:val="20"/>
              </w:rPr>
              <w:instrText>ADDIN CSL_CITATION {"citationItems":[{"id":"ITEM-1","itemData":{"DOI":"10.1016/j.biomaterials.2011.09.075","ISSN":"01429612","PMID":"22000398","abstract":"Gram-negative bacteria (GNB) cause common and severe hospital- and community-acquired infections with a high incidence of multidrug resistance (MDR) and mortality. The emergence and spread of MDR-GNB strains limit therapeutic options and highlight the need to develop new therapeutic strategies. In this study, the peptide (RXR)4XB- and (KFF)3K-conjugated peptide nucleic acids (PPNAs) were developed to target rpoD, which encodes an RNA polymerase primary σ70 that is thought to be essential for bacterial growth. Their antimicrobial activities were tested against different clinical isolates of MDR-GNB in vitro and in infection models. The (RXR)4XB- and (KFF)3K- conjugated PNAs were bactericidal against different strains of MDR-GNB in concentration-dependent and sequence-selective manner, whereas a PPNA with a scrambled base sequence had no effect on growth. Among tested PPNAs, (RXR)4XB conjugate PPNA06 showed more potent and broad spectrum inhibition in multidrug-resistant Escherichia coli, Salmonella enterica, Klebsiella pneumoniae, and Shigella flexneri in vitro and in vivo. The results were associated with suppression of rpoD mRNA and σ70 expression, as well as σ70 downstream regulated genes including ftsZ, mazF, prfB, rpoS, seqA, turfB and ygjD. The treatment of PPNA06 on mono- or multiple MDR-GBN infected human gastric mucosal epithelial cells demonstrated the complete inhibition on bacterial growth and no influence on morphology and growth of human cells. Also, PPNA06 did not show the induction of antibiotic resistance as compared with classical antibiotics in GNB. These findings firstly demonstrate that rpoD is potential target for developing antisense antibiotics, and indicate that peptide conjugates of anti-rpoD PNA are active against GNBs in vitro and in vivo. Our results offer a feasible strategy for treating MDR-GNB infections. © 2011 Elsevier Ltd.","author":[{"dropping-particle":"","family":"Bai","given":"Hui","non-dropping-particle":"","parse-names":false,"suffix":""},{"dropping-particle":"","family":"You","given":"Yu","non-dropping-particle":"","parse-names":false,"suffix":""},{"dropping-particle":"","family":"Yan","given":"Hua","non-dropping-particle":"","parse-names":false,"suffix":""},{"dropping-particle":"","family":"Meng","given":"Jingru","non-dropping-particle":"","parse-names":false,"suffix":""},{"dropping-particle":"","family":"Xue","given":"Xiaoyan","non-dropping-particle":"","parse-names":false,"suffix":""},{"dropping-particle":"","family":"Hou","given":"Zheng","non-dropping-particle":"","parse-names":false,"suffix":""},{"dropping-particle":"","family":"Zhou","given":"Ying","non-dropping-particle":"","parse-names":false,"suffix":""},{"dropping-particle":"","family":"Ma","given":"Xue","non-dropping-particle":"","parse-names":false,"suffix":""},{"dropping-particle":"","family":"Sang","given":"Guojun","non-dropping-particle":"","parse-names":false,"suffix":""},{"dropping-particle":"","family":"Luo","given":"Xiaoxing","non-dropping-particle":"","parse-names":false,"suffix":""}],"container-title":"Biomaterials","id":"ITEM-1","issue":"2","issued":{"date-parts":[["2012"]]},"page":"659-667","publisher":"Elsevier Ltd","title":"Antisense inhibition of gene expression and growth in gram-negative bacteria by cell-penetrating peptide conjugates of peptide nucleic acids targeted to rpoD gene","type":"article-journal","volume":"33"},"uris":["http://www.mendeley.com/documents/?uuid=17e2dfed-f65f-4c70-b79f-7ee05f4a4bfe"]}],"mendeley":{"formattedCitation":"(Bai et al., 2012)","plainTextFormattedCitation":"(Bai et al., 2012)","previouslyFormattedCitation":"(Bai et al., 2012)"},"properties":{"noteIndex":0},"schema":"https://github.com/citation-style-language/schema/raw/master/csl-citation.json"}</w:instrText>
            </w:r>
            <w:r w:rsidRPr="00E90DFD">
              <w:rPr>
                <w:rFonts w:eastAsia="Calibri" w:cs="Times New Roman"/>
                <w:b/>
                <w:bCs/>
                <w:sz w:val="20"/>
                <w:szCs w:val="20"/>
              </w:rPr>
              <w:fldChar w:fldCharType="separate"/>
            </w:r>
            <w:r w:rsidRPr="00E90DFD">
              <w:rPr>
                <w:rFonts w:eastAsia="Calibri" w:cs="Times New Roman"/>
                <w:b/>
                <w:bCs/>
                <w:noProof/>
                <w:sz w:val="20"/>
                <w:szCs w:val="20"/>
              </w:rPr>
              <w:t>(Bai et al., 2012)</w:t>
            </w:r>
            <w:r w:rsidRPr="00E90DFD">
              <w:rPr>
                <w:rFonts w:eastAsia="Calibri" w:cs="Times New Roman"/>
                <w:b/>
                <w:bCs/>
                <w:sz w:val="20"/>
                <w:szCs w:val="20"/>
              </w:rPr>
              <w:fldChar w:fldCharType="end"/>
            </w:r>
          </w:p>
        </w:tc>
      </w:tr>
      <w:tr w:rsidR="00590828" w:rsidRPr="00E90DFD" w14:paraId="74A563F9" w14:textId="77777777" w:rsidTr="000F2E10">
        <w:trPr>
          <w:cnfStyle w:val="000000100000" w:firstRow="0" w:lastRow="0" w:firstColumn="0" w:lastColumn="0" w:oddVBand="0" w:evenVBand="0" w:oddHBand="1" w:evenHBand="0" w:firstRowFirstColumn="0" w:firstRowLastColumn="0" w:lastRowFirstColumn="0" w:lastRowLastColumn="0"/>
          <w:trHeight w:val="1249"/>
        </w:trPr>
        <w:tc>
          <w:tcPr>
            <w:cnfStyle w:val="001000000000" w:firstRow="0" w:lastRow="0" w:firstColumn="1" w:lastColumn="0" w:oddVBand="0" w:evenVBand="0" w:oddHBand="0" w:evenHBand="0" w:firstRowFirstColumn="0" w:firstRowLastColumn="0" w:lastRowFirstColumn="0" w:lastRowLastColumn="0"/>
            <w:tcW w:w="3111" w:type="dxa"/>
            <w:vAlign w:val="center"/>
          </w:tcPr>
          <w:p w14:paraId="4F27E8EB" w14:textId="77777777" w:rsidR="00590828" w:rsidRPr="00E90DFD" w:rsidRDefault="00590828" w:rsidP="00590828">
            <w:pPr>
              <w:spacing w:before="0" w:after="0"/>
              <w:rPr>
                <w:rFonts w:eastAsia="Calibri" w:cs="Times New Roman"/>
                <w:i/>
                <w:iCs/>
                <w:sz w:val="20"/>
                <w:szCs w:val="20"/>
              </w:rPr>
            </w:pPr>
            <w:proofErr w:type="spellStart"/>
            <w:r w:rsidRPr="00E90DFD">
              <w:rPr>
                <w:rFonts w:eastAsia="Calibri" w:cs="Times New Roman"/>
                <w:i/>
                <w:iCs/>
                <w:sz w:val="20"/>
                <w:szCs w:val="20"/>
              </w:rPr>
              <w:t>gyrA</w:t>
            </w:r>
            <w:proofErr w:type="spellEnd"/>
            <w:r w:rsidRPr="00E90DFD">
              <w:rPr>
                <w:rFonts w:eastAsia="Calibri" w:cs="Times New Roman"/>
                <w:i/>
                <w:iCs/>
                <w:sz w:val="20"/>
                <w:szCs w:val="20"/>
              </w:rPr>
              <w:t xml:space="preserve"> </w:t>
            </w:r>
          </w:p>
          <w:p w14:paraId="491F571D" w14:textId="77777777" w:rsidR="00590828" w:rsidRPr="00E90DFD" w:rsidRDefault="00590828" w:rsidP="00590828">
            <w:pPr>
              <w:spacing w:before="0" w:after="0"/>
              <w:rPr>
                <w:rFonts w:eastAsia="Calibri" w:cs="Times New Roman"/>
                <w:sz w:val="20"/>
                <w:szCs w:val="20"/>
              </w:rPr>
            </w:pPr>
            <w:r w:rsidRPr="00E90DFD">
              <w:rPr>
                <w:rFonts w:eastAsia="Calibri" w:cs="Times New Roman"/>
                <w:sz w:val="20"/>
                <w:szCs w:val="20"/>
              </w:rPr>
              <w:t>(DNA gyrase; DNA replication)</w:t>
            </w:r>
          </w:p>
        </w:tc>
        <w:tc>
          <w:tcPr>
            <w:tcW w:w="2956" w:type="dxa"/>
            <w:vAlign w:val="center"/>
          </w:tcPr>
          <w:p w14:paraId="525DC1E9" w14:textId="77777777" w:rsidR="00590828" w:rsidRPr="00E90DFD" w:rsidRDefault="00590828" w:rsidP="00590828">
            <w:pPr>
              <w:spacing w:before="0" w:after="0"/>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E90DFD">
              <w:rPr>
                <w:rFonts w:eastAsia="Calibri" w:cs="Times New Roman"/>
                <w:sz w:val="20"/>
                <w:szCs w:val="20"/>
              </w:rPr>
              <w:t xml:space="preserve">Peptide- </w:t>
            </w:r>
            <w:proofErr w:type="spellStart"/>
            <w:r w:rsidRPr="00E90DFD">
              <w:rPr>
                <w:rFonts w:eastAsia="Calibri" w:cs="Times New Roman"/>
                <w:sz w:val="20"/>
                <w:szCs w:val="20"/>
              </w:rPr>
              <w:t>Phosphorodiamidate</w:t>
            </w:r>
            <w:proofErr w:type="spellEnd"/>
            <w:r w:rsidRPr="00E90DFD">
              <w:rPr>
                <w:rFonts w:eastAsia="Calibri" w:cs="Times New Roman"/>
                <w:sz w:val="20"/>
                <w:szCs w:val="20"/>
              </w:rPr>
              <w:t xml:space="preserve"> morpholino (PMO) conjugate</w:t>
            </w:r>
          </w:p>
        </w:tc>
        <w:tc>
          <w:tcPr>
            <w:tcW w:w="3539" w:type="dxa"/>
            <w:vAlign w:val="center"/>
          </w:tcPr>
          <w:p w14:paraId="71E4E155" w14:textId="00B4C5CE" w:rsidR="00590828" w:rsidRPr="00E90DFD" w:rsidRDefault="00590828" w:rsidP="00590828">
            <w:pPr>
              <w:spacing w:before="0" w:after="0"/>
              <w:cnfStyle w:val="000000100000" w:firstRow="0" w:lastRow="0" w:firstColumn="0" w:lastColumn="0" w:oddVBand="0" w:evenVBand="0" w:oddHBand="1" w:evenHBand="0" w:firstRowFirstColumn="0" w:firstRowLastColumn="0" w:lastRowFirstColumn="0" w:lastRowLastColumn="0"/>
              <w:rPr>
                <w:rFonts w:eastAsia="Calibri" w:cs="Times New Roman"/>
                <w:b/>
                <w:bCs/>
                <w:sz w:val="20"/>
                <w:szCs w:val="20"/>
              </w:rPr>
            </w:pPr>
            <w:r w:rsidRPr="00E90DFD">
              <w:rPr>
                <w:rFonts w:eastAsia="Calibri" w:cs="Times New Roman"/>
                <w:b/>
                <w:bCs/>
                <w:sz w:val="20"/>
                <w:szCs w:val="20"/>
              </w:rPr>
              <w:fldChar w:fldCharType="begin" w:fldLock="1"/>
            </w:r>
            <w:r w:rsidR="00D14EC6" w:rsidRPr="00E90DFD">
              <w:rPr>
                <w:rFonts w:eastAsia="Calibri" w:cs="Times New Roman"/>
                <w:b/>
                <w:bCs/>
                <w:sz w:val="20"/>
                <w:szCs w:val="20"/>
              </w:rPr>
              <w:instrText>ADDIN CSL_CITATION {"citationItems":[{"id":"ITEM-1","itemData":{"DOI":"10.1007/s11033-007-9126-y","ISSN":"03014851","PMID":"17701288","abstract":"Nucleic acid-based gene interference technologies represent promising strategies for specific inhibition of mRNA sequences of choice. Recently, small interfering RNAs have been implicated in inducing endogenous RNase of the RNA-induced silencing complex in the RNA interference pathway to inhibit gene expression and growth of several human viruses. We report down regulation of gene expression of E. coli gyrase A, an essential gene for DNA supercoiling and antibiotic susceptibility in BL21 (DE3) strain of E. coli, using Ribonuclease P based external guide sequence (EGS) technique. EGS directed against gyrase A gene that was cloned into pUC vector, which contains the ampicillin (Amp) resistance gene. The recombinant plasmid pT7EGyrA was transformed into BL21 (DE3) and inductions were performed using IPTG. RT-PCR experiment was done to investigate the down regulation of gyrase A gene. RT-PCR results demonstrated a significant decrease of gyrase A gene after 18 h of induction of the transformants. These experiments showed that the down regulation of the gene was seen after 18 h of induction than earlier hours of induction with IPTG suggesting inhibition of gyrase A gene with profound effect on cell viability. These results demonstrate the utility of EGS RNAs in gene therapy applications, by inhibiting the expression of essential proteins. © 2007 Springer Science+Business Media B.V.","author":[{"dropping-particle":"","family":"Rao","given":"Shilpakala Sainath","non-dropping-particle":"","parse-names":false,"suffix":""},{"dropping-particle":"","family":"Savithri","given":"H. S.","non-dropping-particle":"","parse-names":false,"suffix":""},{"dropping-particle":"","family":"Raghunathan","given":"Malathi","non-dropping-particle":"","parse-names":false,"suffix":""}],"container-title":"Molecular Biology Reports","id":"ITEM-1","issue":"4","issued":{"date-parts":[["2008"]]},"page":"575-578","title":"Down regulation of gyrase A gene expression in E. coli by antisense ribozymes using RT-PCR","type":"article-journal","volume":"35"},"uris":["http://www.mendeley.com/documents/?uuid=fc5fbf91-71f1-4c0d-80eb-137578953c4c"]}],"mendeley":{"formattedCitation":"(Rao et al., 2008)","plainTextFormattedCitation":"(Rao et al., 2008)","previouslyFormattedCitation":"(Rao et al., 2008)"},"properties":{"noteIndex":0},"schema":"https://github.com/citation-style-language/schema/raw/master/csl-citation.json"}</w:instrText>
            </w:r>
            <w:r w:rsidRPr="00E90DFD">
              <w:rPr>
                <w:rFonts w:eastAsia="Calibri" w:cs="Times New Roman"/>
                <w:b/>
                <w:bCs/>
                <w:sz w:val="20"/>
                <w:szCs w:val="20"/>
              </w:rPr>
              <w:fldChar w:fldCharType="separate"/>
            </w:r>
            <w:r w:rsidRPr="00E90DFD">
              <w:rPr>
                <w:rFonts w:eastAsia="Calibri" w:cs="Times New Roman"/>
                <w:b/>
                <w:bCs/>
                <w:noProof/>
                <w:sz w:val="20"/>
                <w:szCs w:val="20"/>
              </w:rPr>
              <w:t>(Rao et al., 2008)</w:t>
            </w:r>
            <w:r w:rsidRPr="00E90DFD">
              <w:rPr>
                <w:rFonts w:eastAsia="Calibri" w:cs="Times New Roman"/>
                <w:b/>
                <w:bCs/>
                <w:sz w:val="20"/>
                <w:szCs w:val="20"/>
              </w:rPr>
              <w:fldChar w:fldCharType="end"/>
            </w:r>
          </w:p>
        </w:tc>
      </w:tr>
      <w:tr w:rsidR="00590828" w:rsidRPr="00E90DFD" w14:paraId="613FE678" w14:textId="77777777" w:rsidTr="000F2E10">
        <w:trPr>
          <w:trHeight w:val="794"/>
        </w:trPr>
        <w:tc>
          <w:tcPr>
            <w:cnfStyle w:val="001000000000" w:firstRow="0" w:lastRow="0" w:firstColumn="1" w:lastColumn="0" w:oddVBand="0" w:evenVBand="0" w:oddHBand="0" w:evenHBand="0" w:firstRowFirstColumn="0" w:firstRowLastColumn="0" w:lastRowFirstColumn="0" w:lastRowLastColumn="0"/>
            <w:tcW w:w="3111" w:type="dxa"/>
            <w:vAlign w:val="center"/>
          </w:tcPr>
          <w:p w14:paraId="07F94F75" w14:textId="77777777" w:rsidR="00590828" w:rsidRPr="00E90DFD" w:rsidRDefault="00590828" w:rsidP="00590828">
            <w:pPr>
              <w:spacing w:before="0" w:after="0"/>
              <w:rPr>
                <w:rFonts w:eastAsia="Calibri" w:cs="Times New Roman"/>
                <w:i/>
                <w:iCs/>
                <w:color w:val="212121"/>
                <w:sz w:val="20"/>
                <w:szCs w:val="20"/>
                <w:shd w:val="clear" w:color="auto" w:fill="FFFFFF"/>
                <w:lang w:val="pt-PT"/>
              </w:rPr>
            </w:pPr>
            <w:r w:rsidRPr="00E90DFD">
              <w:rPr>
                <w:rFonts w:eastAsia="Calibri" w:cs="Times New Roman"/>
                <w:i/>
                <w:iCs/>
                <w:color w:val="212121"/>
                <w:sz w:val="20"/>
                <w:szCs w:val="20"/>
                <w:shd w:val="clear" w:color="auto" w:fill="FFFFFF"/>
                <w:lang w:val="pt-PT"/>
              </w:rPr>
              <w:t>rne</w:t>
            </w:r>
          </w:p>
          <w:p w14:paraId="0269E2B2" w14:textId="77777777" w:rsidR="00590828" w:rsidRPr="00E90DFD" w:rsidRDefault="00590828" w:rsidP="00590828">
            <w:pPr>
              <w:spacing w:before="0" w:after="0"/>
              <w:rPr>
                <w:rFonts w:eastAsia="Calibri" w:cs="Times New Roman"/>
                <w:color w:val="212121"/>
                <w:sz w:val="20"/>
                <w:szCs w:val="20"/>
                <w:shd w:val="clear" w:color="auto" w:fill="FFFFFF"/>
                <w:lang w:val="pt-PT"/>
              </w:rPr>
            </w:pPr>
            <w:r w:rsidRPr="00E90DFD">
              <w:rPr>
                <w:rFonts w:eastAsia="Calibri" w:cs="Times New Roman"/>
                <w:color w:val="212121"/>
                <w:sz w:val="20"/>
                <w:szCs w:val="20"/>
                <w:shd w:val="clear" w:color="auto" w:fill="FFFFFF"/>
                <w:lang w:val="pt-PT"/>
              </w:rPr>
              <w:t>(essential endoribonuclease RNase E)</w:t>
            </w:r>
          </w:p>
          <w:p w14:paraId="332A7A11" w14:textId="77777777" w:rsidR="00590828" w:rsidRPr="00E90DFD" w:rsidRDefault="00590828" w:rsidP="00590828">
            <w:pPr>
              <w:spacing w:before="0" w:after="0"/>
              <w:rPr>
                <w:rFonts w:eastAsia="Calibri" w:cs="Times New Roman"/>
                <w:sz w:val="20"/>
                <w:szCs w:val="20"/>
                <w:lang w:val="pt-PT"/>
              </w:rPr>
            </w:pPr>
          </w:p>
        </w:tc>
        <w:tc>
          <w:tcPr>
            <w:tcW w:w="2956" w:type="dxa"/>
            <w:vAlign w:val="center"/>
          </w:tcPr>
          <w:p w14:paraId="7F99A8E1" w14:textId="77777777" w:rsidR="00590828" w:rsidRPr="00E90DFD" w:rsidRDefault="00590828" w:rsidP="00590828">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E90DFD">
              <w:rPr>
                <w:rFonts w:eastAsia="Calibri" w:cs="Times New Roman"/>
                <w:color w:val="212121"/>
                <w:sz w:val="20"/>
                <w:szCs w:val="20"/>
                <w:shd w:val="clear" w:color="auto" w:fill="FFFFFF"/>
              </w:rPr>
              <w:t xml:space="preserve">Locked nucleic acid (LNA) </w:t>
            </w:r>
            <w:proofErr w:type="spellStart"/>
            <w:r w:rsidRPr="00E90DFD">
              <w:rPr>
                <w:rFonts w:eastAsia="Calibri" w:cs="Times New Roman"/>
                <w:color w:val="212121"/>
                <w:sz w:val="20"/>
                <w:szCs w:val="20"/>
                <w:shd w:val="clear" w:color="auto" w:fill="FFFFFF"/>
              </w:rPr>
              <w:t>gapmers</w:t>
            </w:r>
            <w:proofErr w:type="spellEnd"/>
          </w:p>
        </w:tc>
        <w:tc>
          <w:tcPr>
            <w:tcW w:w="3539" w:type="dxa"/>
            <w:vAlign w:val="center"/>
          </w:tcPr>
          <w:p w14:paraId="44F0B440" w14:textId="4CAB0638" w:rsidR="00590828" w:rsidRPr="00E90DFD" w:rsidRDefault="00590828" w:rsidP="00590828">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b/>
                <w:bCs/>
                <w:sz w:val="20"/>
                <w:szCs w:val="20"/>
              </w:rPr>
            </w:pPr>
            <w:r w:rsidRPr="00E90DFD">
              <w:rPr>
                <w:rFonts w:eastAsia="Calibri" w:cs="Times New Roman"/>
                <w:b/>
                <w:bCs/>
                <w:sz w:val="20"/>
                <w:szCs w:val="20"/>
              </w:rPr>
              <w:fldChar w:fldCharType="begin" w:fldLock="1"/>
            </w:r>
            <w:r w:rsidR="00D14EC6" w:rsidRPr="00E90DFD">
              <w:rPr>
                <w:rFonts w:eastAsia="Calibri" w:cs="Times New Roman"/>
                <w:b/>
                <w:bCs/>
                <w:sz w:val="20"/>
                <w:szCs w:val="20"/>
              </w:rPr>
              <w:instrText>ADDIN CSL_CITATION {"citationItems":[{"id":"ITEM-1","itemData":{"DOI":"10.3390/molecules26113414","ISSN":"14203049","PMID":"34200016","abstract":"The increase in antibacterial resistance is a serious challenge for both the health and defence sectors and there is a need for both novel antibacterial targets and antibacterial strategies. RNA degradation and ribonucleases, such as the essential endoribonuclease RNase E, encoded by the rne gene, are emerging as potential antibacterial targets while antisense oligonucleotides may provide alternative antibacterial strategies. As rne mRNA has not been previously targeted using an antisense approach, we decided to explore using antisense oligonucleotides to target the translation initiation region of the Escherichia coli rne mRNA. Antisense oligonucleotides were rationally designed and were synthesised as locked nucleic acid (LNA) gapmers to enable inhibition of rne mRNA translation through two mechanisms. Either LNA gapmer binding could sterically block translation and/or LNA gapmer binding could facilitate RNase H-mediated cleavage of the rne mRNA. This may prove to be an advantage over the majority of previous antibacterial antisense oligonucleotide approaches which used oligonucleotide chemistries that restrict the mode-of-action of the antisense oligonucleotide to steric blocking of translation. Using an electrophoretic mobility shift assay, we demonstrate that the LNA gapmers bind to the translation initiation region of E. coli rne mRNA. We then use a cell-free transcription translation reporter assay to show that this binding is capable of inhibiting translation. Finally, in an in vitro RNase H cleavage assay, the LNA gapmers facilitate RNase H-mediated mRNA cleavage. Although the challenges of antisense oligonucleotide delivery remain to be addressed, overall, this work lays the foundations for the development of a novel antibacterial strategy targeting rne mRNA with antisense oligonucleotides.","author":[{"dropping-particle":"","family":"Goddard","given":"Layla R.","non-dropping-particle":"","parse-names":false,"suffix":""},{"dropping-particle":"","family":"Mardle","given":"Charlotte E.","non-dropping-particle":"","parse-names":false,"suffix":""},{"dropping-particle":"","family":"Gneid","given":"Hassan","non-dropping-particle":"","parse-names":false,"suffix":""},{"dropping-particle":"","family":"Ball","given":"Ciara G.","non-dropping-particle":"","parse-names":false,"suffix":""},{"dropping-particle":"","family":"Gowers","given":"Darren M.","non-dropping-particle":"","parse-names":false,"suffix":""},{"dropping-particle":"","family":"Atkins","given":"Helen S.","non-dropping-particle":"","parse-names":false,"suffix":""},{"dropping-particle":"","family":"Butt","given":"Louise E.","non-dropping-particle":"","parse-names":false,"suffix":""},{"dropping-particle":"","family":"Watts","given":"Jonathan K.","non-dropping-particle":"","parse-names":false,"suffix":""},{"dropping-particle":"","family":"Vincent","given":"Helen A.","non-dropping-particle":"","parse-names":false,"suffix":""},{"dropping-particle":"","family":"Callaghan","given":"Anastasia J.","non-dropping-particle":"","parse-names":false,"suffix":""}],"container-title":"Molecules","id":"ITEM-1","issue":"11","issued":{"date-parts":[["2021"]]},"page":"1-15","title":"An investigation into the potential of targeting escherichia coli rne mrna with locked nucleic acid (Lna) gapmers as an antibacterial strategy","type":"article-journal","volume":"26"},"uris":["http://www.mendeley.com/documents/?uuid=ee9acea3-98ed-45f1-8c9e-c431fbd23cb9"]}],"mendeley":{"formattedCitation":"(Goddard et al., 2021)","plainTextFormattedCitation":"(Goddard et al., 2021)","previouslyFormattedCitation":"(Goddard et al., 2021)"},"properties":{"noteIndex":0},"schema":"https://github.com/citation-style-language/schema/raw/master/csl-citation.json"}</w:instrText>
            </w:r>
            <w:r w:rsidRPr="00E90DFD">
              <w:rPr>
                <w:rFonts w:eastAsia="Calibri" w:cs="Times New Roman"/>
                <w:b/>
                <w:bCs/>
                <w:sz w:val="20"/>
                <w:szCs w:val="20"/>
              </w:rPr>
              <w:fldChar w:fldCharType="separate"/>
            </w:r>
            <w:r w:rsidRPr="00E90DFD">
              <w:rPr>
                <w:rFonts w:eastAsia="Calibri" w:cs="Times New Roman"/>
                <w:b/>
                <w:bCs/>
                <w:noProof/>
                <w:sz w:val="20"/>
                <w:szCs w:val="20"/>
              </w:rPr>
              <w:t>(Goddard et al., 2021)</w:t>
            </w:r>
            <w:r w:rsidRPr="00E90DFD">
              <w:rPr>
                <w:rFonts w:eastAsia="Calibri" w:cs="Times New Roman"/>
                <w:b/>
                <w:bCs/>
                <w:sz w:val="20"/>
                <w:szCs w:val="20"/>
              </w:rPr>
              <w:fldChar w:fldCharType="end"/>
            </w:r>
          </w:p>
        </w:tc>
      </w:tr>
      <w:tr w:rsidR="00590828" w:rsidRPr="00E90DFD" w14:paraId="1F3EFB88" w14:textId="77777777" w:rsidTr="000F2E10">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3111" w:type="dxa"/>
            <w:vAlign w:val="center"/>
          </w:tcPr>
          <w:p w14:paraId="6B798705" w14:textId="77777777" w:rsidR="00590828" w:rsidRPr="00E90DFD" w:rsidRDefault="00590828" w:rsidP="00590828">
            <w:pPr>
              <w:spacing w:before="0" w:after="0"/>
              <w:rPr>
                <w:rFonts w:eastAsia="Calibri" w:cs="Times New Roman"/>
                <w:i/>
                <w:iCs/>
                <w:sz w:val="20"/>
                <w:szCs w:val="20"/>
              </w:rPr>
            </w:pPr>
            <w:proofErr w:type="spellStart"/>
            <w:r w:rsidRPr="00E90DFD">
              <w:rPr>
                <w:rFonts w:eastAsia="Calibri" w:cs="Times New Roman"/>
                <w:i/>
                <w:iCs/>
                <w:sz w:val="20"/>
                <w:szCs w:val="20"/>
              </w:rPr>
              <w:t>mazEF</w:t>
            </w:r>
            <w:proofErr w:type="spellEnd"/>
            <w:r w:rsidRPr="00E90DFD">
              <w:rPr>
                <w:rFonts w:eastAsia="Calibri" w:cs="Times New Roman"/>
                <w:i/>
                <w:iCs/>
                <w:sz w:val="20"/>
                <w:szCs w:val="20"/>
              </w:rPr>
              <w:t> </w:t>
            </w:r>
          </w:p>
          <w:p w14:paraId="303DCD91" w14:textId="77777777" w:rsidR="00590828" w:rsidRPr="00E90DFD" w:rsidRDefault="00590828" w:rsidP="00590828">
            <w:pPr>
              <w:spacing w:before="0" w:after="0"/>
              <w:rPr>
                <w:rFonts w:eastAsia="Calibri" w:cs="Times New Roman"/>
                <w:sz w:val="20"/>
                <w:szCs w:val="20"/>
              </w:rPr>
            </w:pPr>
            <w:r w:rsidRPr="00E90DFD">
              <w:rPr>
                <w:rFonts w:eastAsia="Calibri" w:cs="Times New Roman"/>
                <w:sz w:val="20"/>
                <w:szCs w:val="20"/>
              </w:rPr>
              <w:t>(toxin-antitoxin complex)</w:t>
            </w:r>
          </w:p>
          <w:p w14:paraId="4E040C2A" w14:textId="77777777" w:rsidR="00590828" w:rsidRPr="00E90DFD" w:rsidRDefault="00590828" w:rsidP="00590828">
            <w:pPr>
              <w:spacing w:before="0" w:after="0"/>
              <w:rPr>
                <w:rFonts w:eastAsia="Calibri" w:cs="Times New Roman"/>
                <w:i/>
                <w:iCs/>
                <w:color w:val="212121"/>
                <w:sz w:val="20"/>
                <w:szCs w:val="20"/>
                <w:shd w:val="clear" w:color="auto" w:fill="FFFFFF"/>
              </w:rPr>
            </w:pPr>
          </w:p>
        </w:tc>
        <w:tc>
          <w:tcPr>
            <w:tcW w:w="2956" w:type="dxa"/>
            <w:vAlign w:val="center"/>
          </w:tcPr>
          <w:p w14:paraId="0C5394F5" w14:textId="77777777" w:rsidR="00590828" w:rsidRPr="00E90DFD" w:rsidRDefault="00590828" w:rsidP="00590828">
            <w:pPr>
              <w:spacing w:before="0" w:after="0"/>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E90DFD">
              <w:rPr>
                <w:rFonts w:eastAsia="Calibri" w:cs="Times New Roman"/>
                <w:sz w:val="20"/>
                <w:szCs w:val="20"/>
              </w:rPr>
              <w:t>Peptide nucleic acid (PNA)</w:t>
            </w:r>
          </w:p>
        </w:tc>
        <w:tc>
          <w:tcPr>
            <w:tcW w:w="3539" w:type="dxa"/>
            <w:vAlign w:val="center"/>
          </w:tcPr>
          <w:p w14:paraId="7D862B7B" w14:textId="59D4AE19" w:rsidR="00590828" w:rsidRPr="00E90DFD" w:rsidRDefault="00590828" w:rsidP="00590828">
            <w:pPr>
              <w:spacing w:before="0" w:after="0"/>
              <w:cnfStyle w:val="000000100000" w:firstRow="0" w:lastRow="0" w:firstColumn="0" w:lastColumn="0" w:oddVBand="0" w:evenVBand="0" w:oddHBand="1" w:evenHBand="0" w:firstRowFirstColumn="0" w:firstRowLastColumn="0" w:lastRowFirstColumn="0" w:lastRowLastColumn="0"/>
              <w:rPr>
                <w:rFonts w:eastAsia="Calibri" w:cs="Times New Roman"/>
                <w:b/>
                <w:bCs/>
                <w:sz w:val="20"/>
                <w:szCs w:val="20"/>
              </w:rPr>
            </w:pPr>
            <w:r w:rsidRPr="00E90DFD">
              <w:rPr>
                <w:rFonts w:eastAsia="Calibri" w:cs="Times New Roman"/>
                <w:b/>
                <w:bCs/>
                <w:sz w:val="20"/>
                <w:szCs w:val="20"/>
              </w:rPr>
              <w:fldChar w:fldCharType="begin" w:fldLock="1"/>
            </w:r>
            <w:r w:rsidR="00D14EC6" w:rsidRPr="00E90DFD">
              <w:rPr>
                <w:rFonts w:eastAsia="Calibri" w:cs="Times New Roman"/>
                <w:b/>
                <w:bCs/>
                <w:sz w:val="20"/>
                <w:szCs w:val="20"/>
              </w:rPr>
              <w:instrText>ADDIN CSL_CITATION {"citationItems":[{"id":"ITEM-1","itemData":{"DOI":"10.3389/fmicb.2018.02870","ISSN":"1664302X","abstract":"The search for new, non-standard targets is currently a high priority in the design of new antibacterial compounds. Bacterial toxin–antitoxin systems (TAs) are genetic modules that encode a toxin protein that causes growth arrest by interfering with essential cellular processes, and a cognate antitoxin, which neutralizes the toxin activity. TAs have no human analogs, are highly abundant in bacterial genomes, and therefore represent attractive alternative targets for antimicrobial drugs. This study demonstrates how artificial activation of Escherichia coli mazEF and hipBA toxin–antitoxin systems using sequence-specific antisense peptide nucleic acid oligomers is an innovative antibacterial strategy. The growth arrest observed in E. coli resulted from the inhibition of translation of the antitoxins by the antisense oligomers. Furthermore, two other targets, related to the activities of mazEF and hipBA, were identified as promising sites of action for antibacterials. These results show that TAs are susceptible to sequence-specific antisense agents and provide a proof-of-concept for their further exploitation in antimicrobial strategies.","author":[{"dropping-particle":"","family":"Równicki","given":"Marcin","non-dropping-particle":"","parse-names":false,"suffix":""},{"dropping-particle":"","family":"Pieńko","given":"Tomasz","non-dropping-particle":"","parse-names":false,"suffix":""},{"dropping-particle":"","family":"Czarnecki","given":"Jakub","non-dropping-particle":"","parse-names":false,"suffix":""},{"dropping-particle":"","family":"Kolanowska","given":"Monika","non-dropping-particle":"","parse-names":false,"suffix":""},{"dropping-particle":"","family":"Bartosik","given":"Dariusz","non-dropping-particle":"","parse-names":false,"suffix":""},{"dropping-particle":"","family":"Trylska","given":"Joanna","non-dropping-particle":"","parse-names":false,"suffix":""}],"container-title":"Frontiers in Microbiology","id":"ITEM-1","issue":"NOV","issued":{"date-parts":[["2018"]]},"page":"1-12","title":"Artificial activation of Escherichia coli mazEF and hipBA toxin–antitoxin systems by antisense peptide nucleic acids as an antibacterial strategy","type":"article-journal","volume":"9"},"uris":["http://www.mendeley.com/documents/?uuid=1b8e1228-be21-4d94-b793-7cbac07c0e2d"]}],"mendeley":{"formattedCitation":"(Równicki et al., 2018)","plainTextFormattedCitation":"(Równicki et al., 2018)","previouslyFormattedCitation":"(Równicki et al., 2018)"},"properties":{"noteIndex":0},"schema":"https://github.com/citation-style-language/schema/raw/master/csl-citation.json"}</w:instrText>
            </w:r>
            <w:r w:rsidRPr="00E90DFD">
              <w:rPr>
                <w:rFonts w:eastAsia="Calibri" w:cs="Times New Roman"/>
                <w:b/>
                <w:bCs/>
                <w:sz w:val="20"/>
                <w:szCs w:val="20"/>
              </w:rPr>
              <w:fldChar w:fldCharType="separate"/>
            </w:r>
            <w:r w:rsidRPr="00E90DFD">
              <w:rPr>
                <w:rFonts w:eastAsia="Calibri" w:cs="Times New Roman"/>
                <w:b/>
                <w:bCs/>
                <w:noProof/>
                <w:sz w:val="20"/>
                <w:szCs w:val="20"/>
              </w:rPr>
              <w:t>(Równicki et al., 2018)</w:t>
            </w:r>
            <w:r w:rsidRPr="00E90DFD">
              <w:rPr>
                <w:rFonts w:eastAsia="Calibri" w:cs="Times New Roman"/>
                <w:b/>
                <w:bCs/>
                <w:sz w:val="20"/>
                <w:szCs w:val="20"/>
              </w:rPr>
              <w:fldChar w:fldCharType="end"/>
            </w:r>
          </w:p>
        </w:tc>
      </w:tr>
      <w:tr w:rsidR="00590828" w:rsidRPr="00E90DFD" w14:paraId="55237362" w14:textId="77777777" w:rsidTr="000F2E10">
        <w:trPr>
          <w:trHeight w:val="526"/>
        </w:trPr>
        <w:tc>
          <w:tcPr>
            <w:cnfStyle w:val="001000000000" w:firstRow="0" w:lastRow="0" w:firstColumn="1" w:lastColumn="0" w:oddVBand="0" w:evenVBand="0" w:oddHBand="0" w:evenHBand="0" w:firstRowFirstColumn="0" w:firstRowLastColumn="0" w:lastRowFirstColumn="0" w:lastRowLastColumn="0"/>
            <w:tcW w:w="3111" w:type="dxa"/>
            <w:vAlign w:val="center"/>
          </w:tcPr>
          <w:p w14:paraId="4E444EF9" w14:textId="77777777" w:rsidR="00590828" w:rsidRPr="00E90DFD" w:rsidRDefault="00590828" w:rsidP="00590828">
            <w:pPr>
              <w:spacing w:before="0" w:after="0"/>
              <w:rPr>
                <w:rFonts w:eastAsia="Calibri" w:cs="Times New Roman"/>
                <w:color w:val="212121"/>
                <w:sz w:val="20"/>
                <w:szCs w:val="20"/>
                <w:shd w:val="clear" w:color="auto" w:fill="FFFFFF"/>
              </w:rPr>
            </w:pPr>
            <w:proofErr w:type="spellStart"/>
            <w:r w:rsidRPr="00E90DFD">
              <w:rPr>
                <w:rFonts w:eastAsia="Calibri" w:cs="Times New Roman"/>
                <w:i/>
                <w:iCs/>
                <w:color w:val="212121"/>
                <w:sz w:val="20"/>
                <w:szCs w:val="20"/>
                <w:shd w:val="clear" w:color="auto" w:fill="FFFFFF"/>
              </w:rPr>
              <w:t>hipBA</w:t>
            </w:r>
            <w:proofErr w:type="spellEnd"/>
            <w:r w:rsidRPr="00E90DFD">
              <w:rPr>
                <w:rFonts w:eastAsia="Calibri" w:cs="Times New Roman"/>
                <w:color w:val="212121"/>
                <w:sz w:val="20"/>
                <w:szCs w:val="20"/>
                <w:shd w:val="clear" w:color="auto" w:fill="FFFFFF"/>
              </w:rPr>
              <w:t> </w:t>
            </w:r>
          </w:p>
          <w:p w14:paraId="2D9673A2" w14:textId="77777777" w:rsidR="00590828" w:rsidRPr="00E90DFD" w:rsidRDefault="00590828" w:rsidP="00590828">
            <w:pPr>
              <w:spacing w:before="0" w:after="0"/>
              <w:rPr>
                <w:rFonts w:eastAsia="Calibri" w:cs="Times New Roman"/>
                <w:color w:val="212121"/>
                <w:sz w:val="20"/>
                <w:szCs w:val="20"/>
                <w:shd w:val="clear" w:color="auto" w:fill="FFFFFF"/>
              </w:rPr>
            </w:pPr>
            <w:r w:rsidRPr="00E90DFD">
              <w:rPr>
                <w:rFonts w:eastAsia="Calibri" w:cs="Times New Roman"/>
                <w:color w:val="212121"/>
                <w:sz w:val="20"/>
                <w:szCs w:val="20"/>
                <w:shd w:val="clear" w:color="auto" w:fill="FFFFFF"/>
              </w:rPr>
              <w:t>(toxin-antitoxin complex)</w:t>
            </w:r>
          </w:p>
          <w:p w14:paraId="7FDEEB22" w14:textId="77777777" w:rsidR="00590828" w:rsidRPr="00E90DFD" w:rsidRDefault="00590828" w:rsidP="00590828">
            <w:pPr>
              <w:spacing w:before="0" w:after="0"/>
              <w:rPr>
                <w:rFonts w:eastAsia="Calibri" w:cs="Times New Roman"/>
                <w:i/>
                <w:iCs/>
                <w:color w:val="212121"/>
                <w:sz w:val="20"/>
                <w:szCs w:val="20"/>
                <w:shd w:val="clear" w:color="auto" w:fill="FFFFFF"/>
              </w:rPr>
            </w:pPr>
          </w:p>
        </w:tc>
        <w:tc>
          <w:tcPr>
            <w:tcW w:w="2956" w:type="dxa"/>
            <w:vAlign w:val="center"/>
          </w:tcPr>
          <w:p w14:paraId="25EF7D07" w14:textId="77777777" w:rsidR="00590828" w:rsidRPr="00E90DFD" w:rsidRDefault="00590828" w:rsidP="00590828">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212121"/>
                <w:sz w:val="20"/>
                <w:szCs w:val="20"/>
                <w:shd w:val="clear" w:color="auto" w:fill="FFFFFF"/>
              </w:rPr>
            </w:pPr>
            <w:r w:rsidRPr="00E90DFD">
              <w:rPr>
                <w:rFonts w:eastAsia="Calibri" w:cs="Times New Roman"/>
                <w:color w:val="212121"/>
                <w:sz w:val="20"/>
                <w:szCs w:val="20"/>
                <w:shd w:val="clear" w:color="auto" w:fill="FFFFFF"/>
              </w:rPr>
              <w:t>Peptide nucleic acid (PNA)</w:t>
            </w:r>
          </w:p>
        </w:tc>
        <w:tc>
          <w:tcPr>
            <w:tcW w:w="3539" w:type="dxa"/>
            <w:vAlign w:val="center"/>
          </w:tcPr>
          <w:p w14:paraId="6F9C2AD0" w14:textId="46654624" w:rsidR="00590828" w:rsidRPr="00E90DFD" w:rsidRDefault="00590828" w:rsidP="00590828">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b/>
                <w:bCs/>
                <w:sz w:val="20"/>
                <w:szCs w:val="20"/>
              </w:rPr>
            </w:pPr>
            <w:r w:rsidRPr="00E90DFD">
              <w:rPr>
                <w:rFonts w:eastAsia="Calibri" w:cs="Times New Roman"/>
                <w:b/>
                <w:bCs/>
                <w:sz w:val="20"/>
                <w:szCs w:val="20"/>
              </w:rPr>
              <w:fldChar w:fldCharType="begin" w:fldLock="1"/>
            </w:r>
            <w:r w:rsidR="00D14EC6" w:rsidRPr="00E90DFD">
              <w:rPr>
                <w:rFonts w:eastAsia="Calibri" w:cs="Times New Roman"/>
                <w:b/>
                <w:bCs/>
                <w:sz w:val="20"/>
                <w:szCs w:val="20"/>
              </w:rPr>
              <w:instrText>ADDIN CSL_CITATION {"citationItems":[{"id":"ITEM-1","itemData":{"DOI":"10.3389/fmicb.2018.02870","ISSN":"1664302X","abstract":"The search for new, non-standard targets is currently a high priority in the design of new antibacterial compounds. Bacterial toxin–antitoxin systems (TAs) are genetic modules that encode a toxin protein that causes growth arrest by interfering with essential cellular processes, and a cognate antitoxin, which neutralizes the toxin activity. TAs have no human analogs, are highly abundant in bacterial genomes, and therefore represent attractive alternative targets for antimicrobial drugs. This study demonstrates how artificial activation of Escherichia coli mazEF and hipBA toxin–antitoxin systems using sequence-specific antisense peptide nucleic acid oligomers is an innovative antibacterial strategy. The growth arrest observed in E. coli resulted from the inhibition of translation of the antitoxins by the antisense oligomers. Furthermore, two other targets, related to the activities of mazEF and hipBA, were identified as promising sites of action for antibacterials. These results show that TAs are susceptible to sequence-specific antisense agents and provide a proof-of-concept for their further exploitation in antimicrobial strategies.","author":[{"dropping-particle":"","family":"Równicki","given":"Marcin","non-dropping-particle":"","parse-names":false,"suffix":""},{"dropping-particle":"","family":"Pieńko","given":"Tomasz","non-dropping-particle":"","parse-names":false,"suffix":""},{"dropping-particle":"","family":"Czarnecki","given":"Jakub","non-dropping-particle":"","parse-names":false,"suffix":""},{"dropping-particle":"","family":"Kolanowska","given":"Monika","non-dropping-particle":"","parse-names":false,"suffix":""},{"dropping-particle":"","family":"Bartosik","given":"Dariusz","non-dropping-particle":"","parse-names":false,"suffix":""},{"dropping-particle":"","family":"Trylska","given":"Joanna","non-dropping-particle":"","parse-names":false,"suffix":""}],"container-title":"Frontiers in Microbiology","id":"ITEM-1","issue":"NOV","issued":{"date-parts":[["2018"]]},"page":"1-12","title":"Artificial activation of Escherichia coli mazEF and hipBA toxin–antitoxin systems by antisense peptide nucleic acids as an antibacterial strategy","type":"article-journal","volume":"9"},"uris":["http://www.mendeley.com/documents/?uuid=1b8e1228-be21-4d94-b793-7cbac07c0e2d"]}],"mendeley":{"formattedCitation":"(Równicki et al., 2018)","plainTextFormattedCitation":"(Równicki et al., 2018)","previouslyFormattedCitation":"(Równicki et al., 2018)"},"properties":{"noteIndex":0},"schema":"https://github.com/citation-style-language/schema/raw/master/csl-citation.json"}</w:instrText>
            </w:r>
            <w:r w:rsidRPr="00E90DFD">
              <w:rPr>
                <w:rFonts w:eastAsia="Calibri" w:cs="Times New Roman"/>
                <w:b/>
                <w:bCs/>
                <w:sz w:val="20"/>
                <w:szCs w:val="20"/>
              </w:rPr>
              <w:fldChar w:fldCharType="separate"/>
            </w:r>
            <w:r w:rsidRPr="00E90DFD">
              <w:rPr>
                <w:rFonts w:eastAsia="Calibri" w:cs="Times New Roman"/>
                <w:b/>
                <w:bCs/>
                <w:noProof/>
                <w:sz w:val="20"/>
                <w:szCs w:val="20"/>
              </w:rPr>
              <w:t>(Równicki et al., 2018)</w:t>
            </w:r>
            <w:r w:rsidRPr="00E90DFD">
              <w:rPr>
                <w:rFonts w:eastAsia="Calibri" w:cs="Times New Roman"/>
                <w:b/>
                <w:bCs/>
                <w:sz w:val="20"/>
                <w:szCs w:val="20"/>
              </w:rPr>
              <w:fldChar w:fldCharType="end"/>
            </w:r>
          </w:p>
        </w:tc>
      </w:tr>
      <w:tr w:rsidR="00590828" w:rsidRPr="00E90DFD" w14:paraId="1C2CD1C9" w14:textId="77777777" w:rsidTr="000F2E10">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3111" w:type="dxa"/>
            <w:vAlign w:val="center"/>
          </w:tcPr>
          <w:p w14:paraId="4C0E6053" w14:textId="77777777" w:rsidR="00590828" w:rsidRPr="00E90DFD" w:rsidRDefault="00590828" w:rsidP="00590828">
            <w:pPr>
              <w:spacing w:before="0" w:after="0"/>
              <w:rPr>
                <w:rFonts w:eastAsia="Calibri" w:cs="Times New Roman"/>
                <w:i/>
                <w:iCs/>
                <w:sz w:val="20"/>
                <w:szCs w:val="20"/>
              </w:rPr>
            </w:pPr>
            <w:proofErr w:type="spellStart"/>
            <w:r w:rsidRPr="00E90DFD">
              <w:rPr>
                <w:rFonts w:eastAsia="Calibri" w:cs="Times New Roman"/>
                <w:i/>
                <w:iCs/>
                <w:sz w:val="20"/>
                <w:szCs w:val="20"/>
              </w:rPr>
              <w:t>marORAB</w:t>
            </w:r>
            <w:proofErr w:type="spellEnd"/>
            <w:r w:rsidRPr="00E90DFD">
              <w:rPr>
                <w:rFonts w:eastAsia="Calibri" w:cs="Times New Roman"/>
                <w:i/>
                <w:iCs/>
                <w:sz w:val="20"/>
                <w:szCs w:val="20"/>
              </w:rPr>
              <w:t xml:space="preserve"> </w:t>
            </w:r>
          </w:p>
          <w:p w14:paraId="5E92354E" w14:textId="77777777" w:rsidR="00590828" w:rsidRPr="00E90DFD" w:rsidRDefault="00590828" w:rsidP="00590828">
            <w:pPr>
              <w:spacing w:before="0" w:after="0"/>
              <w:rPr>
                <w:rFonts w:eastAsia="Calibri" w:cs="Times New Roman"/>
                <w:sz w:val="20"/>
                <w:szCs w:val="20"/>
              </w:rPr>
            </w:pPr>
            <w:r w:rsidRPr="00E90DFD">
              <w:rPr>
                <w:rFonts w:eastAsia="Calibri" w:cs="Times New Roman"/>
                <w:sz w:val="20"/>
                <w:szCs w:val="20"/>
              </w:rPr>
              <w:t>(</w:t>
            </w:r>
            <w:proofErr w:type="gramStart"/>
            <w:r w:rsidRPr="00E90DFD">
              <w:rPr>
                <w:rFonts w:eastAsia="Calibri" w:cs="Times New Roman"/>
                <w:sz w:val="20"/>
                <w:szCs w:val="20"/>
              </w:rPr>
              <w:t>antibiotic</w:t>
            </w:r>
            <w:proofErr w:type="gramEnd"/>
            <w:r w:rsidRPr="00E90DFD">
              <w:rPr>
                <w:rFonts w:eastAsia="Calibri" w:cs="Times New Roman"/>
                <w:sz w:val="20"/>
                <w:szCs w:val="20"/>
              </w:rPr>
              <w:t xml:space="preserve"> resistance operon)</w:t>
            </w:r>
          </w:p>
          <w:p w14:paraId="2A13D36B" w14:textId="77777777" w:rsidR="00590828" w:rsidRPr="00E90DFD" w:rsidRDefault="00590828" w:rsidP="00590828">
            <w:pPr>
              <w:spacing w:before="0" w:after="0"/>
              <w:rPr>
                <w:rFonts w:eastAsia="Calibri" w:cs="Times New Roman"/>
                <w:iCs/>
                <w:color w:val="212121"/>
                <w:sz w:val="20"/>
                <w:szCs w:val="20"/>
                <w:shd w:val="clear" w:color="auto" w:fill="FFFFFF"/>
              </w:rPr>
            </w:pPr>
          </w:p>
        </w:tc>
        <w:tc>
          <w:tcPr>
            <w:tcW w:w="2956" w:type="dxa"/>
            <w:vAlign w:val="center"/>
          </w:tcPr>
          <w:p w14:paraId="55A280CB" w14:textId="77777777" w:rsidR="00590828" w:rsidRPr="00E90DFD" w:rsidRDefault="00590828" w:rsidP="00590828">
            <w:pPr>
              <w:spacing w:before="0" w:after="0"/>
              <w:cnfStyle w:val="000000100000" w:firstRow="0" w:lastRow="0" w:firstColumn="0" w:lastColumn="0" w:oddVBand="0" w:evenVBand="0" w:oddHBand="1" w:evenHBand="0" w:firstRowFirstColumn="0" w:firstRowLastColumn="0" w:lastRowFirstColumn="0" w:lastRowLastColumn="0"/>
              <w:rPr>
                <w:rFonts w:eastAsia="Calibri" w:cs="Times New Roman"/>
                <w:color w:val="212121"/>
                <w:sz w:val="20"/>
                <w:szCs w:val="20"/>
                <w:shd w:val="clear" w:color="auto" w:fill="FFFFFF"/>
              </w:rPr>
            </w:pPr>
            <w:proofErr w:type="spellStart"/>
            <w:r w:rsidRPr="00E90DFD">
              <w:rPr>
                <w:rFonts w:eastAsia="Calibri" w:cs="Times New Roman"/>
                <w:sz w:val="20"/>
                <w:szCs w:val="20"/>
              </w:rPr>
              <w:t>Phosphorothioate</w:t>
            </w:r>
            <w:proofErr w:type="spellEnd"/>
            <w:r w:rsidRPr="00E90DFD">
              <w:rPr>
                <w:rFonts w:eastAsia="Calibri" w:cs="Times New Roman"/>
                <w:sz w:val="20"/>
                <w:szCs w:val="20"/>
              </w:rPr>
              <w:t xml:space="preserve"> (PS)</w:t>
            </w:r>
          </w:p>
        </w:tc>
        <w:tc>
          <w:tcPr>
            <w:tcW w:w="3539" w:type="dxa"/>
            <w:vAlign w:val="center"/>
          </w:tcPr>
          <w:p w14:paraId="5633CC2E" w14:textId="5FA50E9A" w:rsidR="00590828" w:rsidRPr="00E90DFD" w:rsidRDefault="00590828" w:rsidP="00590828">
            <w:pPr>
              <w:spacing w:before="0" w:after="0"/>
              <w:cnfStyle w:val="000000100000" w:firstRow="0" w:lastRow="0" w:firstColumn="0" w:lastColumn="0" w:oddVBand="0" w:evenVBand="0" w:oddHBand="1" w:evenHBand="0" w:firstRowFirstColumn="0" w:firstRowLastColumn="0" w:lastRowFirstColumn="0" w:lastRowLastColumn="0"/>
              <w:rPr>
                <w:rFonts w:eastAsia="Calibri" w:cs="Times New Roman"/>
                <w:b/>
                <w:bCs/>
                <w:sz w:val="20"/>
                <w:szCs w:val="20"/>
              </w:rPr>
            </w:pPr>
            <w:r w:rsidRPr="00E90DFD">
              <w:rPr>
                <w:rFonts w:eastAsia="Calibri" w:cs="Times New Roman"/>
                <w:b/>
                <w:bCs/>
                <w:sz w:val="20"/>
                <w:szCs w:val="20"/>
              </w:rPr>
              <w:fldChar w:fldCharType="begin" w:fldLock="1"/>
            </w:r>
            <w:r w:rsidR="00D14EC6" w:rsidRPr="00E90DFD">
              <w:rPr>
                <w:rFonts w:eastAsia="Calibri" w:cs="Times New Roman"/>
                <w:b/>
                <w:bCs/>
                <w:sz w:val="20"/>
                <w:szCs w:val="20"/>
              </w:rPr>
              <w:instrText>ADDIN CSL_CITATION {"citationItems":[{"id":"ITEM-1","itemData":{"DOI":"10.1128/aac.41.12.2699","ISSN":"00664804","PMID":"9420041","abstract":"The multiple antibiotic resistance operon (marORAB) in Escherichia coli controls intrinsic susceptibility and resistance to multiple, structurally different antibiotics and other noxious agents. A plasmid construct with marA cloned in the antisense direction reduced LacZ expression from a constitutively expressed marA::lacZ translational fusion and inhibited the induced expression of LacZ in cells bearing the wild-type repressed fusion. The marA antisense construction also decreased the multiple antibiotic resistance of a Mar mutant. Two antisense phosphorothioate oligonucleotides, one targeted to marO and the other targeted to marA of the mar operon, introduced by heat shock or electroporation reduced LacZ expression in the strain having the marA::lacZ fusion. One antisense oligonucleotide, tested against a Mar mutant of E. coli ML308-225, increased the bactericidal activity of norfloxacin. These studies demonstrate the efficacy of exogenously delivered antisense oligonucleotides targeted to the marRAB operon in inhibiting expression of this chromosomal regulatory locus.","author":[{"dropping-particle":"","family":"White","given":"D. G.","non-dropping-particle":"","parse-names":false,"suffix":""},{"dropping-particle":"","family":"Maneewannakul","given":"K.","non-dropping-particle":"","parse-names":false,"suffix":""},{"dropping-particle":"","family":"Hofe","given":"E.","non-dropping-particle":"Von","parse-names":false,"suffix":""},{"dropping-particle":"","family":"Zillman","given":"M.","non-dropping-particle":"","parse-names":false,"suffix":""},{"dropping-particle":"","family":"Eisenberg","given":"W.","non-dropping-particle":"","parse-names":false,"suffix":""},{"dropping-particle":"","family":"Field","given":"A. K.","non-dropping-particle":"","parse-names":false,"suffix":""},{"dropping-particle":"","family":"Levy","given":"S. B.","non-dropping-particle":"","parse-names":false,"suffix":""}],"container-title":"Antimicrobial Agents and Chemotherapy","id":"ITEM-1","issue":"12","issued":{"date-parts":[["1997"]]},"page":"2699-2704","title":"Inhibition of the multiple antibiotic resistance (mar) operon in Escherichia coli by antisense DNA analogs","type":"article-journal","volume":"41"},"uris":["http://www.mendeley.com/documents/?uuid=70ef40da-2311-492f-8616-a8289b7e5575"]}],"mendeley":{"formattedCitation":"(White et al., 1997)","plainTextFormattedCitation":"(White et al., 1997)","previouslyFormattedCitation":"(White et al., 1997)"},"properties":{"noteIndex":0},"schema":"https://github.com/citation-style-language/schema/raw/master/csl-citation.json"}</w:instrText>
            </w:r>
            <w:r w:rsidRPr="00E90DFD">
              <w:rPr>
                <w:rFonts w:eastAsia="Calibri" w:cs="Times New Roman"/>
                <w:b/>
                <w:bCs/>
                <w:sz w:val="20"/>
                <w:szCs w:val="20"/>
              </w:rPr>
              <w:fldChar w:fldCharType="separate"/>
            </w:r>
            <w:r w:rsidRPr="00E90DFD">
              <w:rPr>
                <w:rFonts w:eastAsia="Calibri" w:cs="Times New Roman"/>
                <w:b/>
                <w:bCs/>
                <w:noProof/>
                <w:sz w:val="20"/>
                <w:szCs w:val="20"/>
              </w:rPr>
              <w:t>(White et al., 1997)</w:t>
            </w:r>
            <w:r w:rsidRPr="00E90DFD">
              <w:rPr>
                <w:rFonts w:eastAsia="Calibri" w:cs="Times New Roman"/>
                <w:b/>
                <w:bCs/>
                <w:sz w:val="20"/>
                <w:szCs w:val="20"/>
              </w:rPr>
              <w:fldChar w:fldCharType="end"/>
            </w:r>
          </w:p>
        </w:tc>
      </w:tr>
      <w:tr w:rsidR="00590828" w:rsidRPr="00E90DFD" w14:paraId="72D287FB" w14:textId="77777777" w:rsidTr="000F2E10">
        <w:trPr>
          <w:trHeight w:val="554"/>
        </w:trPr>
        <w:tc>
          <w:tcPr>
            <w:cnfStyle w:val="001000000000" w:firstRow="0" w:lastRow="0" w:firstColumn="1" w:lastColumn="0" w:oddVBand="0" w:evenVBand="0" w:oddHBand="0" w:evenHBand="0" w:firstRowFirstColumn="0" w:firstRowLastColumn="0" w:lastRowFirstColumn="0" w:lastRowLastColumn="0"/>
            <w:tcW w:w="3111" w:type="dxa"/>
            <w:vAlign w:val="center"/>
          </w:tcPr>
          <w:p w14:paraId="7E78D406" w14:textId="77777777" w:rsidR="00590828" w:rsidRPr="00E90DFD" w:rsidRDefault="00590828" w:rsidP="00590828">
            <w:pPr>
              <w:spacing w:before="0" w:after="0"/>
              <w:rPr>
                <w:rFonts w:eastAsia="Calibri" w:cs="Times New Roman"/>
                <w:color w:val="212121"/>
                <w:sz w:val="20"/>
                <w:szCs w:val="20"/>
                <w:shd w:val="clear" w:color="auto" w:fill="FFFFFF"/>
              </w:rPr>
            </w:pPr>
            <w:r w:rsidRPr="00E90DFD">
              <w:rPr>
                <w:rFonts w:eastAsia="Calibri" w:cs="Times New Roman"/>
                <w:i/>
                <w:color w:val="212121"/>
                <w:sz w:val="20"/>
                <w:szCs w:val="20"/>
                <w:shd w:val="clear" w:color="auto" w:fill="FFFFFF"/>
              </w:rPr>
              <w:t>mcr-1</w:t>
            </w:r>
            <w:r w:rsidRPr="00E90DFD">
              <w:rPr>
                <w:rFonts w:eastAsia="Calibri" w:cs="Times New Roman"/>
                <w:color w:val="212121"/>
                <w:sz w:val="20"/>
                <w:szCs w:val="20"/>
                <w:shd w:val="clear" w:color="auto" w:fill="FFFFFF"/>
              </w:rPr>
              <w:t xml:space="preserve"> </w:t>
            </w:r>
          </w:p>
          <w:p w14:paraId="7C6AD95F" w14:textId="77777777" w:rsidR="00590828" w:rsidRPr="00E90DFD" w:rsidRDefault="00590828" w:rsidP="00590828">
            <w:pPr>
              <w:spacing w:before="0" w:after="0"/>
              <w:rPr>
                <w:rFonts w:eastAsia="Calibri" w:cs="Times New Roman"/>
                <w:color w:val="212121"/>
                <w:sz w:val="20"/>
                <w:szCs w:val="20"/>
                <w:shd w:val="clear" w:color="auto" w:fill="FFFFFF"/>
              </w:rPr>
            </w:pPr>
            <w:r w:rsidRPr="00E90DFD">
              <w:rPr>
                <w:rFonts w:eastAsia="Calibri" w:cs="Times New Roman"/>
                <w:color w:val="212121"/>
                <w:sz w:val="20"/>
                <w:szCs w:val="20"/>
                <w:shd w:val="clear" w:color="auto" w:fill="FFFFFF"/>
              </w:rPr>
              <w:t>(</w:t>
            </w:r>
            <w:proofErr w:type="gramStart"/>
            <w:r w:rsidRPr="00E90DFD">
              <w:rPr>
                <w:rFonts w:eastAsia="Calibri" w:cs="Times New Roman"/>
                <w:color w:val="212121"/>
                <w:sz w:val="20"/>
                <w:szCs w:val="20"/>
                <w:shd w:val="clear" w:color="auto" w:fill="FFFFFF"/>
              </w:rPr>
              <w:t>colistin</w:t>
            </w:r>
            <w:proofErr w:type="gramEnd"/>
            <w:r w:rsidRPr="00E90DFD">
              <w:rPr>
                <w:rFonts w:eastAsia="Calibri" w:cs="Times New Roman"/>
                <w:color w:val="212121"/>
                <w:sz w:val="20"/>
                <w:szCs w:val="20"/>
                <w:shd w:val="clear" w:color="auto" w:fill="FFFFFF"/>
              </w:rPr>
              <w:t xml:space="preserve"> resistance)</w:t>
            </w:r>
          </w:p>
          <w:p w14:paraId="2A2200A2" w14:textId="77777777" w:rsidR="00590828" w:rsidRPr="00E90DFD" w:rsidRDefault="00590828" w:rsidP="00590828">
            <w:pPr>
              <w:spacing w:before="0" w:after="0"/>
              <w:rPr>
                <w:rFonts w:eastAsia="Calibri" w:cs="Times New Roman"/>
                <w:i/>
                <w:iCs/>
                <w:color w:val="212121"/>
                <w:sz w:val="20"/>
                <w:szCs w:val="20"/>
                <w:shd w:val="clear" w:color="auto" w:fill="FFFFFF"/>
              </w:rPr>
            </w:pPr>
          </w:p>
        </w:tc>
        <w:tc>
          <w:tcPr>
            <w:tcW w:w="2956" w:type="dxa"/>
            <w:vAlign w:val="center"/>
          </w:tcPr>
          <w:p w14:paraId="757F08B6" w14:textId="77777777" w:rsidR="00590828" w:rsidRPr="00E90DFD" w:rsidRDefault="00590828" w:rsidP="00590828">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E90DFD">
              <w:rPr>
                <w:rFonts w:eastAsia="Calibri" w:cs="Times New Roman"/>
                <w:color w:val="212121"/>
                <w:sz w:val="20"/>
                <w:szCs w:val="20"/>
                <w:shd w:val="clear" w:color="auto" w:fill="FFFFFF"/>
              </w:rPr>
              <w:t>Peptide nucleic acids (PNAs)</w:t>
            </w:r>
          </w:p>
        </w:tc>
        <w:tc>
          <w:tcPr>
            <w:tcW w:w="3539" w:type="dxa"/>
            <w:vAlign w:val="center"/>
          </w:tcPr>
          <w:p w14:paraId="257E215C" w14:textId="3BBF162D" w:rsidR="00590828" w:rsidRPr="00E90DFD" w:rsidRDefault="00590828" w:rsidP="00590828">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b/>
                <w:bCs/>
                <w:sz w:val="20"/>
                <w:szCs w:val="20"/>
              </w:rPr>
            </w:pPr>
            <w:r w:rsidRPr="00E90DFD">
              <w:rPr>
                <w:rFonts w:eastAsia="Calibri" w:cs="Times New Roman"/>
                <w:b/>
                <w:bCs/>
                <w:sz w:val="20"/>
                <w:szCs w:val="20"/>
              </w:rPr>
              <w:fldChar w:fldCharType="begin" w:fldLock="1"/>
            </w:r>
            <w:r w:rsidR="00D14EC6" w:rsidRPr="00E90DFD">
              <w:rPr>
                <w:rFonts w:eastAsia="Calibri" w:cs="Times New Roman"/>
                <w:b/>
                <w:bCs/>
                <w:sz w:val="20"/>
                <w:szCs w:val="20"/>
              </w:rPr>
              <w:instrText>ADDIN CSL_CITATION {"citationItems":[{"id":"ITEM-1","itemData":{"DOI":"10.1093/jac/dkaa140","ISSN":"14602091","PMID":"32417908","abstract":"BACKGROUND: Plasmid-mediated mechanisms of drug resistance accelerate the spread of polymyxin resistance, leaving clinicians with few or no antibacterial options for the treatment of infections caused by MDR bacteria, especially carbapenemase-producing strains. OBJECTIVES: To evaluate the associations among promoter sequence variation, mcr-1 expression, host factors and levels of colistin resistance and to propose antisense agents such as peptide nucleic acids (PNAs) targeting mcr-1 as a tool to restore colistin susceptibility through modulation of MCR-1 expression in Escherichia coli. METHODS: A β-galactosidase assay was performed to study mcr-1 promoter activity. Quantitative real-time PCR and western blot assays were used to identify the expression level of MCR-1 in WT strains and transformants. Three PNAs targeting different regions of mcr-1 were designed and synthesized to determine whether they can effectively inhibit MCR-1 expression. MIC was measured to test colistin susceptibility in the presence or absence of PNA-1 in mcr-1-carrying E. coli. RESULTS: Variation in the mcr-1 promoter sequence and host species affect promoter activity, MCR-1 expression levels and colistin MICs. One PNA targeting the ribosome-binding site fully inhibited the expression of mcr-1 at a concentration of 4 μM, resulting in significantly increased susceptibility to colistin. The MIC90 of colistin decreased from 8 to 2 mg/L (P &lt; 0.05) in the presence of 4 μM PNA. CONCLUSIONS: These findings suggest that the antisense approach is a possible strategy to combat mcr-1-mediated resistance as well as other causes of emerging global resistance.","author":[{"dropping-particle":"","family":"Wang","given":"Xiaoming","non-dropping-particle":"","parse-names":false,"suffix":""},{"dropping-particle":"","family":"Wang","given":"Yao","non-dropping-particle":"","parse-names":false,"suffix":""},{"dropping-particle":"","family":"Ling","given":"Zhuoren","non-dropping-particle":"","parse-names":false,"suffix":""},{"dropping-particle":"","family":"Zhang","given":"Chaoyang","non-dropping-particle":"","parse-names":false,"suffix":""},{"dropping-particle":"","family":"Fu","given":"Mingming","non-dropping-particle":"","parse-names":false,"suffix":""},{"dropping-particle":"","family":"Wang","given":"Yang","non-dropping-particle":"","parse-names":false,"suffix":""},{"dropping-particle":"","family":"Wang","given":"Shaolin","non-dropping-particle":"","parse-names":false,"suffix":""},{"dropping-particle":"","family":"Zhang","given":"Suxia","non-dropping-particle":"","parse-names":false,"suffix":""},{"dropping-particle":"","family":"Shen","given":"Zhangqi","non-dropping-particle":"","parse-names":false,"suffix":""}],"container-title":"The Journal of antimicrobial chemotherapy","id":"ITEM-1","issue":"8","issued":{"date-parts":[["2020"]]},"page":"2059-2065","title":"Peptide nucleic acid restores colistin susceptibility through modulation of MCR-1 expression in Escherichia coli","type":"article-journal","volume":"75"},"uris":["http://www.mendeley.com/documents/?uuid=f02d3585-5c3c-438f-ac25-21fe1df5015c"]}],"mendeley":{"formattedCitation":"(Wang et al., 2020)","plainTextFormattedCitation":"(Wang et al., 2020)","previouslyFormattedCitation":"(Wang et al., 2020)"},"properties":{"noteIndex":0},"schema":"https://github.com/citation-style-language/schema/raw/master/csl-citation.json"}</w:instrText>
            </w:r>
            <w:r w:rsidRPr="00E90DFD">
              <w:rPr>
                <w:rFonts w:eastAsia="Calibri" w:cs="Times New Roman"/>
                <w:b/>
                <w:bCs/>
                <w:sz w:val="20"/>
                <w:szCs w:val="20"/>
              </w:rPr>
              <w:fldChar w:fldCharType="separate"/>
            </w:r>
            <w:r w:rsidRPr="00E90DFD">
              <w:rPr>
                <w:rFonts w:eastAsia="Calibri" w:cs="Times New Roman"/>
                <w:b/>
                <w:bCs/>
                <w:noProof/>
                <w:sz w:val="20"/>
                <w:szCs w:val="20"/>
              </w:rPr>
              <w:t>(Wang et al., 2020)</w:t>
            </w:r>
            <w:r w:rsidRPr="00E90DFD">
              <w:rPr>
                <w:rFonts w:eastAsia="Calibri" w:cs="Times New Roman"/>
                <w:b/>
                <w:bCs/>
                <w:sz w:val="20"/>
                <w:szCs w:val="20"/>
              </w:rPr>
              <w:fldChar w:fldCharType="end"/>
            </w:r>
          </w:p>
        </w:tc>
      </w:tr>
      <w:tr w:rsidR="00590828" w:rsidRPr="00E90DFD" w14:paraId="2DC179C1" w14:textId="77777777" w:rsidTr="000F2E10">
        <w:trPr>
          <w:cnfStyle w:val="000000100000" w:firstRow="0" w:lastRow="0" w:firstColumn="0" w:lastColumn="0" w:oddVBand="0" w:evenVBand="0" w:oddHBand="1" w:evenHBand="0"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3111" w:type="dxa"/>
            <w:vAlign w:val="center"/>
          </w:tcPr>
          <w:p w14:paraId="11B7A5EB" w14:textId="77777777" w:rsidR="00590828" w:rsidRPr="00E90DFD" w:rsidRDefault="00590828" w:rsidP="00590828">
            <w:pPr>
              <w:spacing w:before="0" w:after="0"/>
              <w:rPr>
                <w:rFonts w:eastAsia="Calibri" w:cs="Times New Roman"/>
                <w:i/>
                <w:iCs/>
                <w:sz w:val="20"/>
                <w:szCs w:val="20"/>
              </w:rPr>
            </w:pPr>
            <w:r w:rsidRPr="00E90DFD">
              <w:rPr>
                <w:rFonts w:eastAsia="Calibri" w:cs="Times New Roman"/>
                <w:i/>
                <w:iCs/>
                <w:sz w:val="20"/>
                <w:szCs w:val="20"/>
              </w:rPr>
              <w:t xml:space="preserve"> </w:t>
            </w:r>
            <w:proofErr w:type="spellStart"/>
            <w:r w:rsidRPr="00E90DFD">
              <w:rPr>
                <w:rFonts w:eastAsia="Calibri" w:cs="Times New Roman"/>
                <w:i/>
                <w:iCs/>
                <w:sz w:val="20"/>
                <w:szCs w:val="20"/>
              </w:rPr>
              <w:t>acrB</w:t>
            </w:r>
            <w:proofErr w:type="spellEnd"/>
            <w:r w:rsidRPr="00E90DFD">
              <w:rPr>
                <w:rFonts w:eastAsia="Calibri" w:cs="Times New Roman"/>
                <w:i/>
                <w:iCs/>
                <w:sz w:val="20"/>
                <w:szCs w:val="20"/>
              </w:rPr>
              <w:t xml:space="preserve"> </w:t>
            </w:r>
          </w:p>
          <w:p w14:paraId="4D64D40E" w14:textId="77777777" w:rsidR="00590828" w:rsidRPr="00E90DFD" w:rsidRDefault="00590828" w:rsidP="00590828">
            <w:pPr>
              <w:spacing w:before="0" w:after="0"/>
              <w:rPr>
                <w:rFonts w:eastAsia="Calibri" w:cs="Times New Roman"/>
                <w:sz w:val="20"/>
                <w:szCs w:val="20"/>
              </w:rPr>
            </w:pPr>
            <w:r w:rsidRPr="00E90DFD">
              <w:rPr>
                <w:rFonts w:eastAsia="Calibri" w:cs="Times New Roman"/>
                <w:sz w:val="20"/>
                <w:szCs w:val="20"/>
              </w:rPr>
              <w:t>(</w:t>
            </w:r>
            <w:proofErr w:type="gramStart"/>
            <w:r w:rsidRPr="00E90DFD">
              <w:rPr>
                <w:rFonts w:eastAsia="Calibri" w:cs="Times New Roman"/>
                <w:sz w:val="20"/>
                <w:szCs w:val="20"/>
              </w:rPr>
              <w:t>efflux</w:t>
            </w:r>
            <w:proofErr w:type="gramEnd"/>
            <w:r w:rsidRPr="00E90DFD">
              <w:rPr>
                <w:rFonts w:eastAsia="Calibri" w:cs="Times New Roman"/>
                <w:sz w:val="20"/>
                <w:szCs w:val="20"/>
              </w:rPr>
              <w:t xml:space="preserve"> pump responsible)</w:t>
            </w:r>
          </w:p>
        </w:tc>
        <w:tc>
          <w:tcPr>
            <w:tcW w:w="2956" w:type="dxa"/>
            <w:vAlign w:val="center"/>
          </w:tcPr>
          <w:p w14:paraId="3027F2F4" w14:textId="77777777" w:rsidR="00590828" w:rsidRPr="00E90DFD" w:rsidRDefault="00590828" w:rsidP="00590828">
            <w:pPr>
              <w:spacing w:before="0" w:after="0"/>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E90DFD">
              <w:rPr>
                <w:rFonts w:eastAsia="Calibri" w:cs="Times New Roman"/>
                <w:sz w:val="20"/>
                <w:szCs w:val="20"/>
              </w:rPr>
              <w:t xml:space="preserve">liposome </w:t>
            </w:r>
            <w:proofErr w:type="spellStart"/>
            <w:r w:rsidRPr="00E90DFD">
              <w:rPr>
                <w:rFonts w:eastAsia="Calibri" w:cs="Times New Roman"/>
                <w:sz w:val="20"/>
                <w:szCs w:val="20"/>
              </w:rPr>
              <w:t>phosphorothioate</w:t>
            </w:r>
            <w:proofErr w:type="spellEnd"/>
            <w:r w:rsidRPr="00E90DFD">
              <w:rPr>
                <w:rFonts w:eastAsia="Calibri" w:cs="Times New Roman"/>
                <w:sz w:val="20"/>
                <w:szCs w:val="20"/>
              </w:rPr>
              <w:t xml:space="preserve"> (PS)-conjugate </w:t>
            </w:r>
          </w:p>
        </w:tc>
        <w:tc>
          <w:tcPr>
            <w:tcW w:w="3539" w:type="dxa"/>
            <w:vAlign w:val="center"/>
          </w:tcPr>
          <w:p w14:paraId="07A05AA1" w14:textId="7633C7AE" w:rsidR="00590828" w:rsidRPr="00E90DFD" w:rsidRDefault="00590828" w:rsidP="00590828">
            <w:pPr>
              <w:spacing w:before="0" w:after="0"/>
              <w:cnfStyle w:val="000000100000" w:firstRow="0" w:lastRow="0" w:firstColumn="0" w:lastColumn="0" w:oddVBand="0" w:evenVBand="0" w:oddHBand="1" w:evenHBand="0" w:firstRowFirstColumn="0" w:firstRowLastColumn="0" w:lastRowFirstColumn="0" w:lastRowLastColumn="0"/>
              <w:rPr>
                <w:rFonts w:eastAsia="Calibri" w:cs="Times New Roman"/>
                <w:b/>
                <w:bCs/>
                <w:sz w:val="20"/>
                <w:szCs w:val="20"/>
              </w:rPr>
            </w:pPr>
            <w:r w:rsidRPr="00E90DFD">
              <w:rPr>
                <w:rFonts w:eastAsia="Calibri" w:cs="Times New Roman"/>
                <w:b/>
                <w:bCs/>
                <w:sz w:val="20"/>
                <w:szCs w:val="20"/>
              </w:rPr>
              <w:fldChar w:fldCharType="begin" w:fldLock="1"/>
            </w:r>
            <w:r w:rsidR="00D14EC6" w:rsidRPr="00E90DFD">
              <w:rPr>
                <w:rFonts w:eastAsia="Calibri" w:cs="Times New Roman"/>
                <w:b/>
                <w:bCs/>
                <w:sz w:val="20"/>
                <w:szCs w:val="20"/>
              </w:rPr>
              <w:instrText>ADDIN CSL_CITATION {"citationItems":[{"id":"ITEM-1","itemData":{"DOI":"10.1038/ja.2011.125","ISSN":"00218820","abstract":"Fluoroquinolone-resistant Escherichia coli (FREC) is one of the leading causes of Gram-negative bacterial infections short of effective antibiotics, thus necessitating development of novel antibacterial agents such as antisense resistance inhibitors. Aiming to restore susceptibility of FREC to fluoroquinolones by antisense inhibition of essential resistance mechanism, we designed and synthesized anion liposome encapsulated phosphorothioate oligodeoxynucleotide 831 (PS-ODN831) targeting gene acrB, which encodes the AcrAB-TolC efflux pump responsible for decreasing intercellular antibiotic concentrations. In all encapsulated PS-ODN831-treated groups, the MICs of ciprofloxacin and levofloxacin to FREC were reduced at different degrees, therefore inhibiting growth of FREC in a concentration-dependent manner. Reversion of their bactericidal effects was the result of specific and potent inhibition of acrB mRNA and the activity of efflux pump of AcrAB-TolC in FREC strains by liposome-encapsulated PS-ODN831. The study indicated that antisense targeting of AcrAB-TolC efflux pump system may be a feasible and potential strategy to treat FREC infections. © 2012 Japan Antibiotics Research Association All rights reserved.","author":[{"dropping-particle":"","family":"Meng","given":"Jingru","non-dropping-particle":"","parse-names":false,"suffix":""},{"dropping-particle":"","family":"Bai","given":"Hui","non-dropping-particle":"","parse-names":false,"suffix":""},{"dropping-particle":"","family":"Jia","given":"Min","non-dropping-particle":"","parse-names":false,"suffix":""},{"dropping-particle":"","family":"Ma","given":"Xue","non-dropping-particle":"","parse-names":false,"suffix":""},{"dropping-particle":"","family":"Hou","given":"Zheng","non-dropping-particle":"","parse-names":false,"suffix":""},{"dropping-particle":"","family":"Xue","given":"Xiaoyan","non-dropping-particle":"","parse-names":false,"suffix":""},{"dropping-particle":"","family":"Zhou","given":"Ying","non-dropping-particle":"","parse-names":false,"suffix":""},{"dropping-particle":"","family":"Luo","given":"Xiaoxing","non-dropping-particle":"","parse-names":false,"suffix":""}],"container-title":"Journal of Antibiotics","id":"ITEM-1","issue":"3","issued":{"date-parts":[["2012"]]},"page":"129-134","publisher":"Nature Publishing Group","title":"Restoration of antibiotic susceptibility in fluoroquinolone-resistant Escherichia coli by targeting acrB with antisense phosphorothioate oligonucleotide encapsulated in novel anion liposome","type":"article-journal","volume":"65"},"uris":["http://www.mendeley.com/documents/?uuid=52f3e966-6bef-4f1b-8578-5ce314ed889a"]}],"mendeley":{"formattedCitation":"(Meng et al., 2012)","plainTextFormattedCitation":"(Meng et al., 2012)","previouslyFormattedCitation":"(Meng et al., 2012)"},"properties":{"noteIndex":0},"schema":"https://github.com/citation-style-language/schema/raw/master/csl-citation.json"}</w:instrText>
            </w:r>
            <w:r w:rsidRPr="00E90DFD">
              <w:rPr>
                <w:rFonts w:eastAsia="Calibri" w:cs="Times New Roman"/>
                <w:b/>
                <w:bCs/>
                <w:sz w:val="20"/>
                <w:szCs w:val="20"/>
              </w:rPr>
              <w:fldChar w:fldCharType="separate"/>
            </w:r>
            <w:r w:rsidRPr="00E90DFD">
              <w:rPr>
                <w:rFonts w:eastAsia="Calibri" w:cs="Times New Roman"/>
                <w:b/>
                <w:bCs/>
                <w:noProof/>
                <w:sz w:val="20"/>
                <w:szCs w:val="20"/>
              </w:rPr>
              <w:t>(Meng et al., 2012)</w:t>
            </w:r>
            <w:r w:rsidRPr="00E90DFD">
              <w:rPr>
                <w:rFonts w:eastAsia="Calibri" w:cs="Times New Roman"/>
                <w:b/>
                <w:bCs/>
                <w:sz w:val="20"/>
                <w:szCs w:val="20"/>
              </w:rPr>
              <w:fldChar w:fldCharType="end"/>
            </w:r>
          </w:p>
        </w:tc>
      </w:tr>
      <w:tr w:rsidR="00590828" w:rsidRPr="00E90DFD" w14:paraId="603898B4" w14:textId="77777777" w:rsidTr="000F2E10">
        <w:trPr>
          <w:trHeight w:val="794"/>
        </w:trPr>
        <w:tc>
          <w:tcPr>
            <w:cnfStyle w:val="001000000000" w:firstRow="0" w:lastRow="0" w:firstColumn="1" w:lastColumn="0" w:oddVBand="0" w:evenVBand="0" w:oddHBand="0" w:evenHBand="0" w:firstRowFirstColumn="0" w:firstRowLastColumn="0" w:lastRowFirstColumn="0" w:lastRowLastColumn="0"/>
            <w:tcW w:w="3111" w:type="dxa"/>
            <w:tcBorders>
              <w:bottom w:val="single" w:sz="4" w:space="0" w:color="auto"/>
            </w:tcBorders>
            <w:vAlign w:val="center"/>
          </w:tcPr>
          <w:p w14:paraId="72689B7B" w14:textId="77777777" w:rsidR="00590828" w:rsidRPr="00E90DFD" w:rsidRDefault="00590828" w:rsidP="00590828">
            <w:pPr>
              <w:spacing w:before="0" w:after="0"/>
              <w:rPr>
                <w:rFonts w:eastAsia="Calibri" w:cs="Times New Roman"/>
                <w:color w:val="000000"/>
                <w:sz w:val="20"/>
                <w:szCs w:val="20"/>
                <w:shd w:val="clear" w:color="auto" w:fill="FFFFFF"/>
              </w:rPr>
            </w:pPr>
            <w:proofErr w:type="spellStart"/>
            <w:r w:rsidRPr="00E90DFD">
              <w:rPr>
                <w:rFonts w:eastAsia="Calibri" w:cs="Times New Roman"/>
                <w:i/>
                <w:color w:val="000000"/>
                <w:sz w:val="20"/>
                <w:szCs w:val="20"/>
                <w:shd w:val="clear" w:color="auto" w:fill="FFFFFF"/>
              </w:rPr>
              <w:t>ribF</w:t>
            </w:r>
            <w:proofErr w:type="spellEnd"/>
            <w:r w:rsidRPr="00E90DFD">
              <w:rPr>
                <w:rFonts w:eastAsia="Calibri" w:cs="Times New Roman"/>
                <w:color w:val="000000"/>
                <w:sz w:val="20"/>
                <w:szCs w:val="20"/>
                <w:shd w:val="clear" w:color="auto" w:fill="FFFFFF"/>
              </w:rPr>
              <w:t xml:space="preserve"> </w:t>
            </w:r>
          </w:p>
          <w:p w14:paraId="3221AAA1" w14:textId="77777777" w:rsidR="00590828" w:rsidRPr="00E90DFD" w:rsidRDefault="00590828" w:rsidP="00590828">
            <w:pPr>
              <w:spacing w:before="0" w:after="0"/>
              <w:rPr>
                <w:rFonts w:eastAsia="Calibri" w:cs="Times New Roman"/>
                <w:color w:val="212121"/>
                <w:sz w:val="20"/>
                <w:szCs w:val="20"/>
                <w:shd w:val="clear" w:color="auto" w:fill="FFFFFF"/>
              </w:rPr>
            </w:pPr>
            <w:r w:rsidRPr="00E90DFD">
              <w:rPr>
                <w:rFonts w:eastAsia="Calibri" w:cs="Times New Roman"/>
                <w:color w:val="000000"/>
                <w:sz w:val="20"/>
                <w:szCs w:val="20"/>
                <w:shd w:val="clear" w:color="auto" w:fill="FFFFFF"/>
              </w:rPr>
              <w:t>(</w:t>
            </w:r>
            <w:proofErr w:type="gramStart"/>
            <w:r w:rsidRPr="00E90DFD">
              <w:rPr>
                <w:rFonts w:eastAsia="Calibri" w:cs="Times New Roman"/>
                <w:color w:val="000000"/>
                <w:sz w:val="20"/>
                <w:szCs w:val="20"/>
                <w:shd w:val="clear" w:color="auto" w:fill="FFFFFF"/>
              </w:rPr>
              <w:t>riboflavin</w:t>
            </w:r>
            <w:proofErr w:type="gramEnd"/>
            <w:r w:rsidRPr="00E90DFD">
              <w:rPr>
                <w:rFonts w:eastAsia="Calibri" w:cs="Times New Roman"/>
                <w:color w:val="000000"/>
                <w:sz w:val="20"/>
                <w:szCs w:val="20"/>
                <w:shd w:val="clear" w:color="auto" w:fill="FFFFFF"/>
              </w:rPr>
              <w:t xml:space="preserve"> biosynthesis)</w:t>
            </w:r>
          </w:p>
        </w:tc>
        <w:tc>
          <w:tcPr>
            <w:tcW w:w="2956" w:type="dxa"/>
            <w:tcBorders>
              <w:bottom w:val="single" w:sz="4" w:space="0" w:color="auto"/>
            </w:tcBorders>
            <w:vAlign w:val="center"/>
          </w:tcPr>
          <w:p w14:paraId="509BC086" w14:textId="77777777" w:rsidR="00590828" w:rsidRPr="00E90DFD" w:rsidRDefault="00590828" w:rsidP="00590828">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212121"/>
                <w:sz w:val="20"/>
                <w:szCs w:val="20"/>
                <w:shd w:val="clear" w:color="auto" w:fill="FFFFFF"/>
              </w:rPr>
            </w:pPr>
            <w:r w:rsidRPr="00E90DFD">
              <w:rPr>
                <w:rFonts w:eastAsia="Calibri" w:cs="Times New Roman"/>
                <w:color w:val="000000"/>
                <w:sz w:val="20"/>
                <w:szCs w:val="20"/>
                <w:shd w:val="clear" w:color="auto" w:fill="FFFFFF"/>
              </w:rPr>
              <w:t xml:space="preserve">2′-alkyl modification and </w:t>
            </w:r>
            <w:proofErr w:type="spellStart"/>
            <w:r w:rsidRPr="00E90DFD">
              <w:rPr>
                <w:rFonts w:eastAsia="Calibri" w:cs="Times New Roman"/>
                <w:color w:val="000000"/>
                <w:sz w:val="20"/>
                <w:szCs w:val="20"/>
                <w:shd w:val="clear" w:color="auto" w:fill="FFFFFF"/>
              </w:rPr>
              <w:t>phosphorothioate</w:t>
            </w:r>
            <w:proofErr w:type="spellEnd"/>
            <w:r w:rsidRPr="00E90DFD">
              <w:rPr>
                <w:rFonts w:eastAsia="Calibri" w:cs="Times New Roman"/>
                <w:color w:val="000000"/>
                <w:sz w:val="20"/>
                <w:szCs w:val="20"/>
                <w:shd w:val="clear" w:color="auto" w:fill="FFFFFF"/>
              </w:rPr>
              <w:t xml:space="preserve"> (PS)</w:t>
            </w:r>
          </w:p>
        </w:tc>
        <w:tc>
          <w:tcPr>
            <w:tcW w:w="3539" w:type="dxa"/>
            <w:tcBorders>
              <w:bottom w:val="single" w:sz="4" w:space="0" w:color="auto"/>
            </w:tcBorders>
            <w:vAlign w:val="center"/>
          </w:tcPr>
          <w:p w14:paraId="0235ACF3" w14:textId="460DA9F4" w:rsidR="00590828" w:rsidRPr="00E90DFD" w:rsidRDefault="00590828" w:rsidP="00590828">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b/>
                <w:bCs/>
                <w:sz w:val="20"/>
                <w:szCs w:val="20"/>
              </w:rPr>
            </w:pPr>
            <w:r w:rsidRPr="00E90DFD">
              <w:rPr>
                <w:rFonts w:eastAsia="Calibri" w:cs="Times New Roman"/>
                <w:b/>
                <w:bCs/>
                <w:sz w:val="20"/>
                <w:szCs w:val="20"/>
              </w:rPr>
              <w:fldChar w:fldCharType="begin" w:fldLock="1"/>
            </w:r>
            <w:r w:rsidR="00D14EC6" w:rsidRPr="00E90DFD">
              <w:rPr>
                <w:rFonts w:eastAsia="Calibri" w:cs="Times New Roman"/>
                <w:b/>
                <w:bCs/>
                <w:sz w:val="20"/>
                <w:szCs w:val="20"/>
              </w:rPr>
              <w:instrText>ADDIN CSL_CITATION {"citationItems":[{"id":"ITEM-1","itemData":{"DOI":"10.1021/acssynbio.2c00013","ISSN":"2161-5063","author":[{"dropping-particle":"","family":"Traykovska","given":"Martina","non-dropping-particle":"","parse-names":false,"suffix":""},{"dropping-particle":"","family":"Penchovsky","given":"Robert","non-dropping-particle":"","parse-names":false,"suffix":""}],"container-title":"ACS Synthetic Biology","id":"ITEM-1","issued":{"date-parts":[["2022"]]},"title":" Engineering Antisense Oligonucleotides as Antibacterial Agents That Target FMN Riboswitches and Inhibit the Growth of Staphylococcus aureus , Listeria monocytogenes , and Escherichia coli ","type":"article-journal"},"uris":["http://www.mendeley.com/documents/?uuid=3795c867-91ab-4ecd-b2c9-42e061297ef2"]}],"mendeley":{"formattedCitation":"(Traykovska and Penchovsky, 2022)","plainTextFormattedCitation":"(Traykovska and Penchovsky, 2022)","previouslyFormattedCitation":"(Traykovska and Penchovsky, 2022)"},"properties":{"noteIndex":0},"schema":"https://github.com/citation-style-language/schema/raw/master/csl-citation.json"}</w:instrText>
            </w:r>
            <w:r w:rsidRPr="00E90DFD">
              <w:rPr>
                <w:rFonts w:eastAsia="Calibri" w:cs="Times New Roman"/>
                <w:b/>
                <w:bCs/>
                <w:sz w:val="20"/>
                <w:szCs w:val="20"/>
              </w:rPr>
              <w:fldChar w:fldCharType="separate"/>
            </w:r>
            <w:r w:rsidRPr="00E90DFD">
              <w:rPr>
                <w:rFonts w:eastAsia="Calibri" w:cs="Times New Roman"/>
                <w:b/>
                <w:bCs/>
                <w:noProof/>
                <w:sz w:val="20"/>
                <w:szCs w:val="20"/>
              </w:rPr>
              <w:t>(Traykovska and Penchovsky, 2022)</w:t>
            </w:r>
            <w:r w:rsidRPr="00E90DFD">
              <w:rPr>
                <w:rFonts w:eastAsia="Calibri" w:cs="Times New Roman"/>
                <w:b/>
                <w:bCs/>
                <w:sz w:val="20"/>
                <w:szCs w:val="20"/>
              </w:rPr>
              <w:fldChar w:fldCharType="end"/>
            </w:r>
          </w:p>
        </w:tc>
      </w:tr>
    </w:tbl>
    <w:p w14:paraId="267A5872" w14:textId="63FE3CEE" w:rsidR="00590828" w:rsidRDefault="00590828" w:rsidP="00654E8F">
      <w:pPr>
        <w:spacing w:before="240"/>
      </w:pPr>
    </w:p>
    <w:p w14:paraId="7154A0EB" w14:textId="3A4643AC" w:rsidR="00C77C42" w:rsidRDefault="00C77C42" w:rsidP="00C77C42">
      <w:pPr>
        <w:spacing w:before="0" w:after="0"/>
        <w:rPr>
          <w:rFonts w:cs="Times New Roman"/>
          <w:bCs/>
          <w:i/>
          <w:iCs/>
          <w:noProof/>
          <w:sz w:val="22"/>
        </w:rPr>
      </w:pPr>
      <w:r w:rsidRPr="00CB4F2C">
        <w:rPr>
          <w:rFonts w:eastAsia="Times New Roman" w:cs="Times New Roman"/>
          <w:b/>
          <w:bCs/>
          <w:color w:val="212121"/>
          <w:sz w:val="22"/>
          <w:lang w:eastAsia="pt-PT"/>
        </w:rPr>
        <w:t xml:space="preserve">Supplementary Table </w:t>
      </w:r>
      <w:r>
        <w:rPr>
          <w:rFonts w:eastAsia="Times New Roman" w:cs="Times New Roman"/>
          <w:b/>
          <w:bCs/>
          <w:color w:val="212121"/>
          <w:sz w:val="22"/>
          <w:lang w:eastAsia="pt-PT"/>
        </w:rPr>
        <w:t>3</w:t>
      </w:r>
      <w:r w:rsidRPr="00CB4F2C">
        <w:rPr>
          <w:rFonts w:eastAsia="Times New Roman" w:cs="Times New Roman"/>
          <w:b/>
          <w:bCs/>
          <w:color w:val="212121"/>
          <w:sz w:val="22"/>
          <w:lang w:eastAsia="pt-PT"/>
        </w:rPr>
        <w:t>.</w:t>
      </w:r>
      <w:r>
        <w:rPr>
          <w:rFonts w:eastAsia="Times New Roman" w:cs="Times New Roman"/>
          <w:b/>
          <w:bCs/>
          <w:color w:val="212121"/>
          <w:sz w:val="22"/>
          <w:lang w:eastAsia="pt-PT"/>
        </w:rPr>
        <w:t xml:space="preserve"> </w:t>
      </w:r>
      <w:r w:rsidRPr="000F2E10">
        <w:rPr>
          <w:rFonts w:eastAsia="Calibri" w:cs="Times New Roman"/>
          <w:bCs/>
          <w:sz w:val="22"/>
        </w:rPr>
        <w:t xml:space="preserve">Chemistry of antisense oligonucleotide used to different genetic target of </w:t>
      </w:r>
      <w:r w:rsidRPr="000F2E10">
        <w:rPr>
          <w:rFonts w:cs="Times New Roman"/>
          <w:bCs/>
          <w:i/>
          <w:iCs/>
          <w:noProof/>
          <w:sz w:val="22"/>
        </w:rPr>
        <w:t>E</w:t>
      </w:r>
      <w:r>
        <w:rPr>
          <w:rFonts w:cs="Times New Roman"/>
          <w:bCs/>
          <w:i/>
          <w:iCs/>
          <w:noProof/>
          <w:sz w:val="22"/>
        </w:rPr>
        <w:t>.</w:t>
      </w:r>
      <w:r w:rsidRPr="000F2E10">
        <w:rPr>
          <w:rFonts w:cs="Times New Roman"/>
          <w:bCs/>
          <w:i/>
          <w:iCs/>
          <w:noProof/>
          <w:sz w:val="22"/>
        </w:rPr>
        <w:t xml:space="preserve"> coli</w:t>
      </w:r>
    </w:p>
    <w:p w14:paraId="2B7467FB" w14:textId="169FD7EC" w:rsidR="00C77C42" w:rsidRDefault="00C77C42" w:rsidP="00654E8F">
      <w:pPr>
        <w:spacing w:before="240"/>
      </w:pPr>
    </w:p>
    <w:p w14:paraId="0D2B2B8A" w14:textId="4C320674" w:rsidR="00FE30FA" w:rsidRDefault="00FE30FA" w:rsidP="00654E8F">
      <w:pPr>
        <w:spacing w:before="240"/>
      </w:pPr>
    </w:p>
    <w:p w14:paraId="362E6842" w14:textId="77777777" w:rsidR="00FE30FA" w:rsidRDefault="00FE30FA" w:rsidP="00654E8F">
      <w:pPr>
        <w:spacing w:before="240"/>
      </w:pPr>
    </w:p>
    <w:p w14:paraId="0C498E40" w14:textId="0C2380E2" w:rsidR="00A77214" w:rsidRPr="000F2E10" w:rsidRDefault="00A77214" w:rsidP="00C77C42">
      <w:pPr>
        <w:spacing w:before="0"/>
        <w:jc w:val="both"/>
        <w:rPr>
          <w:rFonts w:eastAsia="Times New Roman" w:cs="Times New Roman"/>
          <w:bCs/>
          <w:color w:val="212121"/>
          <w:sz w:val="22"/>
          <w:lang w:eastAsia="pt-PT"/>
        </w:rPr>
      </w:pPr>
      <w:r w:rsidRPr="00CB4F2C">
        <w:rPr>
          <w:rFonts w:eastAsia="Times New Roman" w:cs="Times New Roman"/>
          <w:b/>
          <w:bCs/>
          <w:color w:val="212121"/>
          <w:sz w:val="22"/>
          <w:lang w:eastAsia="pt-PT"/>
        </w:rPr>
        <w:lastRenderedPageBreak/>
        <w:t xml:space="preserve">Supplementary Table </w:t>
      </w:r>
      <w:r w:rsidR="00BA4FA7">
        <w:rPr>
          <w:rFonts w:eastAsia="Times New Roman" w:cs="Times New Roman"/>
          <w:b/>
          <w:bCs/>
          <w:color w:val="212121"/>
          <w:sz w:val="22"/>
          <w:lang w:eastAsia="pt-PT"/>
        </w:rPr>
        <w:t>4</w:t>
      </w:r>
      <w:r w:rsidRPr="00CB4F2C">
        <w:rPr>
          <w:rFonts w:eastAsia="Times New Roman" w:cs="Times New Roman"/>
          <w:b/>
          <w:bCs/>
          <w:color w:val="212121"/>
          <w:sz w:val="22"/>
          <w:lang w:eastAsia="pt-PT"/>
        </w:rPr>
        <w:t>.</w:t>
      </w:r>
      <w:r>
        <w:rPr>
          <w:rFonts w:eastAsia="Times New Roman" w:cs="Times New Roman"/>
          <w:b/>
          <w:bCs/>
          <w:color w:val="212121"/>
          <w:sz w:val="22"/>
          <w:lang w:eastAsia="pt-PT"/>
        </w:rPr>
        <w:t xml:space="preserve"> </w:t>
      </w:r>
      <w:r>
        <w:rPr>
          <w:rFonts w:eastAsia="Calibri" w:cs="Times New Roman"/>
          <w:bCs/>
          <w:sz w:val="22"/>
        </w:rPr>
        <w:t>Aptamer</w:t>
      </w:r>
      <w:r w:rsidR="002B5295">
        <w:rPr>
          <w:rFonts w:eastAsia="Calibri" w:cs="Times New Roman"/>
          <w:bCs/>
          <w:sz w:val="22"/>
        </w:rPr>
        <w:t>s</w:t>
      </w:r>
      <w:r w:rsidRPr="000F2E10">
        <w:rPr>
          <w:rFonts w:eastAsia="Calibri" w:cs="Times New Roman"/>
          <w:bCs/>
          <w:sz w:val="22"/>
        </w:rPr>
        <w:t xml:space="preserve"> used to different genetic target of </w:t>
      </w:r>
      <w:r w:rsidRPr="000F2E10">
        <w:rPr>
          <w:rFonts w:cs="Times New Roman"/>
          <w:bCs/>
          <w:i/>
          <w:iCs/>
          <w:noProof/>
          <w:sz w:val="22"/>
        </w:rPr>
        <w:t>Escherichia coli</w:t>
      </w:r>
    </w:p>
    <w:tbl>
      <w:tblPr>
        <w:tblStyle w:val="SimplesTabela1"/>
        <w:tblW w:w="99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7"/>
        <w:gridCol w:w="1682"/>
        <w:gridCol w:w="2835"/>
        <w:gridCol w:w="3165"/>
      </w:tblGrid>
      <w:tr w:rsidR="00A77214" w:rsidRPr="00223D7E" w14:paraId="1F0BD8FD" w14:textId="77777777" w:rsidTr="00D14EC6">
        <w:trPr>
          <w:cnfStyle w:val="100000000000" w:firstRow="1" w:lastRow="0" w:firstColumn="0" w:lastColumn="0" w:oddVBand="0" w:evenVBand="0" w:oddHBand="0" w:evenHBand="0" w:firstRowFirstColumn="0" w:firstRowLastColumn="0" w:lastRowFirstColumn="0" w:lastRowLastColumn="0"/>
          <w:trHeight w:val="759"/>
          <w:jc w:val="center"/>
        </w:trPr>
        <w:tc>
          <w:tcPr>
            <w:cnfStyle w:val="001000000000" w:firstRow="0" w:lastRow="0" w:firstColumn="1" w:lastColumn="0" w:oddVBand="0" w:evenVBand="0" w:oddHBand="0" w:evenHBand="0" w:firstRowFirstColumn="0" w:firstRowLastColumn="0" w:lastRowFirstColumn="0" w:lastRowLastColumn="0"/>
            <w:tcW w:w="2287" w:type="dxa"/>
            <w:tcBorders>
              <w:top w:val="single" w:sz="4" w:space="0" w:color="auto"/>
              <w:bottom w:val="single" w:sz="4" w:space="0" w:color="auto"/>
            </w:tcBorders>
          </w:tcPr>
          <w:p w14:paraId="64750CFF" w14:textId="77777777" w:rsidR="00A77214" w:rsidRPr="00371A9F" w:rsidRDefault="00A77214" w:rsidP="00427F3B">
            <w:pPr>
              <w:spacing w:line="360" w:lineRule="auto"/>
              <w:jc w:val="both"/>
              <w:rPr>
                <w:rFonts w:cs="Times New Roman"/>
                <w:sz w:val="20"/>
                <w:szCs w:val="20"/>
              </w:rPr>
            </w:pPr>
            <w:r w:rsidRPr="00371A9F">
              <w:rPr>
                <w:rFonts w:cs="Times New Roman"/>
                <w:sz w:val="20"/>
                <w:szCs w:val="20"/>
              </w:rPr>
              <w:t>Aptamer</w:t>
            </w:r>
          </w:p>
        </w:tc>
        <w:tc>
          <w:tcPr>
            <w:tcW w:w="1682" w:type="dxa"/>
            <w:tcBorders>
              <w:top w:val="single" w:sz="4" w:space="0" w:color="auto"/>
              <w:bottom w:val="single" w:sz="4" w:space="0" w:color="auto"/>
            </w:tcBorders>
          </w:tcPr>
          <w:p w14:paraId="79807204" w14:textId="77777777" w:rsidR="00A77214" w:rsidRPr="00371A9F" w:rsidRDefault="00A77214" w:rsidP="00427F3B">
            <w:pPr>
              <w:spacing w:line="360" w:lineRule="auto"/>
              <w:jc w:val="both"/>
              <w:cnfStyle w:val="100000000000" w:firstRow="1" w:lastRow="0" w:firstColumn="0" w:lastColumn="0" w:oddVBand="0" w:evenVBand="0" w:oddHBand="0" w:evenHBand="0" w:firstRowFirstColumn="0" w:firstRowLastColumn="0" w:lastRowFirstColumn="0" w:lastRowLastColumn="0"/>
              <w:rPr>
                <w:rFonts w:cs="Times New Roman"/>
                <w:b w:val="0"/>
                <w:sz w:val="20"/>
                <w:szCs w:val="20"/>
              </w:rPr>
            </w:pPr>
            <w:r w:rsidRPr="00371A9F">
              <w:rPr>
                <w:rFonts w:cs="Times New Roman"/>
                <w:sz w:val="20"/>
                <w:szCs w:val="20"/>
              </w:rPr>
              <w:t>Type</w:t>
            </w:r>
          </w:p>
        </w:tc>
        <w:tc>
          <w:tcPr>
            <w:tcW w:w="2835" w:type="dxa"/>
            <w:tcBorders>
              <w:top w:val="single" w:sz="4" w:space="0" w:color="auto"/>
              <w:bottom w:val="single" w:sz="4" w:space="0" w:color="auto"/>
            </w:tcBorders>
          </w:tcPr>
          <w:p w14:paraId="4FA30C6C" w14:textId="77777777" w:rsidR="00A77214" w:rsidRPr="00371A9F" w:rsidRDefault="00A77214" w:rsidP="00427F3B">
            <w:pPr>
              <w:spacing w:line="360" w:lineRule="auto"/>
              <w:jc w:val="both"/>
              <w:cnfStyle w:val="100000000000" w:firstRow="1" w:lastRow="0" w:firstColumn="0" w:lastColumn="0" w:oddVBand="0" w:evenVBand="0" w:oddHBand="0" w:evenHBand="0" w:firstRowFirstColumn="0" w:firstRowLastColumn="0" w:lastRowFirstColumn="0" w:lastRowLastColumn="0"/>
              <w:rPr>
                <w:rFonts w:cs="Times New Roman"/>
                <w:b w:val="0"/>
                <w:sz w:val="20"/>
                <w:szCs w:val="20"/>
              </w:rPr>
            </w:pPr>
            <w:r w:rsidRPr="00371A9F">
              <w:rPr>
                <w:rFonts w:cs="Times New Roman"/>
                <w:sz w:val="20"/>
                <w:szCs w:val="20"/>
              </w:rPr>
              <w:t>Target</w:t>
            </w:r>
          </w:p>
        </w:tc>
        <w:tc>
          <w:tcPr>
            <w:tcW w:w="3165" w:type="dxa"/>
            <w:tcBorders>
              <w:top w:val="single" w:sz="4" w:space="0" w:color="auto"/>
              <w:bottom w:val="single" w:sz="4" w:space="0" w:color="auto"/>
            </w:tcBorders>
          </w:tcPr>
          <w:p w14:paraId="3D206693" w14:textId="77777777" w:rsidR="00A77214" w:rsidRPr="00371A9F" w:rsidRDefault="00A77214" w:rsidP="00427F3B">
            <w:pPr>
              <w:spacing w:line="360" w:lineRule="auto"/>
              <w:jc w:val="both"/>
              <w:cnfStyle w:val="100000000000" w:firstRow="1" w:lastRow="0" w:firstColumn="0" w:lastColumn="0" w:oddVBand="0" w:evenVBand="0" w:oddHBand="0" w:evenHBand="0" w:firstRowFirstColumn="0" w:firstRowLastColumn="0" w:lastRowFirstColumn="0" w:lastRowLastColumn="0"/>
              <w:rPr>
                <w:rFonts w:cs="Times New Roman"/>
                <w:b w:val="0"/>
                <w:sz w:val="20"/>
                <w:szCs w:val="20"/>
              </w:rPr>
            </w:pPr>
            <w:r w:rsidRPr="00371A9F">
              <w:rPr>
                <w:rFonts w:cs="Times New Roman"/>
                <w:sz w:val="20"/>
                <w:szCs w:val="20"/>
              </w:rPr>
              <w:t>Reference(s)</w:t>
            </w:r>
          </w:p>
        </w:tc>
      </w:tr>
      <w:tr w:rsidR="00A77214" w:rsidRPr="00223D7E" w14:paraId="3A9A5A31" w14:textId="77777777" w:rsidTr="00AB6921">
        <w:trPr>
          <w:cnfStyle w:val="000000100000" w:firstRow="0" w:lastRow="0" w:firstColumn="0" w:lastColumn="0" w:oddVBand="0" w:evenVBand="0" w:oddHBand="1" w:evenHBand="0" w:firstRowFirstColumn="0" w:firstRowLastColumn="0" w:lastRowFirstColumn="0" w:lastRowLastColumn="0"/>
          <w:trHeight w:val="793"/>
          <w:jc w:val="center"/>
        </w:trPr>
        <w:tc>
          <w:tcPr>
            <w:cnfStyle w:val="001000000000" w:firstRow="0" w:lastRow="0" w:firstColumn="1" w:lastColumn="0" w:oddVBand="0" w:evenVBand="0" w:oddHBand="0" w:evenHBand="0" w:firstRowFirstColumn="0" w:firstRowLastColumn="0" w:lastRowFirstColumn="0" w:lastRowLastColumn="0"/>
            <w:tcW w:w="2287" w:type="dxa"/>
            <w:tcBorders>
              <w:top w:val="single" w:sz="4" w:space="0" w:color="auto"/>
            </w:tcBorders>
          </w:tcPr>
          <w:p w14:paraId="2490359B" w14:textId="77777777" w:rsidR="00A77214" w:rsidRPr="00371A9F" w:rsidRDefault="00A77214" w:rsidP="00427F3B">
            <w:pPr>
              <w:spacing w:line="360" w:lineRule="auto"/>
              <w:jc w:val="both"/>
              <w:rPr>
                <w:rFonts w:cs="Times New Roman"/>
                <w:sz w:val="20"/>
                <w:szCs w:val="20"/>
              </w:rPr>
            </w:pPr>
            <w:r w:rsidRPr="00371A9F">
              <w:rPr>
                <w:rFonts w:cs="Times New Roman"/>
                <w:sz w:val="20"/>
                <w:szCs w:val="20"/>
              </w:rPr>
              <w:t>P12-31</w:t>
            </w:r>
          </w:p>
        </w:tc>
        <w:tc>
          <w:tcPr>
            <w:tcW w:w="1682" w:type="dxa"/>
            <w:tcBorders>
              <w:top w:val="single" w:sz="4" w:space="0" w:color="auto"/>
            </w:tcBorders>
          </w:tcPr>
          <w:p w14:paraId="4B655107" w14:textId="77777777" w:rsidR="00A77214" w:rsidRPr="00371A9F" w:rsidRDefault="00A77214" w:rsidP="00427F3B">
            <w:pPr>
              <w:spacing w:line="360"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71A9F">
              <w:rPr>
                <w:rFonts w:cs="Times New Roman"/>
                <w:sz w:val="20"/>
                <w:szCs w:val="20"/>
              </w:rPr>
              <w:t>DNA</w:t>
            </w:r>
          </w:p>
        </w:tc>
        <w:tc>
          <w:tcPr>
            <w:tcW w:w="2835" w:type="dxa"/>
            <w:tcBorders>
              <w:top w:val="single" w:sz="4" w:space="0" w:color="auto"/>
            </w:tcBorders>
          </w:tcPr>
          <w:p w14:paraId="08E24B98" w14:textId="77777777" w:rsidR="00A77214" w:rsidRPr="00371A9F" w:rsidRDefault="00A77214" w:rsidP="00AB6921">
            <w:pPr>
              <w:spacing w:before="0" w:after="0" w:line="360"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71A9F">
              <w:rPr>
                <w:rFonts w:cs="Times New Roman"/>
                <w:sz w:val="20"/>
                <w:szCs w:val="20"/>
              </w:rPr>
              <w:t xml:space="preserve">Meningitis/sepsis associated </w:t>
            </w:r>
            <w:r w:rsidRPr="00371A9F">
              <w:rPr>
                <w:rFonts w:cs="Times New Roman"/>
                <w:i/>
                <w:iCs/>
                <w:sz w:val="20"/>
                <w:szCs w:val="20"/>
              </w:rPr>
              <w:t>E. coli</w:t>
            </w:r>
            <w:r w:rsidRPr="00371A9F">
              <w:rPr>
                <w:rFonts w:cs="Times New Roman"/>
                <w:sz w:val="20"/>
                <w:szCs w:val="20"/>
              </w:rPr>
              <w:t xml:space="preserve"> (MNEC)</w:t>
            </w:r>
          </w:p>
        </w:tc>
        <w:tc>
          <w:tcPr>
            <w:tcW w:w="3165" w:type="dxa"/>
            <w:tcBorders>
              <w:top w:val="single" w:sz="4" w:space="0" w:color="auto"/>
            </w:tcBorders>
          </w:tcPr>
          <w:p w14:paraId="6C7AB5B9" w14:textId="16F3B157" w:rsidR="00A77214" w:rsidRPr="00371A9F" w:rsidRDefault="00A77214" w:rsidP="00427F3B">
            <w:pPr>
              <w:spacing w:line="360" w:lineRule="auto"/>
              <w:jc w:val="both"/>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371A9F">
              <w:rPr>
                <w:rFonts w:cs="Times New Roman"/>
                <w:b/>
                <w:bCs/>
                <w:sz w:val="20"/>
                <w:szCs w:val="20"/>
              </w:rPr>
              <w:fldChar w:fldCharType="begin" w:fldLock="1"/>
            </w:r>
            <w:r w:rsidR="00AB6921" w:rsidRPr="00371A9F">
              <w:rPr>
                <w:rFonts w:cs="Times New Roman"/>
                <w:b/>
                <w:bCs/>
                <w:sz w:val="20"/>
                <w:szCs w:val="20"/>
              </w:rPr>
              <w:instrText>ADDIN CSL_CITATION {"citationItems":[{"id":"ITEM-1","itemData":{"DOI":"10.1371/journal.pone.0153637","ISSN":"19326203","PMID":"27104834","abstract":"Escherichia coli is a bacterial species found ubiquitously in the intestinal flora of animals, although pathogenic variants cause major public health problems. Aptamers are short oligonucleotides that bind to targets with high affinity and specificity, and have great potential for use in diagnostics and therapy. We used cell-based Systematic Evolution of Ligands by EXponential enrichment (cell-SELEX) to isolate four single stranded DNA (ssDNA) aptamers that bind strongly to E. coli cells (ATCC generic strain 25922), with Kd values in the nanomolar range. Fluorescently labeled aptamers label the surface of E. coli cells, as viewed by fluorescent microscopy. Specificity tests with twelve different bacterial species showed that one of the aptamers-called P12-31-is highly specific for E. coli. Importantly, this aptamer binds to Meningitis/sepsis associated E. coli (MNEC) clinical isolates, and is the first aptamer described with potential for use in the diagnosis of MNEC-borne pathologies.","author":[{"dropping-particle":"","family":"Marton","given":"Soledad","non-dropping-particle":"","parse-names":false,"suffix":""},{"dropping-particle":"","family":"Cleto","given":"Fernanda","non-dropping-particle":"","parse-names":false,"suffix":""},{"dropping-particle":"","family":"Krieger","given":"Marco Aurélio","non-dropping-particle":"","parse-names":false,"suffix":""},{"dropping-particle":"","family":"Cardoso","given":"Josiane","non-dropping-particle":"","parse-names":false,"suffix":""}],"container-title":"PLoS ONE","id":"ITEM-1","issue":"4","issued":{"date-parts":[["2016","4"]]},"publisher":"Public Library of Science","title":"Isolation of an aptamer that binds specifically to E. coli","type":"article-journal","volume":"11"},"uris":["http://www.mendeley.com/documents/?uuid=960ea16d-60ab-4986-a975-9e7f7a02026a"]}],"mendeley":{"formattedCitation":"(Marton et al., 2016)","plainTextFormattedCitation":"(Marton et al., 2016)","previouslyFormattedCitation":"(Marton et al., 2016)"},"properties":{"noteIndex":0},"schema":"https://github.com/citation-style-language/schema/raw/master/csl-citation.json"}</w:instrText>
            </w:r>
            <w:r w:rsidRPr="00371A9F">
              <w:rPr>
                <w:rFonts w:cs="Times New Roman"/>
                <w:b/>
                <w:bCs/>
                <w:sz w:val="20"/>
                <w:szCs w:val="20"/>
              </w:rPr>
              <w:fldChar w:fldCharType="separate"/>
            </w:r>
            <w:r w:rsidRPr="00371A9F">
              <w:rPr>
                <w:rFonts w:cs="Times New Roman"/>
                <w:b/>
                <w:bCs/>
                <w:noProof/>
                <w:sz w:val="20"/>
                <w:szCs w:val="20"/>
              </w:rPr>
              <w:t>(Marton et al., 2016)</w:t>
            </w:r>
            <w:r w:rsidRPr="00371A9F">
              <w:rPr>
                <w:rFonts w:cs="Times New Roman"/>
                <w:b/>
                <w:bCs/>
                <w:sz w:val="20"/>
                <w:szCs w:val="20"/>
              </w:rPr>
              <w:fldChar w:fldCharType="end"/>
            </w:r>
          </w:p>
        </w:tc>
      </w:tr>
      <w:tr w:rsidR="00A77214" w:rsidRPr="00223D7E" w14:paraId="577ED9CF" w14:textId="77777777" w:rsidTr="00D14EC6">
        <w:trPr>
          <w:trHeight w:val="717"/>
          <w:jc w:val="center"/>
        </w:trPr>
        <w:tc>
          <w:tcPr>
            <w:cnfStyle w:val="001000000000" w:firstRow="0" w:lastRow="0" w:firstColumn="1" w:lastColumn="0" w:oddVBand="0" w:evenVBand="0" w:oddHBand="0" w:evenHBand="0" w:firstRowFirstColumn="0" w:firstRowLastColumn="0" w:lastRowFirstColumn="0" w:lastRowLastColumn="0"/>
            <w:tcW w:w="2287" w:type="dxa"/>
          </w:tcPr>
          <w:p w14:paraId="4E82D780" w14:textId="77777777" w:rsidR="00A77214" w:rsidRPr="00371A9F" w:rsidRDefault="00A77214" w:rsidP="00A77214">
            <w:pPr>
              <w:spacing w:after="0" w:line="360" w:lineRule="auto"/>
              <w:jc w:val="both"/>
              <w:rPr>
                <w:rFonts w:cs="Times New Roman"/>
                <w:sz w:val="20"/>
                <w:szCs w:val="20"/>
                <w:lang w:val="pt-PT"/>
              </w:rPr>
            </w:pPr>
            <w:r w:rsidRPr="00371A9F">
              <w:rPr>
                <w:rFonts w:cs="Times New Roman"/>
                <w:sz w:val="20"/>
                <w:szCs w:val="20"/>
                <w:lang w:val="pt-PT"/>
              </w:rPr>
              <w:t>E18R, E-5, E-11, E-12, E-16, E-17, E-18, E-19, AM-6</w:t>
            </w:r>
          </w:p>
        </w:tc>
        <w:tc>
          <w:tcPr>
            <w:tcW w:w="1682" w:type="dxa"/>
          </w:tcPr>
          <w:p w14:paraId="0C923134" w14:textId="77777777" w:rsidR="00A77214" w:rsidRPr="00371A9F" w:rsidRDefault="00A77214" w:rsidP="00427F3B">
            <w:pPr>
              <w:spacing w:line="360" w:lineRule="auto"/>
              <w:jc w:val="both"/>
              <w:cnfStyle w:val="000000000000" w:firstRow="0" w:lastRow="0" w:firstColumn="0" w:lastColumn="0" w:oddVBand="0" w:evenVBand="0" w:oddHBand="0" w:evenHBand="0" w:firstRowFirstColumn="0" w:firstRowLastColumn="0" w:lastRowFirstColumn="0" w:lastRowLastColumn="0"/>
              <w:rPr>
                <w:rStyle w:val="nfase"/>
                <w:rFonts w:cs="Times New Roman"/>
                <w:color w:val="212121"/>
                <w:sz w:val="20"/>
                <w:szCs w:val="20"/>
                <w:shd w:val="clear" w:color="auto" w:fill="FFFFFF"/>
              </w:rPr>
            </w:pPr>
            <w:r w:rsidRPr="00371A9F">
              <w:rPr>
                <w:rFonts w:cs="Times New Roman"/>
                <w:sz w:val="20"/>
                <w:szCs w:val="20"/>
              </w:rPr>
              <w:t>DNA</w:t>
            </w:r>
          </w:p>
        </w:tc>
        <w:tc>
          <w:tcPr>
            <w:tcW w:w="2835" w:type="dxa"/>
          </w:tcPr>
          <w:p w14:paraId="5F765A5A" w14:textId="77777777" w:rsidR="00A77214" w:rsidRPr="00371A9F" w:rsidRDefault="00A77214" w:rsidP="00427F3B">
            <w:pPr>
              <w:spacing w:line="360"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71A9F">
              <w:rPr>
                <w:i/>
                <w:iCs/>
                <w:sz w:val="20"/>
                <w:szCs w:val="20"/>
              </w:rPr>
              <w:t>E. coli</w:t>
            </w:r>
            <w:r w:rsidRPr="00371A9F">
              <w:rPr>
                <w:rFonts w:cs="Times New Roman"/>
                <w:sz w:val="20"/>
                <w:szCs w:val="20"/>
              </w:rPr>
              <w:t> O157:H7</w:t>
            </w:r>
          </w:p>
        </w:tc>
        <w:tc>
          <w:tcPr>
            <w:tcW w:w="3165" w:type="dxa"/>
          </w:tcPr>
          <w:p w14:paraId="5A750CF4" w14:textId="1E5D12D1" w:rsidR="00A77214" w:rsidRPr="00371A9F" w:rsidRDefault="00A77214" w:rsidP="00427F3B">
            <w:pPr>
              <w:spacing w:line="360" w:lineRule="auto"/>
              <w:jc w:val="both"/>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371A9F">
              <w:rPr>
                <w:rFonts w:cs="Times New Roman"/>
                <w:b/>
                <w:bCs/>
                <w:sz w:val="20"/>
                <w:szCs w:val="20"/>
              </w:rPr>
              <w:fldChar w:fldCharType="begin" w:fldLock="1"/>
            </w:r>
            <w:r w:rsidR="00AB6921" w:rsidRPr="00371A9F">
              <w:rPr>
                <w:rFonts w:cs="Times New Roman"/>
                <w:b/>
                <w:bCs/>
                <w:sz w:val="20"/>
                <w:szCs w:val="20"/>
              </w:rPr>
              <w:instrText>ADDIN CSL_CITATION {"citationItems":[{"id":"ITEM-1","itemData":{"DOI":"10.3390/MOLECULES26010204","ISSN":"14203049","PMID":"33401561","abstract":"E. coli O157:H7 is a pathogenic bacterium producing verotoxins that could lead to serious complications such as hemolytic uremia syndrome. Fast detection of such pathogens is important. For rapid detection, aptamers are quickly gaining traction as alternative biorecognition molecules besides conventional antibodies. Several DNA aptamers have been selected for E. coli O157:H7. Nonetheless, there has not been a comparative study of the binding characteristics of these aptamers. In this work, we present a comprehensive analysis of binding characteristics including binding affinity (Kd) and binding capacity (Bmax) of DNA-based aptamers for E. coli O157:H7 using qPCR. Our results show that aptamer E18R has the highest binding capacity to E. coli 157:H7 and the highest specificity over non-pathogenic E. coli strains K12 and DH5α. Our study also finds that the common biotin-tag modification at 5' end typically changes the binding capacity significantly. For most of the selected aptamers, the binding capacity after a biotin-tag modification decreases. There exists a discrepancy in the binding capability between the selected aptamer and the aptamer used for detection. Our study also shows that a lower concentration of Mg2+ ions in the binding buffer leads to a decrease in the binding capacity of E17F and E18R, while it does not affect the binding capacity of S1 and EcoR1.","author":[{"dropping-particle":"","family":"Siddiqui","given":"Saika","non-dropping-particle":"","parse-names":false,"suffix":""},{"dropping-particle":"","family":"Yuan","given":"Jie","non-dropping-particle":"","parse-names":false,"suffix":""}],"container-title":"Molecules","id":"ITEM-1","issue":"1","issued":{"date-parts":[["2021","1"]]},"publisher":"Multidisciplinary Digital Publishing Institute  (MDPI)","title":"Binding Characteristics Study of DNA based Aptamers for E. coli O157:H7","type":"article-journal","volume":"26"},"uris":["http://www.mendeley.com/documents/?uuid=0b654036-f74a-326b-b554-f2f1f101f0c0","http://www.mendeley.com/documents/?uuid=ce50d158-48d6-40b1-9969-80170872707f"]},{"id":"ITEM-2","itemData":{"DOI":"10.1016/J.AB.2017.08.005","ISSN":"1096-0309","PMID":"28818557","abstract":"Escherichia coli (E. coli) O157:H7 is a foodborne pathogen that causes symptoms in humans. Its rapid identification should be considered to avoid toxic effects of the pathogen. In this study, systematic evolution of ligands by exponential enrichment using whole cells (Cell-SELEX) method was used for recognizing E. coli strain, O157 by single-stranded DNA library of aptamer. Nine rounds of cell-selex procedure were applied using O157, as a whole-cell target, with O42, K12, Top10, DH5α E. coli cells, Shigella flexneri and Salmonella typhi as counterparts. The specific interaction between selected DNA aptamers and targeted cell was assessed. After applying six rounds of SELEX for selection of DNA aptamers, the candidate sequences were obtained. Finally, specific aptamer was selected as an ideal aptamer for detection and capturing of E. coli O157. Dissociation constant of the selected aptamer were calculated (107.6 ± 67.8 pM). In addition, the secondary structure prediction and cross reactivity assays were performed. The isolated aptamer efficiency was confirmed and it was shown that the new DNA aptamer sequence has the ability to use for detection. This specific O157:H7 aptamer have the potential for application as a diagnostic ligand and could be used for detection of the related food borne diseases.","author":[{"dropping-particle":"","family":"Amraee","given":"Masoum","non-dropping-particle":"","parse-names":false,"suffix":""},{"dropping-particle":"","family":"Oloomi","given":"Mana","non-dropping-particle":"","parse-names":false,"suffix":""},{"dropping-particle":"","family":"Yavari","given":"Afsaneh","non-dropping-particle":"","parse-names":false,"suffix":""},{"dropping-particle":"","family":"Bouzari","given":"Saeid","non-dropping-particle":"","parse-names":false,"suffix":""}],"container-title":"Analytical biochemistry","id":"ITEM-2","issued":{"date-parts":[["2017","11"]]},"page":"36-44","publisher":"Anal Biochem","title":"DNA aptamer identification and characterization for E. coli O157 detection using cell based SELEX method","type":"article-journal","volume":"536"},"uris":["http://www.mendeley.com/documents/?uuid=0ba8eaec-5850-3849-a8b9-ca74b17cdce9","http://www.mendeley.com/documents/?uuid=c27cf0a4-47c1-48e9-9774-b514314be20d"]}],"mendeley":{"formattedCitation":"(Amraee et al., 2017; Siddiqui and Yuan, 2021)","plainTextFormattedCitation":"(Amraee et al., 2017; Siddiqui and Yuan, 2021)","previouslyFormattedCitation":"(Amraee et al., 2017; Siddiqui and Yuan, 2021)"},"properties":{"noteIndex":0},"schema":"https://github.com/citation-style-language/schema/raw/master/csl-citation.json"}</w:instrText>
            </w:r>
            <w:r w:rsidRPr="00371A9F">
              <w:rPr>
                <w:rFonts w:cs="Times New Roman"/>
                <w:b/>
                <w:bCs/>
                <w:sz w:val="20"/>
                <w:szCs w:val="20"/>
              </w:rPr>
              <w:fldChar w:fldCharType="separate"/>
            </w:r>
            <w:r w:rsidRPr="00371A9F">
              <w:rPr>
                <w:rFonts w:cs="Times New Roman"/>
                <w:b/>
                <w:bCs/>
                <w:noProof/>
                <w:sz w:val="20"/>
                <w:szCs w:val="20"/>
              </w:rPr>
              <w:t>(Amraee et al., 2017; Siddiqui and Yuan, 2021)</w:t>
            </w:r>
            <w:r w:rsidRPr="00371A9F">
              <w:rPr>
                <w:rFonts w:cs="Times New Roman"/>
                <w:b/>
                <w:bCs/>
                <w:sz w:val="20"/>
                <w:szCs w:val="20"/>
              </w:rPr>
              <w:fldChar w:fldCharType="end"/>
            </w:r>
          </w:p>
        </w:tc>
      </w:tr>
      <w:tr w:rsidR="00A77214" w:rsidRPr="00E12BBD" w14:paraId="112576BE" w14:textId="77777777" w:rsidTr="003D7B31">
        <w:trPr>
          <w:cnfStyle w:val="000000100000" w:firstRow="0" w:lastRow="0" w:firstColumn="0" w:lastColumn="0" w:oddVBand="0" w:evenVBand="0" w:oddHBand="1" w:evenHBand="0" w:firstRowFirstColumn="0" w:firstRowLastColumn="0" w:lastRowFirstColumn="0" w:lastRowLastColumn="0"/>
          <w:trHeight w:val="876"/>
          <w:jc w:val="center"/>
        </w:trPr>
        <w:tc>
          <w:tcPr>
            <w:cnfStyle w:val="001000000000" w:firstRow="0" w:lastRow="0" w:firstColumn="1" w:lastColumn="0" w:oddVBand="0" w:evenVBand="0" w:oddHBand="0" w:evenHBand="0" w:firstRowFirstColumn="0" w:firstRowLastColumn="0" w:lastRowFirstColumn="0" w:lastRowLastColumn="0"/>
            <w:tcW w:w="2287" w:type="dxa"/>
          </w:tcPr>
          <w:p w14:paraId="3876CCFD" w14:textId="37B9D21E" w:rsidR="00A77214" w:rsidRPr="00371A9F" w:rsidRDefault="00A77214" w:rsidP="003D7B31">
            <w:pPr>
              <w:spacing w:before="0" w:after="0" w:line="600" w:lineRule="auto"/>
              <w:jc w:val="both"/>
              <w:rPr>
                <w:rFonts w:cs="Times New Roman"/>
                <w:sz w:val="20"/>
                <w:szCs w:val="20"/>
              </w:rPr>
            </w:pPr>
            <w:r w:rsidRPr="00371A9F">
              <w:rPr>
                <w:rFonts w:cs="Times New Roman"/>
                <w:sz w:val="20"/>
                <w:szCs w:val="20"/>
              </w:rPr>
              <w:t>Apt B12, Apt 7, 19, 31</w:t>
            </w:r>
            <w:r w:rsidR="00371A9F">
              <w:rPr>
                <w:rFonts w:cs="Times New Roman"/>
                <w:sz w:val="20"/>
                <w:szCs w:val="20"/>
              </w:rPr>
              <w:t xml:space="preserve"> </w:t>
            </w:r>
            <w:r w:rsidRPr="00371A9F">
              <w:rPr>
                <w:rFonts w:cs="Times New Roman"/>
                <w:sz w:val="20"/>
                <w:szCs w:val="20"/>
              </w:rPr>
              <w:t>and 37</w:t>
            </w:r>
          </w:p>
        </w:tc>
        <w:tc>
          <w:tcPr>
            <w:tcW w:w="1682" w:type="dxa"/>
          </w:tcPr>
          <w:p w14:paraId="40A2EA3D" w14:textId="77777777" w:rsidR="00A77214" w:rsidRPr="00371A9F" w:rsidRDefault="00A77214" w:rsidP="00427F3B">
            <w:pPr>
              <w:spacing w:line="360"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71A9F">
              <w:rPr>
                <w:rFonts w:cs="Times New Roman"/>
                <w:sz w:val="20"/>
                <w:szCs w:val="20"/>
              </w:rPr>
              <w:t>DNA</w:t>
            </w:r>
          </w:p>
        </w:tc>
        <w:tc>
          <w:tcPr>
            <w:tcW w:w="2835" w:type="dxa"/>
          </w:tcPr>
          <w:p w14:paraId="45010851" w14:textId="77777777" w:rsidR="00A77214" w:rsidRPr="00371A9F" w:rsidRDefault="00A77214" w:rsidP="00427F3B">
            <w:pPr>
              <w:spacing w:line="360"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71A9F">
              <w:rPr>
                <w:i/>
                <w:iCs/>
                <w:sz w:val="20"/>
                <w:szCs w:val="20"/>
              </w:rPr>
              <w:t>E. coli</w:t>
            </w:r>
            <w:r w:rsidRPr="00371A9F">
              <w:rPr>
                <w:rFonts w:cs="Times New Roman"/>
                <w:sz w:val="20"/>
                <w:szCs w:val="20"/>
              </w:rPr>
              <w:t> K88</w:t>
            </w:r>
          </w:p>
        </w:tc>
        <w:tc>
          <w:tcPr>
            <w:tcW w:w="3165" w:type="dxa"/>
          </w:tcPr>
          <w:p w14:paraId="53A8E351" w14:textId="395544EE" w:rsidR="00A77214" w:rsidRPr="00371A9F" w:rsidRDefault="00A77214" w:rsidP="00A77214">
            <w:pPr>
              <w:spacing w:before="0" w:after="0" w:line="360" w:lineRule="auto"/>
              <w:jc w:val="both"/>
              <w:cnfStyle w:val="000000100000" w:firstRow="0" w:lastRow="0" w:firstColumn="0" w:lastColumn="0" w:oddVBand="0" w:evenVBand="0" w:oddHBand="1" w:evenHBand="0" w:firstRowFirstColumn="0" w:firstRowLastColumn="0" w:lastRowFirstColumn="0" w:lastRowLastColumn="0"/>
              <w:rPr>
                <w:rFonts w:cs="Times New Roman"/>
                <w:b/>
                <w:bCs/>
                <w:sz w:val="20"/>
                <w:szCs w:val="20"/>
                <w:lang w:val="pt-PT"/>
              </w:rPr>
            </w:pPr>
            <w:r w:rsidRPr="00371A9F">
              <w:rPr>
                <w:rFonts w:cs="Times New Roman"/>
                <w:b/>
                <w:bCs/>
                <w:sz w:val="20"/>
                <w:szCs w:val="20"/>
              </w:rPr>
              <w:fldChar w:fldCharType="begin" w:fldLock="1"/>
            </w:r>
            <w:r w:rsidR="00AB6921" w:rsidRPr="00371A9F">
              <w:rPr>
                <w:rFonts w:cs="Times New Roman"/>
                <w:b/>
                <w:bCs/>
                <w:sz w:val="20"/>
                <w:szCs w:val="20"/>
              </w:rPr>
              <w:instrText>ADDIN CSL_CITATION {"citationItems":[{"id":"ITEM-1","itemData":{"DOI":"10.1007/S10895-014-1396-X","ISSN":"1573-4994","PMID":"24763818","abstract":"Nucleic acid aptamers have long demonstrated the capacity to bind cells with high affinity so that they have been utilized to diagnose various important pathogens. In this study, a DNA aptamer library was on initial efforts developed to act as a specific reporter for rapid detection of enter toxigenic Escherichia coli (ETEC) K88 combined with immuno-magnetic separation (IMS). During a Whole-cell Systematic Evolution of Ligands by Exponential Enrichment (CELL-SELEX) procedure, the last selection pool against ETEC K88, which is named \"DNA aptamer library\" here, was selected and subsequently identified by flow cytometric analysis and confocal imaging. A K88 monoclonal antibody (mAb) with high affinity (Kaff: 1.616±0.033 × 10 8 M-1) against K88 fimbrial protein was prepared, biotinylated and conjugated to streptavidin-coated magnetic beads (MBs). After the bacteria were effectively captured and enriched from the complex sample by immuno-magnetic beads (IMBs), 5′-FITC modified aptamer library was directly bound to target cells as a specific reporter for its detection. The detection system showed clearly high specificity and sensitivity with the detection limit of 1.1 × 103 CFU/ml in pure culture and 2.2 × 103 CFU/g in artificially contaminated fecal sample. The results also indicated that fluorophore-lablled DNA aptamer library as specific reporter could generate more reliable signals than individual aptamer with best affinity against target cells and implied it would have great applied potential in directly reporting bacteria from complex samples combined with IMS technology. © 2014 Springer Science+Business Media New York.","author":[{"dropping-particle":"","family":"Peng","given":"Zhihui","non-dropping-particle":"","parse-names":false,"suffix":""},{"dropping-particle":"","family":"Ling","given":"Min","non-dropping-particle":"","parse-names":false,"suffix":""},{"dropping-particle":"","family":"Ning","given":"Yi","non-dropping-particle":"","parse-names":false,"suffix":""},{"dropping-particle":"","family":"Deng","given":"Le","non-dropping-particle":"","parse-names":false,"suffix":""}],"container-title":"Journal of fluorescence","id":"ITEM-1","issue":"4","issued":{"date-parts":[["2014"]]},"page":"1159-1168","publisher":"J Fluoresc","title":"Rapid fluorescent detection of Escherichia coli K88 based on DNA aptamer library as direct and specific reporter combined with immuno-magnetic separation","type":"article-journal","volume":"24"},"uris":["http://www.mendeley.com/documents/?uuid=9d2da552-72fd-3dc8-aa97-c90935d28b92","http://www.mendeley.com/documents/?uuid=b4b7a53e-2f5f-4659-a8d0-0414712dd49f"]},{"id":"ITEM-2","itemData":{"DOI":"10.1139/w11-030","ISSN":"00084166","PMID":"21627466","abstract":"In this study, the first group of single-stranded DNA aptamers that are highly specific to enterotoxigenic Escherichia coli (ETEC) K88 was obtained from an enriched oligonucleotide pool by the SELEX (Systematic Evolution of Ligands by Exponential Enrichment) procedure, during which the K88 fimbriae protein was used as the target and bovine serum albumin as counter targets. These aptamers were applied successfully in the detection of ETEC K88. They were then grouped under different families based on the similarity of their secondary structure and the homology of their primary sequence. Four sequences from different families were deliberately chosen for further characterization by fluorescence analysis. Having the advantage of high sensitivity, fluorescence photometry was selected as single-stranded DNA quantification method during the SELEX process. Aptamers with the highest specificity and affinity were analyzed to evaluate binding ability with E. coli. Since ETEC K88 is the only type of bacterium that expressed abundant K88 fimbriae, the selected aptamers against the K88 fimbriae protein were able to specifically identify ETEC K88 among other bacteria. This method of detecting ETEC K88 by aptamers can also be applied to bacteria other than ETEC K88.","author":[{"dropping-particle":"","family":"Li","given":"Hua","non-dropping-particle":</w:instrText>
            </w:r>
            <w:r w:rsidR="00AB6921" w:rsidRPr="00371A9F">
              <w:rPr>
                <w:rFonts w:cs="Times New Roman"/>
                <w:b/>
                <w:bCs/>
                <w:sz w:val="20"/>
                <w:szCs w:val="20"/>
                <w:lang w:val="pt-PT"/>
              </w:rPr>
              <w:instrText>"","parse-names":false,"suffix":""},{"dropping-particle":"","family":"Ding","given":"Xinghua","non-dropping-particle":"","parse-names":false,"suffix":""},{"dropping-particle":"","family":"Peng","given":"Zhihui","non-dropping-particle":"","parse-names":false,"suffix":""},{"dropping-particle":"","family":"Deng","given":"Le","non-dropping-particle":"","parse-names":false,"suffix":""},{"dropping-particle":"","family":"Wang","given":"Dan","non-dropping-particle":"","parse-names":false,"suffix":""},{"dropping-particle":"","family":"Chen","given":"Hui","non-dropping-particle":"","parse-names":false,"suffix":""},{"dropping-particle":"","family":"He","given":"Qizhi","non-dropping-particle":"","parse-names":false,"suffix":""}],"container-title":"Canadian Journal of Microbiology","id":"ITEM-2","issue":"6","issued":{"date-parts":[["2011","6"]]},"page":"453-459","publisher":"Can J Microbiol","title":"Aptamer selection for the detection of escherichia coli k88","type":"article-journal","volume":"57"},"uris":["http://www.mendeley.com/documents/?uuid=9792f3f2-1ea9-3a22-b968-78d5394fc7eb","http://www.mendeley.com/documents/?uuid=2dde5eb4-641d-4974-85d1-54bd71c03f60"]}],"mendeley":{"formattedCitation":"(Li et al., 2011; Peng et al., 2014)","plainTextFormattedCitation":"(Li et al., 2011; Peng et al., 2014)","previouslyFormattedCitation":"(Li et al., 2011; Peng et al., 2014)"},"properties":{"noteIndex":0},"schema":"https://github.com/citation-style-language/schema/raw/master/csl-citation.json"}</w:instrText>
            </w:r>
            <w:r w:rsidRPr="00371A9F">
              <w:rPr>
                <w:rFonts w:cs="Times New Roman"/>
                <w:b/>
                <w:bCs/>
                <w:sz w:val="20"/>
                <w:szCs w:val="20"/>
              </w:rPr>
              <w:fldChar w:fldCharType="separate"/>
            </w:r>
            <w:r w:rsidRPr="00371A9F">
              <w:rPr>
                <w:rFonts w:cs="Times New Roman"/>
                <w:b/>
                <w:bCs/>
                <w:noProof/>
                <w:sz w:val="20"/>
                <w:szCs w:val="20"/>
                <w:lang w:val="pt-PT"/>
              </w:rPr>
              <w:t>(Li et al., 2011; Peng et al., 2014)</w:t>
            </w:r>
            <w:r w:rsidRPr="00371A9F">
              <w:rPr>
                <w:rFonts w:cs="Times New Roman"/>
                <w:b/>
                <w:bCs/>
                <w:sz w:val="20"/>
                <w:szCs w:val="20"/>
              </w:rPr>
              <w:fldChar w:fldCharType="end"/>
            </w:r>
          </w:p>
        </w:tc>
      </w:tr>
      <w:tr w:rsidR="00A77214" w:rsidRPr="00223D7E" w14:paraId="5DD127DE" w14:textId="77777777" w:rsidTr="00D14EC6">
        <w:trPr>
          <w:trHeight w:val="1355"/>
          <w:jc w:val="center"/>
        </w:trPr>
        <w:tc>
          <w:tcPr>
            <w:cnfStyle w:val="001000000000" w:firstRow="0" w:lastRow="0" w:firstColumn="1" w:lastColumn="0" w:oddVBand="0" w:evenVBand="0" w:oddHBand="0" w:evenHBand="0" w:firstRowFirstColumn="0" w:firstRowLastColumn="0" w:lastRowFirstColumn="0" w:lastRowLastColumn="0"/>
            <w:tcW w:w="2287" w:type="dxa"/>
          </w:tcPr>
          <w:p w14:paraId="6549021B" w14:textId="77777777" w:rsidR="00A77214" w:rsidRPr="00371A9F" w:rsidRDefault="00A77214" w:rsidP="00427F3B">
            <w:pPr>
              <w:spacing w:line="360" w:lineRule="auto"/>
              <w:jc w:val="both"/>
              <w:rPr>
                <w:rFonts w:cs="Times New Roman"/>
                <w:sz w:val="20"/>
                <w:szCs w:val="20"/>
                <w:lang w:val="pt-PT"/>
              </w:rPr>
            </w:pPr>
            <w:r w:rsidRPr="00371A9F">
              <w:rPr>
                <w:rFonts w:cs="Times New Roman"/>
                <w:sz w:val="20"/>
                <w:szCs w:val="20"/>
                <w:lang w:val="pt-PT"/>
              </w:rPr>
              <w:t>E1, E2, E10, E12</w:t>
            </w:r>
          </w:p>
        </w:tc>
        <w:tc>
          <w:tcPr>
            <w:tcW w:w="1682" w:type="dxa"/>
          </w:tcPr>
          <w:p w14:paraId="3CE2B0A8" w14:textId="77777777" w:rsidR="00A77214" w:rsidRPr="00371A9F" w:rsidRDefault="00A77214" w:rsidP="00427F3B">
            <w:pPr>
              <w:spacing w:line="360"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pt-PT"/>
              </w:rPr>
            </w:pPr>
            <w:r w:rsidRPr="00371A9F">
              <w:rPr>
                <w:rFonts w:cs="Times New Roman"/>
                <w:sz w:val="20"/>
                <w:szCs w:val="20"/>
                <w:lang w:val="pt-PT"/>
              </w:rPr>
              <w:t>DNA</w:t>
            </w:r>
          </w:p>
        </w:tc>
        <w:tc>
          <w:tcPr>
            <w:tcW w:w="2835" w:type="dxa"/>
          </w:tcPr>
          <w:p w14:paraId="5F9FF79E" w14:textId="77777777" w:rsidR="00A77214" w:rsidRPr="00371A9F" w:rsidRDefault="00A77214" w:rsidP="00427F3B">
            <w:pPr>
              <w:spacing w:line="360" w:lineRule="auto"/>
              <w:jc w:val="both"/>
              <w:cnfStyle w:val="000000000000" w:firstRow="0" w:lastRow="0" w:firstColumn="0" w:lastColumn="0" w:oddVBand="0" w:evenVBand="0" w:oddHBand="0" w:evenHBand="0" w:firstRowFirstColumn="0" w:firstRowLastColumn="0" w:lastRowFirstColumn="0" w:lastRowLastColumn="0"/>
              <w:rPr>
                <w:i/>
                <w:iCs/>
                <w:sz w:val="20"/>
                <w:szCs w:val="20"/>
                <w:lang w:val="pt-PT"/>
              </w:rPr>
            </w:pPr>
            <w:r w:rsidRPr="00371A9F">
              <w:rPr>
                <w:i/>
                <w:iCs/>
                <w:sz w:val="20"/>
                <w:szCs w:val="20"/>
                <w:lang w:val="pt-PT"/>
              </w:rPr>
              <w:t>E. coli</w:t>
            </w:r>
            <w:r w:rsidRPr="00371A9F">
              <w:rPr>
                <w:rFonts w:cs="Times New Roman"/>
                <w:sz w:val="20"/>
                <w:szCs w:val="20"/>
                <w:lang w:val="pt-PT"/>
              </w:rPr>
              <w:t> ATCC 8739</w:t>
            </w:r>
          </w:p>
        </w:tc>
        <w:tc>
          <w:tcPr>
            <w:tcW w:w="3165" w:type="dxa"/>
          </w:tcPr>
          <w:p w14:paraId="16EB5965" w14:textId="4453F010" w:rsidR="00A77214" w:rsidRPr="00371A9F" w:rsidRDefault="00A77214" w:rsidP="00A77214">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371A9F">
              <w:rPr>
                <w:rFonts w:cs="Times New Roman"/>
                <w:b/>
                <w:bCs/>
                <w:sz w:val="20"/>
                <w:szCs w:val="20"/>
              </w:rPr>
              <w:fldChar w:fldCharType="begin" w:fldLock="1"/>
            </w:r>
            <w:r w:rsidR="00AB6921" w:rsidRPr="00371A9F">
              <w:rPr>
                <w:rFonts w:cs="Times New Roman"/>
                <w:b/>
                <w:bCs/>
                <w:sz w:val="20"/>
                <w:szCs w:val="20"/>
                <w:lang w:val="pt-PT"/>
              </w:rPr>
              <w:instrText>ADDIN CSL_CITATION {"citationItems":[{"id":"ITEM-1","itemData":{"DOI":"10.1016/J.AB.2013.01.014","ISSN":"1096-0309","PMID":"23357235","abstract":"Aptamers are powerful capturing probes against various targets such as proteins, small organic compounds, metal ions, and even cells. In this study, we isolated and characterized single-stranded DNA (ssDNA) aptamers against Escherichia coli. A total of 28 ssDNAs were isolated after 10 rounds of selection using a bacterial cell-SELEX (systematic evolution of ligands by exponential enrichment) process. Other bacterial species (Klebsiella pneumoniae, Citrobacter freundii, Enterobacter aerogenes, and Staphylococcus epidermidis) were used for counter selection to enhance the selectivity of ssDNA aptamers against E. coli. Finally, four ssDNA aptamers showed high affinity and selectivity to E. coli, The dissociation constants (Kd) of these four ssDNA aptamers to E. coli were estimated to range from 12.4 to 25.2 nM. These aptamers did not bind to other bacterial species, including four counter cells, but they showed affinity to different E. coli strains. The binding of these four aptamers to E. coli was observed directly by fluorescence microscopy. © 2013 Elsevier Inc. All rights reserved.","author":[{"dropping-particle":"","family":"Kim","given":"Yeon Seok","non-dropping-particle":"","parse-names":false,"suffix":""},{"dropping-particle":"","family":"Song","given":"Min Young","non-dropping-particle":"","parse-names":false,"suffix":""},{"dropping-particle":"","family":"Jurng","given":"Jongsoo","non-dropping-particle":"","parse-names":false,"suffix":""},{"dropping-particle":"","family":"Kim","given":"Byoung Chan","non-dropping-particle":"","parse-names":false,"suffix":""}],"container-title":"Analytical biochemistry","id":"ITEM-1","issue":"1","issued":{"date-parts":[["2013","5"]]},"page":"22-28","publisher":"Anal Biochem","title":"Isolation and characterization of DNA aptamers against Escherichia coli using a bacterial cell-systematic evolution of ligands by exponential enrichment approach","type":"article-journal","volume":"436"},"uris":["http://www.mendeley.com/documents/?uuid=7aeb8b42-af09-3ed3-acb0-f03182037351","http://www.mendeley.com/documents/?uuid=7da1fe68-b73e-4c94-bd60-2c88cbbd8bea"]},{"id":"ITEM-2","itemData":{"DOI":"10.1016/J.BIOS.2014.08.039","ISSN":"1873-4235","PMID":"25190089","abstract":"Fast and accurate pathogen detection in aquatic environments is challenging in many biomedical studies and microbial diagnostic applications. In this study, we developed a real-time, continuous, and non-destructive single cell detection method using target specific aptamer-conjugated fluorescent nanoparticles (A-FNPs) and an optofluidic particle-sensor platform. A-FNPs selectively bound to the surfaces of target bacteria (Escherichia coli) and labeled them with high affinity and selectivity so that target bacteria can be countable particles in an optofluidic particle-sensor. A-FNP-labeled target bacterial complexes were detected by the optofluidic particle-sensing system, which provides rapid and continuous single-cell detection. A-FNPs selectively bound to E. coli with a dissociation constant of 0.83. nM, but did not bind Enterobacter aerogenes or Citrobacter freundii strains, which lacked affinity for the aptamer used. We demonstrated that our optofluidic device achieves a detection throughput of ~100 particles per second with high accuracy (~85%) in detecting single bacterial cells conjugated with A-FNPs. This approach can be immediately extended to the real-time, high-throughput detection of other microorganisms such as viruses that are selectively conjugated with A-FNPs. Collectively, these data suggest that optofluidic systems are widely applicable for the fast and continuous detection of microbial cells.","author":[{"dropping-particle":"","family":"Chung","given":"Jinyang","non-dropping-particle":"","parse-names":false,"suffix":""},{"dropping-particle":"","family":"Kang","given":"Joon Sang","non-dropping-particle":"","parse-names":false,"suffix":""},{"dropping-particle":"","family":"Jurng","given":"Jong Soo","non-dropping-particle":"","parse-names":false,"suffix":""},{"dropping-particle":"","family":"Jung","given":"Jae Hee","non-dropping-particle":"","parse-names":false,"suffix":""},{"dropping-particle":"","family":"Kim","given":"Byoung Chan","non-dropping-particle":"","parse-names":false,"suffix":""}],"container-title":"Biosensors &amp; bioelectronics","id":"ITEM-2","issued":{"date-parts":[["2015","5"]]},"page":"303-308","publisher":"Biosens Bioelectron","title":"Fast and continuous microorganism detection using aptamer-conjugated fluorescent nanoparticles on an optofluidic platform","type":"article-journal","volume":"67"},"uris":["http://www.mendeley.com/documents/?uuid=bb136422-d56c-3a52-967f-fef5808f6f8b","http://www.mendeley.com/documents/?uuid=80e0008a-ded7-4f2b-ab56-6a39742dadd9"]},{"id":"ITEM-3","itemData":{"DOI":"10.1016/J.BIOS.2016.10.029","ISSN":"1873-4235","PMID":"27825886","abstract":"Pathogenic bacteria cause serious harm to human health, which calls for the development of advanced detection methods. Herein, we developed a novel detection platform based on fluorescence resonance energy transfer (FRET) for rapid, ultrasensitive and specific bacteria detection, where gold nanoparticles (AuNPs, acceptor) were conjugated with aptamers while upconversion nanoparticles (UCNPs, donor) were functionalized with corresponding complementary DNA (cDNA). The spectral overlap between UCNPs fluorescence emission and AuNPs absorption enables the occurrence of FRET when hybridizing the targeted aptamer and cDNA, causing upconversion fluorescence quenching. In the presence of target bacteria, the aptamers preferentially bind to bacteria forming a three-dimensional structure and thereby dissociate UCNPs-cDNA from AuNPs-aptamers, resulting in the recovery of upconversion fluorescence. Using the UCNPs based FRET aptasensor, we successfully detected Escherichia coli ATCC 8739 (as a model analyte) with a detection range of 5–106 cfu/mL and detection limit of 3 cfu/mL. The aptasensor was further used to detect E. coli in real food and water samples (e.g., tap/pond water, milk) within 20 min. The novel UCNPs based FRET aptasensor could be used to detect a broad range of targets from whole cells to metal ions by using different aptamer sequences, holding great potential in environmental monitoring, medical diagnostics and food safety analysis.","author":[{"dropping-particle":"","family":"Jin","given":"Birui","non-dropping-particle":"","parse-names":false,"suffix":""},{"dropping-particle":"","family":"Wang","given":"Shurui","non-dropping-particle":"","parse-names":false,"suffix":""},{"dropping-particle":"","family":"Lin","given":"Min","non-dropping-particle":"","parse-names":false,"suffix":""},{"dropping-particle":"","family":"Jin","given":"Ying","non-dropping-particle":"","parse-names":false,"suffix":""},{"dropping-particle":"","family":"Zhang","given":"Shujing","non-dropping-particle":"","parse-names":false,"suffix":""},{"dropping-particle":"","family":"Cui","given":"Xingye","non-dropping-particle":"","parse-names":false,"suffix":""},{"dropping-particle":"","family":"Gong","given":"Yan","non-dropping-particle":"","parse-names":false,"suffix":""},{"dropping-particle":"","family":"Li","given":"Ang","non-dropping-particle":"","parse-names":false,"suffix":""},{"dropping-particle":"","family":"Xu","given":"Feng","non-dropping-particle":"","parse-names":false,"suffix":""},{"dropping-particle":"","family":"Lu","given":"Tian Jian","non-dropping-particle":"","parse-names":false,"suffix":""}],"container-title":"Biosensors &amp; bioelectronics","id":"ITEM-3","issued":{"date-parts":[["2017","4"]]},"page":"525-533","publisher":"Biosens Bioelectron","title":"Upconversion nanoparticles based FRET aptasensor for rapid and ultrasenstive bacteria detection","type":"article-journal","volume":"90"},"uris":["http://www.mendeley.com/documents/?uuid=8e9dee3e-b0dc-337a-b182-20d7234a843f","http://www.mendeley.com/documents/?uuid=9daea1f9-0ff9-4c68-a957-8b22bec67b3f"]},{"id":"ITEM-4","itemData":{"DOI":"10.1016/J.BIOS.2015.08.031","ISSN":"1873-4235","PMID":"26334590","abstract":"In this work, a simple, label-free, low cost electrochemical biosensor for highly sensitive and selective detection of Escherichia coli has been developed on the basis of rolling circle amplification (RCA) coupled peroxidase-mimicking DNAzyme amplification. A aptamer-primer probe (APP) containing anti-E. coli aptamer and a primer sequence complementary to a circular probe, which includes two G-quadruplex units, is used for recognizing target and triggering RCA-based polymerase elongation. Due to RCA coupled DNAzyme amplification strategy, the presence of target E. coli leads to the formation of numerous G-quadruplex oligomers on electrode, which folds into G-quadruplex/hemin complexs with the help of K+ and hemin, thus generating extremely strong catalytic activity toward H2O2 and giving a remarkably strong electrochemical response. As far as we know, this work is the first time that RCA coupled peroxidase-mimicking DNAzyme amplification technique have been integrated into electrochemical assay for detecting pathogenic bacteria. Under optimal conditions, the proposed biosensor exhibits ultrahigh sensitivity toward E. coli with detection limits of 8cfumL-1 and a detection range of 5 orders of magnitude. Besides, our biosensor also shows high selectivity toward target E. coli and has the advantages in its rapidness, low cost, simplified operations without the need of electrochemical labeling steps and additional labile reagents. Hence, the RCA coupled peroxidase-mimicking DNAzyme amplification-based electrochemical method might create a useful and practical platform for detecting E. coli and related food safety analysis and clinical diagnosis.","author":[{"dropping-particle":"","family":"Guo","given":"Yuna","non-dropping-particle":"","parse-names":false,"suffix":""},{"dropping-particle":"","family":"Wang","given":"Yu","non-dropping-particle":"","parse-names":false,"suffix":""},{"dropping-particle":"","family":"Liu","given":"Su","no</w:instrText>
            </w:r>
            <w:r w:rsidR="00AB6921" w:rsidRPr="00371A9F">
              <w:rPr>
                <w:rFonts w:cs="Times New Roman"/>
                <w:b/>
                <w:bCs/>
                <w:sz w:val="20"/>
                <w:szCs w:val="20"/>
              </w:rPr>
              <w:instrText>n-dropping-particle":"","parse-names":false,"suffix":""},{"dropping-particle":"","family":"Yu","given":"Jinghua","non-dropping-particle":"","parse-names":false,"suffix":""},{"dropping-particle":"","family":"Wang","given":"Hongzhi","non-dropping-particle":"","parse-names":false,"suffix":""},{"dropping-particle":"","family":"Wang","given":"Yalin","non-dropping-particle":"","parse-names":false,"suffix":""},{"dropping-particle":"","family":"Huang","given":"Jiadong","non-dropping-particle":"","parse-names":false,"suffix":""}],"container-title":"Biosensors &amp; bioelectronics","id":"ITEM-4","issued":{"date-parts":[["2016","1"]]},"page":"315-319","publisher":"Biosens Bioelectron","title":"Label-free and highly sensitive electrochemical detection of E. coli based on rolling circle amplifications coupled peroxidase-mimicking DNAzyme amplification","type":"article-journal","volume":"75"},"uris":["http://www.mendeley.com/documents/?uuid=d0ad4f6a-0323-3cf5-974e-ace08cecc1ed","http://www.mendeley.com/documents/?uuid=e389631f-89f9-47da-b55a-83a97fe9d84e"]}],"mendeley":{"formattedCitation":"(Kim et al., 2013; Chung et al., 2015; Guo et al., 2016; Jin et al., 2017)","plainTextFormattedCitation":"(Kim et al., 2013; Chung et al., 2015; Guo et al., 2016; Jin et al., 2017)","previouslyFormattedCitation":"(Kim et al., 2013; Chung et al., 2015; Guo et al., 2016; Jin et al., 2017)"},"properties":{"noteIndex":0},"schema":"https://github.com/citation-style-language/schema/raw/master/csl-citation.json"}</w:instrText>
            </w:r>
            <w:r w:rsidRPr="00371A9F">
              <w:rPr>
                <w:rFonts w:cs="Times New Roman"/>
                <w:b/>
                <w:bCs/>
                <w:sz w:val="20"/>
                <w:szCs w:val="20"/>
              </w:rPr>
              <w:fldChar w:fldCharType="separate"/>
            </w:r>
            <w:r w:rsidRPr="00371A9F">
              <w:rPr>
                <w:rFonts w:cs="Times New Roman"/>
                <w:b/>
                <w:bCs/>
                <w:noProof/>
                <w:sz w:val="20"/>
                <w:szCs w:val="20"/>
              </w:rPr>
              <w:t>(Kim et al., 2013; Chung et al., 2015; Guo et al., 2016; Jin et al., 2017)</w:t>
            </w:r>
            <w:r w:rsidRPr="00371A9F">
              <w:rPr>
                <w:rFonts w:cs="Times New Roman"/>
                <w:b/>
                <w:bCs/>
                <w:sz w:val="20"/>
                <w:szCs w:val="20"/>
              </w:rPr>
              <w:fldChar w:fldCharType="end"/>
            </w:r>
          </w:p>
        </w:tc>
      </w:tr>
      <w:tr w:rsidR="00A77214" w:rsidRPr="00223D7E" w14:paraId="245AFFEF" w14:textId="77777777" w:rsidTr="00D14EC6">
        <w:trPr>
          <w:cnfStyle w:val="000000100000" w:firstRow="0" w:lastRow="0" w:firstColumn="0" w:lastColumn="0" w:oddVBand="0" w:evenVBand="0" w:oddHBand="1" w:evenHBand="0" w:firstRowFirstColumn="0" w:firstRowLastColumn="0" w:lastRowFirstColumn="0" w:lastRowLastColumn="0"/>
          <w:trHeight w:val="547"/>
          <w:jc w:val="center"/>
        </w:trPr>
        <w:tc>
          <w:tcPr>
            <w:cnfStyle w:val="001000000000" w:firstRow="0" w:lastRow="0" w:firstColumn="1" w:lastColumn="0" w:oddVBand="0" w:evenVBand="0" w:oddHBand="0" w:evenHBand="0" w:firstRowFirstColumn="0" w:firstRowLastColumn="0" w:lastRowFirstColumn="0" w:lastRowLastColumn="0"/>
            <w:tcW w:w="2287" w:type="dxa"/>
            <w:tcBorders>
              <w:bottom w:val="single" w:sz="4" w:space="0" w:color="auto"/>
            </w:tcBorders>
          </w:tcPr>
          <w:p w14:paraId="3BF367FC" w14:textId="77777777" w:rsidR="00A77214" w:rsidRPr="00371A9F" w:rsidRDefault="00A77214" w:rsidP="003D7B31">
            <w:pPr>
              <w:spacing w:line="360" w:lineRule="auto"/>
              <w:rPr>
                <w:rFonts w:cs="Times New Roman"/>
                <w:sz w:val="20"/>
                <w:szCs w:val="20"/>
              </w:rPr>
            </w:pPr>
            <w:r w:rsidRPr="00371A9F">
              <w:rPr>
                <w:rFonts w:cs="Times New Roman"/>
                <w:sz w:val="20"/>
                <w:szCs w:val="20"/>
              </w:rPr>
              <w:t>Apt 7, 19, 31 and 37</w:t>
            </w:r>
          </w:p>
        </w:tc>
        <w:tc>
          <w:tcPr>
            <w:tcW w:w="1682" w:type="dxa"/>
            <w:tcBorders>
              <w:bottom w:val="single" w:sz="4" w:space="0" w:color="auto"/>
            </w:tcBorders>
          </w:tcPr>
          <w:p w14:paraId="03E8FD73" w14:textId="77777777" w:rsidR="00A77214" w:rsidRPr="00371A9F" w:rsidRDefault="00A77214" w:rsidP="003D7B31">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71A9F">
              <w:rPr>
                <w:rFonts w:cs="Times New Roman"/>
                <w:sz w:val="20"/>
                <w:szCs w:val="20"/>
              </w:rPr>
              <w:t>DNA</w:t>
            </w:r>
          </w:p>
        </w:tc>
        <w:tc>
          <w:tcPr>
            <w:tcW w:w="2835" w:type="dxa"/>
            <w:tcBorders>
              <w:bottom w:val="single" w:sz="4" w:space="0" w:color="auto"/>
            </w:tcBorders>
          </w:tcPr>
          <w:p w14:paraId="1C4FE285" w14:textId="77777777" w:rsidR="00A77214" w:rsidRPr="00371A9F" w:rsidRDefault="00A77214" w:rsidP="003D7B31">
            <w:pPr>
              <w:spacing w:after="0"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371A9F">
              <w:rPr>
                <w:i/>
                <w:iCs/>
                <w:sz w:val="20"/>
                <w:szCs w:val="20"/>
              </w:rPr>
              <w:t xml:space="preserve">Shiga toxin 1 &amp; 2 </w:t>
            </w:r>
            <w:r w:rsidRPr="00371A9F">
              <w:rPr>
                <w:rFonts w:cs="Times New Roman"/>
                <w:i/>
                <w:iCs/>
                <w:sz w:val="20"/>
                <w:szCs w:val="20"/>
              </w:rPr>
              <w:t>subtypes</w:t>
            </w:r>
          </w:p>
        </w:tc>
        <w:tc>
          <w:tcPr>
            <w:tcW w:w="3165" w:type="dxa"/>
            <w:tcBorders>
              <w:bottom w:val="single" w:sz="4" w:space="0" w:color="auto"/>
            </w:tcBorders>
          </w:tcPr>
          <w:p w14:paraId="3FB1D591" w14:textId="13B04E37" w:rsidR="00A77214" w:rsidRPr="00371A9F" w:rsidRDefault="00A77214" w:rsidP="003D7B31">
            <w:pPr>
              <w:spacing w:before="0" w:after="0" w:line="360" w:lineRule="auto"/>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371A9F">
              <w:rPr>
                <w:rFonts w:cs="Times New Roman"/>
                <w:b/>
                <w:bCs/>
                <w:sz w:val="20"/>
                <w:szCs w:val="20"/>
              </w:rPr>
              <w:fldChar w:fldCharType="begin" w:fldLock="1"/>
            </w:r>
            <w:r w:rsidR="00AB6921" w:rsidRPr="00371A9F">
              <w:rPr>
                <w:rFonts w:cs="Times New Roman"/>
                <w:b/>
                <w:bCs/>
                <w:sz w:val="20"/>
                <w:szCs w:val="20"/>
              </w:rPr>
              <w:instrText>ADDIN CSL_CITATION {"citationItems":[{"id":"ITEM-1","itemData":{"DOI":"10.1016/J.BIOS.2020.112498","ISSN":"1873-4235","PMID":"32814208","abstract":"We report biolayer interferometry based in-vitro selection technique (BLI-SELEX) for fishing out specific aptamers against E. coli Shiga toxin subtypes viz., stx1 &amp; stx2 via epitopic peptides. BLI-SELEX is a one-step technique for rapidly generating aptamers against protein biomarkers in a microtiter plate format, obliterating the need for multiple enrichment rounds to harvest high-affinity aptamers as in conventional SELEX. Two unique aptamers selected against stx1 &amp; stx2 with picomolar Kd (~47 pM &amp; ~29 pM, respectively) were successfully used to fabricate voltammetric diagnostic assay via immobilization onto chitosan exfoliated 2D tungsten diselenide (WSe2) nanosheet platform. These aptamers modified nanosensors showed high sensitivity of ~ 5.0 μA ng-1 mL, a dynamic response range from 50 pg mL-1 to 100 ng mL-1, with a detection limit of 44.5 pg mL-1 &amp; 41.3 pg mL-1 for stx subtypes, respectively and showed low cross-reactivity in spiked urine, serum and milk samples. The synergistic effect of selective aptamers &amp; high sensitivity imparted by 2D transition metal dichalcogenide (TMD) highlights the superior potential of a fabricated nanosensor for bacterial toxin detection.","author":[{"dropping-particle":"","family":"Kaur","given":"Harmanjit","non-dropping-particle":"","parse-names":false,"suffix":""},{"dropping-particle":"","family":"Shorie","given":"Munish","non-dropping-particle":"","parse-names":false,"suffix":""},{"dropping-particle":"","family":"Sabherwal","given":"Priyanka","non-dropping-particle":"","parse-names":false,"suffix":""}],"container-title":"Biosensors &amp; bioelectronics","id":"ITEM-1","issued":{"date-parts":[["2020","11"]]},"publisher":"Biosens Bioelectron","title":"Biolayer interferometry-SELEX for Shiga toxin antigenic-peptide aptamers &amp; detection via chitosan-WSe 2 aptasensor","type":"article-journal","volume":"167"},"uris":["http://www.mendeley.com/documents/?uuid=54a5468e-8b77-3a5f-bd69-e0b060418d9a","http://www.mendeley.com/documents/?uuid=bc62fb15-42d5-4e18-a8b0-f10a4577ebad"]}],"mendeley":{"formattedCitation":"(Kaur et al., 2020)","plainTextFormattedCitation":"(Kaur et al., 2020)","previouslyFormattedCitation":"(Kaur et al., 2020)"},"properties":{"noteIndex":0},"schema":"https://github.com/citation-style-language/schema/raw/master/csl-citation.json"}</w:instrText>
            </w:r>
            <w:r w:rsidRPr="00371A9F">
              <w:rPr>
                <w:rFonts w:cs="Times New Roman"/>
                <w:b/>
                <w:bCs/>
                <w:sz w:val="20"/>
                <w:szCs w:val="20"/>
              </w:rPr>
              <w:fldChar w:fldCharType="separate"/>
            </w:r>
            <w:r w:rsidRPr="00371A9F">
              <w:rPr>
                <w:rFonts w:cs="Times New Roman"/>
                <w:b/>
                <w:bCs/>
                <w:noProof/>
                <w:sz w:val="20"/>
                <w:szCs w:val="20"/>
              </w:rPr>
              <w:t>(Kaur et al., 2020)</w:t>
            </w:r>
            <w:r w:rsidRPr="00371A9F">
              <w:rPr>
                <w:rFonts w:cs="Times New Roman"/>
                <w:b/>
                <w:bCs/>
                <w:sz w:val="20"/>
                <w:szCs w:val="20"/>
              </w:rPr>
              <w:fldChar w:fldCharType="end"/>
            </w:r>
          </w:p>
        </w:tc>
      </w:tr>
    </w:tbl>
    <w:p w14:paraId="7DF5684D" w14:textId="77777777" w:rsidR="00A77214" w:rsidRDefault="00A77214" w:rsidP="00654E8F">
      <w:pPr>
        <w:spacing w:before="240"/>
        <w:rPr>
          <w:b/>
          <w:bCs/>
        </w:rPr>
      </w:pPr>
    </w:p>
    <w:p w14:paraId="178019E6" w14:textId="5E5460FC" w:rsidR="00590828" w:rsidRPr="000F2E10" w:rsidRDefault="000F2E10" w:rsidP="00654E8F">
      <w:pPr>
        <w:spacing w:before="240"/>
        <w:rPr>
          <w:b/>
          <w:bCs/>
        </w:rPr>
      </w:pPr>
      <w:r w:rsidRPr="000F2E10">
        <w:rPr>
          <w:b/>
          <w:bCs/>
        </w:rPr>
        <w:t xml:space="preserve">References </w:t>
      </w:r>
      <w:r w:rsidR="00457888">
        <w:rPr>
          <w:b/>
          <w:bCs/>
        </w:rPr>
        <w:t xml:space="preserve">of </w:t>
      </w:r>
      <w:r w:rsidR="00FE30FA">
        <w:rPr>
          <w:b/>
          <w:bCs/>
        </w:rPr>
        <w:t xml:space="preserve">supplementary material </w:t>
      </w:r>
    </w:p>
    <w:p w14:paraId="002B6729" w14:textId="77777777" w:rsidR="00754866" w:rsidRPr="00C55E74" w:rsidRDefault="00754866" w:rsidP="00754866">
      <w:pPr>
        <w:widowControl w:val="0"/>
        <w:autoSpaceDE w:val="0"/>
        <w:autoSpaceDN w:val="0"/>
        <w:adjustRightInd w:val="0"/>
        <w:spacing w:before="240"/>
        <w:ind w:left="480" w:hanging="480"/>
        <w:rPr>
          <w:rFonts w:cs="Times New Roman"/>
          <w:noProof/>
          <w:sz w:val="20"/>
          <w:szCs w:val="24"/>
        </w:rPr>
      </w:pPr>
      <w:r w:rsidRPr="00590828">
        <w:rPr>
          <w:sz w:val="20"/>
          <w:szCs w:val="20"/>
        </w:rPr>
        <w:fldChar w:fldCharType="begin" w:fldLock="1"/>
      </w:r>
      <w:r w:rsidRPr="00590828">
        <w:rPr>
          <w:sz w:val="20"/>
          <w:szCs w:val="20"/>
        </w:rPr>
        <w:instrText xml:space="preserve">ADDIN Mendeley Bibliography CSL_BIBLIOGRAPHY </w:instrText>
      </w:r>
      <w:r w:rsidRPr="00590828">
        <w:rPr>
          <w:sz w:val="20"/>
          <w:szCs w:val="20"/>
        </w:rPr>
        <w:fldChar w:fldCharType="separate"/>
      </w:r>
      <w:r w:rsidRPr="00C55E74">
        <w:rPr>
          <w:rFonts w:cs="Times New Roman"/>
          <w:noProof/>
          <w:sz w:val="20"/>
          <w:szCs w:val="24"/>
        </w:rPr>
        <w:t xml:space="preserve">Amraee, M., Oloomi, M., Yavari, A., and Bouzari, S. (2017). DNA aptamer identification and characterization for </w:t>
      </w:r>
      <w:r w:rsidRPr="00457888">
        <w:rPr>
          <w:rFonts w:cs="Times New Roman"/>
          <w:i/>
          <w:iCs/>
          <w:noProof/>
          <w:sz w:val="20"/>
          <w:szCs w:val="24"/>
        </w:rPr>
        <w:t xml:space="preserve">E. coli </w:t>
      </w:r>
      <w:r w:rsidRPr="00C55E74">
        <w:rPr>
          <w:rFonts w:cs="Times New Roman"/>
          <w:noProof/>
          <w:sz w:val="20"/>
          <w:szCs w:val="24"/>
        </w:rPr>
        <w:t xml:space="preserve">O157 detection using cell based SELEX method. </w:t>
      </w:r>
      <w:r w:rsidRPr="00C55E74">
        <w:rPr>
          <w:rFonts w:cs="Times New Roman"/>
          <w:i/>
          <w:iCs/>
          <w:noProof/>
          <w:sz w:val="20"/>
          <w:szCs w:val="24"/>
        </w:rPr>
        <w:t>Anal. Biochem.</w:t>
      </w:r>
      <w:r w:rsidRPr="00C55E74">
        <w:rPr>
          <w:rFonts w:cs="Times New Roman"/>
          <w:noProof/>
          <w:sz w:val="20"/>
          <w:szCs w:val="24"/>
        </w:rPr>
        <w:t xml:space="preserve"> 536, 36–44. doi:10.1016/J.AB.2017.08.005.</w:t>
      </w:r>
    </w:p>
    <w:p w14:paraId="1C214BB1" w14:textId="77777777" w:rsidR="00754866" w:rsidRPr="00C55E74" w:rsidRDefault="00754866" w:rsidP="00754866">
      <w:pPr>
        <w:widowControl w:val="0"/>
        <w:autoSpaceDE w:val="0"/>
        <w:autoSpaceDN w:val="0"/>
        <w:adjustRightInd w:val="0"/>
        <w:spacing w:before="240"/>
        <w:ind w:left="480" w:hanging="480"/>
        <w:rPr>
          <w:rFonts w:cs="Times New Roman"/>
          <w:noProof/>
          <w:sz w:val="20"/>
          <w:szCs w:val="24"/>
        </w:rPr>
      </w:pPr>
      <w:r w:rsidRPr="00C55E74">
        <w:rPr>
          <w:rFonts w:cs="Times New Roman"/>
          <w:noProof/>
          <w:sz w:val="20"/>
          <w:szCs w:val="24"/>
        </w:rPr>
        <w:t xml:space="preserve">Bai, H., You, Y., Yan, H., Meng, J., Xue, X., Hou, Z., et al. (2012). Antisense inhibition of gene expression and growth in gram-negative bacteria by cell-penetrating peptide conjugates of peptide nucleic acids targeted to </w:t>
      </w:r>
      <w:r w:rsidRPr="00457888">
        <w:rPr>
          <w:rFonts w:cs="Times New Roman"/>
          <w:i/>
          <w:iCs/>
          <w:noProof/>
          <w:sz w:val="20"/>
          <w:szCs w:val="24"/>
        </w:rPr>
        <w:t>rpoD</w:t>
      </w:r>
      <w:r w:rsidRPr="00C55E74">
        <w:rPr>
          <w:rFonts w:cs="Times New Roman"/>
          <w:noProof/>
          <w:sz w:val="20"/>
          <w:szCs w:val="24"/>
        </w:rPr>
        <w:t xml:space="preserve"> gene. </w:t>
      </w:r>
      <w:r w:rsidRPr="00C55E74">
        <w:rPr>
          <w:rFonts w:cs="Times New Roman"/>
          <w:i/>
          <w:iCs/>
          <w:noProof/>
          <w:sz w:val="20"/>
          <w:szCs w:val="24"/>
        </w:rPr>
        <w:t>Biomaterials</w:t>
      </w:r>
      <w:r w:rsidRPr="00C55E74">
        <w:rPr>
          <w:rFonts w:cs="Times New Roman"/>
          <w:noProof/>
          <w:sz w:val="20"/>
          <w:szCs w:val="24"/>
        </w:rPr>
        <w:t xml:space="preserve"> 33, 659–667. doi:10.1016/j.biomaterials.2011.09.075.</w:t>
      </w:r>
    </w:p>
    <w:p w14:paraId="446176D4" w14:textId="77777777" w:rsidR="00754866" w:rsidRPr="00C55E74" w:rsidRDefault="00754866" w:rsidP="00754866">
      <w:pPr>
        <w:widowControl w:val="0"/>
        <w:autoSpaceDE w:val="0"/>
        <w:autoSpaceDN w:val="0"/>
        <w:adjustRightInd w:val="0"/>
        <w:spacing w:before="240"/>
        <w:ind w:left="480" w:hanging="480"/>
        <w:rPr>
          <w:rFonts w:cs="Times New Roman"/>
          <w:noProof/>
          <w:sz w:val="20"/>
          <w:szCs w:val="24"/>
        </w:rPr>
      </w:pPr>
      <w:r w:rsidRPr="00C55E74">
        <w:rPr>
          <w:rFonts w:cs="Times New Roman"/>
          <w:noProof/>
          <w:sz w:val="20"/>
          <w:szCs w:val="24"/>
        </w:rPr>
        <w:t xml:space="preserve">Chung, J., Kang, J. S., Jurng, J. S., Jung, J. H., and Kim, B. C. (2015). Fast and continuous microorganism detection using aptamer-conjugated fluorescent nanoparticles on an optofluidic platform. </w:t>
      </w:r>
      <w:r w:rsidRPr="00C55E74">
        <w:rPr>
          <w:rFonts w:cs="Times New Roman"/>
          <w:i/>
          <w:iCs/>
          <w:noProof/>
          <w:sz w:val="20"/>
          <w:szCs w:val="24"/>
        </w:rPr>
        <w:t>Biosens. Bioelectron.</w:t>
      </w:r>
      <w:r w:rsidRPr="00C55E74">
        <w:rPr>
          <w:rFonts w:cs="Times New Roman"/>
          <w:noProof/>
          <w:sz w:val="20"/>
          <w:szCs w:val="24"/>
        </w:rPr>
        <w:t xml:space="preserve"> 67, 303–308. doi:10.1016/J.BIOS.2014.08.039.</w:t>
      </w:r>
    </w:p>
    <w:p w14:paraId="6A188DB6" w14:textId="77777777" w:rsidR="00754866" w:rsidRPr="00C55E74" w:rsidRDefault="00754866" w:rsidP="00754866">
      <w:pPr>
        <w:widowControl w:val="0"/>
        <w:autoSpaceDE w:val="0"/>
        <w:autoSpaceDN w:val="0"/>
        <w:adjustRightInd w:val="0"/>
        <w:spacing w:before="240"/>
        <w:ind w:left="480" w:hanging="480"/>
        <w:rPr>
          <w:rFonts w:cs="Times New Roman"/>
          <w:noProof/>
          <w:sz w:val="20"/>
          <w:szCs w:val="24"/>
        </w:rPr>
      </w:pPr>
      <w:r w:rsidRPr="00C55E74">
        <w:rPr>
          <w:rFonts w:cs="Times New Roman"/>
          <w:noProof/>
          <w:sz w:val="20"/>
          <w:szCs w:val="24"/>
        </w:rPr>
        <w:t xml:space="preserve">Deere, J., Iversen, P., and Geller, B. L. (2005). Antisense phosphorodiamidate morpholino oligomer length and target position effects on gene-specific inhibition in </w:t>
      </w:r>
      <w:r w:rsidRPr="00457888">
        <w:rPr>
          <w:rFonts w:cs="Times New Roman"/>
          <w:i/>
          <w:iCs/>
          <w:noProof/>
          <w:sz w:val="20"/>
          <w:szCs w:val="24"/>
        </w:rPr>
        <w:t xml:space="preserve">Escherichia coli. </w:t>
      </w:r>
      <w:r w:rsidRPr="00C55E74">
        <w:rPr>
          <w:rFonts w:cs="Times New Roman"/>
          <w:i/>
          <w:iCs/>
          <w:noProof/>
          <w:sz w:val="20"/>
          <w:szCs w:val="24"/>
        </w:rPr>
        <w:t>Antimicrob. Agents Chemother.</w:t>
      </w:r>
      <w:r w:rsidRPr="00C55E74">
        <w:rPr>
          <w:rFonts w:cs="Times New Roman"/>
          <w:noProof/>
          <w:sz w:val="20"/>
          <w:szCs w:val="24"/>
        </w:rPr>
        <w:t xml:space="preserve"> 49, 249–255. doi:10.1128/AAC.49.1.249-255.2005.</w:t>
      </w:r>
    </w:p>
    <w:p w14:paraId="4B017222" w14:textId="77777777" w:rsidR="00754866" w:rsidRDefault="00754866" w:rsidP="00754866">
      <w:pPr>
        <w:widowControl w:val="0"/>
        <w:autoSpaceDE w:val="0"/>
        <w:autoSpaceDN w:val="0"/>
        <w:adjustRightInd w:val="0"/>
        <w:spacing w:before="240"/>
        <w:ind w:left="480" w:hanging="480"/>
        <w:rPr>
          <w:rFonts w:cs="Times New Roman"/>
          <w:noProof/>
          <w:sz w:val="20"/>
          <w:szCs w:val="24"/>
        </w:rPr>
      </w:pPr>
      <w:r w:rsidRPr="00C55E74">
        <w:rPr>
          <w:rFonts w:cs="Times New Roman"/>
          <w:noProof/>
          <w:sz w:val="20"/>
          <w:szCs w:val="24"/>
        </w:rPr>
        <w:t xml:space="preserve">Geller, B. L., Deere, J. D., Stein, D. A., Kroeker, A. D., Iversen, P. L., and Moulton, H. M. (2003). Inhibition of </w:t>
      </w:r>
      <w:r>
        <w:rPr>
          <w:rFonts w:cs="Times New Roman"/>
          <w:noProof/>
          <w:sz w:val="20"/>
          <w:szCs w:val="24"/>
        </w:rPr>
        <w:t>g</w:t>
      </w:r>
      <w:r w:rsidRPr="00C55E74">
        <w:rPr>
          <w:rFonts w:cs="Times New Roman"/>
          <w:noProof/>
          <w:sz w:val="20"/>
          <w:szCs w:val="24"/>
        </w:rPr>
        <w:t xml:space="preserve">ene </w:t>
      </w:r>
      <w:r>
        <w:rPr>
          <w:rFonts w:cs="Times New Roman"/>
          <w:noProof/>
          <w:sz w:val="20"/>
          <w:szCs w:val="24"/>
        </w:rPr>
        <w:t>e</w:t>
      </w:r>
      <w:r w:rsidRPr="00C55E74">
        <w:rPr>
          <w:rFonts w:cs="Times New Roman"/>
          <w:noProof/>
          <w:sz w:val="20"/>
          <w:szCs w:val="24"/>
        </w:rPr>
        <w:t xml:space="preserve">xpression in </w:t>
      </w:r>
      <w:r w:rsidRPr="00457888">
        <w:rPr>
          <w:rFonts w:cs="Times New Roman"/>
          <w:i/>
          <w:iCs/>
          <w:noProof/>
          <w:sz w:val="20"/>
          <w:szCs w:val="24"/>
        </w:rPr>
        <w:t>Escherichia coli</w:t>
      </w:r>
      <w:r w:rsidRPr="00C55E74">
        <w:rPr>
          <w:rFonts w:cs="Times New Roman"/>
          <w:noProof/>
          <w:sz w:val="20"/>
          <w:szCs w:val="24"/>
        </w:rPr>
        <w:t xml:space="preserve"> by </w:t>
      </w:r>
      <w:r>
        <w:rPr>
          <w:rFonts w:cs="Times New Roman"/>
          <w:noProof/>
          <w:sz w:val="20"/>
          <w:szCs w:val="24"/>
        </w:rPr>
        <w:t>a</w:t>
      </w:r>
      <w:r w:rsidRPr="00C55E74">
        <w:rPr>
          <w:rFonts w:cs="Times New Roman"/>
          <w:noProof/>
          <w:sz w:val="20"/>
          <w:szCs w:val="24"/>
        </w:rPr>
        <w:t xml:space="preserve">ntisense </w:t>
      </w:r>
      <w:r>
        <w:rPr>
          <w:rFonts w:cs="Times New Roman"/>
          <w:noProof/>
          <w:sz w:val="20"/>
          <w:szCs w:val="24"/>
        </w:rPr>
        <w:t>p</w:t>
      </w:r>
      <w:r w:rsidRPr="00C55E74">
        <w:rPr>
          <w:rFonts w:cs="Times New Roman"/>
          <w:noProof/>
          <w:sz w:val="20"/>
          <w:szCs w:val="24"/>
        </w:rPr>
        <w:t xml:space="preserve">hosphorodiamidate </w:t>
      </w:r>
      <w:r>
        <w:rPr>
          <w:rFonts w:cs="Times New Roman"/>
          <w:noProof/>
          <w:sz w:val="20"/>
          <w:szCs w:val="24"/>
        </w:rPr>
        <w:t>m</w:t>
      </w:r>
      <w:r w:rsidRPr="00C55E74">
        <w:rPr>
          <w:rFonts w:cs="Times New Roman"/>
          <w:noProof/>
          <w:sz w:val="20"/>
          <w:szCs w:val="24"/>
        </w:rPr>
        <w:t xml:space="preserve">orpholino </w:t>
      </w:r>
      <w:r>
        <w:rPr>
          <w:rFonts w:cs="Times New Roman"/>
          <w:noProof/>
          <w:sz w:val="20"/>
          <w:szCs w:val="24"/>
        </w:rPr>
        <w:t>o</w:t>
      </w:r>
      <w:r w:rsidRPr="00C55E74">
        <w:rPr>
          <w:rFonts w:cs="Times New Roman"/>
          <w:noProof/>
          <w:sz w:val="20"/>
          <w:szCs w:val="24"/>
        </w:rPr>
        <w:t>ligomers</w:t>
      </w:r>
      <w:r>
        <w:rPr>
          <w:rFonts w:cs="Times New Roman"/>
          <w:noProof/>
          <w:sz w:val="20"/>
          <w:szCs w:val="24"/>
        </w:rPr>
        <w:t>.</w:t>
      </w:r>
      <w:r w:rsidRPr="00C55E74">
        <w:rPr>
          <w:rFonts w:cs="Times New Roman"/>
          <w:noProof/>
          <w:sz w:val="20"/>
          <w:szCs w:val="24"/>
        </w:rPr>
        <w:t xml:space="preserve"> </w:t>
      </w:r>
      <w:r w:rsidRPr="00C55E74">
        <w:rPr>
          <w:rFonts w:cs="Times New Roman"/>
          <w:i/>
          <w:iCs/>
          <w:noProof/>
          <w:sz w:val="20"/>
          <w:szCs w:val="24"/>
        </w:rPr>
        <w:t>Antimicrob. Agents Chemother.</w:t>
      </w:r>
      <w:r w:rsidRPr="00C55E74">
        <w:rPr>
          <w:rFonts w:cs="Times New Roman"/>
          <w:noProof/>
          <w:sz w:val="20"/>
          <w:szCs w:val="24"/>
        </w:rPr>
        <w:t xml:space="preserve"> 47, 3233–3239. doi:10.1128/AAC.47.10.3233.</w:t>
      </w:r>
    </w:p>
    <w:p w14:paraId="1184553A" w14:textId="77777777" w:rsidR="00754866" w:rsidRPr="00C55E74" w:rsidRDefault="00754866" w:rsidP="00754866">
      <w:pPr>
        <w:widowControl w:val="0"/>
        <w:autoSpaceDE w:val="0"/>
        <w:autoSpaceDN w:val="0"/>
        <w:adjustRightInd w:val="0"/>
        <w:spacing w:before="240"/>
        <w:ind w:left="480" w:hanging="480"/>
        <w:rPr>
          <w:rFonts w:cs="Times New Roman"/>
          <w:noProof/>
          <w:sz w:val="20"/>
          <w:szCs w:val="24"/>
        </w:rPr>
      </w:pPr>
      <w:r w:rsidRPr="00C55E74">
        <w:rPr>
          <w:rFonts w:cs="Times New Roman"/>
          <w:noProof/>
          <w:sz w:val="20"/>
          <w:szCs w:val="24"/>
        </w:rPr>
        <w:t xml:space="preserve">Geller, B. L., Deere, J., Tilley, L., and Iversen, P. L. (2005). Antisense phosphorodiamidate morpholino oligomer inhibits viability of </w:t>
      </w:r>
      <w:r w:rsidRPr="007B4CD1">
        <w:rPr>
          <w:rFonts w:cs="Times New Roman"/>
          <w:i/>
          <w:iCs/>
          <w:noProof/>
          <w:sz w:val="20"/>
          <w:szCs w:val="24"/>
        </w:rPr>
        <w:t xml:space="preserve">Escherichia coli </w:t>
      </w:r>
      <w:r w:rsidRPr="00C55E74">
        <w:rPr>
          <w:rFonts w:cs="Times New Roman"/>
          <w:noProof/>
          <w:sz w:val="20"/>
          <w:szCs w:val="24"/>
        </w:rPr>
        <w:t xml:space="preserve">in pure culture and in mouse peritonitis. </w:t>
      </w:r>
      <w:r w:rsidRPr="00C55E74">
        <w:rPr>
          <w:rFonts w:cs="Times New Roman"/>
          <w:i/>
          <w:iCs/>
          <w:noProof/>
          <w:sz w:val="20"/>
          <w:szCs w:val="24"/>
        </w:rPr>
        <w:t>J. Antimicrob. Chemother.</w:t>
      </w:r>
      <w:r w:rsidRPr="00C55E74">
        <w:rPr>
          <w:rFonts w:cs="Times New Roman"/>
          <w:noProof/>
          <w:sz w:val="20"/>
          <w:szCs w:val="24"/>
        </w:rPr>
        <w:t xml:space="preserve"> 55, 983–988. doi:10.1093/jac/dki129.</w:t>
      </w:r>
    </w:p>
    <w:p w14:paraId="1CC64181" w14:textId="77777777" w:rsidR="00754866" w:rsidRDefault="00754866" w:rsidP="00754866">
      <w:pPr>
        <w:widowControl w:val="0"/>
        <w:autoSpaceDE w:val="0"/>
        <w:autoSpaceDN w:val="0"/>
        <w:adjustRightInd w:val="0"/>
        <w:spacing w:before="240"/>
        <w:ind w:left="480" w:hanging="480"/>
        <w:rPr>
          <w:rFonts w:cs="Times New Roman"/>
          <w:noProof/>
          <w:sz w:val="20"/>
          <w:szCs w:val="24"/>
        </w:rPr>
      </w:pPr>
      <w:r w:rsidRPr="00C55E74">
        <w:rPr>
          <w:rFonts w:cs="Times New Roman"/>
          <w:noProof/>
          <w:sz w:val="20"/>
          <w:szCs w:val="24"/>
        </w:rPr>
        <w:lastRenderedPageBreak/>
        <w:t xml:space="preserve">Goddard, L. R., Mardle, C. E., Gneid, H., Ball, C. G., Gowers, D. M., Atkins, H. S., et al. (2021). An investigation into the potential of targeting </w:t>
      </w:r>
      <w:r w:rsidRPr="007B4CD1">
        <w:rPr>
          <w:rFonts w:cs="Times New Roman"/>
          <w:i/>
          <w:iCs/>
          <w:noProof/>
          <w:sz w:val="20"/>
          <w:szCs w:val="24"/>
        </w:rPr>
        <w:t>Escherichia coli</w:t>
      </w:r>
      <w:r w:rsidRPr="00C55E74">
        <w:rPr>
          <w:rFonts w:cs="Times New Roman"/>
          <w:noProof/>
          <w:sz w:val="20"/>
          <w:szCs w:val="24"/>
        </w:rPr>
        <w:t xml:space="preserve"> rne m</w:t>
      </w:r>
      <w:r>
        <w:rPr>
          <w:rFonts w:cs="Times New Roman"/>
          <w:noProof/>
          <w:sz w:val="20"/>
          <w:szCs w:val="24"/>
        </w:rPr>
        <w:t>RNA</w:t>
      </w:r>
      <w:r w:rsidRPr="00C55E74">
        <w:rPr>
          <w:rFonts w:cs="Times New Roman"/>
          <w:noProof/>
          <w:sz w:val="20"/>
          <w:szCs w:val="24"/>
        </w:rPr>
        <w:t xml:space="preserve"> with locked nucleic acid (L</w:t>
      </w:r>
      <w:r>
        <w:rPr>
          <w:rFonts w:cs="Times New Roman"/>
          <w:noProof/>
          <w:sz w:val="20"/>
          <w:szCs w:val="24"/>
        </w:rPr>
        <w:t>NA</w:t>
      </w:r>
      <w:r w:rsidRPr="00C55E74">
        <w:rPr>
          <w:rFonts w:cs="Times New Roman"/>
          <w:noProof/>
          <w:sz w:val="20"/>
          <w:szCs w:val="24"/>
        </w:rPr>
        <w:t xml:space="preserve">) </w:t>
      </w:r>
      <w:r>
        <w:rPr>
          <w:rFonts w:cs="Times New Roman"/>
          <w:noProof/>
          <w:sz w:val="20"/>
          <w:szCs w:val="24"/>
        </w:rPr>
        <w:t>G</w:t>
      </w:r>
      <w:r w:rsidRPr="00C55E74">
        <w:rPr>
          <w:rFonts w:cs="Times New Roman"/>
          <w:noProof/>
          <w:sz w:val="20"/>
          <w:szCs w:val="24"/>
        </w:rPr>
        <w:t xml:space="preserve">apmers as an </w:t>
      </w:r>
      <w:r>
        <w:rPr>
          <w:rFonts w:cs="Times New Roman"/>
          <w:noProof/>
          <w:sz w:val="20"/>
          <w:szCs w:val="24"/>
        </w:rPr>
        <w:t>a</w:t>
      </w:r>
      <w:r w:rsidRPr="00C55E74">
        <w:rPr>
          <w:rFonts w:cs="Times New Roman"/>
          <w:noProof/>
          <w:sz w:val="20"/>
          <w:szCs w:val="24"/>
        </w:rPr>
        <w:t xml:space="preserve">ntibacterial strategy. </w:t>
      </w:r>
      <w:r w:rsidRPr="00C55E74">
        <w:rPr>
          <w:rFonts w:cs="Times New Roman"/>
          <w:i/>
          <w:iCs/>
          <w:noProof/>
          <w:sz w:val="20"/>
          <w:szCs w:val="24"/>
        </w:rPr>
        <w:t>Molecules</w:t>
      </w:r>
      <w:r w:rsidRPr="00C55E74">
        <w:rPr>
          <w:rFonts w:cs="Times New Roman"/>
          <w:noProof/>
          <w:sz w:val="20"/>
          <w:szCs w:val="24"/>
        </w:rPr>
        <w:t xml:space="preserve"> 26, 1–15. doi:10.3390/molecules26113414.</w:t>
      </w:r>
    </w:p>
    <w:p w14:paraId="7CCBA483" w14:textId="77777777" w:rsidR="00754866" w:rsidRPr="00C55E74" w:rsidRDefault="00754866" w:rsidP="00754866">
      <w:pPr>
        <w:widowControl w:val="0"/>
        <w:autoSpaceDE w:val="0"/>
        <w:autoSpaceDN w:val="0"/>
        <w:adjustRightInd w:val="0"/>
        <w:spacing w:before="240"/>
        <w:ind w:left="480" w:hanging="480"/>
        <w:rPr>
          <w:rFonts w:cs="Times New Roman"/>
          <w:noProof/>
          <w:sz w:val="20"/>
          <w:szCs w:val="24"/>
        </w:rPr>
      </w:pPr>
      <w:r w:rsidRPr="00C55E74">
        <w:rPr>
          <w:rFonts w:cs="Times New Roman"/>
          <w:noProof/>
          <w:sz w:val="20"/>
          <w:szCs w:val="24"/>
        </w:rPr>
        <w:t xml:space="preserve">Good, L., Awasthi, S. K., Dryselius, R., Larsson, O., and Nielsen, P. E. (2001). Bactericidal antisense effects of peptide - PNA conjugates. </w:t>
      </w:r>
      <w:r w:rsidRPr="00C55E74">
        <w:rPr>
          <w:rFonts w:cs="Times New Roman"/>
          <w:i/>
          <w:iCs/>
          <w:noProof/>
          <w:sz w:val="20"/>
          <w:szCs w:val="24"/>
        </w:rPr>
        <w:t>Nat. Biotechnol.</w:t>
      </w:r>
      <w:r w:rsidRPr="00C55E74">
        <w:rPr>
          <w:rFonts w:cs="Times New Roman"/>
          <w:noProof/>
          <w:sz w:val="20"/>
          <w:szCs w:val="24"/>
        </w:rPr>
        <w:t xml:space="preserve"> 19, 360–364. doi:10.1038/86753.</w:t>
      </w:r>
    </w:p>
    <w:p w14:paraId="2B732DB4" w14:textId="77777777" w:rsidR="00754866" w:rsidRPr="00371A9F" w:rsidRDefault="00754866" w:rsidP="00754866">
      <w:pPr>
        <w:widowControl w:val="0"/>
        <w:autoSpaceDE w:val="0"/>
        <w:autoSpaceDN w:val="0"/>
        <w:adjustRightInd w:val="0"/>
        <w:spacing w:before="240"/>
        <w:ind w:left="480" w:hanging="480"/>
        <w:rPr>
          <w:rFonts w:cs="Times New Roman"/>
          <w:noProof/>
          <w:sz w:val="20"/>
          <w:szCs w:val="24"/>
          <w:lang w:val="pt-PT"/>
        </w:rPr>
      </w:pPr>
      <w:r w:rsidRPr="00C55E74">
        <w:rPr>
          <w:rFonts w:cs="Times New Roman"/>
          <w:noProof/>
          <w:sz w:val="20"/>
          <w:szCs w:val="24"/>
        </w:rPr>
        <w:t xml:space="preserve">Guo, Y., Wang, Y., Liu, S., Yu, J., Wang, H., Wang, Y., et al. (2016). Label-free and highly sensitive electrochemical detection of </w:t>
      </w:r>
      <w:r w:rsidRPr="007B4CD1">
        <w:rPr>
          <w:rFonts w:cs="Times New Roman"/>
          <w:i/>
          <w:iCs/>
          <w:noProof/>
          <w:sz w:val="20"/>
          <w:szCs w:val="24"/>
        </w:rPr>
        <w:t>E. coli</w:t>
      </w:r>
      <w:r w:rsidRPr="00C55E74">
        <w:rPr>
          <w:rFonts w:cs="Times New Roman"/>
          <w:noProof/>
          <w:sz w:val="20"/>
          <w:szCs w:val="24"/>
        </w:rPr>
        <w:t xml:space="preserve"> based on rolling circle amplifications coupled peroxidase-mimicking DNAzyme amplification. </w:t>
      </w:r>
      <w:r w:rsidRPr="00371A9F">
        <w:rPr>
          <w:rFonts w:cs="Times New Roman"/>
          <w:i/>
          <w:iCs/>
          <w:noProof/>
          <w:sz w:val="20"/>
          <w:szCs w:val="24"/>
          <w:lang w:val="pt-PT"/>
        </w:rPr>
        <w:t>Biosens. Bioelectron.</w:t>
      </w:r>
      <w:r w:rsidRPr="00371A9F">
        <w:rPr>
          <w:rFonts w:cs="Times New Roman"/>
          <w:noProof/>
          <w:sz w:val="20"/>
          <w:szCs w:val="24"/>
          <w:lang w:val="pt-PT"/>
        </w:rPr>
        <w:t xml:space="preserve"> 75, 315–319. doi:10.1016/J.BIOS.2015.08.031.</w:t>
      </w:r>
    </w:p>
    <w:p w14:paraId="7CAD0C75" w14:textId="77777777" w:rsidR="00754866" w:rsidRPr="00C55E74" w:rsidRDefault="00754866" w:rsidP="00754866">
      <w:pPr>
        <w:widowControl w:val="0"/>
        <w:autoSpaceDE w:val="0"/>
        <w:autoSpaceDN w:val="0"/>
        <w:adjustRightInd w:val="0"/>
        <w:spacing w:before="240"/>
        <w:ind w:left="480" w:hanging="480"/>
        <w:rPr>
          <w:rFonts w:cs="Times New Roman"/>
          <w:noProof/>
          <w:sz w:val="20"/>
          <w:szCs w:val="24"/>
        </w:rPr>
      </w:pPr>
      <w:r w:rsidRPr="00371A9F">
        <w:rPr>
          <w:rFonts w:cs="Times New Roman"/>
          <w:noProof/>
          <w:sz w:val="20"/>
          <w:szCs w:val="24"/>
          <w:lang w:val="pt-PT"/>
        </w:rPr>
        <w:t xml:space="preserve">Iubatti, M., Gabas, I. M., Cavaco, L. M., Mood, E. H., Lim, E., Bonanno, F., et al. </w:t>
      </w:r>
      <w:r w:rsidRPr="00C55E74">
        <w:rPr>
          <w:rFonts w:cs="Times New Roman"/>
          <w:noProof/>
          <w:sz w:val="20"/>
          <w:szCs w:val="24"/>
        </w:rPr>
        <w:t xml:space="preserve">(2022). Antisense Peptide Nucleic Acid–Diaminobutanoic Acid Dendron Conjugates with SbmA-Independent Antimicrobial Activity against Gram-Negative Bacteria. </w:t>
      </w:r>
      <w:r w:rsidRPr="00C55E74">
        <w:rPr>
          <w:rFonts w:cs="Times New Roman"/>
          <w:i/>
          <w:iCs/>
          <w:noProof/>
          <w:sz w:val="20"/>
          <w:szCs w:val="24"/>
        </w:rPr>
        <w:t>ACS Infect. Dis.</w:t>
      </w:r>
      <w:r w:rsidRPr="00C55E74">
        <w:rPr>
          <w:rFonts w:cs="Times New Roman"/>
          <w:noProof/>
          <w:sz w:val="20"/>
          <w:szCs w:val="24"/>
        </w:rPr>
        <w:t xml:space="preserve"> doi:10.1021/acsinfecdis.2c00089.</w:t>
      </w:r>
    </w:p>
    <w:p w14:paraId="15C3DBF1" w14:textId="77777777" w:rsidR="00754866" w:rsidRPr="00C55E74" w:rsidRDefault="00754866" w:rsidP="00754866">
      <w:pPr>
        <w:widowControl w:val="0"/>
        <w:autoSpaceDE w:val="0"/>
        <w:autoSpaceDN w:val="0"/>
        <w:adjustRightInd w:val="0"/>
        <w:spacing w:before="240"/>
        <w:ind w:left="480" w:hanging="480"/>
        <w:rPr>
          <w:rFonts w:cs="Times New Roman"/>
          <w:noProof/>
          <w:sz w:val="20"/>
          <w:szCs w:val="24"/>
        </w:rPr>
      </w:pPr>
      <w:r w:rsidRPr="00C55E74">
        <w:rPr>
          <w:rFonts w:cs="Times New Roman"/>
          <w:noProof/>
          <w:sz w:val="20"/>
          <w:szCs w:val="24"/>
        </w:rPr>
        <w:t xml:space="preserve">Jin, B., Wang, S., Lin, M., Jin, Y., Zhang, S., Cui, X., et al. (2017). Upconversion nanoparticles based FRET aptasensor for rapid and ultrasenstive bacteria detection. </w:t>
      </w:r>
      <w:r w:rsidRPr="00C55E74">
        <w:rPr>
          <w:rFonts w:cs="Times New Roman"/>
          <w:i/>
          <w:iCs/>
          <w:noProof/>
          <w:sz w:val="20"/>
          <w:szCs w:val="24"/>
        </w:rPr>
        <w:t>Biosens. Bioelectron.</w:t>
      </w:r>
      <w:r w:rsidRPr="00C55E74">
        <w:rPr>
          <w:rFonts w:cs="Times New Roman"/>
          <w:noProof/>
          <w:sz w:val="20"/>
          <w:szCs w:val="24"/>
        </w:rPr>
        <w:t xml:space="preserve"> 90, 525–533. doi:10.1016/J.BIOS.2016.10.029.</w:t>
      </w:r>
    </w:p>
    <w:p w14:paraId="15D974B6" w14:textId="77777777" w:rsidR="00754866" w:rsidRPr="00C55E74" w:rsidRDefault="00754866" w:rsidP="00754866">
      <w:pPr>
        <w:widowControl w:val="0"/>
        <w:autoSpaceDE w:val="0"/>
        <w:autoSpaceDN w:val="0"/>
        <w:adjustRightInd w:val="0"/>
        <w:spacing w:before="240"/>
        <w:ind w:left="480" w:hanging="480"/>
        <w:rPr>
          <w:rFonts w:cs="Times New Roman"/>
          <w:noProof/>
          <w:sz w:val="20"/>
          <w:szCs w:val="24"/>
        </w:rPr>
      </w:pPr>
      <w:r w:rsidRPr="00C55E74">
        <w:rPr>
          <w:rFonts w:cs="Times New Roman"/>
          <w:noProof/>
          <w:sz w:val="20"/>
          <w:szCs w:val="24"/>
        </w:rPr>
        <w:t>Kaur, H., Shorie, M., and Sabherwal, P. (2020). Biolayer interferometry-SELEX for Shiga toxin antigenic-peptide aptamers &amp; detection via chitosan-WSe</w:t>
      </w:r>
      <w:r w:rsidRPr="00C51038">
        <w:rPr>
          <w:rFonts w:cs="Times New Roman"/>
          <w:noProof/>
          <w:sz w:val="20"/>
          <w:szCs w:val="24"/>
          <w:vertAlign w:val="subscript"/>
        </w:rPr>
        <w:t>2</w:t>
      </w:r>
      <w:r w:rsidRPr="00C55E74">
        <w:rPr>
          <w:rFonts w:cs="Times New Roman"/>
          <w:noProof/>
          <w:sz w:val="20"/>
          <w:szCs w:val="24"/>
        </w:rPr>
        <w:t xml:space="preserve"> aptasensor. </w:t>
      </w:r>
      <w:r w:rsidRPr="00C55E74">
        <w:rPr>
          <w:rFonts w:cs="Times New Roman"/>
          <w:i/>
          <w:iCs/>
          <w:noProof/>
          <w:sz w:val="20"/>
          <w:szCs w:val="24"/>
        </w:rPr>
        <w:t>Biosens. Bioelectron.</w:t>
      </w:r>
      <w:r w:rsidRPr="00C55E74">
        <w:rPr>
          <w:rFonts w:cs="Times New Roman"/>
          <w:noProof/>
          <w:sz w:val="20"/>
          <w:szCs w:val="24"/>
        </w:rPr>
        <w:t xml:space="preserve"> 167. doi:10.1016/J.BIOS.2020.112498.</w:t>
      </w:r>
    </w:p>
    <w:p w14:paraId="525F1A85" w14:textId="2378A90D" w:rsidR="00754866" w:rsidRDefault="00754866" w:rsidP="00754866">
      <w:pPr>
        <w:widowControl w:val="0"/>
        <w:autoSpaceDE w:val="0"/>
        <w:autoSpaceDN w:val="0"/>
        <w:adjustRightInd w:val="0"/>
        <w:spacing w:before="240"/>
        <w:ind w:left="480" w:hanging="480"/>
        <w:rPr>
          <w:rFonts w:cs="Times New Roman"/>
          <w:noProof/>
          <w:sz w:val="20"/>
          <w:szCs w:val="24"/>
        </w:rPr>
      </w:pPr>
      <w:r w:rsidRPr="00C55E74">
        <w:rPr>
          <w:rFonts w:cs="Times New Roman"/>
          <w:noProof/>
          <w:sz w:val="20"/>
          <w:szCs w:val="24"/>
        </w:rPr>
        <w:t xml:space="preserve">Kim, Y. S., Song, M. Y., Jurng, J., and Kim, B. C. (2013). Isolation and characterization of DNA aptamers against </w:t>
      </w:r>
      <w:r w:rsidRPr="00C51038">
        <w:rPr>
          <w:rFonts w:cs="Times New Roman"/>
          <w:i/>
          <w:iCs/>
          <w:noProof/>
          <w:sz w:val="20"/>
          <w:szCs w:val="24"/>
        </w:rPr>
        <w:t>Escherichia coli</w:t>
      </w:r>
      <w:r w:rsidRPr="00C55E74">
        <w:rPr>
          <w:rFonts w:cs="Times New Roman"/>
          <w:noProof/>
          <w:sz w:val="20"/>
          <w:szCs w:val="24"/>
        </w:rPr>
        <w:t xml:space="preserve"> using a bacterial cell-systematic evolution of ligands by exponential enrichment approach. </w:t>
      </w:r>
      <w:r w:rsidRPr="00C55E74">
        <w:rPr>
          <w:rFonts w:cs="Times New Roman"/>
          <w:i/>
          <w:iCs/>
          <w:noProof/>
          <w:sz w:val="20"/>
          <w:szCs w:val="24"/>
        </w:rPr>
        <w:t>Anal. Biochem.</w:t>
      </w:r>
      <w:r w:rsidRPr="00C55E74">
        <w:rPr>
          <w:rFonts w:cs="Times New Roman"/>
          <w:noProof/>
          <w:sz w:val="20"/>
          <w:szCs w:val="24"/>
        </w:rPr>
        <w:t xml:space="preserve"> 436, 22–28. doi:10.1016/J.AB.2013.01.014.</w:t>
      </w:r>
    </w:p>
    <w:p w14:paraId="26971B22" w14:textId="19B0F6A4" w:rsidR="00754866" w:rsidRPr="002F7E47" w:rsidRDefault="00754866" w:rsidP="00754866">
      <w:pPr>
        <w:widowControl w:val="0"/>
        <w:autoSpaceDE w:val="0"/>
        <w:autoSpaceDN w:val="0"/>
        <w:adjustRightInd w:val="0"/>
        <w:spacing w:before="240"/>
        <w:ind w:left="480" w:hanging="480"/>
        <w:rPr>
          <w:rFonts w:cs="Times New Roman"/>
          <w:noProof/>
          <w:sz w:val="20"/>
          <w:szCs w:val="24"/>
        </w:rPr>
      </w:pPr>
      <w:r w:rsidRPr="009D666B">
        <w:rPr>
          <w:rFonts w:cs="Times New Roman"/>
          <w:noProof/>
          <w:sz w:val="20"/>
          <w:szCs w:val="24"/>
          <w:highlight w:val="yellow"/>
        </w:rPr>
        <w:t xml:space="preserve">Kumar, H., Chen, B., Kuca, K., Nepovimova, E., Kaushal, A., Nagraik, R., et al. (2020). Understanding of Colistin Usage in Food Animals and Available Detection Techniques : A Review. </w:t>
      </w:r>
      <w:r w:rsidRPr="009D666B">
        <w:rPr>
          <w:rFonts w:cs="Times New Roman"/>
          <w:i/>
          <w:iCs/>
          <w:noProof/>
          <w:sz w:val="20"/>
          <w:szCs w:val="24"/>
          <w:highlight w:val="yellow"/>
        </w:rPr>
        <w:t>Animals</w:t>
      </w:r>
      <w:r w:rsidRPr="009D666B">
        <w:rPr>
          <w:rFonts w:cs="Times New Roman"/>
          <w:noProof/>
          <w:sz w:val="20"/>
          <w:szCs w:val="24"/>
          <w:highlight w:val="yellow"/>
        </w:rPr>
        <w:t xml:space="preserve"> 10, 1892, 1–19. </w:t>
      </w:r>
      <w:r>
        <w:rPr>
          <w:rFonts w:cs="Times New Roman"/>
          <w:noProof/>
          <w:sz w:val="20"/>
          <w:szCs w:val="24"/>
          <w:highlight w:val="yellow"/>
        </w:rPr>
        <w:t>d</w:t>
      </w:r>
      <w:r w:rsidRPr="009D666B">
        <w:rPr>
          <w:rFonts w:cs="Times New Roman"/>
          <w:noProof/>
          <w:sz w:val="20"/>
          <w:szCs w:val="24"/>
          <w:highlight w:val="yellow"/>
        </w:rPr>
        <w:t>oi:10.3390/ani10101892.</w:t>
      </w:r>
    </w:p>
    <w:p w14:paraId="25894732" w14:textId="77777777" w:rsidR="00754866" w:rsidRPr="00C55E74" w:rsidRDefault="00754866" w:rsidP="00754866">
      <w:pPr>
        <w:widowControl w:val="0"/>
        <w:autoSpaceDE w:val="0"/>
        <w:autoSpaceDN w:val="0"/>
        <w:adjustRightInd w:val="0"/>
        <w:spacing w:before="240"/>
        <w:ind w:left="480" w:hanging="480"/>
        <w:rPr>
          <w:rFonts w:cs="Times New Roman"/>
          <w:noProof/>
          <w:sz w:val="20"/>
          <w:szCs w:val="24"/>
        </w:rPr>
      </w:pPr>
      <w:r w:rsidRPr="00C55E74">
        <w:rPr>
          <w:rFonts w:cs="Times New Roman"/>
          <w:noProof/>
          <w:sz w:val="20"/>
          <w:szCs w:val="24"/>
        </w:rPr>
        <w:t>Li, H., Ding, X., Peng, Z., Deng, L., Wang, D., Chen, H., et al. (2011). Aptamer selection for the detection of</w:t>
      </w:r>
      <w:r>
        <w:rPr>
          <w:rFonts w:cs="Times New Roman"/>
          <w:noProof/>
          <w:sz w:val="20"/>
          <w:szCs w:val="24"/>
        </w:rPr>
        <w:t xml:space="preserve"> </w:t>
      </w:r>
      <w:r w:rsidRPr="00C51038">
        <w:rPr>
          <w:rFonts w:cs="Times New Roman"/>
          <w:i/>
          <w:iCs/>
          <w:noProof/>
          <w:sz w:val="20"/>
          <w:szCs w:val="24"/>
        </w:rPr>
        <w:t xml:space="preserve">Escherichia coli </w:t>
      </w:r>
      <w:r w:rsidRPr="00C55E74">
        <w:rPr>
          <w:rFonts w:cs="Times New Roman"/>
          <w:noProof/>
          <w:sz w:val="20"/>
          <w:szCs w:val="24"/>
        </w:rPr>
        <w:t xml:space="preserve">k88. </w:t>
      </w:r>
      <w:r w:rsidRPr="00C55E74">
        <w:rPr>
          <w:rFonts w:cs="Times New Roman"/>
          <w:i/>
          <w:iCs/>
          <w:noProof/>
          <w:sz w:val="20"/>
          <w:szCs w:val="24"/>
        </w:rPr>
        <w:t>Can. J. Microbiol.</w:t>
      </w:r>
      <w:r w:rsidRPr="00C55E74">
        <w:rPr>
          <w:rFonts w:cs="Times New Roman"/>
          <w:noProof/>
          <w:sz w:val="20"/>
          <w:szCs w:val="24"/>
        </w:rPr>
        <w:t xml:space="preserve"> 57, 453–459. doi:10.1139/w11-030.</w:t>
      </w:r>
    </w:p>
    <w:p w14:paraId="1E7D0BB4" w14:textId="77777777" w:rsidR="00754866" w:rsidRPr="00C55E74" w:rsidRDefault="00754866" w:rsidP="00754866">
      <w:pPr>
        <w:widowControl w:val="0"/>
        <w:autoSpaceDE w:val="0"/>
        <w:autoSpaceDN w:val="0"/>
        <w:adjustRightInd w:val="0"/>
        <w:spacing w:before="240"/>
        <w:ind w:left="480" w:hanging="480"/>
        <w:rPr>
          <w:rFonts w:cs="Times New Roman"/>
          <w:noProof/>
          <w:sz w:val="20"/>
          <w:szCs w:val="24"/>
        </w:rPr>
      </w:pPr>
      <w:r w:rsidRPr="00C55E74">
        <w:rPr>
          <w:rFonts w:cs="Times New Roman"/>
          <w:noProof/>
          <w:sz w:val="20"/>
          <w:szCs w:val="24"/>
        </w:rPr>
        <w:t xml:space="preserve">Marton, S., Cleto, F., Krieger, M. A., and Cardoso, J. (2016). Isolation of an aptamer that binds specifically to </w:t>
      </w:r>
      <w:r w:rsidRPr="00C51038">
        <w:rPr>
          <w:rFonts w:cs="Times New Roman"/>
          <w:i/>
          <w:iCs/>
          <w:noProof/>
          <w:sz w:val="20"/>
          <w:szCs w:val="24"/>
        </w:rPr>
        <w:t xml:space="preserve">E. coli. </w:t>
      </w:r>
      <w:r w:rsidRPr="00C55E74">
        <w:rPr>
          <w:rFonts w:cs="Times New Roman"/>
          <w:i/>
          <w:iCs/>
          <w:noProof/>
          <w:sz w:val="20"/>
          <w:szCs w:val="24"/>
        </w:rPr>
        <w:t>PLoS One</w:t>
      </w:r>
      <w:r w:rsidRPr="00C55E74">
        <w:rPr>
          <w:rFonts w:cs="Times New Roman"/>
          <w:noProof/>
          <w:sz w:val="20"/>
          <w:szCs w:val="24"/>
        </w:rPr>
        <w:t xml:space="preserve"> 11. doi:10.1371/journal.pone.0153637.</w:t>
      </w:r>
    </w:p>
    <w:p w14:paraId="3E36B742" w14:textId="77777777" w:rsidR="00754866" w:rsidRDefault="00754866" w:rsidP="00754866">
      <w:pPr>
        <w:widowControl w:val="0"/>
        <w:autoSpaceDE w:val="0"/>
        <w:autoSpaceDN w:val="0"/>
        <w:adjustRightInd w:val="0"/>
        <w:spacing w:before="240"/>
        <w:ind w:left="480" w:hanging="480"/>
        <w:rPr>
          <w:rFonts w:cs="Times New Roman"/>
          <w:noProof/>
          <w:sz w:val="20"/>
          <w:szCs w:val="24"/>
        </w:rPr>
      </w:pPr>
      <w:r w:rsidRPr="00C55E74">
        <w:rPr>
          <w:rFonts w:cs="Times New Roman"/>
          <w:noProof/>
          <w:sz w:val="20"/>
          <w:szCs w:val="24"/>
        </w:rPr>
        <w:t xml:space="preserve">Meng, J., Bai, H., Jia, M., Ma, X., Hou, Z., Xue, X., et al. (2012). Restoration of antibiotic susceptibility in fluoroquinolone-resistant </w:t>
      </w:r>
      <w:r w:rsidRPr="00C51038">
        <w:rPr>
          <w:rFonts w:cs="Times New Roman"/>
          <w:i/>
          <w:iCs/>
          <w:noProof/>
          <w:sz w:val="20"/>
          <w:szCs w:val="24"/>
        </w:rPr>
        <w:t xml:space="preserve">Escherichia coli </w:t>
      </w:r>
      <w:r w:rsidRPr="00C55E74">
        <w:rPr>
          <w:rFonts w:cs="Times New Roman"/>
          <w:noProof/>
          <w:sz w:val="20"/>
          <w:szCs w:val="24"/>
        </w:rPr>
        <w:t xml:space="preserve">by targeting </w:t>
      </w:r>
      <w:r w:rsidRPr="00C51038">
        <w:rPr>
          <w:rFonts w:cs="Times New Roman"/>
          <w:i/>
          <w:iCs/>
          <w:noProof/>
          <w:sz w:val="20"/>
          <w:szCs w:val="24"/>
        </w:rPr>
        <w:t xml:space="preserve">acrB </w:t>
      </w:r>
      <w:r w:rsidRPr="00C55E74">
        <w:rPr>
          <w:rFonts w:cs="Times New Roman"/>
          <w:noProof/>
          <w:sz w:val="20"/>
          <w:szCs w:val="24"/>
        </w:rPr>
        <w:t xml:space="preserve">with antisense phosphorothioate oligonucleotide encapsulated in novel anion liposome. </w:t>
      </w:r>
      <w:r w:rsidRPr="00C55E74">
        <w:rPr>
          <w:rFonts w:cs="Times New Roman"/>
          <w:i/>
          <w:iCs/>
          <w:noProof/>
          <w:sz w:val="20"/>
          <w:szCs w:val="24"/>
        </w:rPr>
        <w:t>J. Antibiot.</w:t>
      </w:r>
      <w:r w:rsidRPr="00C55E74">
        <w:rPr>
          <w:rFonts w:cs="Times New Roman"/>
          <w:noProof/>
          <w:sz w:val="20"/>
          <w:szCs w:val="24"/>
        </w:rPr>
        <w:t xml:space="preserve"> 65, 129–134. doi:10.1038/ja.2011.125.</w:t>
      </w:r>
    </w:p>
    <w:p w14:paraId="542121A9" w14:textId="77777777" w:rsidR="00754866" w:rsidRPr="00C55E74" w:rsidRDefault="00754866" w:rsidP="00754866">
      <w:pPr>
        <w:widowControl w:val="0"/>
        <w:autoSpaceDE w:val="0"/>
        <w:autoSpaceDN w:val="0"/>
        <w:adjustRightInd w:val="0"/>
        <w:spacing w:before="240"/>
        <w:ind w:left="480" w:hanging="480"/>
        <w:rPr>
          <w:rFonts w:cs="Times New Roman"/>
          <w:noProof/>
          <w:sz w:val="20"/>
          <w:szCs w:val="24"/>
        </w:rPr>
      </w:pPr>
      <w:r w:rsidRPr="00C55E74">
        <w:rPr>
          <w:rFonts w:cs="Times New Roman"/>
          <w:noProof/>
          <w:sz w:val="20"/>
          <w:szCs w:val="24"/>
        </w:rPr>
        <w:t xml:space="preserve">Nikravesh, A., Dryselius, R., Faridani, O. R., Goh, S., Sadeghizadeh, M., Behmanesh, M., et al. (2007). Antisense PNA accumulates in </w:t>
      </w:r>
      <w:r w:rsidRPr="00C51038">
        <w:rPr>
          <w:rFonts w:cs="Times New Roman"/>
          <w:i/>
          <w:iCs/>
          <w:noProof/>
          <w:sz w:val="20"/>
          <w:szCs w:val="24"/>
        </w:rPr>
        <w:t>Escherichia coli</w:t>
      </w:r>
      <w:r w:rsidRPr="00C55E74">
        <w:rPr>
          <w:rFonts w:cs="Times New Roman"/>
          <w:noProof/>
          <w:sz w:val="20"/>
          <w:szCs w:val="24"/>
        </w:rPr>
        <w:t xml:space="preserve"> and mediates a long post-antibiotic effect. </w:t>
      </w:r>
      <w:r w:rsidRPr="00C55E74">
        <w:rPr>
          <w:rFonts w:cs="Times New Roman"/>
          <w:i/>
          <w:iCs/>
          <w:noProof/>
          <w:sz w:val="20"/>
          <w:szCs w:val="24"/>
        </w:rPr>
        <w:t>Mol. Ther.</w:t>
      </w:r>
      <w:r w:rsidRPr="00C55E74">
        <w:rPr>
          <w:rFonts w:cs="Times New Roman"/>
          <w:noProof/>
          <w:sz w:val="20"/>
          <w:szCs w:val="24"/>
        </w:rPr>
        <w:t xml:space="preserve"> 15, 1537–1542. doi:10.1038/sj.mt.6300209.</w:t>
      </w:r>
    </w:p>
    <w:p w14:paraId="16154390" w14:textId="77777777" w:rsidR="00754866" w:rsidRPr="00C55E74" w:rsidRDefault="00754866" w:rsidP="00754866">
      <w:pPr>
        <w:widowControl w:val="0"/>
        <w:autoSpaceDE w:val="0"/>
        <w:autoSpaceDN w:val="0"/>
        <w:adjustRightInd w:val="0"/>
        <w:spacing w:before="240"/>
        <w:ind w:left="480" w:hanging="480"/>
        <w:rPr>
          <w:rFonts w:cs="Times New Roman"/>
          <w:noProof/>
          <w:sz w:val="20"/>
          <w:szCs w:val="24"/>
        </w:rPr>
      </w:pPr>
      <w:r w:rsidRPr="00C55E74">
        <w:rPr>
          <w:rFonts w:cs="Times New Roman"/>
          <w:noProof/>
          <w:sz w:val="20"/>
          <w:szCs w:val="24"/>
        </w:rPr>
        <w:t xml:space="preserve">Peng, Z., Ling, M., Ning, Y., and Deng, L. (2014). Rapid fluorescent detection of </w:t>
      </w:r>
      <w:r w:rsidRPr="00C51038">
        <w:rPr>
          <w:rFonts w:cs="Times New Roman"/>
          <w:i/>
          <w:iCs/>
          <w:noProof/>
          <w:sz w:val="20"/>
          <w:szCs w:val="24"/>
        </w:rPr>
        <w:t>Escherichia coli</w:t>
      </w:r>
      <w:r w:rsidRPr="00C55E74">
        <w:rPr>
          <w:rFonts w:cs="Times New Roman"/>
          <w:noProof/>
          <w:sz w:val="20"/>
          <w:szCs w:val="24"/>
        </w:rPr>
        <w:t xml:space="preserve"> K88 based on DNA aptamer library as direct and specific reporter combined with immuno-magnetic separation. </w:t>
      </w:r>
      <w:r w:rsidRPr="00C55E74">
        <w:rPr>
          <w:rFonts w:cs="Times New Roman"/>
          <w:i/>
          <w:iCs/>
          <w:noProof/>
          <w:sz w:val="20"/>
          <w:szCs w:val="24"/>
        </w:rPr>
        <w:t>J. Fluoresc.</w:t>
      </w:r>
      <w:r w:rsidRPr="00C55E74">
        <w:rPr>
          <w:rFonts w:cs="Times New Roman"/>
          <w:noProof/>
          <w:sz w:val="20"/>
          <w:szCs w:val="24"/>
        </w:rPr>
        <w:t xml:space="preserve"> 24, 1159–1168. doi:10.1007/S10895-014-1396-X.</w:t>
      </w:r>
    </w:p>
    <w:p w14:paraId="48CDA5C2" w14:textId="77777777" w:rsidR="00754866" w:rsidRPr="00C55E74" w:rsidRDefault="00754866" w:rsidP="00754866">
      <w:pPr>
        <w:widowControl w:val="0"/>
        <w:autoSpaceDE w:val="0"/>
        <w:autoSpaceDN w:val="0"/>
        <w:adjustRightInd w:val="0"/>
        <w:spacing w:before="240"/>
        <w:ind w:left="480" w:hanging="480"/>
        <w:rPr>
          <w:rFonts w:cs="Times New Roman"/>
          <w:noProof/>
          <w:sz w:val="20"/>
          <w:szCs w:val="24"/>
        </w:rPr>
      </w:pPr>
      <w:r w:rsidRPr="00C55E74">
        <w:rPr>
          <w:rFonts w:cs="Times New Roman"/>
          <w:noProof/>
          <w:sz w:val="20"/>
          <w:szCs w:val="24"/>
        </w:rPr>
        <w:t xml:space="preserve">Rao, S. S., Savithri, H. S., and Raghunathan, M. (2008). Down regulation of gyrase A gene expression in </w:t>
      </w:r>
      <w:r w:rsidRPr="002F2400">
        <w:rPr>
          <w:rFonts w:cs="Times New Roman"/>
          <w:i/>
          <w:iCs/>
          <w:noProof/>
          <w:sz w:val="20"/>
          <w:szCs w:val="24"/>
        </w:rPr>
        <w:t xml:space="preserve">E. coli </w:t>
      </w:r>
      <w:r w:rsidRPr="00C55E74">
        <w:rPr>
          <w:rFonts w:cs="Times New Roman"/>
          <w:noProof/>
          <w:sz w:val="20"/>
          <w:szCs w:val="24"/>
        </w:rPr>
        <w:t xml:space="preserve">by antisense ribozymes using RT-PCR. </w:t>
      </w:r>
      <w:r w:rsidRPr="00C55E74">
        <w:rPr>
          <w:rFonts w:cs="Times New Roman"/>
          <w:i/>
          <w:iCs/>
          <w:noProof/>
          <w:sz w:val="20"/>
          <w:szCs w:val="24"/>
        </w:rPr>
        <w:t>Mol. Biol. Rep.</w:t>
      </w:r>
      <w:r w:rsidRPr="00C55E74">
        <w:rPr>
          <w:rFonts w:cs="Times New Roman"/>
          <w:noProof/>
          <w:sz w:val="20"/>
          <w:szCs w:val="24"/>
        </w:rPr>
        <w:t xml:space="preserve"> 35, 575–578. doi:10.1007/s11033-007-9126-y.</w:t>
      </w:r>
    </w:p>
    <w:p w14:paraId="145CD108" w14:textId="77777777" w:rsidR="00754866" w:rsidRPr="00C55E74" w:rsidRDefault="00754866" w:rsidP="00754866">
      <w:pPr>
        <w:widowControl w:val="0"/>
        <w:autoSpaceDE w:val="0"/>
        <w:autoSpaceDN w:val="0"/>
        <w:adjustRightInd w:val="0"/>
        <w:spacing w:before="240"/>
        <w:ind w:left="480" w:hanging="480"/>
        <w:rPr>
          <w:rFonts w:cs="Times New Roman"/>
          <w:noProof/>
          <w:sz w:val="20"/>
          <w:szCs w:val="24"/>
        </w:rPr>
      </w:pPr>
      <w:r w:rsidRPr="00C55E74">
        <w:rPr>
          <w:rFonts w:cs="Times New Roman"/>
          <w:noProof/>
          <w:sz w:val="20"/>
          <w:szCs w:val="24"/>
        </w:rPr>
        <w:t xml:space="preserve">Równicki, M., Pieńko, T., Czarnecki, J., Kolanowska, M., Bartosik, D., and Trylska, J. (2018). Artificial activation of </w:t>
      </w:r>
      <w:r w:rsidRPr="00C51038">
        <w:rPr>
          <w:rFonts w:cs="Times New Roman"/>
          <w:i/>
          <w:iCs/>
          <w:noProof/>
          <w:sz w:val="20"/>
          <w:szCs w:val="24"/>
        </w:rPr>
        <w:t>Escherichia coli</w:t>
      </w:r>
      <w:r w:rsidRPr="00C55E74">
        <w:rPr>
          <w:rFonts w:cs="Times New Roman"/>
          <w:noProof/>
          <w:sz w:val="20"/>
          <w:szCs w:val="24"/>
        </w:rPr>
        <w:t xml:space="preserve"> </w:t>
      </w:r>
      <w:r w:rsidRPr="00C51038">
        <w:rPr>
          <w:rFonts w:cs="Times New Roman"/>
          <w:i/>
          <w:iCs/>
          <w:noProof/>
          <w:sz w:val="20"/>
          <w:szCs w:val="24"/>
        </w:rPr>
        <w:t xml:space="preserve">mazEF </w:t>
      </w:r>
      <w:r w:rsidRPr="00C55E74">
        <w:rPr>
          <w:rFonts w:cs="Times New Roman"/>
          <w:noProof/>
          <w:sz w:val="20"/>
          <w:szCs w:val="24"/>
        </w:rPr>
        <w:t xml:space="preserve">and </w:t>
      </w:r>
      <w:r w:rsidRPr="00C51038">
        <w:rPr>
          <w:rFonts w:cs="Times New Roman"/>
          <w:i/>
          <w:iCs/>
          <w:noProof/>
          <w:sz w:val="20"/>
          <w:szCs w:val="24"/>
        </w:rPr>
        <w:t>hipBA</w:t>
      </w:r>
      <w:r w:rsidRPr="00C55E74">
        <w:rPr>
          <w:rFonts w:cs="Times New Roman"/>
          <w:noProof/>
          <w:sz w:val="20"/>
          <w:szCs w:val="24"/>
        </w:rPr>
        <w:t xml:space="preserve"> toxin–antitoxin systems by antisense peptide nucleic acids as an antibacterial strategy. </w:t>
      </w:r>
      <w:r w:rsidRPr="00C55E74">
        <w:rPr>
          <w:rFonts w:cs="Times New Roman"/>
          <w:i/>
          <w:iCs/>
          <w:noProof/>
          <w:sz w:val="20"/>
          <w:szCs w:val="24"/>
        </w:rPr>
        <w:t>Front. Microbiol.</w:t>
      </w:r>
      <w:r w:rsidRPr="00C55E74">
        <w:rPr>
          <w:rFonts w:cs="Times New Roman"/>
          <w:noProof/>
          <w:sz w:val="20"/>
          <w:szCs w:val="24"/>
        </w:rPr>
        <w:t xml:space="preserve"> 9, 1–12. doi:10.3389/fmicb.2018.02870.</w:t>
      </w:r>
    </w:p>
    <w:p w14:paraId="47CBD34F" w14:textId="77777777" w:rsidR="00754866" w:rsidRPr="00C55E74" w:rsidRDefault="00754866" w:rsidP="00754866">
      <w:pPr>
        <w:widowControl w:val="0"/>
        <w:autoSpaceDE w:val="0"/>
        <w:autoSpaceDN w:val="0"/>
        <w:adjustRightInd w:val="0"/>
        <w:spacing w:before="240"/>
        <w:ind w:left="480" w:hanging="480"/>
        <w:rPr>
          <w:rFonts w:cs="Times New Roman"/>
          <w:noProof/>
          <w:sz w:val="20"/>
          <w:szCs w:val="24"/>
        </w:rPr>
      </w:pPr>
      <w:r w:rsidRPr="00C55E74">
        <w:rPr>
          <w:rFonts w:cs="Times New Roman"/>
          <w:noProof/>
          <w:sz w:val="20"/>
          <w:szCs w:val="24"/>
        </w:rPr>
        <w:t xml:space="preserve">Siddiqui, S., and Yuan, J. (2021). Binding Characteristics Study of DNA based Aptamers for </w:t>
      </w:r>
      <w:r w:rsidRPr="00C51038">
        <w:rPr>
          <w:rFonts w:cs="Times New Roman"/>
          <w:i/>
          <w:iCs/>
          <w:noProof/>
          <w:sz w:val="20"/>
          <w:szCs w:val="24"/>
        </w:rPr>
        <w:t xml:space="preserve">E. coli </w:t>
      </w:r>
      <w:r w:rsidRPr="00C55E74">
        <w:rPr>
          <w:rFonts w:cs="Times New Roman"/>
          <w:noProof/>
          <w:sz w:val="20"/>
          <w:szCs w:val="24"/>
        </w:rPr>
        <w:t xml:space="preserve">O157:H7. </w:t>
      </w:r>
      <w:r w:rsidRPr="00C55E74">
        <w:rPr>
          <w:rFonts w:cs="Times New Roman"/>
          <w:i/>
          <w:iCs/>
          <w:noProof/>
          <w:sz w:val="20"/>
          <w:szCs w:val="24"/>
        </w:rPr>
        <w:t>Molecules</w:t>
      </w:r>
      <w:r w:rsidRPr="00C55E74">
        <w:rPr>
          <w:rFonts w:cs="Times New Roman"/>
          <w:noProof/>
          <w:sz w:val="20"/>
          <w:szCs w:val="24"/>
        </w:rPr>
        <w:t xml:space="preserve"> 26. doi:10.3390/MOLECULES26010204.</w:t>
      </w:r>
    </w:p>
    <w:p w14:paraId="71764866" w14:textId="77777777" w:rsidR="00754866" w:rsidRPr="00C55E74" w:rsidRDefault="00754866" w:rsidP="00754866">
      <w:pPr>
        <w:widowControl w:val="0"/>
        <w:autoSpaceDE w:val="0"/>
        <w:autoSpaceDN w:val="0"/>
        <w:adjustRightInd w:val="0"/>
        <w:spacing w:before="240"/>
        <w:ind w:left="480" w:hanging="480"/>
        <w:rPr>
          <w:rFonts w:cs="Times New Roman"/>
          <w:noProof/>
          <w:sz w:val="20"/>
          <w:szCs w:val="24"/>
        </w:rPr>
      </w:pPr>
      <w:r w:rsidRPr="00C55E74">
        <w:rPr>
          <w:rFonts w:cs="Times New Roman"/>
          <w:noProof/>
          <w:sz w:val="20"/>
          <w:szCs w:val="24"/>
        </w:rPr>
        <w:lastRenderedPageBreak/>
        <w:t xml:space="preserve">Tan, X. X., Actor, J. K., and Chen, Y. (2005). Peptide nucleic acid antisense oligomer as a therapeutic strategy against bacterial infection: Proof of principle using mouse intraperitoneal infection. </w:t>
      </w:r>
      <w:r w:rsidRPr="00C55E74">
        <w:rPr>
          <w:rFonts w:cs="Times New Roman"/>
          <w:i/>
          <w:iCs/>
          <w:noProof/>
          <w:sz w:val="20"/>
          <w:szCs w:val="24"/>
        </w:rPr>
        <w:t>Antimicrob. Agents Chemother.</w:t>
      </w:r>
      <w:r w:rsidRPr="00C55E74">
        <w:rPr>
          <w:rFonts w:cs="Times New Roman"/>
          <w:noProof/>
          <w:sz w:val="20"/>
          <w:szCs w:val="24"/>
        </w:rPr>
        <w:t xml:space="preserve"> 49, 3203–3207. doi:10.1128/AAC.49.8.3203-3207.2005.</w:t>
      </w:r>
    </w:p>
    <w:p w14:paraId="61C474ED" w14:textId="77777777" w:rsidR="00754866" w:rsidRPr="00C55E74" w:rsidRDefault="00754866" w:rsidP="00754866">
      <w:pPr>
        <w:widowControl w:val="0"/>
        <w:autoSpaceDE w:val="0"/>
        <w:autoSpaceDN w:val="0"/>
        <w:adjustRightInd w:val="0"/>
        <w:spacing w:before="240"/>
        <w:ind w:left="480" w:hanging="480"/>
        <w:rPr>
          <w:rFonts w:cs="Times New Roman"/>
          <w:noProof/>
          <w:sz w:val="20"/>
          <w:szCs w:val="24"/>
        </w:rPr>
      </w:pPr>
      <w:r w:rsidRPr="00C55E74">
        <w:rPr>
          <w:rFonts w:cs="Times New Roman"/>
          <w:noProof/>
          <w:sz w:val="20"/>
          <w:szCs w:val="24"/>
        </w:rPr>
        <w:t>Traykovska, M., and Penchovsky, R. (2022).  Engineering Antisense Oligonucleotides as Antibacterial Agents That Target FMN Riboswitches and Inhibit the Growth of S</w:t>
      </w:r>
      <w:r w:rsidRPr="00C51038">
        <w:rPr>
          <w:rFonts w:cs="Times New Roman"/>
          <w:i/>
          <w:iCs/>
          <w:noProof/>
          <w:sz w:val="20"/>
          <w:szCs w:val="24"/>
        </w:rPr>
        <w:t>taphylococcus aureus, Listeria monocytogenes</w:t>
      </w:r>
      <w:r w:rsidRPr="00C55E74">
        <w:rPr>
          <w:rFonts w:cs="Times New Roman"/>
          <w:noProof/>
          <w:sz w:val="20"/>
          <w:szCs w:val="24"/>
        </w:rPr>
        <w:t xml:space="preserve">, and </w:t>
      </w:r>
      <w:r w:rsidRPr="00C51038">
        <w:rPr>
          <w:rFonts w:cs="Times New Roman"/>
          <w:i/>
          <w:iCs/>
          <w:noProof/>
          <w:sz w:val="20"/>
          <w:szCs w:val="24"/>
        </w:rPr>
        <w:t>Escherichia coli</w:t>
      </w:r>
      <w:r w:rsidRPr="00C55E74">
        <w:rPr>
          <w:rFonts w:cs="Times New Roman"/>
          <w:noProof/>
          <w:sz w:val="20"/>
          <w:szCs w:val="24"/>
        </w:rPr>
        <w:t xml:space="preserve">. </w:t>
      </w:r>
      <w:r w:rsidRPr="00C55E74">
        <w:rPr>
          <w:rFonts w:cs="Times New Roman"/>
          <w:i/>
          <w:iCs/>
          <w:noProof/>
          <w:sz w:val="20"/>
          <w:szCs w:val="24"/>
        </w:rPr>
        <w:t>ACS Synth. Biol.</w:t>
      </w:r>
      <w:r w:rsidRPr="00C55E74">
        <w:rPr>
          <w:rFonts w:cs="Times New Roman"/>
          <w:noProof/>
          <w:sz w:val="20"/>
          <w:szCs w:val="24"/>
        </w:rPr>
        <w:t xml:space="preserve"> doi:10.1021/acssynbio.2c00013.</w:t>
      </w:r>
    </w:p>
    <w:p w14:paraId="48C69C50" w14:textId="77777777" w:rsidR="00754866" w:rsidRPr="00C55E74" w:rsidRDefault="00754866" w:rsidP="00754866">
      <w:pPr>
        <w:widowControl w:val="0"/>
        <w:autoSpaceDE w:val="0"/>
        <w:autoSpaceDN w:val="0"/>
        <w:adjustRightInd w:val="0"/>
        <w:spacing w:before="240"/>
        <w:ind w:left="480" w:hanging="480"/>
        <w:rPr>
          <w:rFonts w:cs="Times New Roman"/>
          <w:noProof/>
          <w:sz w:val="20"/>
          <w:szCs w:val="24"/>
        </w:rPr>
      </w:pPr>
      <w:r w:rsidRPr="00C55E74">
        <w:rPr>
          <w:rFonts w:cs="Times New Roman"/>
          <w:noProof/>
          <w:sz w:val="20"/>
          <w:szCs w:val="24"/>
        </w:rPr>
        <w:t xml:space="preserve">Wang, X., Wang, Y., Ling, Z., Zhang, C., Fu, M., Wang, Y., et al. (2020). Peptide nucleic acid restores colistin susceptibility through modulation of MCR-1 expression in </w:t>
      </w:r>
      <w:r w:rsidRPr="002F2400">
        <w:rPr>
          <w:rFonts w:cs="Times New Roman"/>
          <w:i/>
          <w:iCs/>
          <w:noProof/>
          <w:sz w:val="20"/>
          <w:szCs w:val="24"/>
        </w:rPr>
        <w:t>Escherichia coli.</w:t>
      </w:r>
      <w:r w:rsidRPr="00C55E74">
        <w:rPr>
          <w:rFonts w:cs="Times New Roman"/>
          <w:noProof/>
          <w:sz w:val="20"/>
          <w:szCs w:val="24"/>
        </w:rPr>
        <w:t xml:space="preserve"> </w:t>
      </w:r>
      <w:r w:rsidRPr="00C55E74">
        <w:rPr>
          <w:rFonts w:cs="Times New Roman"/>
          <w:i/>
          <w:iCs/>
          <w:noProof/>
          <w:sz w:val="20"/>
          <w:szCs w:val="24"/>
        </w:rPr>
        <w:t>J. Antimicrob. Chemother.</w:t>
      </w:r>
      <w:r w:rsidRPr="00C55E74">
        <w:rPr>
          <w:rFonts w:cs="Times New Roman"/>
          <w:noProof/>
          <w:sz w:val="20"/>
          <w:szCs w:val="24"/>
        </w:rPr>
        <w:t xml:space="preserve"> 75, 2059–2065. doi:10.1093/jac/dkaa140.</w:t>
      </w:r>
    </w:p>
    <w:p w14:paraId="06677857" w14:textId="77777777" w:rsidR="00754866" w:rsidRPr="00C55E74" w:rsidRDefault="00754866" w:rsidP="00754866">
      <w:pPr>
        <w:widowControl w:val="0"/>
        <w:autoSpaceDE w:val="0"/>
        <w:autoSpaceDN w:val="0"/>
        <w:adjustRightInd w:val="0"/>
        <w:spacing w:before="240"/>
        <w:ind w:left="480" w:hanging="480"/>
        <w:rPr>
          <w:rFonts w:cs="Times New Roman"/>
          <w:noProof/>
          <w:sz w:val="20"/>
        </w:rPr>
      </w:pPr>
      <w:r w:rsidRPr="00C55E74">
        <w:rPr>
          <w:rFonts w:cs="Times New Roman"/>
          <w:noProof/>
          <w:sz w:val="20"/>
          <w:szCs w:val="24"/>
        </w:rPr>
        <w:t xml:space="preserve">White, D. G., Maneewannakul, K., Von Hofe, E., Zillman, M., Eisenberg, W., Field, A. K., et al. (1997). Inhibition of the multiple antibiotic resistance (mar) operon in </w:t>
      </w:r>
      <w:r w:rsidRPr="002F2400">
        <w:rPr>
          <w:rFonts w:cs="Times New Roman"/>
          <w:i/>
          <w:iCs/>
          <w:noProof/>
          <w:sz w:val="20"/>
          <w:szCs w:val="24"/>
        </w:rPr>
        <w:t>Escherichia</w:t>
      </w:r>
      <w:r w:rsidRPr="00C55E74">
        <w:rPr>
          <w:rFonts w:cs="Times New Roman"/>
          <w:noProof/>
          <w:sz w:val="20"/>
          <w:szCs w:val="24"/>
        </w:rPr>
        <w:t xml:space="preserve"> </w:t>
      </w:r>
      <w:r w:rsidRPr="002F2400">
        <w:rPr>
          <w:rFonts w:cs="Times New Roman"/>
          <w:i/>
          <w:iCs/>
          <w:noProof/>
          <w:sz w:val="20"/>
          <w:szCs w:val="24"/>
        </w:rPr>
        <w:t xml:space="preserve">coli </w:t>
      </w:r>
      <w:r w:rsidRPr="00C55E74">
        <w:rPr>
          <w:rFonts w:cs="Times New Roman"/>
          <w:noProof/>
          <w:sz w:val="20"/>
          <w:szCs w:val="24"/>
        </w:rPr>
        <w:t xml:space="preserve">by antisense DNA analogs. </w:t>
      </w:r>
      <w:r w:rsidRPr="00C55E74">
        <w:rPr>
          <w:rFonts w:cs="Times New Roman"/>
          <w:i/>
          <w:iCs/>
          <w:noProof/>
          <w:sz w:val="20"/>
          <w:szCs w:val="24"/>
        </w:rPr>
        <w:t>Antimicrob. Agents Chemother.</w:t>
      </w:r>
      <w:r w:rsidRPr="00C55E74">
        <w:rPr>
          <w:rFonts w:cs="Times New Roman"/>
          <w:noProof/>
          <w:sz w:val="20"/>
          <w:szCs w:val="24"/>
        </w:rPr>
        <w:t xml:space="preserve"> 41, 2699–2704. doi:10.1128/aac.41.12.2699.</w:t>
      </w:r>
    </w:p>
    <w:p w14:paraId="66100123" w14:textId="4A805BD3" w:rsidR="00754866" w:rsidRDefault="00754866" w:rsidP="00754866">
      <w:pPr>
        <w:widowControl w:val="0"/>
        <w:autoSpaceDE w:val="0"/>
        <w:autoSpaceDN w:val="0"/>
        <w:adjustRightInd w:val="0"/>
        <w:spacing w:before="240"/>
        <w:ind w:left="480" w:hanging="480"/>
        <w:rPr>
          <w:sz w:val="20"/>
          <w:szCs w:val="20"/>
        </w:rPr>
      </w:pPr>
      <w:r w:rsidRPr="00590828">
        <w:rPr>
          <w:sz w:val="20"/>
          <w:szCs w:val="20"/>
        </w:rPr>
        <w:fldChar w:fldCharType="end"/>
      </w:r>
    </w:p>
    <w:p w14:paraId="557838E4" w14:textId="77777777" w:rsidR="00754866" w:rsidRDefault="00754866" w:rsidP="00754866">
      <w:pPr>
        <w:widowControl w:val="0"/>
        <w:autoSpaceDE w:val="0"/>
        <w:autoSpaceDN w:val="0"/>
        <w:adjustRightInd w:val="0"/>
        <w:spacing w:before="240"/>
        <w:ind w:left="480" w:hanging="480"/>
        <w:rPr>
          <w:sz w:val="20"/>
          <w:szCs w:val="20"/>
        </w:rPr>
      </w:pPr>
    </w:p>
    <w:p w14:paraId="63C8B6C2" w14:textId="0F0888E4" w:rsidR="00754866" w:rsidRPr="002F7E47" w:rsidRDefault="00590828" w:rsidP="00754866">
      <w:pPr>
        <w:widowControl w:val="0"/>
        <w:autoSpaceDE w:val="0"/>
        <w:autoSpaceDN w:val="0"/>
        <w:adjustRightInd w:val="0"/>
        <w:spacing w:before="240"/>
        <w:ind w:left="480" w:hanging="480"/>
        <w:rPr>
          <w:rFonts w:cs="Times New Roman"/>
          <w:noProof/>
          <w:sz w:val="20"/>
          <w:szCs w:val="24"/>
        </w:rPr>
      </w:pPr>
      <w:r w:rsidRPr="00590828">
        <w:rPr>
          <w:sz w:val="20"/>
          <w:szCs w:val="20"/>
        </w:rPr>
        <w:fldChar w:fldCharType="begin" w:fldLock="1"/>
      </w:r>
      <w:r w:rsidRPr="00590828">
        <w:rPr>
          <w:sz w:val="20"/>
          <w:szCs w:val="20"/>
        </w:rPr>
        <w:instrText xml:space="preserve">ADDIN Mendeley Bibliography CSL_BIBLIOGRAPHY </w:instrText>
      </w:r>
      <w:r w:rsidRPr="00590828">
        <w:rPr>
          <w:sz w:val="20"/>
          <w:szCs w:val="20"/>
        </w:rPr>
        <w:fldChar w:fldCharType="separate"/>
      </w:r>
    </w:p>
    <w:p w14:paraId="7F21212E" w14:textId="26047197" w:rsidR="00590828" w:rsidRDefault="00590828" w:rsidP="00590828">
      <w:pPr>
        <w:spacing w:before="240"/>
        <w:jc w:val="both"/>
      </w:pPr>
      <w:r w:rsidRPr="00590828">
        <w:rPr>
          <w:sz w:val="20"/>
          <w:szCs w:val="20"/>
        </w:rPr>
        <w:fldChar w:fldCharType="end"/>
      </w:r>
    </w:p>
    <w:p w14:paraId="4B5F5738" w14:textId="23A1DC42" w:rsidR="00590828" w:rsidRDefault="00590828" w:rsidP="00654E8F">
      <w:pPr>
        <w:spacing w:before="240"/>
      </w:pPr>
    </w:p>
    <w:p w14:paraId="138B8C72" w14:textId="6B97BB4B" w:rsidR="00590828" w:rsidRDefault="00590828" w:rsidP="00654E8F">
      <w:pPr>
        <w:spacing w:before="240"/>
      </w:pPr>
    </w:p>
    <w:p w14:paraId="36F909D5" w14:textId="0AFB0547" w:rsidR="00590828" w:rsidRDefault="00590828" w:rsidP="00654E8F">
      <w:pPr>
        <w:spacing w:before="240"/>
      </w:pPr>
    </w:p>
    <w:p w14:paraId="5B06208D" w14:textId="77777777" w:rsidR="00590828" w:rsidRPr="001549D3" w:rsidRDefault="00590828" w:rsidP="00654E8F">
      <w:pPr>
        <w:spacing w:before="240"/>
      </w:pPr>
    </w:p>
    <w:sectPr w:rsidR="00590828" w:rsidRPr="001549D3" w:rsidSect="0093429D">
      <w:headerReference w:type="even" r:id="rId10"/>
      <w:footerReference w:type="even" r:id="rId11"/>
      <w:footerReference w:type="default" r:id="rId12"/>
      <w:headerReference w:type="first" r:id="rId13"/>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88ADA" w14:textId="77777777" w:rsidR="00CE0C89" w:rsidRDefault="00CE0C89" w:rsidP="00117666">
      <w:pPr>
        <w:spacing w:after="0"/>
      </w:pPr>
      <w:r>
        <w:separator/>
      </w:r>
    </w:p>
  </w:endnote>
  <w:endnote w:type="continuationSeparator" w:id="0">
    <w:p w14:paraId="4B1A4A40" w14:textId="77777777" w:rsidR="00CE0C89" w:rsidRDefault="00CE0C89"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63F90" w14:textId="77777777" w:rsidR="00CE0C89" w:rsidRDefault="00CE0C89" w:rsidP="00117666">
      <w:pPr>
        <w:spacing w:after="0"/>
      </w:pPr>
      <w:r>
        <w:separator/>
      </w:r>
    </w:p>
  </w:footnote>
  <w:footnote w:type="continuationSeparator" w:id="0">
    <w:p w14:paraId="44947D53" w14:textId="77777777" w:rsidR="00CE0C89" w:rsidRDefault="00CE0C89"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426" w:firstLine="0"/>
      </w:pPr>
      <w:rPr>
        <w:rFonts w:hint="default"/>
        <w:b/>
        <w:lang w:val="en-GB"/>
      </w:rPr>
    </w:lvl>
    <w:lvl w:ilvl="1">
      <w:start w:val="1"/>
      <w:numFmt w:val="decimal"/>
      <w:lvlText w:val="%1.%2."/>
      <w:lvlJc w:val="left"/>
      <w:pPr>
        <w:ind w:left="426" w:firstLine="0"/>
      </w:pPr>
      <w:rPr>
        <w:rFonts w:hint="default"/>
      </w:rPr>
    </w:lvl>
    <w:lvl w:ilvl="2">
      <w:start w:val="1"/>
      <w:numFmt w:val="decimal"/>
      <w:lvlText w:val="%1.%2.%3."/>
      <w:lvlJc w:val="left"/>
      <w:pPr>
        <w:ind w:left="426" w:firstLine="0"/>
      </w:pPr>
      <w:rPr>
        <w:rFonts w:hint="default"/>
      </w:rPr>
    </w:lvl>
    <w:lvl w:ilvl="3">
      <w:start w:val="1"/>
      <w:numFmt w:val="decimal"/>
      <w:lvlText w:val="%1.%2.%3.%4."/>
      <w:lvlJc w:val="left"/>
      <w:pPr>
        <w:ind w:left="426" w:firstLine="0"/>
      </w:pPr>
      <w:rPr>
        <w:rFonts w:ascii="Times New Roman" w:hAnsi="Times New Roman" w:hint="default"/>
        <w:b/>
        <w:i w:val="0"/>
        <w:sz w:val="24"/>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Ttulo1"/>
      <w:lvlText w:val="%1"/>
      <w:lvlJc w:val="left"/>
      <w:pPr>
        <w:tabs>
          <w:tab w:val="num" w:pos="567"/>
        </w:tabs>
        <w:ind w:left="567" w:hanging="567"/>
      </w:pPr>
      <w:rPr>
        <w:rFonts w:hint="default"/>
      </w:rPr>
    </w:lvl>
    <w:lvl w:ilvl="1">
      <w:start w:val="1"/>
      <w:numFmt w:val="decimal"/>
      <w:pStyle w:val="Ttulo2"/>
      <w:lvlText w:val="%1.%2"/>
      <w:lvlJc w:val="left"/>
      <w:pPr>
        <w:tabs>
          <w:tab w:val="num" w:pos="567"/>
        </w:tabs>
        <w:ind w:left="567" w:hanging="567"/>
      </w:pPr>
      <w:rPr>
        <w:rFonts w:hint="default"/>
      </w:rPr>
    </w:lvl>
    <w:lvl w:ilvl="2">
      <w:start w:val="1"/>
      <w:numFmt w:val="decimal"/>
      <w:pStyle w:val="Ttulo3"/>
      <w:lvlText w:val="%1.%2.%3"/>
      <w:lvlJc w:val="left"/>
      <w:pPr>
        <w:tabs>
          <w:tab w:val="num" w:pos="567"/>
        </w:tabs>
        <w:ind w:left="567" w:hanging="567"/>
      </w:pPr>
      <w:rPr>
        <w:rFonts w:hint="default"/>
      </w:rPr>
    </w:lvl>
    <w:lvl w:ilvl="3">
      <w:start w:val="1"/>
      <w:numFmt w:val="decimal"/>
      <w:pStyle w:val="Ttulo4"/>
      <w:lvlText w:val="%1.%2.%3.%4"/>
      <w:lvlJc w:val="left"/>
      <w:pPr>
        <w:tabs>
          <w:tab w:val="num" w:pos="567"/>
        </w:tabs>
        <w:ind w:left="567" w:hanging="567"/>
      </w:pPr>
      <w:rPr>
        <w:rFonts w:hint="default"/>
      </w:rPr>
    </w:lvl>
    <w:lvl w:ilvl="4">
      <w:start w:val="1"/>
      <w:numFmt w:val="decimal"/>
      <w:pStyle w:val="Ttulo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PargrafodaList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11748862">
    <w:abstractNumId w:val="0"/>
  </w:num>
  <w:num w:numId="2" w16cid:durableId="39213578">
    <w:abstractNumId w:val="4"/>
  </w:num>
  <w:num w:numId="3" w16cid:durableId="1669404551">
    <w:abstractNumId w:val="1"/>
  </w:num>
  <w:num w:numId="4" w16cid:durableId="1374842860">
    <w:abstractNumId w:val="5"/>
  </w:num>
  <w:num w:numId="5" w16cid:durableId="3145345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01323167">
    <w:abstractNumId w:val="3"/>
  </w:num>
  <w:num w:numId="7" w16cid:durableId="1919514175">
    <w:abstractNumId w:val="6"/>
  </w:num>
  <w:num w:numId="8" w16cid:durableId="1472942100">
    <w:abstractNumId w:val="6"/>
  </w:num>
  <w:num w:numId="9" w16cid:durableId="494616948">
    <w:abstractNumId w:val="6"/>
  </w:num>
  <w:num w:numId="10" w16cid:durableId="624583397">
    <w:abstractNumId w:val="6"/>
  </w:num>
  <w:num w:numId="11" w16cid:durableId="848913942">
    <w:abstractNumId w:val="6"/>
  </w:num>
  <w:num w:numId="12" w16cid:durableId="1205218589">
    <w:abstractNumId w:val="6"/>
  </w:num>
  <w:num w:numId="13" w16cid:durableId="1570580934">
    <w:abstractNumId w:val="3"/>
  </w:num>
  <w:num w:numId="14" w16cid:durableId="444230521">
    <w:abstractNumId w:val="2"/>
  </w:num>
  <w:num w:numId="15" w16cid:durableId="723020908">
    <w:abstractNumId w:val="2"/>
  </w:num>
  <w:num w:numId="16" w16cid:durableId="843013001">
    <w:abstractNumId w:val="2"/>
  </w:num>
  <w:num w:numId="17" w16cid:durableId="172916630">
    <w:abstractNumId w:val="2"/>
  </w:num>
  <w:num w:numId="18" w16cid:durableId="1357927989">
    <w:abstractNumId w:val="2"/>
  </w:num>
  <w:num w:numId="19" w16cid:durableId="9759110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LQwMzcxtzAyNjQ0NjNR0lEKTi0uzszPAykwNKgFAE1uZ0MtAAAA"/>
  </w:docVars>
  <w:rsids>
    <w:rsidRoot w:val="00ED20B5"/>
    <w:rsid w:val="00012126"/>
    <w:rsid w:val="0001436A"/>
    <w:rsid w:val="00034304"/>
    <w:rsid w:val="00035434"/>
    <w:rsid w:val="00052A14"/>
    <w:rsid w:val="000771A4"/>
    <w:rsid w:val="00077D53"/>
    <w:rsid w:val="000F2E10"/>
    <w:rsid w:val="00105FD9"/>
    <w:rsid w:val="00117666"/>
    <w:rsid w:val="00121B5F"/>
    <w:rsid w:val="00133D07"/>
    <w:rsid w:val="001549D3"/>
    <w:rsid w:val="00160065"/>
    <w:rsid w:val="00163F3D"/>
    <w:rsid w:val="00172128"/>
    <w:rsid w:val="00177D84"/>
    <w:rsid w:val="00267D18"/>
    <w:rsid w:val="00274347"/>
    <w:rsid w:val="002868E2"/>
    <w:rsid w:val="002869C3"/>
    <w:rsid w:val="002929C0"/>
    <w:rsid w:val="002936E4"/>
    <w:rsid w:val="00297591"/>
    <w:rsid w:val="002B253B"/>
    <w:rsid w:val="002B4A57"/>
    <w:rsid w:val="002B5295"/>
    <w:rsid w:val="002C74CA"/>
    <w:rsid w:val="002E247B"/>
    <w:rsid w:val="002F2400"/>
    <w:rsid w:val="002F7E47"/>
    <w:rsid w:val="00310B09"/>
    <w:rsid w:val="003123F4"/>
    <w:rsid w:val="0034082C"/>
    <w:rsid w:val="00343D8C"/>
    <w:rsid w:val="003544FB"/>
    <w:rsid w:val="00364B0E"/>
    <w:rsid w:val="00371A9F"/>
    <w:rsid w:val="003A44C7"/>
    <w:rsid w:val="003C552D"/>
    <w:rsid w:val="003D2F2D"/>
    <w:rsid w:val="003D317A"/>
    <w:rsid w:val="003D6EA5"/>
    <w:rsid w:val="003D7B31"/>
    <w:rsid w:val="00401590"/>
    <w:rsid w:val="0043246D"/>
    <w:rsid w:val="00447801"/>
    <w:rsid w:val="00452E9C"/>
    <w:rsid w:val="00457888"/>
    <w:rsid w:val="004735C8"/>
    <w:rsid w:val="004947A6"/>
    <w:rsid w:val="004961FF"/>
    <w:rsid w:val="004A3266"/>
    <w:rsid w:val="004B4647"/>
    <w:rsid w:val="004D627E"/>
    <w:rsid w:val="00517A89"/>
    <w:rsid w:val="00520615"/>
    <w:rsid w:val="00524965"/>
    <w:rsid w:val="005250F2"/>
    <w:rsid w:val="0058330D"/>
    <w:rsid w:val="00590828"/>
    <w:rsid w:val="00593EEA"/>
    <w:rsid w:val="005A5EEE"/>
    <w:rsid w:val="00600C3E"/>
    <w:rsid w:val="006375C7"/>
    <w:rsid w:val="00654E8F"/>
    <w:rsid w:val="00660D05"/>
    <w:rsid w:val="00666A24"/>
    <w:rsid w:val="006820B1"/>
    <w:rsid w:val="006B7D14"/>
    <w:rsid w:val="006E7A8F"/>
    <w:rsid w:val="00701727"/>
    <w:rsid w:val="00705368"/>
    <w:rsid w:val="0070566C"/>
    <w:rsid w:val="00714C50"/>
    <w:rsid w:val="00725A7D"/>
    <w:rsid w:val="007354FD"/>
    <w:rsid w:val="007501BE"/>
    <w:rsid w:val="007538E9"/>
    <w:rsid w:val="00754866"/>
    <w:rsid w:val="00790BB3"/>
    <w:rsid w:val="007B4CD1"/>
    <w:rsid w:val="007C206C"/>
    <w:rsid w:val="00817DD6"/>
    <w:rsid w:val="0083759F"/>
    <w:rsid w:val="00856A2A"/>
    <w:rsid w:val="00885156"/>
    <w:rsid w:val="008E56B9"/>
    <w:rsid w:val="008F4180"/>
    <w:rsid w:val="0090441C"/>
    <w:rsid w:val="009151AA"/>
    <w:rsid w:val="00915FEB"/>
    <w:rsid w:val="009321D5"/>
    <w:rsid w:val="0093429D"/>
    <w:rsid w:val="00943573"/>
    <w:rsid w:val="00964134"/>
    <w:rsid w:val="00970F7D"/>
    <w:rsid w:val="00994A3D"/>
    <w:rsid w:val="009C2B12"/>
    <w:rsid w:val="009D666B"/>
    <w:rsid w:val="00A174D9"/>
    <w:rsid w:val="00A17A83"/>
    <w:rsid w:val="00A56736"/>
    <w:rsid w:val="00A6720C"/>
    <w:rsid w:val="00A6799B"/>
    <w:rsid w:val="00A77214"/>
    <w:rsid w:val="00A83BEF"/>
    <w:rsid w:val="00AA4D24"/>
    <w:rsid w:val="00AB01D3"/>
    <w:rsid w:val="00AB6715"/>
    <w:rsid w:val="00AB6921"/>
    <w:rsid w:val="00B07E86"/>
    <w:rsid w:val="00B1671E"/>
    <w:rsid w:val="00B25EB8"/>
    <w:rsid w:val="00B37F4D"/>
    <w:rsid w:val="00BA4FA7"/>
    <w:rsid w:val="00BB2830"/>
    <w:rsid w:val="00C51038"/>
    <w:rsid w:val="00C52A7B"/>
    <w:rsid w:val="00C55E74"/>
    <w:rsid w:val="00C56BAF"/>
    <w:rsid w:val="00C679AA"/>
    <w:rsid w:val="00C75972"/>
    <w:rsid w:val="00C77C42"/>
    <w:rsid w:val="00C92FB3"/>
    <w:rsid w:val="00CB4F2C"/>
    <w:rsid w:val="00CB500B"/>
    <w:rsid w:val="00CD066B"/>
    <w:rsid w:val="00CE0C89"/>
    <w:rsid w:val="00CE1E0B"/>
    <w:rsid w:val="00CE4FEE"/>
    <w:rsid w:val="00D060CF"/>
    <w:rsid w:val="00D14EC6"/>
    <w:rsid w:val="00D278C8"/>
    <w:rsid w:val="00D4052C"/>
    <w:rsid w:val="00D44670"/>
    <w:rsid w:val="00D466A0"/>
    <w:rsid w:val="00D628E3"/>
    <w:rsid w:val="00D90779"/>
    <w:rsid w:val="00DA165C"/>
    <w:rsid w:val="00DB59C3"/>
    <w:rsid w:val="00DB6B3E"/>
    <w:rsid w:val="00DC259A"/>
    <w:rsid w:val="00DC2C33"/>
    <w:rsid w:val="00DE23E8"/>
    <w:rsid w:val="00E12BBD"/>
    <w:rsid w:val="00E239CA"/>
    <w:rsid w:val="00E408AB"/>
    <w:rsid w:val="00E52377"/>
    <w:rsid w:val="00E537AD"/>
    <w:rsid w:val="00E64E17"/>
    <w:rsid w:val="00E67D26"/>
    <w:rsid w:val="00E84136"/>
    <w:rsid w:val="00E8439F"/>
    <w:rsid w:val="00E84F66"/>
    <w:rsid w:val="00E866C9"/>
    <w:rsid w:val="00E90DFD"/>
    <w:rsid w:val="00EA3D3C"/>
    <w:rsid w:val="00EC090A"/>
    <w:rsid w:val="00ED20B5"/>
    <w:rsid w:val="00EE0FD6"/>
    <w:rsid w:val="00F46900"/>
    <w:rsid w:val="00F61D89"/>
    <w:rsid w:val="00FB108A"/>
    <w:rsid w:val="00FE30FA"/>
    <w:rsid w:val="00FE7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Ttulo1">
    <w:name w:val="heading 1"/>
    <w:basedOn w:val="PargrafodaLista"/>
    <w:next w:val="Normal"/>
    <w:link w:val="Ttulo1Carter"/>
    <w:uiPriority w:val="2"/>
    <w:qFormat/>
    <w:rsid w:val="00AB6715"/>
    <w:pPr>
      <w:numPr>
        <w:numId w:val="19"/>
      </w:numPr>
      <w:spacing w:before="240"/>
      <w:contextualSpacing w:val="0"/>
      <w:outlineLvl w:val="0"/>
    </w:pPr>
    <w:rPr>
      <w:b/>
    </w:rPr>
  </w:style>
  <w:style w:type="paragraph" w:styleId="Ttulo2">
    <w:name w:val="heading 2"/>
    <w:basedOn w:val="Ttulo1"/>
    <w:next w:val="Normal"/>
    <w:link w:val="Ttulo2Carter"/>
    <w:uiPriority w:val="2"/>
    <w:qFormat/>
    <w:rsid w:val="00AB6715"/>
    <w:pPr>
      <w:numPr>
        <w:ilvl w:val="1"/>
      </w:numPr>
      <w:spacing w:after="200"/>
      <w:outlineLvl w:val="1"/>
    </w:pPr>
  </w:style>
  <w:style w:type="paragraph" w:styleId="Ttulo3">
    <w:name w:val="heading 3"/>
    <w:basedOn w:val="Normal"/>
    <w:next w:val="Normal"/>
    <w:link w:val="Ttulo3Carte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Ttulo4">
    <w:name w:val="heading 4"/>
    <w:basedOn w:val="Ttulo3"/>
    <w:next w:val="Normal"/>
    <w:link w:val="Ttulo4Carter"/>
    <w:uiPriority w:val="2"/>
    <w:qFormat/>
    <w:rsid w:val="00AB6715"/>
    <w:pPr>
      <w:numPr>
        <w:ilvl w:val="3"/>
      </w:numPr>
      <w:outlineLvl w:val="3"/>
    </w:pPr>
    <w:rPr>
      <w:iCs/>
    </w:rPr>
  </w:style>
  <w:style w:type="paragraph" w:styleId="Ttulo5">
    <w:name w:val="heading 5"/>
    <w:basedOn w:val="Ttulo4"/>
    <w:next w:val="Normal"/>
    <w:link w:val="Ttulo5Carter"/>
    <w:uiPriority w:val="2"/>
    <w:qFormat/>
    <w:rsid w:val="00AB6715"/>
    <w:pPr>
      <w:numPr>
        <w:ilvl w:val="4"/>
      </w:numPr>
      <w:outlineLvl w:val="4"/>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2"/>
    <w:rsid w:val="00AB6715"/>
    <w:rPr>
      <w:rFonts w:ascii="Times New Roman" w:eastAsia="Cambria" w:hAnsi="Times New Roman" w:cs="Times New Roman"/>
      <w:b/>
      <w:sz w:val="24"/>
      <w:szCs w:val="24"/>
    </w:rPr>
  </w:style>
  <w:style w:type="character" w:customStyle="1" w:styleId="Ttulo2Carter">
    <w:name w:val="Título 2 Caráter"/>
    <w:basedOn w:val="Tipodeletrapredefinidodopargrafo"/>
    <w:link w:val="Ttulo2"/>
    <w:uiPriority w:val="2"/>
    <w:rsid w:val="00AB6715"/>
    <w:rPr>
      <w:rFonts w:ascii="Times New Roman" w:eastAsia="Cambria" w:hAnsi="Times New Roman" w:cs="Times New Roman"/>
      <w:b/>
      <w:sz w:val="24"/>
      <w:szCs w:val="24"/>
    </w:rPr>
  </w:style>
  <w:style w:type="paragraph" w:styleId="Subttulo">
    <w:name w:val="Subtitle"/>
    <w:basedOn w:val="Normal"/>
    <w:next w:val="Normal"/>
    <w:link w:val="SubttuloCarter"/>
    <w:uiPriority w:val="99"/>
    <w:unhideWhenUsed/>
    <w:qFormat/>
    <w:rsid w:val="00AB6715"/>
    <w:pPr>
      <w:spacing w:before="240"/>
    </w:pPr>
    <w:rPr>
      <w:rFonts w:cs="Times New Roman"/>
      <w:b/>
      <w:szCs w:val="24"/>
    </w:rPr>
  </w:style>
  <w:style w:type="character" w:customStyle="1" w:styleId="SubttuloCarter">
    <w:name w:val="Subtítulo Caráter"/>
    <w:basedOn w:val="Tipodeletrapredefinidodopargrafo"/>
    <w:link w:val="Subttulo"/>
    <w:uiPriority w:val="99"/>
    <w:rsid w:val="00AB6715"/>
    <w:rPr>
      <w:rFonts w:ascii="Times New Roman" w:hAnsi="Times New Roman" w:cs="Times New Roman"/>
      <w:b/>
      <w:sz w:val="24"/>
      <w:szCs w:val="24"/>
    </w:rPr>
  </w:style>
  <w:style w:type="paragraph" w:customStyle="1" w:styleId="AuthorList">
    <w:name w:val="Author List"/>
    <w:aliases w:val="Keywords,Abstract"/>
    <w:basedOn w:val="Subttulo"/>
    <w:next w:val="Normal"/>
    <w:uiPriority w:val="1"/>
    <w:qFormat/>
    <w:rsid w:val="00AB6715"/>
  </w:style>
  <w:style w:type="paragraph" w:styleId="Textodebalo">
    <w:name w:val="Balloon Text"/>
    <w:basedOn w:val="Normal"/>
    <w:link w:val="TextodebaloCarter"/>
    <w:uiPriority w:val="99"/>
    <w:semiHidden/>
    <w:unhideWhenUsed/>
    <w:rsid w:val="00AB6715"/>
    <w:pPr>
      <w:spacing w:after="0"/>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AB6715"/>
    <w:rPr>
      <w:rFonts w:ascii="Tahoma" w:hAnsi="Tahoma" w:cs="Tahoma"/>
      <w:sz w:val="16"/>
      <w:szCs w:val="16"/>
    </w:rPr>
  </w:style>
  <w:style w:type="character" w:styleId="TtulodoLivro">
    <w:name w:val="Book Title"/>
    <w:basedOn w:val="Tipodeletrapredefinidodopargrafo"/>
    <w:uiPriority w:val="33"/>
    <w:qFormat/>
    <w:rsid w:val="00AB6715"/>
    <w:rPr>
      <w:rFonts w:ascii="Times New Roman" w:hAnsi="Times New Roman"/>
      <w:b/>
      <w:bCs/>
      <w:i/>
      <w:iCs/>
      <w:spacing w:val="5"/>
    </w:rPr>
  </w:style>
  <w:style w:type="paragraph" w:styleId="Legenda">
    <w:name w:val="caption"/>
    <w:basedOn w:val="Normal"/>
    <w:next w:val="SemEspaamento"/>
    <w:uiPriority w:val="35"/>
    <w:unhideWhenUsed/>
    <w:qFormat/>
    <w:rsid w:val="00AB6715"/>
    <w:pPr>
      <w:keepNext/>
    </w:pPr>
    <w:rPr>
      <w:rFonts w:cs="Times New Roman"/>
      <w:b/>
      <w:bCs/>
      <w:szCs w:val="24"/>
    </w:rPr>
  </w:style>
  <w:style w:type="paragraph" w:styleId="SemEspaamento">
    <w:name w:val="No Spacing"/>
    <w:uiPriority w:val="99"/>
    <w:unhideWhenUsed/>
    <w:qFormat/>
    <w:rsid w:val="00AB6715"/>
    <w:pPr>
      <w:spacing w:after="0" w:line="240" w:lineRule="auto"/>
    </w:pPr>
    <w:rPr>
      <w:rFonts w:ascii="Times New Roman" w:hAnsi="Times New Roman"/>
      <w:sz w:val="24"/>
    </w:rPr>
  </w:style>
  <w:style w:type="character" w:styleId="Refdecomentrio">
    <w:name w:val="annotation reference"/>
    <w:basedOn w:val="Tipodeletrapredefinidodopargrafo"/>
    <w:uiPriority w:val="99"/>
    <w:semiHidden/>
    <w:unhideWhenUsed/>
    <w:rsid w:val="00AB6715"/>
    <w:rPr>
      <w:sz w:val="16"/>
      <w:szCs w:val="16"/>
    </w:rPr>
  </w:style>
  <w:style w:type="paragraph" w:styleId="Textodecomentrio">
    <w:name w:val="annotation text"/>
    <w:basedOn w:val="Normal"/>
    <w:link w:val="TextodecomentrioCarter"/>
    <w:uiPriority w:val="99"/>
    <w:semiHidden/>
    <w:unhideWhenUsed/>
    <w:rsid w:val="00AB6715"/>
    <w:rPr>
      <w:sz w:val="20"/>
      <w:szCs w:val="20"/>
    </w:rPr>
  </w:style>
  <w:style w:type="character" w:customStyle="1" w:styleId="TextodecomentrioCarter">
    <w:name w:val="Texto de comentário Caráter"/>
    <w:basedOn w:val="Tipodeletrapredefinidodopargrafo"/>
    <w:link w:val="Textodecomentrio"/>
    <w:uiPriority w:val="99"/>
    <w:semiHidden/>
    <w:rsid w:val="00AB6715"/>
    <w:rPr>
      <w:rFonts w:ascii="Times New Roman" w:hAnsi="Times New Roman"/>
      <w:sz w:val="20"/>
      <w:szCs w:val="20"/>
    </w:rPr>
  </w:style>
  <w:style w:type="paragraph" w:styleId="Assuntodecomentrio">
    <w:name w:val="annotation subject"/>
    <w:basedOn w:val="Textodecomentrio"/>
    <w:next w:val="Textodecomentrio"/>
    <w:link w:val="AssuntodecomentrioCarter"/>
    <w:uiPriority w:val="99"/>
    <w:semiHidden/>
    <w:unhideWhenUsed/>
    <w:rsid w:val="00AB6715"/>
    <w:rPr>
      <w:b/>
      <w:bCs/>
    </w:rPr>
  </w:style>
  <w:style w:type="character" w:customStyle="1" w:styleId="AssuntodecomentrioCarter">
    <w:name w:val="Assunto de comentário Caráter"/>
    <w:basedOn w:val="TextodecomentrioCarter"/>
    <w:link w:val="Assuntodecomentrio"/>
    <w:uiPriority w:val="99"/>
    <w:semiHidden/>
    <w:rsid w:val="00AB6715"/>
    <w:rPr>
      <w:rFonts w:ascii="Times New Roman" w:hAnsi="Times New Roman"/>
      <w:b/>
      <w:bCs/>
      <w:sz w:val="20"/>
      <w:szCs w:val="20"/>
    </w:rPr>
  </w:style>
  <w:style w:type="character" w:styleId="nfase">
    <w:name w:val="Emphasis"/>
    <w:basedOn w:val="Tipodeletrapredefinidodopargrafo"/>
    <w:qFormat/>
    <w:rsid w:val="00AB6715"/>
    <w:rPr>
      <w:rFonts w:ascii="Times New Roman" w:hAnsi="Times New Roman"/>
      <w:i/>
      <w:iCs/>
    </w:rPr>
  </w:style>
  <w:style w:type="character" w:styleId="Refdenotadefim">
    <w:name w:val="endnote reference"/>
    <w:basedOn w:val="Tipodeletrapredefinidodopargrafo"/>
    <w:uiPriority w:val="99"/>
    <w:semiHidden/>
    <w:unhideWhenUsed/>
    <w:rsid w:val="00AB6715"/>
    <w:rPr>
      <w:vertAlign w:val="superscript"/>
    </w:rPr>
  </w:style>
  <w:style w:type="paragraph" w:styleId="Textodenotadefim">
    <w:name w:val="endnote text"/>
    <w:basedOn w:val="Normal"/>
    <w:link w:val="TextodenotadefimCarter"/>
    <w:uiPriority w:val="99"/>
    <w:semiHidden/>
    <w:unhideWhenUsed/>
    <w:rsid w:val="00AB6715"/>
    <w:pPr>
      <w:spacing w:after="0"/>
    </w:pPr>
    <w:rPr>
      <w:sz w:val="20"/>
      <w:szCs w:val="20"/>
    </w:rPr>
  </w:style>
  <w:style w:type="character" w:customStyle="1" w:styleId="TextodenotadefimCarter">
    <w:name w:val="Texto de nota de fim Caráter"/>
    <w:basedOn w:val="Tipodeletrapredefinidodopargrafo"/>
    <w:link w:val="Textodenotadefim"/>
    <w:uiPriority w:val="99"/>
    <w:semiHidden/>
    <w:rsid w:val="00AB6715"/>
    <w:rPr>
      <w:rFonts w:ascii="Times New Roman" w:hAnsi="Times New Roman"/>
      <w:sz w:val="20"/>
      <w:szCs w:val="20"/>
    </w:rPr>
  </w:style>
  <w:style w:type="character" w:styleId="Hiperligaovisitada">
    <w:name w:val="FollowedHyperlink"/>
    <w:basedOn w:val="Tipodeletrapredefinidodopargrafo"/>
    <w:uiPriority w:val="99"/>
    <w:semiHidden/>
    <w:unhideWhenUsed/>
    <w:rsid w:val="00AB6715"/>
    <w:rPr>
      <w:color w:val="800080" w:themeColor="followedHyperlink"/>
      <w:u w:val="single"/>
    </w:rPr>
  </w:style>
  <w:style w:type="paragraph" w:styleId="Rodap">
    <w:name w:val="footer"/>
    <w:basedOn w:val="Normal"/>
    <w:link w:val="RodapCarter"/>
    <w:uiPriority w:val="99"/>
    <w:unhideWhenUsed/>
    <w:rsid w:val="00AB6715"/>
    <w:pPr>
      <w:tabs>
        <w:tab w:val="center" w:pos="4844"/>
        <w:tab w:val="right" w:pos="9689"/>
      </w:tabs>
      <w:spacing w:after="0"/>
    </w:pPr>
  </w:style>
  <w:style w:type="character" w:customStyle="1" w:styleId="RodapCarter">
    <w:name w:val="Rodapé Caráter"/>
    <w:basedOn w:val="Tipodeletrapredefinidodopargrafo"/>
    <w:link w:val="Rodap"/>
    <w:uiPriority w:val="99"/>
    <w:rsid w:val="00AB6715"/>
    <w:rPr>
      <w:rFonts w:ascii="Times New Roman" w:hAnsi="Times New Roman"/>
      <w:sz w:val="24"/>
    </w:rPr>
  </w:style>
  <w:style w:type="character" w:styleId="Refdenotaderodap">
    <w:name w:val="footnote reference"/>
    <w:basedOn w:val="Tipodeletrapredefinidodopargrafo"/>
    <w:uiPriority w:val="99"/>
    <w:semiHidden/>
    <w:unhideWhenUsed/>
    <w:rsid w:val="00AB6715"/>
    <w:rPr>
      <w:vertAlign w:val="superscript"/>
    </w:rPr>
  </w:style>
  <w:style w:type="paragraph" w:styleId="Textodenotaderodap">
    <w:name w:val="footnote text"/>
    <w:basedOn w:val="Normal"/>
    <w:link w:val="TextodenotaderodapCarter"/>
    <w:uiPriority w:val="99"/>
    <w:semiHidden/>
    <w:unhideWhenUsed/>
    <w:rsid w:val="00AB6715"/>
    <w:pPr>
      <w:spacing w:after="0"/>
    </w:pPr>
    <w:rPr>
      <w:sz w:val="20"/>
      <w:szCs w:val="20"/>
    </w:rPr>
  </w:style>
  <w:style w:type="character" w:customStyle="1" w:styleId="TextodenotaderodapCarter">
    <w:name w:val="Texto de nota de rodapé Caráter"/>
    <w:basedOn w:val="Tipodeletrapredefinidodopargrafo"/>
    <w:link w:val="Textodenotaderodap"/>
    <w:uiPriority w:val="99"/>
    <w:semiHidden/>
    <w:rsid w:val="00AB6715"/>
    <w:rPr>
      <w:rFonts w:ascii="Times New Roman" w:hAnsi="Times New Roman"/>
      <w:sz w:val="20"/>
      <w:szCs w:val="20"/>
    </w:rPr>
  </w:style>
  <w:style w:type="paragraph" w:styleId="Cabealho">
    <w:name w:val="header"/>
    <w:basedOn w:val="Normal"/>
    <w:link w:val="CabealhoCarter"/>
    <w:uiPriority w:val="99"/>
    <w:unhideWhenUsed/>
    <w:rsid w:val="00AB6715"/>
    <w:pPr>
      <w:tabs>
        <w:tab w:val="center" w:pos="4844"/>
        <w:tab w:val="right" w:pos="9689"/>
      </w:tabs>
    </w:pPr>
    <w:rPr>
      <w:b/>
    </w:rPr>
  </w:style>
  <w:style w:type="character" w:customStyle="1" w:styleId="CabealhoCarter">
    <w:name w:val="Cabeçalho Caráter"/>
    <w:basedOn w:val="Tipodeletrapredefinidodopargrafo"/>
    <w:link w:val="Cabealho"/>
    <w:uiPriority w:val="99"/>
    <w:rsid w:val="00AB6715"/>
    <w:rPr>
      <w:rFonts w:ascii="Times New Roman" w:hAnsi="Times New Roman"/>
      <w:b/>
      <w:sz w:val="24"/>
    </w:rPr>
  </w:style>
  <w:style w:type="paragraph" w:styleId="PargrafodaLista">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iperligao">
    <w:name w:val="Hyperlink"/>
    <w:basedOn w:val="Tipodeletrapredefinidodopargrafo"/>
    <w:uiPriority w:val="99"/>
    <w:unhideWhenUsed/>
    <w:rsid w:val="00AB6715"/>
    <w:rPr>
      <w:color w:val="0000FF"/>
      <w:u w:val="single"/>
    </w:rPr>
  </w:style>
  <w:style w:type="character" w:styleId="nfaseIntensa">
    <w:name w:val="Intense Emphasis"/>
    <w:basedOn w:val="Tipodeletrapredefinidodopargrafo"/>
    <w:uiPriority w:val="21"/>
    <w:unhideWhenUsed/>
    <w:rsid w:val="00AB6715"/>
    <w:rPr>
      <w:rFonts w:ascii="Times New Roman" w:hAnsi="Times New Roman"/>
      <w:i/>
      <w:iCs/>
      <w:color w:val="auto"/>
    </w:rPr>
  </w:style>
  <w:style w:type="character" w:styleId="RefernciaIntensa">
    <w:name w:val="Intense Reference"/>
    <w:basedOn w:val="Tipodeletrapredefinidodopargrafo"/>
    <w:uiPriority w:val="32"/>
    <w:qFormat/>
    <w:rsid w:val="00AB6715"/>
    <w:rPr>
      <w:b/>
      <w:bCs/>
      <w:smallCaps/>
      <w:color w:val="auto"/>
      <w:spacing w:val="5"/>
    </w:rPr>
  </w:style>
  <w:style w:type="character" w:styleId="Nmerodelinha">
    <w:name w:val="line number"/>
    <w:basedOn w:val="Tipodeletrapredefinidodopargrafo"/>
    <w:uiPriority w:val="99"/>
    <w:semiHidden/>
    <w:unhideWhenUsed/>
    <w:rsid w:val="00AB6715"/>
  </w:style>
  <w:style w:type="character" w:customStyle="1" w:styleId="Ttulo3Carter">
    <w:name w:val="Título 3 Caráter"/>
    <w:basedOn w:val="Tipodeletrapredefinidodopargrafo"/>
    <w:link w:val="Ttulo3"/>
    <w:uiPriority w:val="2"/>
    <w:rsid w:val="00AB6715"/>
    <w:rPr>
      <w:rFonts w:ascii="Times New Roman" w:eastAsiaTheme="majorEastAsia" w:hAnsi="Times New Roman" w:cstheme="majorBidi"/>
      <w:b/>
      <w:sz w:val="24"/>
      <w:szCs w:val="24"/>
    </w:rPr>
  </w:style>
  <w:style w:type="character" w:customStyle="1" w:styleId="Ttulo4Carter">
    <w:name w:val="Título 4 Caráter"/>
    <w:basedOn w:val="Tipodeletrapredefinidodopargrafo"/>
    <w:link w:val="Ttulo4"/>
    <w:uiPriority w:val="2"/>
    <w:rsid w:val="00AB6715"/>
    <w:rPr>
      <w:rFonts w:ascii="Times New Roman" w:eastAsiaTheme="majorEastAsia" w:hAnsi="Times New Roman" w:cstheme="majorBidi"/>
      <w:b/>
      <w:iCs/>
      <w:sz w:val="24"/>
      <w:szCs w:val="24"/>
    </w:rPr>
  </w:style>
  <w:style w:type="character" w:customStyle="1" w:styleId="Ttulo5Carter">
    <w:name w:val="Título 5 Caráter"/>
    <w:basedOn w:val="Tipodeletrapredefinidodopargrafo"/>
    <w:link w:val="Ttulo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Citao">
    <w:name w:val="Quote"/>
    <w:basedOn w:val="Normal"/>
    <w:next w:val="Normal"/>
    <w:link w:val="CitaoCarter"/>
    <w:uiPriority w:val="29"/>
    <w:qFormat/>
    <w:rsid w:val="00AB6715"/>
    <w:pPr>
      <w:spacing w:before="200" w:after="160"/>
      <w:ind w:left="864" w:right="864"/>
      <w:jc w:val="center"/>
    </w:pPr>
    <w:rPr>
      <w:i/>
      <w:iCs/>
      <w:color w:val="404040" w:themeColor="text1" w:themeTint="BF"/>
    </w:rPr>
  </w:style>
  <w:style w:type="character" w:customStyle="1" w:styleId="CitaoCarter">
    <w:name w:val="Citação Caráter"/>
    <w:basedOn w:val="Tipodeletrapredefinidodopargrafo"/>
    <w:link w:val="Citao"/>
    <w:uiPriority w:val="29"/>
    <w:rsid w:val="00AB6715"/>
    <w:rPr>
      <w:rFonts w:ascii="Times New Roman" w:hAnsi="Times New Roman"/>
      <w:i/>
      <w:iCs/>
      <w:color w:val="404040" w:themeColor="text1" w:themeTint="BF"/>
      <w:sz w:val="24"/>
    </w:rPr>
  </w:style>
  <w:style w:type="character" w:styleId="Forte">
    <w:name w:val="Strong"/>
    <w:basedOn w:val="Tipodeletrapredefinidodopargrafo"/>
    <w:uiPriority w:val="22"/>
    <w:qFormat/>
    <w:rsid w:val="00AB6715"/>
    <w:rPr>
      <w:rFonts w:ascii="Times New Roman" w:hAnsi="Times New Roman"/>
      <w:b/>
      <w:bCs/>
    </w:rPr>
  </w:style>
  <w:style w:type="character" w:styleId="nfaseDiscreta">
    <w:name w:val="Subtle Emphasis"/>
    <w:basedOn w:val="Tipodeletrapredefinidodopargrafo"/>
    <w:uiPriority w:val="19"/>
    <w:qFormat/>
    <w:rsid w:val="00AB6715"/>
    <w:rPr>
      <w:rFonts w:ascii="Times New Roman" w:hAnsi="Times New Roman"/>
      <w:i/>
      <w:iCs/>
      <w:color w:val="404040" w:themeColor="text1" w:themeTint="BF"/>
    </w:rPr>
  </w:style>
  <w:style w:type="table" w:styleId="TabelacomGrelha">
    <w:name w:val="Table Grid"/>
    <w:basedOn w:val="Tabela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ter"/>
    <w:qFormat/>
    <w:rsid w:val="00AB6715"/>
    <w:pPr>
      <w:suppressLineNumbers/>
      <w:spacing w:before="240" w:after="360"/>
      <w:jc w:val="center"/>
    </w:pPr>
    <w:rPr>
      <w:rFonts w:cs="Times New Roman"/>
      <w:b/>
      <w:sz w:val="32"/>
      <w:szCs w:val="32"/>
    </w:rPr>
  </w:style>
  <w:style w:type="character" w:customStyle="1" w:styleId="TtuloCarter">
    <w:name w:val="Título Caráter"/>
    <w:basedOn w:val="Tipodeletrapredefinidodopargrafo"/>
    <w:link w:val="Ttulo"/>
    <w:rsid w:val="00AB6715"/>
    <w:rPr>
      <w:rFonts w:ascii="Times New Roman" w:hAnsi="Times New Roman" w:cs="Times New Roman"/>
      <w:b/>
      <w:sz w:val="32"/>
      <w:szCs w:val="32"/>
    </w:rPr>
  </w:style>
  <w:style w:type="paragraph" w:customStyle="1" w:styleId="SupplementaryMaterial">
    <w:name w:val="Supplementary Material"/>
    <w:basedOn w:val="Ttulo"/>
    <w:next w:val="Ttulo"/>
    <w:qFormat/>
    <w:rsid w:val="0001436A"/>
    <w:pPr>
      <w:spacing w:after="120"/>
    </w:pPr>
    <w:rPr>
      <w:i/>
    </w:rPr>
  </w:style>
  <w:style w:type="table" w:customStyle="1" w:styleId="TabelacomGrelha1">
    <w:name w:val="Tabela com Grelha1"/>
    <w:basedOn w:val="Tabelanormal"/>
    <w:next w:val="TabelacomGrelha"/>
    <w:uiPriority w:val="39"/>
    <w:rsid w:val="00D44670"/>
    <w:pPr>
      <w:spacing w:after="0" w:line="240" w:lineRule="auto"/>
    </w:pPr>
    <w:rPr>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PI21heading1">
    <w:name w:val="MDPI_2.1_heading1"/>
    <w:qFormat/>
    <w:rsid w:val="00590828"/>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 w:val="20"/>
      <w:lang w:eastAsia="de-DE" w:bidi="en-US"/>
    </w:rPr>
  </w:style>
  <w:style w:type="paragraph" w:customStyle="1" w:styleId="MDPI31text">
    <w:name w:val="MDPI_3.1_text"/>
    <w:qFormat/>
    <w:rsid w:val="00590828"/>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eastAsia="de-DE" w:bidi="en-US"/>
    </w:rPr>
  </w:style>
  <w:style w:type="table" w:customStyle="1" w:styleId="TableGrid1">
    <w:name w:val="Table Grid1"/>
    <w:basedOn w:val="Tabelanormal"/>
    <w:rsid w:val="00590828"/>
    <w:pPr>
      <w:suppressAutoHyphens/>
      <w:spacing w:after="0" w:line="240" w:lineRule="auto"/>
    </w:pPr>
    <w:rPr>
      <w:rFonts w:ascii="Calibri" w:eastAsia="SimSun" w:hAnsi="Calibri" w:cs="Times New Roman"/>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mplesTabela1">
    <w:name w:val="Plain Table 1"/>
    <w:basedOn w:val="Tabelanormal"/>
    <w:uiPriority w:val="41"/>
    <w:rsid w:val="00CB4F2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Contents">
    <w:name w:val="Table Contents"/>
    <w:basedOn w:val="Normal"/>
    <w:rsid w:val="00BA4FA7"/>
    <w:pPr>
      <w:widowControl w:val="0"/>
      <w:suppressLineNumbers/>
      <w:suppressAutoHyphens/>
      <w:autoSpaceDN w:val="0"/>
      <w:spacing w:before="0" w:after="0"/>
      <w:textAlignment w:val="baseline"/>
    </w:pPr>
    <w:rPr>
      <w:rFonts w:ascii="Liberation Serif" w:eastAsia="NSimSun" w:hAnsi="Liberation Serif" w:cs="Arial"/>
      <w:kern w:val="3"/>
      <w:szCs w:val="24"/>
      <w:lang w:val="pt-PT" w:eastAsia="zh-CN" w:bidi="hi-IN"/>
    </w:rPr>
  </w:style>
  <w:style w:type="table" w:styleId="TabelaSimples4">
    <w:name w:val="Plain Table 4"/>
    <w:basedOn w:val="Tabelanormal"/>
    <w:uiPriority w:val="44"/>
    <w:rsid w:val="00E90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o">
    <w:name w:val="Revision"/>
    <w:hidden/>
    <w:uiPriority w:val="99"/>
    <w:semiHidden/>
    <w:rsid w:val="00D4052C"/>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9533">
      <w:bodyDiv w:val="1"/>
      <w:marLeft w:val="0"/>
      <w:marRight w:val="0"/>
      <w:marTop w:val="0"/>
      <w:marBottom w:val="0"/>
      <w:divBdr>
        <w:top w:val="none" w:sz="0" w:space="0" w:color="auto"/>
        <w:left w:val="none" w:sz="0" w:space="0" w:color="auto"/>
        <w:bottom w:val="none" w:sz="0" w:space="0" w:color="auto"/>
        <w:right w:val="none" w:sz="0" w:space="0" w:color="auto"/>
      </w:divBdr>
    </w:div>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133519979">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66319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biochemistry-genetics-and-molecular-biology/rna-polymeras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ciencedirect.com/topics/materials-science/nucleic-acid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464</TotalTime>
  <Pages>6</Pages>
  <Words>13500</Words>
  <Characters>72901</Characters>
  <Application>Microsoft Office Word</Application>
  <DocSecurity>0</DocSecurity>
  <Lines>607</Lines>
  <Paragraphs>172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Joana Isabel Reis Castro</cp:lastModifiedBy>
  <cp:revision>43</cp:revision>
  <cp:lastPrinted>2022-07-28T14:29:00Z</cp:lastPrinted>
  <dcterms:created xsi:type="dcterms:W3CDTF">2018-11-23T08:58:00Z</dcterms:created>
  <dcterms:modified xsi:type="dcterms:W3CDTF">2022-07-28T14:30:00Z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http://www.zotero.org/styles/antibiotics</vt:lpwstr>
  </property>
  <property fmtid="{D5CDD505-2E9C-101B-9397-08002B2CF9AE}" pid="3" name="Mendeley Recent Style Name 0_1">
    <vt:lpwstr>Antibiotics</vt:lpwstr>
  </property>
  <property fmtid="{D5CDD505-2E9C-101B-9397-08002B2CF9AE}" pid="4" name="Mendeley Recent Style Id 1_1">
    <vt:lpwstr>http://www.zotero.org/styles/chicago-author-date-16th-edition</vt:lpwstr>
  </property>
  <property fmtid="{D5CDD505-2E9C-101B-9397-08002B2CF9AE}" pid="5" name="Mendeley Recent Style Name 1_1">
    <vt:lpwstr>Chicago Manual of Style 16th edition (author-date)</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http://csl.mendeley.com/styles/483491481/frontiers-2</vt:lpwstr>
  </property>
  <property fmtid="{D5CDD505-2E9C-101B-9397-08002B2CF9AE}" pid="9" name="Mendeley Recent Style Name 3_1">
    <vt:lpwstr>Frontiers journals - Joana Castro</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http://www.zotero.org/styles/journal-of-infectious-diseases</vt:lpwstr>
  </property>
  <property fmtid="{D5CDD505-2E9C-101B-9397-08002B2CF9AE}" pid="13" name="Mendeley Recent Style Name 5_1">
    <vt:lpwstr>Journal of Infectious Diseases</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http://www.zotero.org/styles/national-library-of-medicine</vt:lpwstr>
  </property>
  <property fmtid="{D5CDD505-2E9C-101B-9397-08002B2CF9AE}" pid="17" name="Mendeley Recent Style Name 7_1">
    <vt:lpwstr>National Library of Medicine</vt:lpwstr>
  </property>
  <property fmtid="{D5CDD505-2E9C-101B-9397-08002B2CF9AE}" pid="18" name="Mendeley Recent Style Id 8_1">
    <vt:lpwstr>http://www.zotero.org/styles/pathogens</vt:lpwstr>
  </property>
  <property fmtid="{D5CDD505-2E9C-101B-9397-08002B2CF9AE}" pid="19" name="Mendeley Recent Style Name 8_1">
    <vt:lpwstr>Pathogens</vt:lpwstr>
  </property>
  <property fmtid="{D5CDD505-2E9C-101B-9397-08002B2CF9AE}" pid="20" name="Mendeley Recent Style Id 9_1">
    <vt:lpwstr>http://www.zotero.org/styles/peerj</vt:lpwstr>
  </property>
  <property fmtid="{D5CDD505-2E9C-101B-9397-08002B2CF9AE}" pid="21" name="Mendeley Recent Style Name 9_1">
    <vt:lpwstr>PeerJ</vt:lpwstr>
  </property>
  <property fmtid="{D5CDD505-2E9C-101B-9397-08002B2CF9AE}" pid="22" name="Mendeley Document_1">
    <vt:lpwstr>True</vt:lpwstr>
  </property>
  <property fmtid="{D5CDD505-2E9C-101B-9397-08002B2CF9AE}" pid="23" name="Mendeley Unique User Id_1">
    <vt:lpwstr>25903ca4-79ca-3af3-9aa2-39d4e9626ec5</vt:lpwstr>
  </property>
  <property fmtid="{D5CDD505-2E9C-101B-9397-08002B2CF9AE}" pid="24" name="Mendeley Citation Style_1">
    <vt:lpwstr>http://www.zotero.org/styles/frontiers-in-microbiology</vt:lpwstr>
  </property>
</Properties>
</file>