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4"/>
        <w:tblW w:w="8359" w:type="dxa"/>
        <w:jc w:val="center"/>
        <w:tblLook w:val="04A0" w:firstRow="1" w:lastRow="0" w:firstColumn="1" w:lastColumn="0" w:noHBand="0" w:noVBand="1"/>
      </w:tblPr>
      <w:tblGrid>
        <w:gridCol w:w="1838"/>
        <w:gridCol w:w="6521"/>
      </w:tblGrid>
      <w:tr w:rsidR="007E4C88" w:rsidRPr="007E4C88" w14:paraId="46AA7090" w14:textId="77777777" w:rsidTr="008C594B">
        <w:trPr>
          <w:jc w:val="center"/>
        </w:trPr>
        <w:tc>
          <w:tcPr>
            <w:tcW w:w="8359" w:type="dxa"/>
            <w:gridSpan w:val="2"/>
            <w:tcBorders>
              <w:top w:val="nil"/>
              <w:left w:val="nil"/>
              <w:bottom w:val="single" w:sz="4" w:space="0" w:color="auto"/>
              <w:right w:val="nil"/>
            </w:tcBorders>
          </w:tcPr>
          <w:p w14:paraId="0F6C3E9B" w14:textId="77777777" w:rsidR="007E4C88" w:rsidRPr="007E4C88" w:rsidRDefault="007E4C88" w:rsidP="007E4C88">
            <w:pPr>
              <w:rPr>
                <w:rFonts w:ascii="Times New Roman" w:hAnsi="Times New Roman" w:cs="Times New Roman"/>
                <w:sz w:val="18"/>
                <w:szCs w:val="18"/>
              </w:rPr>
            </w:pPr>
            <w:r w:rsidRPr="007E4C88">
              <w:rPr>
                <w:rFonts w:ascii="Times New Roman" w:hAnsi="Times New Roman" w:cs="Times New Roman"/>
                <w:b/>
                <w:sz w:val="18"/>
                <w:szCs w:val="18"/>
              </w:rPr>
              <w:t>Supplementary Table 1. Adjusted covariates</w:t>
            </w:r>
          </w:p>
        </w:tc>
      </w:tr>
      <w:tr w:rsidR="00624E2F" w:rsidRPr="007E4C88" w14:paraId="62FE59F2" w14:textId="77777777" w:rsidTr="008C594B">
        <w:trPr>
          <w:jc w:val="center"/>
        </w:trPr>
        <w:tc>
          <w:tcPr>
            <w:tcW w:w="8359" w:type="dxa"/>
            <w:gridSpan w:val="2"/>
            <w:tcBorders>
              <w:top w:val="nil"/>
              <w:left w:val="nil"/>
              <w:bottom w:val="single" w:sz="4" w:space="0" w:color="auto"/>
              <w:right w:val="nil"/>
            </w:tcBorders>
          </w:tcPr>
          <w:p w14:paraId="09A6E726" w14:textId="77777777" w:rsidR="00624E2F" w:rsidRPr="007E4C88" w:rsidRDefault="00624E2F" w:rsidP="007E4C88">
            <w:pPr>
              <w:rPr>
                <w:rFonts w:ascii="Times New Roman" w:hAnsi="Times New Roman" w:cs="Times New Roman"/>
                <w:b/>
                <w:sz w:val="18"/>
                <w:szCs w:val="18"/>
              </w:rPr>
            </w:pPr>
          </w:p>
        </w:tc>
      </w:tr>
      <w:tr w:rsidR="007E4C88" w:rsidRPr="007E4C88" w14:paraId="2ED00DCF" w14:textId="77777777" w:rsidTr="008C594B">
        <w:trPr>
          <w:jc w:val="center"/>
        </w:trPr>
        <w:tc>
          <w:tcPr>
            <w:tcW w:w="1838" w:type="dxa"/>
            <w:tcBorders>
              <w:top w:val="single" w:sz="8" w:space="0" w:color="auto"/>
              <w:left w:val="nil"/>
              <w:bottom w:val="single" w:sz="8" w:space="0" w:color="auto"/>
              <w:right w:val="nil"/>
            </w:tcBorders>
          </w:tcPr>
          <w:p w14:paraId="13AD1D41" w14:textId="77777777" w:rsidR="007E4C88" w:rsidRPr="007E4C88" w:rsidRDefault="007E4C88" w:rsidP="007E4C88">
            <w:pPr>
              <w:jc w:val="center"/>
              <w:rPr>
                <w:rFonts w:ascii="Times New Roman" w:hAnsi="Times New Roman" w:cs="Times New Roman"/>
                <w:b/>
                <w:sz w:val="18"/>
                <w:szCs w:val="18"/>
              </w:rPr>
            </w:pPr>
            <w:r w:rsidRPr="007E4C88">
              <w:rPr>
                <w:rFonts w:ascii="Times New Roman" w:hAnsi="Times New Roman" w:cs="Times New Roman"/>
                <w:b/>
                <w:sz w:val="18"/>
                <w:szCs w:val="18"/>
              </w:rPr>
              <w:t>Study</w:t>
            </w:r>
          </w:p>
        </w:tc>
        <w:tc>
          <w:tcPr>
            <w:tcW w:w="6521" w:type="dxa"/>
            <w:tcBorders>
              <w:top w:val="single" w:sz="8" w:space="0" w:color="auto"/>
              <w:left w:val="nil"/>
              <w:bottom w:val="single" w:sz="8" w:space="0" w:color="auto"/>
              <w:right w:val="nil"/>
            </w:tcBorders>
          </w:tcPr>
          <w:p w14:paraId="73481164" w14:textId="77777777" w:rsidR="007E4C88" w:rsidRPr="007E4C88" w:rsidRDefault="007E4C88" w:rsidP="007E4C88">
            <w:pPr>
              <w:rPr>
                <w:rFonts w:ascii="Times New Roman" w:hAnsi="Times New Roman" w:cs="Times New Roman"/>
                <w:b/>
                <w:sz w:val="18"/>
                <w:szCs w:val="18"/>
              </w:rPr>
            </w:pPr>
            <w:r w:rsidRPr="007E4C88">
              <w:rPr>
                <w:rFonts w:ascii="Times New Roman" w:hAnsi="Times New Roman" w:cs="Times New Roman"/>
                <w:b/>
                <w:sz w:val="18"/>
                <w:szCs w:val="18"/>
              </w:rPr>
              <w:t>Covariates adjusted for in multivariable analysis</w:t>
            </w:r>
          </w:p>
        </w:tc>
      </w:tr>
      <w:tr w:rsidR="007E4C88" w:rsidRPr="007E4C88" w14:paraId="25C2CA20" w14:textId="77777777" w:rsidTr="00BE739E">
        <w:trPr>
          <w:trHeight w:val="397"/>
          <w:jc w:val="center"/>
        </w:trPr>
        <w:tc>
          <w:tcPr>
            <w:tcW w:w="1838" w:type="dxa"/>
            <w:tcBorders>
              <w:top w:val="single" w:sz="8" w:space="0" w:color="auto"/>
              <w:left w:val="nil"/>
              <w:bottom w:val="nil"/>
              <w:right w:val="nil"/>
            </w:tcBorders>
            <w:vAlign w:val="center"/>
          </w:tcPr>
          <w:p w14:paraId="7EAE8800"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Cheng 2014</w:t>
            </w:r>
          </w:p>
        </w:tc>
        <w:tc>
          <w:tcPr>
            <w:tcW w:w="6521" w:type="dxa"/>
            <w:tcBorders>
              <w:top w:val="single" w:sz="8" w:space="0" w:color="auto"/>
              <w:left w:val="nil"/>
              <w:bottom w:val="nil"/>
              <w:right w:val="nil"/>
            </w:tcBorders>
            <w:vAlign w:val="center"/>
          </w:tcPr>
          <w:p w14:paraId="08A464FC" w14:textId="3568BA0E"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hypertension, hyperlipidemia, depression and cerebrovascular disease.</w:t>
            </w:r>
          </w:p>
        </w:tc>
      </w:tr>
      <w:tr w:rsidR="007E4C88" w:rsidRPr="007E4C88" w14:paraId="37F62049" w14:textId="77777777" w:rsidTr="00BE739E">
        <w:trPr>
          <w:trHeight w:val="397"/>
          <w:jc w:val="center"/>
        </w:trPr>
        <w:tc>
          <w:tcPr>
            <w:tcW w:w="1838" w:type="dxa"/>
            <w:tcBorders>
              <w:top w:val="nil"/>
              <w:left w:val="nil"/>
              <w:bottom w:val="nil"/>
              <w:right w:val="nil"/>
            </w:tcBorders>
            <w:vAlign w:val="center"/>
          </w:tcPr>
          <w:p w14:paraId="3CD0F867"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Salas 2020</w:t>
            </w:r>
          </w:p>
        </w:tc>
        <w:tc>
          <w:tcPr>
            <w:tcW w:w="6521" w:type="dxa"/>
            <w:tcBorders>
              <w:top w:val="nil"/>
              <w:left w:val="nil"/>
              <w:bottom w:val="nil"/>
              <w:right w:val="nil"/>
            </w:tcBorders>
            <w:vAlign w:val="center"/>
          </w:tcPr>
          <w:p w14:paraId="37D66BE6"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Sociodemographic characteristics included age, race, gender, insurance type,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neighborhood socioeconomic status and marital status (only available for VHA). Index year, diabetes-related (HbA1c value, HbA1c category, creatinine value), other comorbidities</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(obesity, hypertension, hyperlipidemia, stroke, ischemic heart disease, congestive heart failure, atrial fibrillation, traumatic brain injury,</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vitamin B12 deficiency), psychiatric and substance comorbidities (depression,</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posttraumatic stress disorder, other anxiety, bipolar disorder, schizophrenia, nicotine abuse/dependence, alcohol abuse/dependence,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illicit drug</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abuse/dependence), other medications (statins, anticholinergic drugs, nonsteroidal anti-inflammatory</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drugs, antihypertensive drugs).</w:t>
            </w:r>
          </w:p>
        </w:tc>
      </w:tr>
      <w:tr w:rsidR="007E4C88" w:rsidRPr="007E4C88" w14:paraId="1DF2BA21" w14:textId="77777777" w:rsidTr="00BE739E">
        <w:trPr>
          <w:trHeight w:val="397"/>
          <w:jc w:val="center"/>
        </w:trPr>
        <w:tc>
          <w:tcPr>
            <w:tcW w:w="1838" w:type="dxa"/>
            <w:tcBorders>
              <w:top w:val="nil"/>
              <w:left w:val="nil"/>
              <w:bottom w:val="nil"/>
              <w:right w:val="nil"/>
            </w:tcBorders>
            <w:vAlign w:val="center"/>
          </w:tcPr>
          <w:p w14:paraId="7841602A"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Hsu 2011</w:t>
            </w:r>
          </w:p>
        </w:tc>
        <w:tc>
          <w:tcPr>
            <w:tcW w:w="6521" w:type="dxa"/>
            <w:tcBorders>
              <w:top w:val="nil"/>
              <w:left w:val="nil"/>
              <w:bottom w:val="nil"/>
              <w:right w:val="nil"/>
            </w:tcBorders>
            <w:vAlign w:val="center"/>
          </w:tcPr>
          <w:p w14:paraId="7F132EAE"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 xml:space="preserve">Age, gender, type of stroke and </w:t>
            </w:r>
            <w:proofErr w:type="spellStart"/>
            <w:r w:rsidRPr="007E4C88">
              <w:rPr>
                <w:rFonts w:ascii="Times New Roman" w:hAnsi="Times New Roman" w:cs="Times New Roman"/>
                <w:bCs/>
                <w:sz w:val="16"/>
                <w:szCs w:val="18"/>
              </w:rPr>
              <w:t>Charlson</w:t>
            </w:r>
            <w:proofErr w:type="spellEnd"/>
            <w:r w:rsidRPr="007E4C88">
              <w:rPr>
                <w:rFonts w:ascii="Times New Roman" w:hAnsi="Times New Roman" w:cs="Times New Roman"/>
                <w:bCs/>
                <w:sz w:val="16"/>
                <w:szCs w:val="18"/>
              </w:rPr>
              <w:t xml:space="preserve"> comorbidity index score.</w:t>
            </w:r>
          </w:p>
        </w:tc>
      </w:tr>
      <w:tr w:rsidR="007E4C88" w:rsidRPr="007E4C88" w14:paraId="611A7B32" w14:textId="77777777" w:rsidTr="00AC7D56">
        <w:trPr>
          <w:trHeight w:val="265"/>
          <w:jc w:val="center"/>
        </w:trPr>
        <w:tc>
          <w:tcPr>
            <w:tcW w:w="1838" w:type="dxa"/>
            <w:tcBorders>
              <w:top w:val="nil"/>
              <w:left w:val="nil"/>
              <w:bottom w:val="nil"/>
              <w:right w:val="nil"/>
            </w:tcBorders>
            <w:vAlign w:val="center"/>
          </w:tcPr>
          <w:p w14:paraId="03DB53A4"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Whitmer 2014</w:t>
            </w:r>
          </w:p>
        </w:tc>
        <w:tc>
          <w:tcPr>
            <w:tcW w:w="6521" w:type="dxa"/>
            <w:tcBorders>
              <w:top w:val="nil"/>
              <w:left w:val="nil"/>
              <w:bottom w:val="nil"/>
              <w:right w:val="nil"/>
            </w:tcBorders>
            <w:vAlign w:val="center"/>
          </w:tcPr>
          <w:p w14:paraId="10247147"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race, education, diabetes duration, glycosylated hemoglobin.</w:t>
            </w:r>
          </w:p>
        </w:tc>
      </w:tr>
      <w:tr w:rsidR="007E4C88" w:rsidRPr="007E4C88" w14:paraId="2C1DF6FF" w14:textId="77777777" w:rsidTr="00AC7D56">
        <w:trPr>
          <w:trHeight w:val="836"/>
          <w:jc w:val="center"/>
        </w:trPr>
        <w:tc>
          <w:tcPr>
            <w:tcW w:w="1838" w:type="dxa"/>
            <w:tcBorders>
              <w:top w:val="nil"/>
              <w:left w:val="nil"/>
              <w:bottom w:val="nil"/>
              <w:right w:val="nil"/>
            </w:tcBorders>
            <w:vAlign w:val="center"/>
          </w:tcPr>
          <w:p w14:paraId="4FF5152A"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Imfeld</w:t>
            </w:r>
            <w:proofErr w:type="spellEnd"/>
            <w:r w:rsidRPr="007E4C88">
              <w:rPr>
                <w:rFonts w:ascii="Times New Roman" w:hAnsi="Times New Roman" w:cs="Times New Roman"/>
                <w:bCs/>
                <w:sz w:val="16"/>
                <w:szCs w:val="18"/>
              </w:rPr>
              <w:t xml:space="preserve"> 2012</w:t>
            </w:r>
          </w:p>
        </w:tc>
        <w:tc>
          <w:tcPr>
            <w:tcW w:w="6521" w:type="dxa"/>
            <w:tcBorders>
              <w:top w:val="nil"/>
              <w:left w:val="nil"/>
              <w:bottom w:val="nil"/>
              <w:right w:val="nil"/>
            </w:tcBorders>
            <w:vAlign w:val="center"/>
          </w:tcPr>
          <w:p w14:paraId="0839CA99"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Cases were matched 1:1 with controls with no evidence of any type of dementia or prescriptions for specific drugs to treat AD, matching was performed for age, sex, calendar time, GP, and number of years of recorded history. Adjustments were for antidiabetic drug classes, smoking, BMI, dyslipidemia, use of angiotensin-converting enzyme inhibitors and statins.</w:t>
            </w:r>
          </w:p>
        </w:tc>
      </w:tr>
      <w:tr w:rsidR="007E4C88" w:rsidRPr="007E4C88" w14:paraId="4B85923F" w14:textId="77777777" w:rsidTr="00AC7D56">
        <w:trPr>
          <w:trHeight w:val="862"/>
          <w:jc w:val="center"/>
        </w:trPr>
        <w:tc>
          <w:tcPr>
            <w:tcW w:w="1838" w:type="dxa"/>
            <w:tcBorders>
              <w:top w:val="nil"/>
              <w:left w:val="nil"/>
              <w:bottom w:val="nil"/>
              <w:right w:val="nil"/>
            </w:tcBorders>
            <w:vAlign w:val="center"/>
          </w:tcPr>
          <w:p w14:paraId="14995CF2"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Orkaby</w:t>
            </w:r>
            <w:proofErr w:type="spellEnd"/>
            <w:r w:rsidRPr="007E4C88">
              <w:rPr>
                <w:rFonts w:ascii="Times New Roman" w:hAnsi="Times New Roman" w:cs="Times New Roman"/>
                <w:bCs/>
                <w:sz w:val="16"/>
                <w:szCs w:val="18"/>
              </w:rPr>
              <w:t xml:space="preserve"> 2017</w:t>
            </w:r>
          </w:p>
        </w:tc>
        <w:tc>
          <w:tcPr>
            <w:tcW w:w="6521" w:type="dxa"/>
            <w:tcBorders>
              <w:top w:val="nil"/>
              <w:left w:val="nil"/>
              <w:bottom w:val="nil"/>
              <w:right w:val="nil"/>
            </w:tcBorders>
            <w:vAlign w:val="center"/>
          </w:tcPr>
          <w:p w14:paraId="5A8F6E41"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Race, sex, BMI, HbA1c, eGFR, region, coronary artery disease, heart failure, atrial fibrillation, hypertension, hyperlipidemia, peripheral artery disease, eye disease, cancer, arthritis, substance abuse, major psychiatric disease, number of drug classes, number of visits prior to baseline, year first prescription.</w:t>
            </w:r>
          </w:p>
        </w:tc>
      </w:tr>
      <w:tr w:rsidR="007E4C88" w:rsidRPr="007E4C88" w14:paraId="7FFBABD7" w14:textId="77777777" w:rsidTr="00BE739E">
        <w:trPr>
          <w:trHeight w:val="397"/>
          <w:jc w:val="center"/>
        </w:trPr>
        <w:tc>
          <w:tcPr>
            <w:tcW w:w="1838" w:type="dxa"/>
            <w:tcBorders>
              <w:top w:val="nil"/>
              <w:left w:val="nil"/>
              <w:bottom w:val="nil"/>
              <w:right w:val="nil"/>
            </w:tcBorders>
            <w:vAlign w:val="center"/>
          </w:tcPr>
          <w:p w14:paraId="5E486489"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Ng 2014</w:t>
            </w:r>
          </w:p>
        </w:tc>
        <w:tc>
          <w:tcPr>
            <w:tcW w:w="6521" w:type="dxa"/>
            <w:tcBorders>
              <w:top w:val="nil"/>
              <w:left w:val="nil"/>
              <w:bottom w:val="nil"/>
              <w:right w:val="nil"/>
            </w:tcBorders>
            <w:vAlign w:val="center"/>
          </w:tcPr>
          <w:p w14:paraId="1A45B9F5"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gender, education, other antidiabetic medication use, fasting blood glucose, duration of diabetes, BMI, hypertension, cardiovascular illness or stroke, other medical comorbidities, eGFR, GDS, APOE ε4 allele, and duration of follow up.</w:t>
            </w:r>
          </w:p>
        </w:tc>
      </w:tr>
      <w:tr w:rsidR="007E4C88" w:rsidRPr="007E4C88" w14:paraId="41430268" w14:textId="77777777" w:rsidTr="00AC7D56">
        <w:trPr>
          <w:trHeight w:val="301"/>
          <w:jc w:val="center"/>
        </w:trPr>
        <w:tc>
          <w:tcPr>
            <w:tcW w:w="1838" w:type="dxa"/>
            <w:tcBorders>
              <w:top w:val="nil"/>
              <w:left w:val="nil"/>
              <w:bottom w:val="nil"/>
              <w:right w:val="nil"/>
            </w:tcBorders>
            <w:vAlign w:val="center"/>
          </w:tcPr>
          <w:p w14:paraId="74FC4E04"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Hsiao 2014</w:t>
            </w:r>
          </w:p>
        </w:tc>
        <w:tc>
          <w:tcPr>
            <w:tcW w:w="6521" w:type="dxa"/>
            <w:tcBorders>
              <w:top w:val="nil"/>
              <w:left w:val="nil"/>
              <w:bottom w:val="nil"/>
              <w:right w:val="nil"/>
            </w:tcBorders>
            <w:vAlign w:val="center"/>
          </w:tcPr>
          <w:p w14:paraId="0E49D37C"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Macro-, and microvascular complications, hypertension, hyperlipidemia.</w:t>
            </w:r>
          </w:p>
        </w:tc>
      </w:tr>
      <w:tr w:rsidR="007E4C88" w:rsidRPr="007E4C88" w14:paraId="5A2D8C50" w14:textId="77777777" w:rsidTr="00BE739E">
        <w:trPr>
          <w:trHeight w:val="397"/>
          <w:jc w:val="center"/>
        </w:trPr>
        <w:tc>
          <w:tcPr>
            <w:tcW w:w="1838" w:type="dxa"/>
            <w:tcBorders>
              <w:top w:val="nil"/>
              <w:left w:val="nil"/>
              <w:bottom w:val="nil"/>
              <w:right w:val="nil"/>
            </w:tcBorders>
            <w:vAlign w:val="center"/>
          </w:tcPr>
          <w:p w14:paraId="42C018C3"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Naharci</w:t>
            </w:r>
            <w:proofErr w:type="spellEnd"/>
            <w:r w:rsidRPr="007E4C88">
              <w:rPr>
                <w:rFonts w:ascii="Times New Roman" w:hAnsi="Times New Roman" w:cs="Times New Roman"/>
                <w:bCs/>
                <w:sz w:val="16"/>
                <w:szCs w:val="18"/>
              </w:rPr>
              <w:t xml:space="preserve"> 2016</w:t>
            </w:r>
          </w:p>
        </w:tc>
        <w:tc>
          <w:tcPr>
            <w:tcW w:w="6521" w:type="dxa"/>
            <w:tcBorders>
              <w:top w:val="nil"/>
              <w:left w:val="nil"/>
              <w:bottom w:val="nil"/>
              <w:right w:val="nil"/>
            </w:tcBorders>
            <w:vAlign w:val="center"/>
          </w:tcPr>
          <w:p w14:paraId="5E82C788"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BMI, MMSE scores, and HbA1c.</w:t>
            </w:r>
          </w:p>
        </w:tc>
      </w:tr>
      <w:tr w:rsidR="007E4C88" w:rsidRPr="007E4C88" w14:paraId="4F047341" w14:textId="77777777" w:rsidTr="00BE739E">
        <w:trPr>
          <w:trHeight w:val="397"/>
          <w:jc w:val="center"/>
        </w:trPr>
        <w:tc>
          <w:tcPr>
            <w:tcW w:w="1838" w:type="dxa"/>
            <w:tcBorders>
              <w:top w:val="nil"/>
              <w:left w:val="nil"/>
              <w:bottom w:val="nil"/>
              <w:right w:val="nil"/>
            </w:tcBorders>
            <w:vAlign w:val="center"/>
          </w:tcPr>
          <w:p w14:paraId="206CC616"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Liccini</w:t>
            </w:r>
            <w:proofErr w:type="spellEnd"/>
            <w:r w:rsidRPr="007E4C88">
              <w:rPr>
                <w:rFonts w:ascii="Times New Roman" w:hAnsi="Times New Roman" w:cs="Times New Roman"/>
                <w:bCs/>
                <w:sz w:val="16"/>
                <w:szCs w:val="18"/>
              </w:rPr>
              <w:t xml:space="preserve"> 2016</w:t>
            </w:r>
          </w:p>
        </w:tc>
        <w:tc>
          <w:tcPr>
            <w:tcW w:w="6521" w:type="dxa"/>
            <w:tcBorders>
              <w:top w:val="nil"/>
              <w:left w:val="nil"/>
              <w:bottom w:val="nil"/>
              <w:right w:val="nil"/>
            </w:tcBorders>
            <w:vAlign w:val="center"/>
          </w:tcPr>
          <w:p w14:paraId="07F7F87C"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education, and HbA1c.</w:t>
            </w:r>
          </w:p>
        </w:tc>
      </w:tr>
      <w:tr w:rsidR="007E4C88" w:rsidRPr="007E4C88" w14:paraId="5BA420FC" w14:textId="77777777" w:rsidTr="00BE739E">
        <w:trPr>
          <w:trHeight w:val="397"/>
          <w:jc w:val="center"/>
        </w:trPr>
        <w:tc>
          <w:tcPr>
            <w:tcW w:w="1838" w:type="dxa"/>
            <w:tcBorders>
              <w:top w:val="nil"/>
              <w:left w:val="nil"/>
              <w:bottom w:val="nil"/>
              <w:right w:val="nil"/>
            </w:tcBorders>
            <w:vAlign w:val="center"/>
          </w:tcPr>
          <w:p w14:paraId="78C66604"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Moore 2013</w:t>
            </w:r>
          </w:p>
        </w:tc>
        <w:tc>
          <w:tcPr>
            <w:tcW w:w="6521" w:type="dxa"/>
            <w:tcBorders>
              <w:top w:val="nil"/>
              <w:left w:val="nil"/>
              <w:bottom w:val="nil"/>
              <w:right w:val="nil"/>
            </w:tcBorders>
            <w:vAlign w:val="center"/>
          </w:tcPr>
          <w:p w14:paraId="6E44ACC0"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level of education, history of depression, serum vitamin B12.</w:t>
            </w:r>
          </w:p>
        </w:tc>
      </w:tr>
      <w:tr w:rsidR="007E4C88" w:rsidRPr="007E4C88" w14:paraId="3F5178D2" w14:textId="77777777" w:rsidTr="00AC7D56">
        <w:trPr>
          <w:trHeight w:val="507"/>
          <w:jc w:val="center"/>
        </w:trPr>
        <w:tc>
          <w:tcPr>
            <w:tcW w:w="1838" w:type="dxa"/>
            <w:tcBorders>
              <w:top w:val="nil"/>
              <w:left w:val="nil"/>
              <w:bottom w:val="nil"/>
              <w:right w:val="nil"/>
            </w:tcBorders>
            <w:vAlign w:val="center"/>
          </w:tcPr>
          <w:p w14:paraId="4292384A"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Yokoyama 2015</w:t>
            </w:r>
          </w:p>
        </w:tc>
        <w:tc>
          <w:tcPr>
            <w:tcW w:w="6521" w:type="dxa"/>
            <w:tcBorders>
              <w:top w:val="nil"/>
              <w:left w:val="nil"/>
              <w:bottom w:val="nil"/>
              <w:right w:val="nil"/>
            </w:tcBorders>
            <w:vAlign w:val="center"/>
          </w:tcPr>
          <w:p w14:paraId="7E86596D"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BMI, current smoker, duration of diabetes, hypertension, dyslipidemia, and</w:t>
            </w:r>
          </w:p>
          <w:p w14:paraId="0321B60B"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history of coronary heart disease and stroke.</w:t>
            </w:r>
          </w:p>
        </w:tc>
      </w:tr>
      <w:tr w:rsidR="007E4C88" w:rsidRPr="007E4C88" w14:paraId="1BA634EA" w14:textId="77777777" w:rsidTr="00BE739E">
        <w:trPr>
          <w:trHeight w:val="2267"/>
          <w:jc w:val="center"/>
        </w:trPr>
        <w:tc>
          <w:tcPr>
            <w:tcW w:w="1838" w:type="dxa"/>
            <w:tcBorders>
              <w:top w:val="nil"/>
              <w:left w:val="nil"/>
              <w:bottom w:val="nil"/>
              <w:right w:val="nil"/>
            </w:tcBorders>
            <w:vAlign w:val="center"/>
          </w:tcPr>
          <w:p w14:paraId="3394EC4E"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Scherrer 2019</w:t>
            </w:r>
          </w:p>
        </w:tc>
        <w:tc>
          <w:tcPr>
            <w:tcW w:w="6521" w:type="dxa"/>
            <w:tcBorders>
              <w:top w:val="nil"/>
              <w:left w:val="nil"/>
              <w:bottom w:val="nil"/>
              <w:right w:val="nil"/>
            </w:tcBorders>
            <w:vAlign w:val="center"/>
          </w:tcPr>
          <w:p w14:paraId="733A38E9"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Sociodemographic variables</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included age, sex, and marital</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status using the values nearest to</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and before metformin or sulfonylurea prescription fill. Diabetes</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complications (neuropathy, retinopathy, nephropathy),</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hypertension, hyperlipidemia, stroke or cerebrovascular disease, ischemic heart disease, congestive heart failure, atrial fibrillation</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or flutter, traumatic brain injury,</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vitamin B12 deficiency, obesity, depression,</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bipolar disorder, schizophrenia,</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posttraumatic stress disorder, and a composite anxiety</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disorder variable that included</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panic disorder, social phobia,</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obsessive compulsive disorder,</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generalized anxiety disorder, and</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anxiety disorder not otherwise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specified alcohol abuse/dependence, illicit drug</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abuse/dependence, and nicotine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dependence/smoking. Exposure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to anticholinergic medications, nonsteroidal anti-inflammatory</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drugs, statins, and anti-hypertensives, neighborhood socioeconomic status, use of non-VHA care and controlled for year of prescription fill.</w:t>
            </w:r>
          </w:p>
        </w:tc>
      </w:tr>
      <w:tr w:rsidR="007E4C88" w:rsidRPr="007E4C88" w14:paraId="12553605" w14:textId="77777777" w:rsidTr="00BE739E">
        <w:trPr>
          <w:trHeight w:val="840"/>
          <w:jc w:val="center"/>
        </w:trPr>
        <w:tc>
          <w:tcPr>
            <w:tcW w:w="1838" w:type="dxa"/>
            <w:tcBorders>
              <w:top w:val="nil"/>
              <w:left w:val="nil"/>
              <w:bottom w:val="nil"/>
              <w:right w:val="nil"/>
            </w:tcBorders>
            <w:vAlign w:val="center"/>
          </w:tcPr>
          <w:p w14:paraId="5248A8A2"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Sečník</w:t>
            </w:r>
            <w:proofErr w:type="spellEnd"/>
            <w:r w:rsidRPr="007E4C88">
              <w:rPr>
                <w:rFonts w:ascii="Times New Roman" w:hAnsi="Times New Roman" w:cs="Times New Roman"/>
                <w:bCs/>
                <w:sz w:val="16"/>
                <w:szCs w:val="18"/>
              </w:rPr>
              <w:t xml:space="preserve"> 2021</w:t>
            </w:r>
          </w:p>
        </w:tc>
        <w:tc>
          <w:tcPr>
            <w:tcW w:w="6521" w:type="dxa"/>
            <w:tcBorders>
              <w:top w:val="nil"/>
              <w:left w:val="nil"/>
              <w:bottom w:val="nil"/>
              <w:right w:val="nil"/>
            </w:tcBorders>
            <w:vAlign w:val="center"/>
          </w:tcPr>
          <w:p w14:paraId="487A2E76"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Sex, comorbidity index, renal disease, diabetes type and duration, cardiovascular, antithrombotic, psychotropic and dementia medication, income, other antidiabetic medications, cohabitation, dementia type and MMSE.</w:t>
            </w:r>
          </w:p>
        </w:tc>
      </w:tr>
      <w:tr w:rsidR="007E4C88" w:rsidRPr="007E4C88" w14:paraId="776F859D" w14:textId="77777777" w:rsidTr="00BE739E">
        <w:trPr>
          <w:trHeight w:val="852"/>
          <w:jc w:val="center"/>
        </w:trPr>
        <w:tc>
          <w:tcPr>
            <w:tcW w:w="1838" w:type="dxa"/>
            <w:tcBorders>
              <w:top w:val="nil"/>
              <w:left w:val="nil"/>
              <w:bottom w:val="nil"/>
              <w:right w:val="nil"/>
            </w:tcBorders>
            <w:vAlign w:val="center"/>
          </w:tcPr>
          <w:p w14:paraId="6A06066D"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Secnik</w:t>
            </w:r>
            <w:proofErr w:type="spellEnd"/>
            <w:r w:rsidRPr="007E4C88">
              <w:rPr>
                <w:rFonts w:ascii="Times New Roman" w:hAnsi="Times New Roman" w:cs="Times New Roman"/>
                <w:bCs/>
                <w:sz w:val="16"/>
                <w:szCs w:val="18"/>
              </w:rPr>
              <w:t xml:space="preserve"> 2020</w:t>
            </w:r>
          </w:p>
        </w:tc>
        <w:tc>
          <w:tcPr>
            <w:tcW w:w="6521" w:type="dxa"/>
            <w:tcBorders>
              <w:top w:val="nil"/>
              <w:left w:val="nil"/>
              <w:bottom w:val="nil"/>
              <w:right w:val="nil"/>
            </w:tcBorders>
            <w:vAlign w:val="center"/>
          </w:tcPr>
          <w:p w14:paraId="04316EAD"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 xml:space="preserve">Dementia status, index year, sex, age, diabetes duration and type, </w:t>
            </w:r>
            <w:proofErr w:type="spellStart"/>
            <w:r w:rsidRPr="007E4C88">
              <w:rPr>
                <w:rFonts w:ascii="Times New Roman" w:hAnsi="Times New Roman" w:cs="Times New Roman"/>
                <w:bCs/>
                <w:sz w:val="16"/>
                <w:szCs w:val="18"/>
              </w:rPr>
              <w:t>Charlson</w:t>
            </w:r>
            <w:proofErr w:type="spellEnd"/>
            <w:r w:rsidRPr="007E4C88">
              <w:rPr>
                <w:rFonts w:ascii="Times New Roman" w:hAnsi="Times New Roman" w:cs="Times New Roman"/>
                <w:bCs/>
                <w:sz w:val="16"/>
                <w:szCs w:val="18"/>
              </w:rPr>
              <w:t xml:space="preserve"> comorbidity index, renal failure, cardiovascular, antithrombotic, antipsychotic, antidepressant, hypnotic/sedative and anxiolytic drugs, education, income group, usage of other antidiabetic drugs.</w:t>
            </w:r>
          </w:p>
        </w:tc>
      </w:tr>
      <w:tr w:rsidR="007E4C88" w:rsidRPr="007E4C88" w14:paraId="43BE05E0" w14:textId="77777777" w:rsidTr="00BE739E">
        <w:trPr>
          <w:trHeight w:val="397"/>
          <w:jc w:val="center"/>
        </w:trPr>
        <w:tc>
          <w:tcPr>
            <w:tcW w:w="1838" w:type="dxa"/>
            <w:tcBorders>
              <w:top w:val="nil"/>
              <w:left w:val="nil"/>
              <w:bottom w:val="nil"/>
              <w:right w:val="nil"/>
            </w:tcBorders>
            <w:vAlign w:val="center"/>
          </w:tcPr>
          <w:p w14:paraId="0C65BCAB"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Sluggett</w:t>
            </w:r>
            <w:proofErr w:type="spellEnd"/>
            <w:r w:rsidRPr="007E4C88">
              <w:rPr>
                <w:rFonts w:ascii="Times New Roman" w:hAnsi="Times New Roman" w:cs="Times New Roman"/>
                <w:bCs/>
                <w:sz w:val="16"/>
                <w:szCs w:val="18"/>
              </w:rPr>
              <w:t xml:space="preserve"> 2020</w:t>
            </w:r>
          </w:p>
        </w:tc>
        <w:tc>
          <w:tcPr>
            <w:tcW w:w="6521" w:type="dxa"/>
            <w:tcBorders>
              <w:top w:val="nil"/>
              <w:left w:val="nil"/>
              <w:bottom w:val="nil"/>
              <w:right w:val="nil"/>
            </w:tcBorders>
            <w:vAlign w:val="center"/>
          </w:tcPr>
          <w:p w14:paraId="36039D80"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Region of residence, occupational social class, cardiovascular disease (stroke, hypertension, coronary artery disease, chronic heart failure, atrial fibrillation, peripheral arterial disease), psychiatric disorders (bipolar, schizophrenia, depression), renal disease, statin use, antihypertensive use, and use of sulfonylureas, insulin and other diabetes medications.</w:t>
            </w:r>
          </w:p>
        </w:tc>
      </w:tr>
      <w:tr w:rsidR="007E4C88" w:rsidRPr="007E4C88" w14:paraId="0C889B48" w14:textId="77777777" w:rsidTr="00BE739E">
        <w:trPr>
          <w:trHeight w:val="397"/>
          <w:jc w:val="center"/>
        </w:trPr>
        <w:tc>
          <w:tcPr>
            <w:tcW w:w="1838" w:type="dxa"/>
            <w:tcBorders>
              <w:top w:val="nil"/>
              <w:left w:val="nil"/>
              <w:bottom w:val="nil"/>
              <w:right w:val="nil"/>
            </w:tcBorders>
            <w:vAlign w:val="center"/>
          </w:tcPr>
          <w:p w14:paraId="6BF43C10"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Teng 2021</w:t>
            </w:r>
          </w:p>
        </w:tc>
        <w:tc>
          <w:tcPr>
            <w:tcW w:w="6521" w:type="dxa"/>
            <w:tcBorders>
              <w:top w:val="nil"/>
              <w:left w:val="nil"/>
              <w:bottom w:val="nil"/>
              <w:right w:val="nil"/>
            </w:tcBorders>
            <w:vAlign w:val="center"/>
          </w:tcPr>
          <w:p w14:paraId="13B11BEA"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HbA1c, hypertension, history of stroke, homocysteine, body mass index, TG and HDL-C.</w:t>
            </w:r>
          </w:p>
        </w:tc>
      </w:tr>
      <w:tr w:rsidR="007E4C88" w:rsidRPr="007E4C88" w14:paraId="7E45922E" w14:textId="77777777" w:rsidTr="00BE739E">
        <w:trPr>
          <w:trHeight w:val="397"/>
          <w:jc w:val="center"/>
        </w:trPr>
        <w:tc>
          <w:tcPr>
            <w:tcW w:w="1838" w:type="dxa"/>
            <w:tcBorders>
              <w:top w:val="nil"/>
              <w:left w:val="nil"/>
              <w:bottom w:val="nil"/>
              <w:right w:val="nil"/>
            </w:tcBorders>
            <w:vAlign w:val="center"/>
          </w:tcPr>
          <w:p w14:paraId="6FB9C044"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Wium</w:t>
            </w:r>
            <w:proofErr w:type="spellEnd"/>
            <w:r w:rsidRPr="007E4C88">
              <w:rPr>
                <w:rFonts w:ascii="Times New Roman" w:hAnsi="Times New Roman" w:cs="Times New Roman"/>
                <w:bCs/>
                <w:sz w:val="16"/>
                <w:szCs w:val="18"/>
              </w:rPr>
              <w:t>-Andersen 2019</w:t>
            </w:r>
          </w:p>
        </w:tc>
        <w:tc>
          <w:tcPr>
            <w:tcW w:w="6521" w:type="dxa"/>
            <w:tcBorders>
              <w:top w:val="nil"/>
              <w:left w:val="nil"/>
              <w:bottom w:val="nil"/>
              <w:right w:val="nil"/>
            </w:tcBorders>
            <w:vAlign w:val="center"/>
          </w:tcPr>
          <w:p w14:paraId="4411E9DD"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Multiple adjustments include age, sex, education, marital status, year of dementia diagnosis, ischemic heart disease, cerebrovascular disease, clopidogrel/warfarin/aspirin use, hypertension, obesity, hypercholesterolemia, infections, chronic obstructive pulmonary disease, inflammatory disorder, depression, alcohol use disorder, and number of acute and chronic diabetes complications.</w:t>
            </w:r>
          </w:p>
        </w:tc>
      </w:tr>
      <w:tr w:rsidR="007E4C88" w:rsidRPr="007E4C88" w14:paraId="50248F9F" w14:textId="77777777" w:rsidTr="00BE739E">
        <w:trPr>
          <w:trHeight w:val="1135"/>
          <w:jc w:val="center"/>
        </w:trPr>
        <w:tc>
          <w:tcPr>
            <w:tcW w:w="1838" w:type="dxa"/>
            <w:tcBorders>
              <w:top w:val="nil"/>
              <w:left w:val="nil"/>
              <w:bottom w:val="nil"/>
              <w:right w:val="nil"/>
            </w:tcBorders>
            <w:vAlign w:val="center"/>
          </w:tcPr>
          <w:p w14:paraId="4E05F92E"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lastRenderedPageBreak/>
              <w:t>Shi 2019</w:t>
            </w:r>
          </w:p>
        </w:tc>
        <w:tc>
          <w:tcPr>
            <w:tcW w:w="6521" w:type="dxa"/>
            <w:tcBorders>
              <w:top w:val="nil"/>
              <w:left w:val="nil"/>
              <w:bottom w:val="nil"/>
              <w:right w:val="nil"/>
            </w:tcBorders>
            <w:vAlign w:val="center"/>
          </w:tcPr>
          <w:p w14:paraId="563526F6"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Propensity score weight: balancing</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 xml:space="preserve">cohort demographics (age, sex, race), antidiabetic medication, antihypertension medication and </w:t>
            </w:r>
            <w:proofErr w:type="spellStart"/>
            <w:r w:rsidRPr="007E4C88">
              <w:rPr>
                <w:rFonts w:ascii="Times New Roman" w:hAnsi="Times New Roman" w:cs="Times New Roman"/>
                <w:bCs/>
                <w:sz w:val="16"/>
                <w:szCs w:val="18"/>
              </w:rPr>
              <w:t>antidyslipidaemia</w:t>
            </w:r>
            <w:proofErr w:type="spellEnd"/>
            <w:r w:rsidRPr="007E4C88">
              <w:rPr>
                <w:rFonts w:ascii="Times New Roman" w:hAnsi="Times New Roman" w:cs="Times New Roman"/>
                <w:bCs/>
                <w:sz w:val="16"/>
                <w:szCs w:val="18"/>
              </w:rPr>
              <w:t xml:space="preserve"> medication during follow-up and oral antidiabetic medication</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 xml:space="preserve">use, medical characteristics (microvascular complications macrovascular complications, hypertension, </w:t>
            </w:r>
            <w:proofErr w:type="spellStart"/>
            <w:r w:rsidRPr="007E4C88">
              <w:rPr>
                <w:rFonts w:ascii="Times New Roman" w:hAnsi="Times New Roman" w:cs="Times New Roman"/>
                <w:bCs/>
                <w:sz w:val="16"/>
                <w:szCs w:val="18"/>
              </w:rPr>
              <w:t>hyperglycaemia</w:t>
            </w:r>
            <w:proofErr w:type="spellEnd"/>
            <w:r w:rsidRPr="007E4C88">
              <w:rPr>
                <w:rFonts w:ascii="Times New Roman" w:hAnsi="Times New Roman" w:cs="Times New Roman"/>
                <w:bCs/>
                <w:sz w:val="16"/>
                <w:szCs w:val="18"/>
              </w:rPr>
              <w:t xml:space="preserve">, </w:t>
            </w:r>
            <w:proofErr w:type="spellStart"/>
            <w:r w:rsidRPr="007E4C88">
              <w:rPr>
                <w:rFonts w:ascii="Times New Roman" w:hAnsi="Times New Roman" w:cs="Times New Roman"/>
                <w:bCs/>
                <w:sz w:val="16"/>
                <w:szCs w:val="18"/>
              </w:rPr>
              <w:t>hyperlipidaemia</w:t>
            </w:r>
            <w:proofErr w:type="spellEnd"/>
            <w:r w:rsidRPr="007E4C88">
              <w:rPr>
                <w:rFonts w:ascii="Times New Roman" w:hAnsi="Times New Roman" w:cs="Times New Roman"/>
                <w:bCs/>
                <w:sz w:val="16"/>
                <w:szCs w:val="18"/>
              </w:rPr>
              <w:t xml:space="preserve">, renal disease, </w:t>
            </w:r>
            <w:r w:rsidRPr="007E4C88">
              <w:rPr>
                <w:rFonts w:ascii="Times New Roman" w:hAnsi="Times New Roman" w:cs="Times New Roman" w:hint="eastAsia"/>
                <w:bCs/>
                <w:sz w:val="16"/>
                <w:szCs w:val="18"/>
              </w:rPr>
              <w:t>m</w:t>
            </w:r>
            <w:r w:rsidRPr="007E4C88">
              <w:rPr>
                <w:rFonts w:ascii="Times New Roman" w:hAnsi="Times New Roman" w:cs="Times New Roman"/>
                <w:bCs/>
                <w:sz w:val="16"/>
                <w:szCs w:val="18"/>
              </w:rPr>
              <w:t>ental disease, obesity, tobacco)</w:t>
            </w:r>
          </w:p>
        </w:tc>
      </w:tr>
      <w:tr w:rsidR="007E4C88" w:rsidRPr="007E4C88" w14:paraId="0013C9D3" w14:textId="77777777" w:rsidTr="00BE739E">
        <w:trPr>
          <w:trHeight w:val="397"/>
          <w:jc w:val="center"/>
        </w:trPr>
        <w:tc>
          <w:tcPr>
            <w:tcW w:w="1838" w:type="dxa"/>
            <w:tcBorders>
              <w:top w:val="nil"/>
              <w:left w:val="nil"/>
              <w:bottom w:val="nil"/>
              <w:right w:val="nil"/>
            </w:tcBorders>
            <w:vAlign w:val="center"/>
          </w:tcPr>
          <w:p w14:paraId="25A6A1F4" w14:textId="77777777" w:rsidR="007E4C88" w:rsidRPr="007E4C88" w:rsidRDefault="007E4C88" w:rsidP="007E4C88">
            <w:pPr>
              <w:jc w:val="center"/>
              <w:rPr>
                <w:rFonts w:ascii="Times New Roman" w:hAnsi="Times New Roman" w:cs="Times New Roman"/>
                <w:bCs/>
                <w:sz w:val="16"/>
                <w:szCs w:val="18"/>
              </w:rPr>
            </w:pPr>
            <w:proofErr w:type="spellStart"/>
            <w:r w:rsidRPr="007E4C88">
              <w:rPr>
                <w:rFonts w:ascii="Times New Roman" w:hAnsi="Times New Roman" w:cs="Times New Roman"/>
                <w:bCs/>
                <w:sz w:val="16"/>
                <w:szCs w:val="18"/>
              </w:rPr>
              <w:t>Bohlken</w:t>
            </w:r>
            <w:proofErr w:type="spellEnd"/>
            <w:r w:rsidRPr="007E4C88">
              <w:rPr>
                <w:rFonts w:ascii="Times New Roman" w:hAnsi="Times New Roman" w:cs="Times New Roman"/>
                <w:bCs/>
                <w:sz w:val="16"/>
                <w:szCs w:val="18"/>
              </w:rPr>
              <w:t xml:space="preserve"> 2018</w:t>
            </w:r>
          </w:p>
        </w:tc>
        <w:tc>
          <w:tcPr>
            <w:tcW w:w="6521" w:type="dxa"/>
            <w:tcBorders>
              <w:top w:val="nil"/>
              <w:left w:val="nil"/>
              <w:bottom w:val="nil"/>
              <w:right w:val="nil"/>
            </w:tcBorders>
            <w:vAlign w:val="center"/>
          </w:tcPr>
          <w:p w14:paraId="049FC34B" w14:textId="77777777" w:rsidR="007E4C88" w:rsidRPr="007E4C88" w:rsidRDefault="007E4C88" w:rsidP="007E4C88">
            <w:pPr>
              <w:tabs>
                <w:tab w:val="left" w:pos="360"/>
              </w:tabs>
              <w:rPr>
                <w:rFonts w:ascii="Times New Roman" w:hAnsi="Times New Roman" w:cs="Times New Roman"/>
                <w:bCs/>
                <w:sz w:val="16"/>
                <w:szCs w:val="18"/>
              </w:rPr>
            </w:pPr>
            <w:r w:rsidRPr="007E4C88">
              <w:rPr>
                <w:rFonts w:ascii="Times New Roman" w:hAnsi="Times New Roman" w:cs="Times New Roman"/>
                <w:bCs/>
                <w:sz w:val="16"/>
                <w:szCs w:val="18"/>
              </w:rPr>
              <w:t>Basic characteristics of study was matched (1:1) by age, sex, index year, and physician;</w:t>
            </w:r>
            <w:r w:rsidRPr="007E4C88">
              <w:rPr>
                <w:rFonts w:ascii="Times New Roman" w:hAnsi="Times New Roman" w:cs="Times New Roman"/>
              </w:rPr>
              <w:t xml:space="preserve"> </w:t>
            </w:r>
            <w:r w:rsidRPr="007E4C88">
              <w:rPr>
                <w:rFonts w:ascii="Times New Roman" w:hAnsi="Times New Roman" w:cs="Times New Roman"/>
                <w:bCs/>
                <w:sz w:val="16"/>
                <w:szCs w:val="18"/>
              </w:rPr>
              <w:t>adjusted for mean HbA1c value prior to the index date, diabetes duration, co-diagnoses, and co-therapies.</w:t>
            </w:r>
          </w:p>
        </w:tc>
      </w:tr>
      <w:tr w:rsidR="007E4C88" w:rsidRPr="007E4C88" w14:paraId="706C7D8B" w14:textId="77777777" w:rsidTr="00BE739E">
        <w:trPr>
          <w:trHeight w:val="397"/>
          <w:jc w:val="center"/>
        </w:trPr>
        <w:tc>
          <w:tcPr>
            <w:tcW w:w="1838" w:type="dxa"/>
            <w:tcBorders>
              <w:top w:val="nil"/>
              <w:left w:val="nil"/>
              <w:bottom w:val="nil"/>
              <w:right w:val="nil"/>
            </w:tcBorders>
            <w:vAlign w:val="center"/>
          </w:tcPr>
          <w:p w14:paraId="12325243"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Porter 2019</w:t>
            </w:r>
          </w:p>
        </w:tc>
        <w:tc>
          <w:tcPr>
            <w:tcW w:w="6521" w:type="dxa"/>
            <w:tcBorders>
              <w:top w:val="nil"/>
              <w:left w:val="nil"/>
              <w:bottom w:val="nil"/>
              <w:right w:val="nil"/>
            </w:tcBorders>
            <w:vAlign w:val="center"/>
          </w:tcPr>
          <w:p w14:paraId="2F8A8712"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BMI, GFR, education, socioeconomic status.</w:t>
            </w:r>
          </w:p>
        </w:tc>
      </w:tr>
      <w:tr w:rsidR="007E4C88" w:rsidRPr="007E4C88" w14:paraId="42EC5C1E" w14:textId="77777777" w:rsidTr="00BE739E">
        <w:trPr>
          <w:trHeight w:val="397"/>
          <w:jc w:val="center"/>
        </w:trPr>
        <w:tc>
          <w:tcPr>
            <w:tcW w:w="1838" w:type="dxa"/>
            <w:tcBorders>
              <w:top w:val="nil"/>
              <w:left w:val="nil"/>
              <w:bottom w:val="nil"/>
              <w:right w:val="nil"/>
            </w:tcBorders>
            <w:vAlign w:val="center"/>
          </w:tcPr>
          <w:p w14:paraId="0D193A7B"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Kim 2019</w:t>
            </w:r>
          </w:p>
        </w:tc>
        <w:tc>
          <w:tcPr>
            <w:tcW w:w="6521" w:type="dxa"/>
            <w:tcBorders>
              <w:top w:val="nil"/>
              <w:left w:val="nil"/>
              <w:bottom w:val="nil"/>
              <w:right w:val="nil"/>
            </w:tcBorders>
            <w:vAlign w:val="center"/>
          </w:tcPr>
          <w:p w14:paraId="1BE53343"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 xml:space="preserve">Age, sex, comorbidities, and </w:t>
            </w:r>
            <w:proofErr w:type="spellStart"/>
            <w:r w:rsidRPr="007E4C88">
              <w:rPr>
                <w:rFonts w:ascii="Times New Roman" w:hAnsi="Times New Roman" w:cs="Times New Roman"/>
                <w:bCs/>
                <w:sz w:val="16"/>
                <w:szCs w:val="18"/>
              </w:rPr>
              <w:t>Charlson</w:t>
            </w:r>
            <w:proofErr w:type="spellEnd"/>
            <w:r w:rsidRPr="007E4C88">
              <w:rPr>
                <w:rFonts w:ascii="Times New Roman" w:hAnsi="Times New Roman" w:cs="Times New Roman"/>
                <w:bCs/>
                <w:sz w:val="16"/>
                <w:szCs w:val="18"/>
              </w:rPr>
              <w:t xml:space="preserve"> comorbidities index.</w:t>
            </w:r>
          </w:p>
        </w:tc>
      </w:tr>
      <w:tr w:rsidR="007E4C88" w:rsidRPr="007E4C88" w14:paraId="40864ABE" w14:textId="77777777" w:rsidTr="00BE739E">
        <w:trPr>
          <w:trHeight w:val="1918"/>
          <w:jc w:val="center"/>
        </w:trPr>
        <w:tc>
          <w:tcPr>
            <w:tcW w:w="1838" w:type="dxa"/>
            <w:tcBorders>
              <w:top w:val="nil"/>
              <w:left w:val="nil"/>
              <w:bottom w:val="nil"/>
              <w:right w:val="nil"/>
            </w:tcBorders>
            <w:vAlign w:val="center"/>
          </w:tcPr>
          <w:p w14:paraId="0096CF62"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Tseng 2019</w:t>
            </w:r>
          </w:p>
        </w:tc>
        <w:tc>
          <w:tcPr>
            <w:tcW w:w="6521" w:type="dxa"/>
            <w:tcBorders>
              <w:top w:val="nil"/>
              <w:left w:val="nil"/>
              <w:bottom w:val="nil"/>
              <w:right w:val="nil"/>
            </w:tcBorders>
            <w:vAlign w:val="center"/>
          </w:tcPr>
          <w:p w14:paraId="349E85F8"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 matched-pair cohort was created by propensity score, matching was performed for demographic data (age, sex, occupation and living region),</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major comorbidities (hypertension, dyslipidemia and</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obesity), diabetes-related complications (nephropathy,</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eye disease, stroke, ischemic heart disease and peripheral</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arterial disease), antidiabetic drugs (insulin, sulfonylureas</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meglitinide, acarbose, rosiglitazone and pioglitazone),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commonly encountered comorbidities (chronic</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obstructive pulmonary disease, tobacco abuse, alcohol-related diagnoses, head injury and Parkinson’s disease)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and commonly used medications in diabetes patients</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(angiotensin converting enzyme inhibitor/angiotensin</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receptor blocker, calcium channel blocker, statin, fibrate</w:t>
            </w:r>
            <w:r w:rsidRPr="007E4C88">
              <w:rPr>
                <w:rFonts w:ascii="Times New Roman" w:hAnsi="Times New Roman" w:cs="Times New Roman" w:hint="eastAsia"/>
                <w:bCs/>
                <w:sz w:val="16"/>
                <w:szCs w:val="18"/>
              </w:rPr>
              <w:t xml:space="preserve"> </w:t>
            </w:r>
            <w:r w:rsidRPr="007E4C88">
              <w:rPr>
                <w:rFonts w:ascii="Times New Roman" w:hAnsi="Times New Roman" w:cs="Times New Roman"/>
                <w:bCs/>
                <w:sz w:val="16"/>
                <w:szCs w:val="18"/>
              </w:rPr>
              <w:t>and aspirin).</w:t>
            </w:r>
          </w:p>
        </w:tc>
      </w:tr>
      <w:tr w:rsidR="007E4C88" w:rsidRPr="007E4C88" w14:paraId="1ED10EFA" w14:textId="77777777" w:rsidTr="00BE739E">
        <w:trPr>
          <w:trHeight w:val="397"/>
          <w:jc w:val="center"/>
        </w:trPr>
        <w:tc>
          <w:tcPr>
            <w:tcW w:w="1838" w:type="dxa"/>
            <w:tcBorders>
              <w:top w:val="nil"/>
              <w:left w:val="nil"/>
              <w:bottom w:val="nil"/>
              <w:right w:val="nil"/>
            </w:tcBorders>
            <w:vAlign w:val="center"/>
          </w:tcPr>
          <w:p w14:paraId="7AEE4395"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Weinstein 2019</w:t>
            </w:r>
          </w:p>
        </w:tc>
        <w:tc>
          <w:tcPr>
            <w:tcW w:w="6521" w:type="dxa"/>
            <w:tcBorders>
              <w:top w:val="nil"/>
              <w:left w:val="nil"/>
              <w:bottom w:val="nil"/>
              <w:right w:val="nil"/>
            </w:tcBorders>
            <w:vAlign w:val="center"/>
          </w:tcPr>
          <w:p w14:paraId="21A3AA82"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education, eGFR, interval between exam cycles and cognitive/MRI examination (except for cognitive change outcomes), physical activity, hypertension, cardiovascular disease, stroke, total cholesterol, smoking, depression, and BMI. In a subsequent model we also controlled for HbA1c or fasting or random blood glucose (depending on cohort-specific data availability) and ApoE4.</w:t>
            </w:r>
          </w:p>
        </w:tc>
      </w:tr>
      <w:tr w:rsidR="007E4C88" w:rsidRPr="007E4C88" w14:paraId="35192109" w14:textId="77777777" w:rsidTr="00BE739E">
        <w:trPr>
          <w:trHeight w:val="397"/>
          <w:jc w:val="center"/>
        </w:trPr>
        <w:tc>
          <w:tcPr>
            <w:tcW w:w="1838" w:type="dxa"/>
            <w:tcBorders>
              <w:top w:val="nil"/>
              <w:left w:val="nil"/>
              <w:bottom w:val="nil"/>
              <w:right w:val="nil"/>
            </w:tcBorders>
            <w:vAlign w:val="center"/>
          </w:tcPr>
          <w:p w14:paraId="553846D0"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Akimoto 2020</w:t>
            </w:r>
          </w:p>
        </w:tc>
        <w:tc>
          <w:tcPr>
            <w:tcW w:w="6521" w:type="dxa"/>
            <w:tcBorders>
              <w:top w:val="nil"/>
              <w:left w:val="nil"/>
              <w:bottom w:val="nil"/>
              <w:right w:val="nil"/>
            </w:tcBorders>
            <w:vAlign w:val="center"/>
          </w:tcPr>
          <w:p w14:paraId="6B018A07" w14:textId="77777777" w:rsidR="007E4C88" w:rsidRPr="007E4C88" w:rsidRDefault="007E4C88" w:rsidP="007E4C88">
            <w:pPr>
              <w:tabs>
                <w:tab w:val="left" w:pos="360"/>
              </w:tabs>
              <w:rPr>
                <w:rFonts w:ascii="Times New Roman" w:hAnsi="Times New Roman" w:cs="Times New Roman"/>
                <w:bCs/>
                <w:sz w:val="16"/>
                <w:szCs w:val="18"/>
              </w:rPr>
            </w:pPr>
            <w:r w:rsidRPr="007E4C88">
              <w:rPr>
                <w:rFonts w:ascii="Times New Roman" w:hAnsi="Times New Roman" w:cs="Times New Roman"/>
                <w:bCs/>
                <w:sz w:val="16"/>
                <w:szCs w:val="18"/>
              </w:rPr>
              <w:t>Age, gender and common comorbidities.</w:t>
            </w:r>
          </w:p>
        </w:tc>
      </w:tr>
      <w:tr w:rsidR="007E4C88" w:rsidRPr="007E4C88" w14:paraId="2C10083A" w14:textId="77777777" w:rsidTr="00BE739E">
        <w:trPr>
          <w:trHeight w:val="397"/>
          <w:jc w:val="center"/>
        </w:trPr>
        <w:tc>
          <w:tcPr>
            <w:tcW w:w="1838" w:type="dxa"/>
            <w:tcBorders>
              <w:top w:val="nil"/>
              <w:left w:val="nil"/>
              <w:bottom w:val="nil"/>
              <w:right w:val="nil"/>
            </w:tcBorders>
            <w:vAlign w:val="center"/>
          </w:tcPr>
          <w:p w14:paraId="20151EBA"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Ha 2021</w:t>
            </w:r>
          </w:p>
        </w:tc>
        <w:tc>
          <w:tcPr>
            <w:tcW w:w="6521" w:type="dxa"/>
            <w:tcBorders>
              <w:top w:val="nil"/>
              <w:left w:val="nil"/>
              <w:bottom w:val="nil"/>
              <w:right w:val="nil"/>
            </w:tcBorders>
            <w:vAlign w:val="center"/>
          </w:tcPr>
          <w:p w14:paraId="654891D8"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 xml:space="preserve">Hypertension, ischemic heart disease, dyslipidemia, </w:t>
            </w:r>
            <w:proofErr w:type="spellStart"/>
            <w:r w:rsidRPr="007E4C88">
              <w:rPr>
                <w:rFonts w:ascii="Times New Roman" w:hAnsi="Times New Roman" w:cs="Times New Roman"/>
                <w:bCs/>
                <w:sz w:val="16"/>
                <w:szCs w:val="18"/>
              </w:rPr>
              <w:t>Charlson</w:t>
            </w:r>
            <w:proofErr w:type="spellEnd"/>
            <w:r w:rsidRPr="007E4C88">
              <w:rPr>
                <w:rFonts w:ascii="Times New Roman" w:hAnsi="Times New Roman" w:cs="Times New Roman"/>
                <w:bCs/>
                <w:sz w:val="16"/>
                <w:szCs w:val="18"/>
              </w:rPr>
              <w:t xml:space="preserve"> comorbidity index, diabetes complications severity index, depression, statin use, aspirin use, antiplatelet use, anticoagulant use, antihypertensive drug use, antiarrhythmic drug use, use of antidiabetic medications, fasting blood glucose levels, systolic blood pressure, diastolic blood pressure, total cholesterol levels, creatinine levels, body mass index, smoking status, alcohol consumption, and physical activity.</w:t>
            </w:r>
          </w:p>
        </w:tc>
      </w:tr>
      <w:tr w:rsidR="007E4C88" w:rsidRPr="007E4C88" w14:paraId="52A96CB5" w14:textId="77777777" w:rsidTr="00BE739E">
        <w:trPr>
          <w:trHeight w:val="2002"/>
          <w:jc w:val="center"/>
        </w:trPr>
        <w:tc>
          <w:tcPr>
            <w:tcW w:w="1838" w:type="dxa"/>
            <w:tcBorders>
              <w:top w:val="nil"/>
              <w:left w:val="nil"/>
              <w:bottom w:val="nil"/>
              <w:right w:val="nil"/>
            </w:tcBorders>
            <w:vAlign w:val="center"/>
          </w:tcPr>
          <w:p w14:paraId="7E185D1A" w14:textId="77777777" w:rsidR="007E4C88" w:rsidRPr="007E4C88" w:rsidRDefault="007E4C88" w:rsidP="007E4C88">
            <w:pPr>
              <w:ind w:firstLineChars="200" w:firstLine="320"/>
              <w:rPr>
                <w:rFonts w:ascii="Times New Roman" w:hAnsi="Times New Roman" w:cs="Times New Roman"/>
                <w:bCs/>
                <w:sz w:val="16"/>
                <w:szCs w:val="18"/>
              </w:rPr>
            </w:pPr>
            <w:r w:rsidRPr="007E4C88">
              <w:rPr>
                <w:rFonts w:ascii="Times New Roman" w:hAnsi="Times New Roman" w:cs="Times New Roman"/>
                <w:bCs/>
                <w:sz w:val="16"/>
                <w:szCs w:val="18"/>
              </w:rPr>
              <w:t>Scherrer 2019</w:t>
            </w:r>
          </w:p>
        </w:tc>
        <w:tc>
          <w:tcPr>
            <w:tcW w:w="6521" w:type="dxa"/>
            <w:tcBorders>
              <w:top w:val="nil"/>
              <w:left w:val="nil"/>
              <w:bottom w:val="nil"/>
              <w:right w:val="nil"/>
            </w:tcBorders>
            <w:vAlign w:val="center"/>
          </w:tcPr>
          <w:p w14:paraId="07B8ABF4"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 xml:space="preserve">Sociodemographic-related (age, sex, marital status, low neighborhood socioeconomic status, VHA only insurance, </w:t>
            </w:r>
            <w:proofErr w:type="spellStart"/>
            <w:r w:rsidRPr="007E4C88">
              <w:rPr>
                <w:rFonts w:ascii="Times New Roman" w:hAnsi="Times New Roman" w:cs="Times New Roman"/>
                <w:bCs/>
                <w:sz w:val="16"/>
                <w:szCs w:val="18"/>
              </w:rPr>
              <w:t>medicaid</w:t>
            </w:r>
            <w:proofErr w:type="spellEnd"/>
            <w:r w:rsidRPr="007E4C88">
              <w:rPr>
                <w:rFonts w:ascii="Times New Roman" w:hAnsi="Times New Roman" w:cs="Times New Roman"/>
                <w:bCs/>
                <w:sz w:val="16"/>
                <w:szCs w:val="18"/>
              </w:rPr>
              <w:t>/</w:t>
            </w:r>
            <w:proofErr w:type="spellStart"/>
            <w:r w:rsidRPr="007E4C88">
              <w:rPr>
                <w:rFonts w:ascii="Times New Roman" w:hAnsi="Times New Roman" w:cs="Times New Roman"/>
                <w:bCs/>
                <w:sz w:val="16"/>
                <w:szCs w:val="18"/>
              </w:rPr>
              <w:t>medicare</w:t>
            </w:r>
            <w:proofErr w:type="spellEnd"/>
            <w:r w:rsidRPr="007E4C88">
              <w:rPr>
                <w:rFonts w:ascii="Times New Roman" w:hAnsi="Times New Roman" w:cs="Times New Roman"/>
                <w:bCs/>
                <w:sz w:val="16"/>
                <w:szCs w:val="18"/>
              </w:rPr>
              <w:t>, high healthcare utilization), index year, diabetes-related (diabetic nephropathy, diabetic retinopathy, diabetic neuropathy, HbA1c value, HbA1c category, creatinine value), other comorbidities (obesity, hypertension, hyperlipidemia, stroke or cerebrovascular disease, ischemic heart disease, congestive heart failure, atrial fibrillation, traumatic brain injury, vitamin B12 deficiency), psychiatric and substance comorbidities (depression, posttraumatic stress disorder, other anxiety, bipolar disorder, schizophrenia, nicotine abuse/dependence, alcohol abuse/dependence, illicit drug abuse/dependence), other medications (statins, anticholinergic drugs, nonsteroidal anti-inflammatory drugs, antihypertensive drugs).</w:t>
            </w:r>
          </w:p>
        </w:tc>
      </w:tr>
      <w:tr w:rsidR="007E4C88" w:rsidRPr="007E4C88" w14:paraId="08CDB525" w14:textId="77777777" w:rsidTr="00BE739E">
        <w:trPr>
          <w:trHeight w:val="397"/>
          <w:jc w:val="center"/>
        </w:trPr>
        <w:tc>
          <w:tcPr>
            <w:tcW w:w="1838" w:type="dxa"/>
            <w:tcBorders>
              <w:top w:val="nil"/>
              <w:left w:val="nil"/>
              <w:bottom w:val="single" w:sz="8" w:space="0" w:color="auto"/>
              <w:right w:val="nil"/>
            </w:tcBorders>
            <w:vAlign w:val="center"/>
          </w:tcPr>
          <w:p w14:paraId="48BC3704" w14:textId="77777777" w:rsidR="007E4C88" w:rsidRPr="007E4C88" w:rsidRDefault="007E4C88" w:rsidP="007E4C88">
            <w:pPr>
              <w:jc w:val="center"/>
              <w:rPr>
                <w:rFonts w:ascii="Times New Roman" w:hAnsi="Times New Roman" w:cs="Times New Roman"/>
                <w:bCs/>
                <w:sz w:val="16"/>
                <w:szCs w:val="18"/>
              </w:rPr>
            </w:pPr>
            <w:r w:rsidRPr="007E4C88">
              <w:rPr>
                <w:rFonts w:ascii="Times New Roman" w:hAnsi="Times New Roman" w:cs="Times New Roman"/>
                <w:bCs/>
                <w:sz w:val="16"/>
                <w:szCs w:val="18"/>
              </w:rPr>
              <w:t>Koo 2019</w:t>
            </w:r>
            <w:r w:rsidRPr="007E4C88">
              <w:rPr>
                <w:rFonts w:ascii="Times New Roman" w:hAnsi="Times New Roman" w:cs="Times New Roman"/>
                <w:bCs/>
                <w:sz w:val="16"/>
                <w:szCs w:val="18"/>
              </w:rPr>
              <w:tab/>
            </w:r>
          </w:p>
        </w:tc>
        <w:tc>
          <w:tcPr>
            <w:tcW w:w="6521" w:type="dxa"/>
            <w:tcBorders>
              <w:top w:val="nil"/>
              <w:left w:val="nil"/>
              <w:bottom w:val="single" w:sz="8" w:space="0" w:color="auto"/>
              <w:right w:val="nil"/>
            </w:tcBorders>
            <w:vAlign w:val="center"/>
          </w:tcPr>
          <w:p w14:paraId="7797776E"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Age, sex, education level, baseline cognitive function, baseline glycated hemoglobin levels, renal and liver function, BMI, hypertension, dyslipidemia, antidiabetic agents other than metformin, and baseline brain imaging abnormality.</w:t>
            </w:r>
          </w:p>
        </w:tc>
      </w:tr>
      <w:tr w:rsidR="007E4C88" w:rsidRPr="007E4C88" w14:paraId="787C33CD" w14:textId="77777777" w:rsidTr="008C594B">
        <w:trPr>
          <w:jc w:val="center"/>
        </w:trPr>
        <w:tc>
          <w:tcPr>
            <w:tcW w:w="8359" w:type="dxa"/>
            <w:gridSpan w:val="2"/>
            <w:tcBorders>
              <w:top w:val="nil"/>
              <w:left w:val="nil"/>
              <w:bottom w:val="nil"/>
              <w:right w:val="nil"/>
            </w:tcBorders>
            <w:vAlign w:val="center"/>
          </w:tcPr>
          <w:p w14:paraId="56AAFB6C" w14:textId="77777777" w:rsidR="007E4C88" w:rsidRPr="007E4C88" w:rsidRDefault="007E4C88" w:rsidP="007E4C88">
            <w:pPr>
              <w:rPr>
                <w:rFonts w:ascii="Times New Roman" w:hAnsi="Times New Roman" w:cs="Times New Roman"/>
                <w:bCs/>
                <w:sz w:val="16"/>
                <w:szCs w:val="18"/>
              </w:rPr>
            </w:pPr>
            <w:r w:rsidRPr="007E4C88">
              <w:rPr>
                <w:rFonts w:ascii="Times New Roman" w:hAnsi="Times New Roman" w:cs="Times New Roman"/>
                <w:bCs/>
                <w:sz w:val="16"/>
                <w:szCs w:val="18"/>
              </w:rPr>
              <w:t>Abbreviations: AD=Alzheimer’s disease; BMI=body mass index; eGFR=estimated glomerular filtration rate; GDS=Geriatric Depression Scale; GP=general practitioner; HbA1c=hemoglobin A1c; HDL-C=high density lipoprotein cholesterol; MMSE=Mini-mental State Examination; MRI= Magnetic resonance imaging; TG=triglycerides; VHA=Veterans Health Administration.</w:t>
            </w:r>
          </w:p>
        </w:tc>
      </w:tr>
    </w:tbl>
    <w:p w14:paraId="400F06FE" w14:textId="6088D27D" w:rsidR="0089326F" w:rsidRPr="007E4C88" w:rsidRDefault="0089326F" w:rsidP="000775F3">
      <w:pPr>
        <w:widowControl/>
        <w:jc w:val="left"/>
        <w:rPr>
          <w:rFonts w:ascii="Times New Roman" w:hAnsi="Times New Roman" w:cs="Times New Roman"/>
          <w:b/>
          <w:kern w:val="0"/>
          <w:szCs w:val="21"/>
        </w:rPr>
      </w:pPr>
    </w:p>
    <w:sectPr w:rsidR="0089326F" w:rsidRPr="007E4C88" w:rsidSect="00624E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DEAD" w14:textId="77777777" w:rsidR="0056514D" w:rsidRDefault="0056514D" w:rsidP="007F5B3B">
      <w:r>
        <w:separator/>
      </w:r>
    </w:p>
  </w:endnote>
  <w:endnote w:type="continuationSeparator" w:id="0">
    <w:p w14:paraId="3D5A76FA" w14:textId="77777777" w:rsidR="0056514D" w:rsidRDefault="0056514D" w:rsidP="007F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FDF0" w14:textId="77777777" w:rsidR="0056514D" w:rsidRDefault="0056514D" w:rsidP="007F5B3B">
      <w:r>
        <w:separator/>
      </w:r>
    </w:p>
  </w:footnote>
  <w:footnote w:type="continuationSeparator" w:id="0">
    <w:p w14:paraId="4650004F" w14:textId="77777777" w:rsidR="0056514D" w:rsidRDefault="0056514D" w:rsidP="007F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E53"/>
    <w:multiLevelType w:val="multilevel"/>
    <w:tmpl w:val="F6BACB0C"/>
    <w:lvl w:ilvl="0">
      <w:start w:val="1"/>
      <w:numFmt w:val="bullet"/>
      <w:lvlText w:val=""/>
      <w:lvlJc w:val="left"/>
      <w:pPr>
        <w:tabs>
          <w:tab w:val="num" w:pos="4264"/>
        </w:tabs>
        <w:ind w:left="4264" w:hanging="360"/>
      </w:pPr>
      <w:rPr>
        <w:rFonts w:ascii="Symbol" w:hAnsi="Symbol" w:hint="default"/>
        <w:sz w:val="20"/>
      </w:rPr>
    </w:lvl>
    <w:lvl w:ilvl="1" w:tentative="1">
      <w:numFmt w:val="bullet"/>
      <w:lvlText w:val=""/>
      <w:lvlJc w:val="left"/>
      <w:pPr>
        <w:tabs>
          <w:tab w:val="num" w:pos="4984"/>
        </w:tabs>
        <w:ind w:left="4984" w:hanging="360"/>
      </w:pPr>
      <w:rPr>
        <w:rFonts w:ascii="Symbol" w:hAnsi="Symbol" w:hint="default"/>
        <w:sz w:val="20"/>
      </w:rPr>
    </w:lvl>
    <w:lvl w:ilvl="2" w:tentative="1">
      <w:numFmt w:val="bullet"/>
      <w:lvlText w:val=""/>
      <w:lvlJc w:val="left"/>
      <w:pPr>
        <w:tabs>
          <w:tab w:val="num" w:pos="5704"/>
        </w:tabs>
        <w:ind w:left="5704" w:hanging="360"/>
      </w:pPr>
      <w:rPr>
        <w:rFonts w:ascii="Symbol" w:hAnsi="Symbol" w:hint="default"/>
        <w:sz w:val="20"/>
      </w:rPr>
    </w:lvl>
    <w:lvl w:ilvl="3" w:tentative="1">
      <w:numFmt w:val="bullet"/>
      <w:lvlText w:val=""/>
      <w:lvlJc w:val="left"/>
      <w:pPr>
        <w:tabs>
          <w:tab w:val="num" w:pos="6424"/>
        </w:tabs>
        <w:ind w:left="6424" w:hanging="360"/>
      </w:pPr>
      <w:rPr>
        <w:rFonts w:ascii="Symbol" w:hAnsi="Symbol" w:hint="default"/>
        <w:sz w:val="20"/>
      </w:rPr>
    </w:lvl>
    <w:lvl w:ilvl="4" w:tentative="1">
      <w:numFmt w:val="bullet"/>
      <w:lvlText w:val=""/>
      <w:lvlJc w:val="left"/>
      <w:pPr>
        <w:tabs>
          <w:tab w:val="num" w:pos="7144"/>
        </w:tabs>
        <w:ind w:left="7144" w:hanging="360"/>
      </w:pPr>
      <w:rPr>
        <w:rFonts w:ascii="Symbol" w:hAnsi="Symbol" w:hint="default"/>
        <w:sz w:val="20"/>
      </w:rPr>
    </w:lvl>
    <w:lvl w:ilvl="5" w:tentative="1">
      <w:numFmt w:val="bullet"/>
      <w:lvlText w:val=""/>
      <w:lvlJc w:val="left"/>
      <w:pPr>
        <w:tabs>
          <w:tab w:val="num" w:pos="7864"/>
        </w:tabs>
        <w:ind w:left="7864" w:hanging="360"/>
      </w:pPr>
      <w:rPr>
        <w:rFonts w:ascii="Symbol" w:hAnsi="Symbol" w:hint="default"/>
        <w:sz w:val="20"/>
      </w:rPr>
    </w:lvl>
    <w:lvl w:ilvl="6" w:tentative="1">
      <w:numFmt w:val="bullet"/>
      <w:lvlText w:val=""/>
      <w:lvlJc w:val="left"/>
      <w:pPr>
        <w:tabs>
          <w:tab w:val="num" w:pos="8584"/>
        </w:tabs>
        <w:ind w:left="8584" w:hanging="360"/>
      </w:pPr>
      <w:rPr>
        <w:rFonts w:ascii="Symbol" w:hAnsi="Symbol" w:hint="default"/>
        <w:sz w:val="20"/>
      </w:rPr>
    </w:lvl>
    <w:lvl w:ilvl="7" w:tentative="1">
      <w:numFmt w:val="bullet"/>
      <w:lvlText w:val=""/>
      <w:lvlJc w:val="left"/>
      <w:pPr>
        <w:tabs>
          <w:tab w:val="num" w:pos="9304"/>
        </w:tabs>
        <w:ind w:left="9304" w:hanging="360"/>
      </w:pPr>
      <w:rPr>
        <w:rFonts w:ascii="Symbol" w:hAnsi="Symbol" w:hint="default"/>
        <w:sz w:val="20"/>
      </w:rPr>
    </w:lvl>
    <w:lvl w:ilvl="8" w:tentative="1">
      <w:numFmt w:val="bullet"/>
      <w:lvlText w:val=""/>
      <w:lvlJc w:val="left"/>
      <w:pPr>
        <w:tabs>
          <w:tab w:val="num" w:pos="10024"/>
        </w:tabs>
        <w:ind w:left="10024" w:hanging="360"/>
      </w:pPr>
      <w:rPr>
        <w:rFonts w:ascii="Symbol" w:hAnsi="Symbol" w:hint="default"/>
        <w:sz w:val="20"/>
      </w:rPr>
    </w:lvl>
  </w:abstractNum>
  <w:abstractNum w:abstractNumId="1" w15:restartNumberingAfterBreak="0">
    <w:nsid w:val="29D80E0B"/>
    <w:multiLevelType w:val="hybridMultilevel"/>
    <w:tmpl w:val="409281C4"/>
    <w:lvl w:ilvl="0" w:tplc="13F86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D323B3"/>
    <w:multiLevelType w:val="hybridMultilevel"/>
    <w:tmpl w:val="6DEA3D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3F61D1"/>
    <w:multiLevelType w:val="hybridMultilevel"/>
    <w:tmpl w:val="F84631DE"/>
    <w:lvl w:ilvl="0" w:tplc="7ED8B594">
      <w:start w:val="1"/>
      <w:numFmt w:val="decimal"/>
      <w:lvlText w:val="%1."/>
      <w:lvlJc w:val="left"/>
      <w:pPr>
        <w:ind w:left="360" w:hanging="360"/>
      </w:pPr>
      <w:rPr>
        <w:rFonts w:ascii="Verdana" w:hAnsi="Verdana"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020ABC"/>
    <w:multiLevelType w:val="hybridMultilevel"/>
    <w:tmpl w:val="ACA24594"/>
    <w:lvl w:ilvl="0" w:tplc="69DED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5210802">
    <w:abstractNumId w:val="4"/>
  </w:num>
  <w:num w:numId="2" w16cid:durableId="43799262">
    <w:abstractNumId w:val="3"/>
  </w:num>
  <w:num w:numId="3" w16cid:durableId="163328438">
    <w:abstractNumId w:val="0"/>
  </w:num>
  <w:num w:numId="4" w16cid:durableId="975110435">
    <w:abstractNumId w:val="2"/>
  </w:num>
  <w:num w:numId="5" w16cid:durableId="142534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iatry Research&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trde99rvd9rkeezvk5x20802ts0v5advd5&quot;&gt;My EndNote Library&lt;record-ids&gt;&lt;item&gt;78&lt;/item&gt;&lt;item&gt;122&lt;/item&gt;&lt;item&gt;126&lt;/item&gt;&lt;item&gt;162&lt;/item&gt;&lt;item&gt;177&lt;/item&gt;&lt;item&gt;250&lt;/item&gt;&lt;item&gt;365&lt;/item&gt;&lt;item&gt;395&lt;/item&gt;&lt;item&gt;414&lt;/item&gt;&lt;item&gt;427&lt;/item&gt;&lt;item&gt;428&lt;/item&gt;&lt;item&gt;439&lt;/item&gt;&lt;item&gt;440&lt;/item&gt;&lt;item&gt;477&lt;/item&gt;&lt;item&gt;545&lt;/item&gt;&lt;item&gt;551&lt;/item&gt;&lt;item&gt;601&lt;/item&gt;&lt;item&gt;635&lt;/item&gt;&lt;item&gt;702&lt;/item&gt;&lt;item&gt;727&lt;/item&gt;&lt;item&gt;796&lt;/item&gt;&lt;item&gt;908&lt;/item&gt;&lt;item&gt;940&lt;/item&gt;&lt;item&gt;1149&lt;/item&gt;&lt;item&gt;1370&lt;/item&gt;&lt;item&gt;1691&lt;/item&gt;&lt;item&gt;1744&lt;/item&gt;&lt;item&gt;1916&lt;/item&gt;&lt;item&gt;2137&lt;/item&gt;&lt;item&gt;2358&lt;/item&gt;&lt;item&gt;2371&lt;/item&gt;&lt;item&gt;2372&lt;/item&gt;&lt;item&gt;2374&lt;/item&gt;&lt;item&gt;2375&lt;/item&gt;&lt;item&gt;2376&lt;/item&gt;&lt;item&gt;2380&lt;/item&gt;&lt;item&gt;2381&lt;/item&gt;&lt;item&gt;2382&lt;/item&gt;&lt;item&gt;2386&lt;/item&gt;&lt;item&gt;2389&lt;/item&gt;&lt;item&gt;2390&lt;/item&gt;&lt;item&gt;2391&lt;/item&gt;&lt;item&gt;2392&lt;/item&gt;&lt;item&gt;2393&lt;/item&gt;&lt;item&gt;2394&lt;/item&gt;&lt;item&gt;2395&lt;/item&gt;&lt;item&gt;2396&lt;/item&gt;&lt;item&gt;2397&lt;/item&gt;&lt;item&gt;2398&lt;/item&gt;&lt;item&gt;2400&lt;/item&gt;&lt;/record-ids&gt;&lt;/item&gt;&lt;/Libraries&gt;"/>
  </w:docVars>
  <w:rsids>
    <w:rsidRoot w:val="006C5980"/>
    <w:rsid w:val="0000288C"/>
    <w:rsid w:val="00002AC0"/>
    <w:rsid w:val="00005906"/>
    <w:rsid w:val="00006CFA"/>
    <w:rsid w:val="00007A48"/>
    <w:rsid w:val="0001289A"/>
    <w:rsid w:val="00012F32"/>
    <w:rsid w:val="00013DAE"/>
    <w:rsid w:val="00016138"/>
    <w:rsid w:val="00016646"/>
    <w:rsid w:val="00016F41"/>
    <w:rsid w:val="000208F4"/>
    <w:rsid w:val="00020BDD"/>
    <w:rsid w:val="00021DF1"/>
    <w:rsid w:val="0002372F"/>
    <w:rsid w:val="00023F97"/>
    <w:rsid w:val="00024973"/>
    <w:rsid w:val="0002498F"/>
    <w:rsid w:val="00025C85"/>
    <w:rsid w:val="0003199E"/>
    <w:rsid w:val="00033215"/>
    <w:rsid w:val="00040F16"/>
    <w:rsid w:val="000432DA"/>
    <w:rsid w:val="00052FC3"/>
    <w:rsid w:val="000552D8"/>
    <w:rsid w:val="00055DE4"/>
    <w:rsid w:val="00056ABA"/>
    <w:rsid w:val="00057B55"/>
    <w:rsid w:val="00061634"/>
    <w:rsid w:val="00062121"/>
    <w:rsid w:val="00064509"/>
    <w:rsid w:val="00065F3F"/>
    <w:rsid w:val="00066210"/>
    <w:rsid w:val="0007345B"/>
    <w:rsid w:val="00073961"/>
    <w:rsid w:val="00075337"/>
    <w:rsid w:val="0007571B"/>
    <w:rsid w:val="000775F3"/>
    <w:rsid w:val="00077791"/>
    <w:rsid w:val="00077987"/>
    <w:rsid w:val="00081B87"/>
    <w:rsid w:val="00083A46"/>
    <w:rsid w:val="0008433E"/>
    <w:rsid w:val="00085B93"/>
    <w:rsid w:val="00092904"/>
    <w:rsid w:val="00093E8C"/>
    <w:rsid w:val="000B0526"/>
    <w:rsid w:val="000B27E0"/>
    <w:rsid w:val="000B2D36"/>
    <w:rsid w:val="000B58BE"/>
    <w:rsid w:val="000C0D39"/>
    <w:rsid w:val="000C0D9B"/>
    <w:rsid w:val="000C3FE4"/>
    <w:rsid w:val="000C586D"/>
    <w:rsid w:val="000C7CE1"/>
    <w:rsid w:val="000D23AC"/>
    <w:rsid w:val="000D3BD9"/>
    <w:rsid w:val="000D4B69"/>
    <w:rsid w:val="000D4D1D"/>
    <w:rsid w:val="000D62D3"/>
    <w:rsid w:val="000D75D6"/>
    <w:rsid w:val="000E0EFD"/>
    <w:rsid w:val="000E1339"/>
    <w:rsid w:val="000E14F6"/>
    <w:rsid w:val="000E2A08"/>
    <w:rsid w:val="000E5AD5"/>
    <w:rsid w:val="000E687F"/>
    <w:rsid w:val="000E728A"/>
    <w:rsid w:val="000F0822"/>
    <w:rsid w:val="000F3059"/>
    <w:rsid w:val="000F65DB"/>
    <w:rsid w:val="0010163C"/>
    <w:rsid w:val="001018F1"/>
    <w:rsid w:val="00103129"/>
    <w:rsid w:val="0011009E"/>
    <w:rsid w:val="00113AE0"/>
    <w:rsid w:val="00114BEB"/>
    <w:rsid w:val="00115DA6"/>
    <w:rsid w:val="0012115C"/>
    <w:rsid w:val="00121CB8"/>
    <w:rsid w:val="001300A3"/>
    <w:rsid w:val="00132721"/>
    <w:rsid w:val="00132DC1"/>
    <w:rsid w:val="001360A1"/>
    <w:rsid w:val="00136897"/>
    <w:rsid w:val="0014012D"/>
    <w:rsid w:val="001406A6"/>
    <w:rsid w:val="00141D32"/>
    <w:rsid w:val="00145191"/>
    <w:rsid w:val="0014555B"/>
    <w:rsid w:val="00151C25"/>
    <w:rsid w:val="00152DB0"/>
    <w:rsid w:val="001546CA"/>
    <w:rsid w:val="00157AD3"/>
    <w:rsid w:val="00162EF9"/>
    <w:rsid w:val="00164DD6"/>
    <w:rsid w:val="001654A8"/>
    <w:rsid w:val="00165A31"/>
    <w:rsid w:val="00167D32"/>
    <w:rsid w:val="0018090D"/>
    <w:rsid w:val="001815A5"/>
    <w:rsid w:val="00182D42"/>
    <w:rsid w:val="001830E8"/>
    <w:rsid w:val="00183350"/>
    <w:rsid w:val="001856EE"/>
    <w:rsid w:val="001915F9"/>
    <w:rsid w:val="00191679"/>
    <w:rsid w:val="00195A3A"/>
    <w:rsid w:val="00196043"/>
    <w:rsid w:val="001968B0"/>
    <w:rsid w:val="00196D58"/>
    <w:rsid w:val="00197666"/>
    <w:rsid w:val="00197C3A"/>
    <w:rsid w:val="001A0F6F"/>
    <w:rsid w:val="001A1C09"/>
    <w:rsid w:val="001A27BA"/>
    <w:rsid w:val="001A2DA2"/>
    <w:rsid w:val="001A6C0A"/>
    <w:rsid w:val="001B1C21"/>
    <w:rsid w:val="001B1F84"/>
    <w:rsid w:val="001B3628"/>
    <w:rsid w:val="001B43B3"/>
    <w:rsid w:val="001B63FE"/>
    <w:rsid w:val="001B75E2"/>
    <w:rsid w:val="001C1C09"/>
    <w:rsid w:val="001C6979"/>
    <w:rsid w:val="001D01BF"/>
    <w:rsid w:val="001D2218"/>
    <w:rsid w:val="001D288F"/>
    <w:rsid w:val="001E3F2F"/>
    <w:rsid w:val="001E533B"/>
    <w:rsid w:val="001E68FB"/>
    <w:rsid w:val="001E6C17"/>
    <w:rsid w:val="001F015A"/>
    <w:rsid w:val="001F0994"/>
    <w:rsid w:val="001F1AB8"/>
    <w:rsid w:val="001F1BAD"/>
    <w:rsid w:val="001F1C70"/>
    <w:rsid w:val="001F304E"/>
    <w:rsid w:val="001F307B"/>
    <w:rsid w:val="001F4E44"/>
    <w:rsid w:val="001F51A7"/>
    <w:rsid w:val="001F6C4E"/>
    <w:rsid w:val="001F7503"/>
    <w:rsid w:val="001F779F"/>
    <w:rsid w:val="00200B97"/>
    <w:rsid w:val="00201148"/>
    <w:rsid w:val="00203DAE"/>
    <w:rsid w:val="002042D0"/>
    <w:rsid w:val="002045FE"/>
    <w:rsid w:val="00204EEA"/>
    <w:rsid w:val="00207B44"/>
    <w:rsid w:val="00210824"/>
    <w:rsid w:val="00213804"/>
    <w:rsid w:val="00213E7F"/>
    <w:rsid w:val="00215DB1"/>
    <w:rsid w:val="0022214D"/>
    <w:rsid w:val="002273B9"/>
    <w:rsid w:val="0022754B"/>
    <w:rsid w:val="00230AD7"/>
    <w:rsid w:val="002322D4"/>
    <w:rsid w:val="0023285E"/>
    <w:rsid w:val="002344F0"/>
    <w:rsid w:val="002347C1"/>
    <w:rsid w:val="00237F01"/>
    <w:rsid w:val="00240F41"/>
    <w:rsid w:val="0024108E"/>
    <w:rsid w:val="002423EB"/>
    <w:rsid w:val="00250330"/>
    <w:rsid w:val="00250C1C"/>
    <w:rsid w:val="00255EF7"/>
    <w:rsid w:val="00256028"/>
    <w:rsid w:val="00256791"/>
    <w:rsid w:val="00256818"/>
    <w:rsid w:val="00257F8B"/>
    <w:rsid w:val="00265CAB"/>
    <w:rsid w:val="00265D5B"/>
    <w:rsid w:val="00266A29"/>
    <w:rsid w:val="0027021D"/>
    <w:rsid w:val="002712A9"/>
    <w:rsid w:val="00272162"/>
    <w:rsid w:val="002742B7"/>
    <w:rsid w:val="00274A88"/>
    <w:rsid w:val="002771A3"/>
    <w:rsid w:val="002811E7"/>
    <w:rsid w:val="002839AB"/>
    <w:rsid w:val="00286D4A"/>
    <w:rsid w:val="00287D80"/>
    <w:rsid w:val="00290779"/>
    <w:rsid w:val="00291B67"/>
    <w:rsid w:val="00291F84"/>
    <w:rsid w:val="0029509D"/>
    <w:rsid w:val="00295704"/>
    <w:rsid w:val="00295FCD"/>
    <w:rsid w:val="00296B65"/>
    <w:rsid w:val="002976F7"/>
    <w:rsid w:val="002979CF"/>
    <w:rsid w:val="002A30BB"/>
    <w:rsid w:val="002A3A9C"/>
    <w:rsid w:val="002A578C"/>
    <w:rsid w:val="002A6037"/>
    <w:rsid w:val="002A6C4A"/>
    <w:rsid w:val="002B0643"/>
    <w:rsid w:val="002B1DF3"/>
    <w:rsid w:val="002B3E73"/>
    <w:rsid w:val="002B7589"/>
    <w:rsid w:val="002B7686"/>
    <w:rsid w:val="002C25F9"/>
    <w:rsid w:val="002C4606"/>
    <w:rsid w:val="002C5A21"/>
    <w:rsid w:val="002C5BC3"/>
    <w:rsid w:val="002C617B"/>
    <w:rsid w:val="002C6348"/>
    <w:rsid w:val="002C6A57"/>
    <w:rsid w:val="002C6E62"/>
    <w:rsid w:val="002C7A16"/>
    <w:rsid w:val="002C7A59"/>
    <w:rsid w:val="002D174F"/>
    <w:rsid w:val="002D61F5"/>
    <w:rsid w:val="002D73AB"/>
    <w:rsid w:val="002E0632"/>
    <w:rsid w:val="002E182B"/>
    <w:rsid w:val="002E2C04"/>
    <w:rsid w:val="002E3098"/>
    <w:rsid w:val="002E6BB4"/>
    <w:rsid w:val="002E7D1C"/>
    <w:rsid w:val="002F03FE"/>
    <w:rsid w:val="002F61FF"/>
    <w:rsid w:val="002F79EA"/>
    <w:rsid w:val="003007B0"/>
    <w:rsid w:val="0030170A"/>
    <w:rsid w:val="00305FC4"/>
    <w:rsid w:val="00307E98"/>
    <w:rsid w:val="003129F6"/>
    <w:rsid w:val="003134D9"/>
    <w:rsid w:val="003153AF"/>
    <w:rsid w:val="003179B2"/>
    <w:rsid w:val="003228B5"/>
    <w:rsid w:val="003229CD"/>
    <w:rsid w:val="003229DE"/>
    <w:rsid w:val="00323430"/>
    <w:rsid w:val="00331650"/>
    <w:rsid w:val="00333BAA"/>
    <w:rsid w:val="00335F6B"/>
    <w:rsid w:val="0033693D"/>
    <w:rsid w:val="00336EFA"/>
    <w:rsid w:val="00341877"/>
    <w:rsid w:val="00345D5D"/>
    <w:rsid w:val="003473E1"/>
    <w:rsid w:val="00352C57"/>
    <w:rsid w:val="003541F6"/>
    <w:rsid w:val="00354AD1"/>
    <w:rsid w:val="00356310"/>
    <w:rsid w:val="003573F3"/>
    <w:rsid w:val="0035748B"/>
    <w:rsid w:val="00357CE7"/>
    <w:rsid w:val="0036172C"/>
    <w:rsid w:val="00362D6C"/>
    <w:rsid w:val="00364143"/>
    <w:rsid w:val="00365860"/>
    <w:rsid w:val="00366C45"/>
    <w:rsid w:val="00370150"/>
    <w:rsid w:val="00371741"/>
    <w:rsid w:val="00371EDB"/>
    <w:rsid w:val="003722CF"/>
    <w:rsid w:val="003731E0"/>
    <w:rsid w:val="00374582"/>
    <w:rsid w:val="00374E1F"/>
    <w:rsid w:val="003755B5"/>
    <w:rsid w:val="003755C1"/>
    <w:rsid w:val="00376B20"/>
    <w:rsid w:val="00384AC2"/>
    <w:rsid w:val="003869B3"/>
    <w:rsid w:val="00390F12"/>
    <w:rsid w:val="00391455"/>
    <w:rsid w:val="003977D5"/>
    <w:rsid w:val="00397815"/>
    <w:rsid w:val="00397D4C"/>
    <w:rsid w:val="003A2EA5"/>
    <w:rsid w:val="003A3042"/>
    <w:rsid w:val="003A41E3"/>
    <w:rsid w:val="003A4BAC"/>
    <w:rsid w:val="003A60E8"/>
    <w:rsid w:val="003B2A00"/>
    <w:rsid w:val="003B2B99"/>
    <w:rsid w:val="003B700D"/>
    <w:rsid w:val="003B739C"/>
    <w:rsid w:val="003B7C4C"/>
    <w:rsid w:val="003C12CD"/>
    <w:rsid w:val="003C1389"/>
    <w:rsid w:val="003C2366"/>
    <w:rsid w:val="003C264C"/>
    <w:rsid w:val="003C333E"/>
    <w:rsid w:val="003C40ED"/>
    <w:rsid w:val="003C5F7D"/>
    <w:rsid w:val="003D01E3"/>
    <w:rsid w:val="003D0AF9"/>
    <w:rsid w:val="003D23F6"/>
    <w:rsid w:val="003D3168"/>
    <w:rsid w:val="003D55D7"/>
    <w:rsid w:val="003D5B06"/>
    <w:rsid w:val="003D5CE4"/>
    <w:rsid w:val="003D65B5"/>
    <w:rsid w:val="003E1459"/>
    <w:rsid w:val="003E2B17"/>
    <w:rsid w:val="003F1806"/>
    <w:rsid w:val="003F1DEB"/>
    <w:rsid w:val="003F2CB9"/>
    <w:rsid w:val="003F313A"/>
    <w:rsid w:val="003F6DB3"/>
    <w:rsid w:val="003F74E2"/>
    <w:rsid w:val="00400625"/>
    <w:rsid w:val="0040064C"/>
    <w:rsid w:val="0040236E"/>
    <w:rsid w:val="004030D7"/>
    <w:rsid w:val="0040393B"/>
    <w:rsid w:val="00405FC7"/>
    <w:rsid w:val="004078EC"/>
    <w:rsid w:val="00410366"/>
    <w:rsid w:val="00413C36"/>
    <w:rsid w:val="00414847"/>
    <w:rsid w:val="00415788"/>
    <w:rsid w:val="0042507E"/>
    <w:rsid w:val="0042581F"/>
    <w:rsid w:val="00425DDC"/>
    <w:rsid w:val="00425FE4"/>
    <w:rsid w:val="00427FF2"/>
    <w:rsid w:val="00437576"/>
    <w:rsid w:val="004412A9"/>
    <w:rsid w:val="0044201A"/>
    <w:rsid w:val="00442E1B"/>
    <w:rsid w:val="00443122"/>
    <w:rsid w:val="004438D7"/>
    <w:rsid w:val="004460B4"/>
    <w:rsid w:val="004472E9"/>
    <w:rsid w:val="00447623"/>
    <w:rsid w:val="004520FC"/>
    <w:rsid w:val="004540AF"/>
    <w:rsid w:val="00455D02"/>
    <w:rsid w:val="00455E7D"/>
    <w:rsid w:val="00463767"/>
    <w:rsid w:val="00466F6F"/>
    <w:rsid w:val="00470BDF"/>
    <w:rsid w:val="00470C43"/>
    <w:rsid w:val="004729A0"/>
    <w:rsid w:val="00473385"/>
    <w:rsid w:val="00474C6C"/>
    <w:rsid w:val="004758E3"/>
    <w:rsid w:val="0047757F"/>
    <w:rsid w:val="00480ECA"/>
    <w:rsid w:val="004826E4"/>
    <w:rsid w:val="00485D99"/>
    <w:rsid w:val="00487212"/>
    <w:rsid w:val="00492534"/>
    <w:rsid w:val="00492AE5"/>
    <w:rsid w:val="004949FA"/>
    <w:rsid w:val="00495868"/>
    <w:rsid w:val="0049657E"/>
    <w:rsid w:val="00497868"/>
    <w:rsid w:val="004A3453"/>
    <w:rsid w:val="004A4664"/>
    <w:rsid w:val="004A4C6B"/>
    <w:rsid w:val="004A5A11"/>
    <w:rsid w:val="004A7D68"/>
    <w:rsid w:val="004B06FD"/>
    <w:rsid w:val="004B388E"/>
    <w:rsid w:val="004B7676"/>
    <w:rsid w:val="004B7BF0"/>
    <w:rsid w:val="004B7FDB"/>
    <w:rsid w:val="004C0CD9"/>
    <w:rsid w:val="004C17EC"/>
    <w:rsid w:val="004C26DB"/>
    <w:rsid w:val="004C527E"/>
    <w:rsid w:val="004C6069"/>
    <w:rsid w:val="004C699E"/>
    <w:rsid w:val="004D082F"/>
    <w:rsid w:val="004D5466"/>
    <w:rsid w:val="004D5D5D"/>
    <w:rsid w:val="004E1078"/>
    <w:rsid w:val="004E4204"/>
    <w:rsid w:val="004E488C"/>
    <w:rsid w:val="004F2D67"/>
    <w:rsid w:val="004F511E"/>
    <w:rsid w:val="004F7135"/>
    <w:rsid w:val="00502DA1"/>
    <w:rsid w:val="00503706"/>
    <w:rsid w:val="00504211"/>
    <w:rsid w:val="005045C3"/>
    <w:rsid w:val="00504DA1"/>
    <w:rsid w:val="00507D88"/>
    <w:rsid w:val="00507F49"/>
    <w:rsid w:val="0051047F"/>
    <w:rsid w:val="005149C3"/>
    <w:rsid w:val="00514FD3"/>
    <w:rsid w:val="00522294"/>
    <w:rsid w:val="00522A19"/>
    <w:rsid w:val="00522CA9"/>
    <w:rsid w:val="00523E4F"/>
    <w:rsid w:val="00524218"/>
    <w:rsid w:val="00535F3B"/>
    <w:rsid w:val="00537B7E"/>
    <w:rsid w:val="00537EAF"/>
    <w:rsid w:val="00540DAF"/>
    <w:rsid w:val="00547A24"/>
    <w:rsid w:val="005531B4"/>
    <w:rsid w:val="0055640F"/>
    <w:rsid w:val="00561EF7"/>
    <w:rsid w:val="00562CE4"/>
    <w:rsid w:val="0056514D"/>
    <w:rsid w:val="005711A0"/>
    <w:rsid w:val="00576953"/>
    <w:rsid w:val="00586A9F"/>
    <w:rsid w:val="00591FF2"/>
    <w:rsid w:val="00593B0A"/>
    <w:rsid w:val="00593BE1"/>
    <w:rsid w:val="00593F32"/>
    <w:rsid w:val="00594D04"/>
    <w:rsid w:val="005950B6"/>
    <w:rsid w:val="00596339"/>
    <w:rsid w:val="005A1313"/>
    <w:rsid w:val="005A17D2"/>
    <w:rsid w:val="005A459B"/>
    <w:rsid w:val="005A5238"/>
    <w:rsid w:val="005A5664"/>
    <w:rsid w:val="005A6A0F"/>
    <w:rsid w:val="005A7D6A"/>
    <w:rsid w:val="005B0EEB"/>
    <w:rsid w:val="005B181C"/>
    <w:rsid w:val="005B2383"/>
    <w:rsid w:val="005B4B84"/>
    <w:rsid w:val="005B72BF"/>
    <w:rsid w:val="005C7564"/>
    <w:rsid w:val="005D0627"/>
    <w:rsid w:val="005D2C8D"/>
    <w:rsid w:val="005D36AA"/>
    <w:rsid w:val="005D55AC"/>
    <w:rsid w:val="005D6838"/>
    <w:rsid w:val="005D7510"/>
    <w:rsid w:val="005D7AC8"/>
    <w:rsid w:val="005D7BEB"/>
    <w:rsid w:val="005E09EB"/>
    <w:rsid w:val="005E1B35"/>
    <w:rsid w:val="005F0AD6"/>
    <w:rsid w:val="005F2FA8"/>
    <w:rsid w:val="005F4A17"/>
    <w:rsid w:val="005F545E"/>
    <w:rsid w:val="005F56E1"/>
    <w:rsid w:val="006006E2"/>
    <w:rsid w:val="006008A6"/>
    <w:rsid w:val="006039C8"/>
    <w:rsid w:val="00603F7E"/>
    <w:rsid w:val="006052D3"/>
    <w:rsid w:val="006119BE"/>
    <w:rsid w:val="006211B0"/>
    <w:rsid w:val="00622F01"/>
    <w:rsid w:val="00624451"/>
    <w:rsid w:val="00624A29"/>
    <w:rsid w:val="00624E2F"/>
    <w:rsid w:val="00627EC6"/>
    <w:rsid w:val="006302DF"/>
    <w:rsid w:val="00630CE6"/>
    <w:rsid w:val="00630DAF"/>
    <w:rsid w:val="00630ED7"/>
    <w:rsid w:val="006343A6"/>
    <w:rsid w:val="00640A38"/>
    <w:rsid w:val="00640BE7"/>
    <w:rsid w:val="00641AE5"/>
    <w:rsid w:val="006461FC"/>
    <w:rsid w:val="0064646C"/>
    <w:rsid w:val="00646A97"/>
    <w:rsid w:val="0065192D"/>
    <w:rsid w:val="00652B54"/>
    <w:rsid w:val="00652F5A"/>
    <w:rsid w:val="00654AA4"/>
    <w:rsid w:val="006558E4"/>
    <w:rsid w:val="00656E3B"/>
    <w:rsid w:val="006605E5"/>
    <w:rsid w:val="006641D3"/>
    <w:rsid w:val="00664B76"/>
    <w:rsid w:val="00666D39"/>
    <w:rsid w:val="0067307B"/>
    <w:rsid w:val="006735FC"/>
    <w:rsid w:val="00673914"/>
    <w:rsid w:val="00674601"/>
    <w:rsid w:val="00675673"/>
    <w:rsid w:val="00675A75"/>
    <w:rsid w:val="00675F39"/>
    <w:rsid w:val="006772FE"/>
    <w:rsid w:val="00677CA6"/>
    <w:rsid w:val="00684495"/>
    <w:rsid w:val="00684A8F"/>
    <w:rsid w:val="00684F99"/>
    <w:rsid w:val="00693634"/>
    <w:rsid w:val="00694B8E"/>
    <w:rsid w:val="006A2349"/>
    <w:rsid w:val="006A755F"/>
    <w:rsid w:val="006B034D"/>
    <w:rsid w:val="006B03E0"/>
    <w:rsid w:val="006B0EAF"/>
    <w:rsid w:val="006B1C97"/>
    <w:rsid w:val="006B1D10"/>
    <w:rsid w:val="006B2FC5"/>
    <w:rsid w:val="006B678B"/>
    <w:rsid w:val="006B7079"/>
    <w:rsid w:val="006B78E0"/>
    <w:rsid w:val="006C0228"/>
    <w:rsid w:val="006C142D"/>
    <w:rsid w:val="006C2385"/>
    <w:rsid w:val="006C5980"/>
    <w:rsid w:val="006D0958"/>
    <w:rsid w:val="006D589F"/>
    <w:rsid w:val="006E1E8F"/>
    <w:rsid w:val="006E2DA3"/>
    <w:rsid w:val="006F2A87"/>
    <w:rsid w:val="006F3EB8"/>
    <w:rsid w:val="006F5752"/>
    <w:rsid w:val="00703E84"/>
    <w:rsid w:val="00710735"/>
    <w:rsid w:val="00716690"/>
    <w:rsid w:val="0071747B"/>
    <w:rsid w:val="00720E52"/>
    <w:rsid w:val="007221FD"/>
    <w:rsid w:val="0073103B"/>
    <w:rsid w:val="00731C33"/>
    <w:rsid w:val="00732EB8"/>
    <w:rsid w:val="00737E8F"/>
    <w:rsid w:val="00737F9A"/>
    <w:rsid w:val="007406C1"/>
    <w:rsid w:val="00741FBB"/>
    <w:rsid w:val="00744CB2"/>
    <w:rsid w:val="00746377"/>
    <w:rsid w:val="0074654A"/>
    <w:rsid w:val="00750874"/>
    <w:rsid w:val="00751F00"/>
    <w:rsid w:val="00753398"/>
    <w:rsid w:val="00756382"/>
    <w:rsid w:val="00756F47"/>
    <w:rsid w:val="00761B39"/>
    <w:rsid w:val="00762018"/>
    <w:rsid w:val="0076333F"/>
    <w:rsid w:val="007654D3"/>
    <w:rsid w:val="00765A15"/>
    <w:rsid w:val="00781D23"/>
    <w:rsid w:val="00785955"/>
    <w:rsid w:val="00786CAA"/>
    <w:rsid w:val="00790D71"/>
    <w:rsid w:val="00793651"/>
    <w:rsid w:val="00794125"/>
    <w:rsid w:val="00796D7E"/>
    <w:rsid w:val="007A0394"/>
    <w:rsid w:val="007A0A51"/>
    <w:rsid w:val="007A1C64"/>
    <w:rsid w:val="007A1E54"/>
    <w:rsid w:val="007A2D9A"/>
    <w:rsid w:val="007A337D"/>
    <w:rsid w:val="007A35A8"/>
    <w:rsid w:val="007A37E5"/>
    <w:rsid w:val="007A410A"/>
    <w:rsid w:val="007A4EFE"/>
    <w:rsid w:val="007A5A7D"/>
    <w:rsid w:val="007A5D22"/>
    <w:rsid w:val="007A6022"/>
    <w:rsid w:val="007B03E6"/>
    <w:rsid w:val="007B4318"/>
    <w:rsid w:val="007B45DF"/>
    <w:rsid w:val="007B620D"/>
    <w:rsid w:val="007B792A"/>
    <w:rsid w:val="007C2058"/>
    <w:rsid w:val="007C3D54"/>
    <w:rsid w:val="007C3F30"/>
    <w:rsid w:val="007D05ED"/>
    <w:rsid w:val="007D3DA7"/>
    <w:rsid w:val="007D732D"/>
    <w:rsid w:val="007E0296"/>
    <w:rsid w:val="007E0F84"/>
    <w:rsid w:val="007E1089"/>
    <w:rsid w:val="007E1E1D"/>
    <w:rsid w:val="007E2681"/>
    <w:rsid w:val="007E2CBD"/>
    <w:rsid w:val="007E4C88"/>
    <w:rsid w:val="007E51D3"/>
    <w:rsid w:val="007E5BCF"/>
    <w:rsid w:val="007E6031"/>
    <w:rsid w:val="007E7A28"/>
    <w:rsid w:val="007F0E04"/>
    <w:rsid w:val="007F125D"/>
    <w:rsid w:val="007F1660"/>
    <w:rsid w:val="007F3AD7"/>
    <w:rsid w:val="007F5B3B"/>
    <w:rsid w:val="007F7388"/>
    <w:rsid w:val="00800F39"/>
    <w:rsid w:val="00812264"/>
    <w:rsid w:val="0081377A"/>
    <w:rsid w:val="00813E86"/>
    <w:rsid w:val="00815772"/>
    <w:rsid w:val="00816715"/>
    <w:rsid w:val="00820305"/>
    <w:rsid w:val="00820740"/>
    <w:rsid w:val="00821F71"/>
    <w:rsid w:val="008231C1"/>
    <w:rsid w:val="00830BC6"/>
    <w:rsid w:val="00833AFE"/>
    <w:rsid w:val="008344FD"/>
    <w:rsid w:val="00841472"/>
    <w:rsid w:val="00842D40"/>
    <w:rsid w:val="008433A0"/>
    <w:rsid w:val="00845ECE"/>
    <w:rsid w:val="00846D44"/>
    <w:rsid w:val="00850B7B"/>
    <w:rsid w:val="0085170B"/>
    <w:rsid w:val="00851B20"/>
    <w:rsid w:val="00853471"/>
    <w:rsid w:val="00854EC6"/>
    <w:rsid w:val="00854ECD"/>
    <w:rsid w:val="008576D2"/>
    <w:rsid w:val="00857A9F"/>
    <w:rsid w:val="00860993"/>
    <w:rsid w:val="00860B12"/>
    <w:rsid w:val="008612DB"/>
    <w:rsid w:val="0086136D"/>
    <w:rsid w:val="00863276"/>
    <w:rsid w:val="008646BD"/>
    <w:rsid w:val="008654C7"/>
    <w:rsid w:val="00870CEE"/>
    <w:rsid w:val="008736E9"/>
    <w:rsid w:val="00876BFF"/>
    <w:rsid w:val="00877139"/>
    <w:rsid w:val="0088172C"/>
    <w:rsid w:val="00882835"/>
    <w:rsid w:val="00882A14"/>
    <w:rsid w:val="008830A3"/>
    <w:rsid w:val="0088582F"/>
    <w:rsid w:val="00886567"/>
    <w:rsid w:val="00886BAC"/>
    <w:rsid w:val="00890978"/>
    <w:rsid w:val="00890E95"/>
    <w:rsid w:val="00892420"/>
    <w:rsid w:val="00892F94"/>
    <w:rsid w:val="0089326F"/>
    <w:rsid w:val="00895B1B"/>
    <w:rsid w:val="008A2078"/>
    <w:rsid w:val="008A31B7"/>
    <w:rsid w:val="008A5FD2"/>
    <w:rsid w:val="008A73C4"/>
    <w:rsid w:val="008A75A0"/>
    <w:rsid w:val="008B1571"/>
    <w:rsid w:val="008B1D7B"/>
    <w:rsid w:val="008B5053"/>
    <w:rsid w:val="008B6A9F"/>
    <w:rsid w:val="008C594B"/>
    <w:rsid w:val="008C5FD9"/>
    <w:rsid w:val="008C7E30"/>
    <w:rsid w:val="008D05E3"/>
    <w:rsid w:val="008D4A3E"/>
    <w:rsid w:val="008D6217"/>
    <w:rsid w:val="008D76DE"/>
    <w:rsid w:val="008E201C"/>
    <w:rsid w:val="008E2154"/>
    <w:rsid w:val="008E2964"/>
    <w:rsid w:val="008E2E0C"/>
    <w:rsid w:val="008E4605"/>
    <w:rsid w:val="008F18A3"/>
    <w:rsid w:val="008F25D8"/>
    <w:rsid w:val="008F4508"/>
    <w:rsid w:val="008F4E2F"/>
    <w:rsid w:val="008F5403"/>
    <w:rsid w:val="008F57AE"/>
    <w:rsid w:val="009012D6"/>
    <w:rsid w:val="009014AB"/>
    <w:rsid w:val="009037A9"/>
    <w:rsid w:val="00904555"/>
    <w:rsid w:val="00905B0D"/>
    <w:rsid w:val="0090615F"/>
    <w:rsid w:val="00912862"/>
    <w:rsid w:val="009145E6"/>
    <w:rsid w:val="00915E08"/>
    <w:rsid w:val="00923F62"/>
    <w:rsid w:val="00924421"/>
    <w:rsid w:val="00926488"/>
    <w:rsid w:val="009275A8"/>
    <w:rsid w:val="009319BC"/>
    <w:rsid w:val="0093214E"/>
    <w:rsid w:val="009346EB"/>
    <w:rsid w:val="009360B2"/>
    <w:rsid w:val="00943384"/>
    <w:rsid w:val="00944D9B"/>
    <w:rsid w:val="009455CE"/>
    <w:rsid w:val="00946F02"/>
    <w:rsid w:val="009519A4"/>
    <w:rsid w:val="00951F47"/>
    <w:rsid w:val="00953081"/>
    <w:rsid w:val="00953375"/>
    <w:rsid w:val="0095479A"/>
    <w:rsid w:val="009558C6"/>
    <w:rsid w:val="009608F2"/>
    <w:rsid w:val="00962FDE"/>
    <w:rsid w:val="009658A9"/>
    <w:rsid w:val="00967418"/>
    <w:rsid w:val="0097013E"/>
    <w:rsid w:val="00972CC5"/>
    <w:rsid w:val="009731D6"/>
    <w:rsid w:val="00974E41"/>
    <w:rsid w:val="00976699"/>
    <w:rsid w:val="00987664"/>
    <w:rsid w:val="00987E3F"/>
    <w:rsid w:val="00987F7F"/>
    <w:rsid w:val="009907F4"/>
    <w:rsid w:val="00991D3C"/>
    <w:rsid w:val="009A0477"/>
    <w:rsid w:val="009A32BA"/>
    <w:rsid w:val="009B3531"/>
    <w:rsid w:val="009B3C31"/>
    <w:rsid w:val="009B5667"/>
    <w:rsid w:val="009B6E4A"/>
    <w:rsid w:val="009B79F6"/>
    <w:rsid w:val="009C1877"/>
    <w:rsid w:val="009C2459"/>
    <w:rsid w:val="009D5474"/>
    <w:rsid w:val="009D796E"/>
    <w:rsid w:val="009E1046"/>
    <w:rsid w:val="009E1189"/>
    <w:rsid w:val="009E2608"/>
    <w:rsid w:val="009F1229"/>
    <w:rsid w:val="009F2C1E"/>
    <w:rsid w:val="009F45BE"/>
    <w:rsid w:val="009F4BE3"/>
    <w:rsid w:val="009F4C54"/>
    <w:rsid w:val="009F50F1"/>
    <w:rsid w:val="009F6BF2"/>
    <w:rsid w:val="00A00363"/>
    <w:rsid w:val="00A0220C"/>
    <w:rsid w:val="00A04B7F"/>
    <w:rsid w:val="00A060CE"/>
    <w:rsid w:val="00A06ED6"/>
    <w:rsid w:val="00A0753C"/>
    <w:rsid w:val="00A111A3"/>
    <w:rsid w:val="00A113CE"/>
    <w:rsid w:val="00A115FA"/>
    <w:rsid w:val="00A12CC5"/>
    <w:rsid w:val="00A135F9"/>
    <w:rsid w:val="00A1503B"/>
    <w:rsid w:val="00A20B42"/>
    <w:rsid w:val="00A2514D"/>
    <w:rsid w:val="00A25DB1"/>
    <w:rsid w:val="00A278CB"/>
    <w:rsid w:val="00A27BDD"/>
    <w:rsid w:val="00A3043A"/>
    <w:rsid w:val="00A332F1"/>
    <w:rsid w:val="00A3436C"/>
    <w:rsid w:val="00A34579"/>
    <w:rsid w:val="00A36AF2"/>
    <w:rsid w:val="00A40612"/>
    <w:rsid w:val="00A42573"/>
    <w:rsid w:val="00A43568"/>
    <w:rsid w:val="00A45D44"/>
    <w:rsid w:val="00A50A4D"/>
    <w:rsid w:val="00A51FD9"/>
    <w:rsid w:val="00A52F0C"/>
    <w:rsid w:val="00A55D2D"/>
    <w:rsid w:val="00A57F9E"/>
    <w:rsid w:val="00A611E6"/>
    <w:rsid w:val="00A61C9B"/>
    <w:rsid w:val="00A628FA"/>
    <w:rsid w:val="00A6354D"/>
    <w:rsid w:val="00A63D25"/>
    <w:rsid w:val="00A6539B"/>
    <w:rsid w:val="00A65BDC"/>
    <w:rsid w:val="00A66668"/>
    <w:rsid w:val="00A73E28"/>
    <w:rsid w:val="00A74717"/>
    <w:rsid w:val="00A75ECA"/>
    <w:rsid w:val="00A8000C"/>
    <w:rsid w:val="00A8005F"/>
    <w:rsid w:val="00A82349"/>
    <w:rsid w:val="00A83459"/>
    <w:rsid w:val="00A84D3E"/>
    <w:rsid w:val="00A8500F"/>
    <w:rsid w:val="00A9045F"/>
    <w:rsid w:val="00A93169"/>
    <w:rsid w:val="00A94B6C"/>
    <w:rsid w:val="00A9611C"/>
    <w:rsid w:val="00AA08A6"/>
    <w:rsid w:val="00AA1207"/>
    <w:rsid w:val="00AA7FE8"/>
    <w:rsid w:val="00AB067C"/>
    <w:rsid w:val="00AB1392"/>
    <w:rsid w:val="00AB2199"/>
    <w:rsid w:val="00AB2258"/>
    <w:rsid w:val="00AB34E6"/>
    <w:rsid w:val="00AB4D54"/>
    <w:rsid w:val="00AB62AF"/>
    <w:rsid w:val="00AB7DD8"/>
    <w:rsid w:val="00AC1713"/>
    <w:rsid w:val="00AC4C16"/>
    <w:rsid w:val="00AC61C2"/>
    <w:rsid w:val="00AC633D"/>
    <w:rsid w:val="00AC6C3B"/>
    <w:rsid w:val="00AC6DFF"/>
    <w:rsid w:val="00AC7C4D"/>
    <w:rsid w:val="00AC7D56"/>
    <w:rsid w:val="00AD2BA4"/>
    <w:rsid w:val="00AD3C56"/>
    <w:rsid w:val="00AD49F8"/>
    <w:rsid w:val="00AD4AA4"/>
    <w:rsid w:val="00AD50C2"/>
    <w:rsid w:val="00AD50ED"/>
    <w:rsid w:val="00AD5784"/>
    <w:rsid w:val="00AD69D3"/>
    <w:rsid w:val="00AE0C9C"/>
    <w:rsid w:val="00AE24D2"/>
    <w:rsid w:val="00AE363E"/>
    <w:rsid w:val="00AE4634"/>
    <w:rsid w:val="00AF263F"/>
    <w:rsid w:val="00AF26C1"/>
    <w:rsid w:val="00AF3F3F"/>
    <w:rsid w:val="00AF482A"/>
    <w:rsid w:val="00AF60B6"/>
    <w:rsid w:val="00AF7712"/>
    <w:rsid w:val="00B005C2"/>
    <w:rsid w:val="00B01BEF"/>
    <w:rsid w:val="00B029E9"/>
    <w:rsid w:val="00B063D1"/>
    <w:rsid w:val="00B07FFE"/>
    <w:rsid w:val="00B11669"/>
    <w:rsid w:val="00B1180C"/>
    <w:rsid w:val="00B13781"/>
    <w:rsid w:val="00B1653E"/>
    <w:rsid w:val="00B20694"/>
    <w:rsid w:val="00B22883"/>
    <w:rsid w:val="00B241AD"/>
    <w:rsid w:val="00B24F22"/>
    <w:rsid w:val="00B259DC"/>
    <w:rsid w:val="00B25EF0"/>
    <w:rsid w:val="00B264C6"/>
    <w:rsid w:val="00B26FC7"/>
    <w:rsid w:val="00B320CC"/>
    <w:rsid w:val="00B34020"/>
    <w:rsid w:val="00B357C2"/>
    <w:rsid w:val="00B373E5"/>
    <w:rsid w:val="00B406EA"/>
    <w:rsid w:val="00B41979"/>
    <w:rsid w:val="00B4288A"/>
    <w:rsid w:val="00B42C6F"/>
    <w:rsid w:val="00B43045"/>
    <w:rsid w:val="00B4326E"/>
    <w:rsid w:val="00B435E3"/>
    <w:rsid w:val="00B44EBF"/>
    <w:rsid w:val="00B470CA"/>
    <w:rsid w:val="00B47E45"/>
    <w:rsid w:val="00B51135"/>
    <w:rsid w:val="00B52565"/>
    <w:rsid w:val="00B54B92"/>
    <w:rsid w:val="00B618C0"/>
    <w:rsid w:val="00B62632"/>
    <w:rsid w:val="00B62F93"/>
    <w:rsid w:val="00B6585A"/>
    <w:rsid w:val="00B66757"/>
    <w:rsid w:val="00B67A64"/>
    <w:rsid w:val="00B72971"/>
    <w:rsid w:val="00B73E99"/>
    <w:rsid w:val="00B753BC"/>
    <w:rsid w:val="00B800CF"/>
    <w:rsid w:val="00B8178D"/>
    <w:rsid w:val="00B81E57"/>
    <w:rsid w:val="00B82563"/>
    <w:rsid w:val="00B82E57"/>
    <w:rsid w:val="00B83325"/>
    <w:rsid w:val="00B835E3"/>
    <w:rsid w:val="00B8423E"/>
    <w:rsid w:val="00B86437"/>
    <w:rsid w:val="00B86CF4"/>
    <w:rsid w:val="00B8701B"/>
    <w:rsid w:val="00B923B8"/>
    <w:rsid w:val="00B970FF"/>
    <w:rsid w:val="00B97E35"/>
    <w:rsid w:val="00BA03F5"/>
    <w:rsid w:val="00BA0868"/>
    <w:rsid w:val="00BA16C5"/>
    <w:rsid w:val="00BA1C1F"/>
    <w:rsid w:val="00BA2858"/>
    <w:rsid w:val="00BA5FAE"/>
    <w:rsid w:val="00BA61AD"/>
    <w:rsid w:val="00BA76A6"/>
    <w:rsid w:val="00BB18BD"/>
    <w:rsid w:val="00BB255E"/>
    <w:rsid w:val="00BB2F8C"/>
    <w:rsid w:val="00BB468F"/>
    <w:rsid w:val="00BB548D"/>
    <w:rsid w:val="00BB6557"/>
    <w:rsid w:val="00BC0B21"/>
    <w:rsid w:val="00BC1D44"/>
    <w:rsid w:val="00BC2B76"/>
    <w:rsid w:val="00BC3B03"/>
    <w:rsid w:val="00BC5093"/>
    <w:rsid w:val="00BC7336"/>
    <w:rsid w:val="00BC7D3A"/>
    <w:rsid w:val="00BE1EFC"/>
    <w:rsid w:val="00BE374D"/>
    <w:rsid w:val="00BE3AEE"/>
    <w:rsid w:val="00BE3BD3"/>
    <w:rsid w:val="00BE43FC"/>
    <w:rsid w:val="00BE4C13"/>
    <w:rsid w:val="00BE6CAF"/>
    <w:rsid w:val="00BE7275"/>
    <w:rsid w:val="00BE739E"/>
    <w:rsid w:val="00BE767A"/>
    <w:rsid w:val="00BF0836"/>
    <w:rsid w:val="00BF1FB5"/>
    <w:rsid w:val="00BF20D1"/>
    <w:rsid w:val="00BF3111"/>
    <w:rsid w:val="00BF3C55"/>
    <w:rsid w:val="00BF5434"/>
    <w:rsid w:val="00C0295A"/>
    <w:rsid w:val="00C04507"/>
    <w:rsid w:val="00C06009"/>
    <w:rsid w:val="00C069BF"/>
    <w:rsid w:val="00C07A93"/>
    <w:rsid w:val="00C1518D"/>
    <w:rsid w:val="00C20377"/>
    <w:rsid w:val="00C2156F"/>
    <w:rsid w:val="00C25846"/>
    <w:rsid w:val="00C2590D"/>
    <w:rsid w:val="00C25F29"/>
    <w:rsid w:val="00C27165"/>
    <w:rsid w:val="00C31A45"/>
    <w:rsid w:val="00C327F2"/>
    <w:rsid w:val="00C37356"/>
    <w:rsid w:val="00C41264"/>
    <w:rsid w:val="00C426C1"/>
    <w:rsid w:val="00C4284F"/>
    <w:rsid w:val="00C4411D"/>
    <w:rsid w:val="00C46E98"/>
    <w:rsid w:val="00C47CAC"/>
    <w:rsid w:val="00C510CF"/>
    <w:rsid w:val="00C52333"/>
    <w:rsid w:val="00C524EC"/>
    <w:rsid w:val="00C525EE"/>
    <w:rsid w:val="00C5318D"/>
    <w:rsid w:val="00C54F23"/>
    <w:rsid w:val="00C57A32"/>
    <w:rsid w:val="00C605DC"/>
    <w:rsid w:val="00C61CE7"/>
    <w:rsid w:val="00C654FF"/>
    <w:rsid w:val="00C65BE2"/>
    <w:rsid w:val="00C67B58"/>
    <w:rsid w:val="00C71767"/>
    <w:rsid w:val="00C72A20"/>
    <w:rsid w:val="00C761CD"/>
    <w:rsid w:val="00C771D2"/>
    <w:rsid w:val="00C80044"/>
    <w:rsid w:val="00C8460B"/>
    <w:rsid w:val="00C862EE"/>
    <w:rsid w:val="00C879CC"/>
    <w:rsid w:val="00C9173D"/>
    <w:rsid w:val="00C95A6B"/>
    <w:rsid w:val="00C96D03"/>
    <w:rsid w:val="00CA075B"/>
    <w:rsid w:val="00CA2208"/>
    <w:rsid w:val="00CA5A6A"/>
    <w:rsid w:val="00CA7693"/>
    <w:rsid w:val="00CB16F6"/>
    <w:rsid w:val="00CB33CD"/>
    <w:rsid w:val="00CB40EE"/>
    <w:rsid w:val="00CB4281"/>
    <w:rsid w:val="00CC0C42"/>
    <w:rsid w:val="00CC286B"/>
    <w:rsid w:val="00CC46C7"/>
    <w:rsid w:val="00CC58E9"/>
    <w:rsid w:val="00CC68F9"/>
    <w:rsid w:val="00CC754F"/>
    <w:rsid w:val="00CD30D3"/>
    <w:rsid w:val="00CD4E4A"/>
    <w:rsid w:val="00CD4F5A"/>
    <w:rsid w:val="00CD73A9"/>
    <w:rsid w:val="00CD7539"/>
    <w:rsid w:val="00CE27E0"/>
    <w:rsid w:val="00CE2EBB"/>
    <w:rsid w:val="00CE3E8D"/>
    <w:rsid w:val="00CE47CB"/>
    <w:rsid w:val="00CE7DAC"/>
    <w:rsid w:val="00CF01DD"/>
    <w:rsid w:val="00CF5A74"/>
    <w:rsid w:val="00CF64BF"/>
    <w:rsid w:val="00D0059A"/>
    <w:rsid w:val="00D00C21"/>
    <w:rsid w:val="00D0356B"/>
    <w:rsid w:val="00D03A98"/>
    <w:rsid w:val="00D058F6"/>
    <w:rsid w:val="00D05CA2"/>
    <w:rsid w:val="00D11A61"/>
    <w:rsid w:val="00D12969"/>
    <w:rsid w:val="00D142B1"/>
    <w:rsid w:val="00D152F9"/>
    <w:rsid w:val="00D16AF8"/>
    <w:rsid w:val="00D2394C"/>
    <w:rsid w:val="00D246C8"/>
    <w:rsid w:val="00D30F4A"/>
    <w:rsid w:val="00D33EB7"/>
    <w:rsid w:val="00D34BDF"/>
    <w:rsid w:val="00D36083"/>
    <w:rsid w:val="00D373DB"/>
    <w:rsid w:val="00D40275"/>
    <w:rsid w:val="00D42098"/>
    <w:rsid w:val="00D42286"/>
    <w:rsid w:val="00D432B6"/>
    <w:rsid w:val="00D44A5D"/>
    <w:rsid w:val="00D44C65"/>
    <w:rsid w:val="00D47814"/>
    <w:rsid w:val="00D51C9C"/>
    <w:rsid w:val="00D51CD8"/>
    <w:rsid w:val="00D5324E"/>
    <w:rsid w:val="00D5360A"/>
    <w:rsid w:val="00D56093"/>
    <w:rsid w:val="00D575B8"/>
    <w:rsid w:val="00D614E3"/>
    <w:rsid w:val="00D61C74"/>
    <w:rsid w:val="00D62703"/>
    <w:rsid w:val="00D62863"/>
    <w:rsid w:val="00D62E05"/>
    <w:rsid w:val="00D648C1"/>
    <w:rsid w:val="00D64AC6"/>
    <w:rsid w:val="00D65FA8"/>
    <w:rsid w:val="00D67931"/>
    <w:rsid w:val="00D726C5"/>
    <w:rsid w:val="00D72E17"/>
    <w:rsid w:val="00D7570D"/>
    <w:rsid w:val="00D75B46"/>
    <w:rsid w:val="00D80510"/>
    <w:rsid w:val="00D80C69"/>
    <w:rsid w:val="00D8114D"/>
    <w:rsid w:val="00D8311D"/>
    <w:rsid w:val="00D84E63"/>
    <w:rsid w:val="00D86C82"/>
    <w:rsid w:val="00D92838"/>
    <w:rsid w:val="00D945C8"/>
    <w:rsid w:val="00D95A6A"/>
    <w:rsid w:val="00D964A5"/>
    <w:rsid w:val="00D967D3"/>
    <w:rsid w:val="00D96B1E"/>
    <w:rsid w:val="00D97986"/>
    <w:rsid w:val="00D97D62"/>
    <w:rsid w:val="00DA0DBE"/>
    <w:rsid w:val="00DA58DA"/>
    <w:rsid w:val="00DC0300"/>
    <w:rsid w:val="00DC230B"/>
    <w:rsid w:val="00DC2F76"/>
    <w:rsid w:val="00DC3DA7"/>
    <w:rsid w:val="00DC4C26"/>
    <w:rsid w:val="00DC5ABF"/>
    <w:rsid w:val="00DC7785"/>
    <w:rsid w:val="00DC7A6D"/>
    <w:rsid w:val="00DC7B2E"/>
    <w:rsid w:val="00DD2A90"/>
    <w:rsid w:val="00DD457C"/>
    <w:rsid w:val="00DE0E03"/>
    <w:rsid w:val="00DE1707"/>
    <w:rsid w:val="00DE36C9"/>
    <w:rsid w:val="00DE683A"/>
    <w:rsid w:val="00DE72F2"/>
    <w:rsid w:val="00DE7D9A"/>
    <w:rsid w:val="00DF01D3"/>
    <w:rsid w:val="00DF09A0"/>
    <w:rsid w:val="00DF1189"/>
    <w:rsid w:val="00DF1F2C"/>
    <w:rsid w:val="00DF2DE5"/>
    <w:rsid w:val="00DF4532"/>
    <w:rsid w:val="00DF4E00"/>
    <w:rsid w:val="00DF5255"/>
    <w:rsid w:val="00DF5309"/>
    <w:rsid w:val="00DF5924"/>
    <w:rsid w:val="00DF6329"/>
    <w:rsid w:val="00DF6431"/>
    <w:rsid w:val="00E02CE2"/>
    <w:rsid w:val="00E03FAB"/>
    <w:rsid w:val="00E04070"/>
    <w:rsid w:val="00E102B8"/>
    <w:rsid w:val="00E129DA"/>
    <w:rsid w:val="00E12B34"/>
    <w:rsid w:val="00E15ED8"/>
    <w:rsid w:val="00E21698"/>
    <w:rsid w:val="00E235A4"/>
    <w:rsid w:val="00E25215"/>
    <w:rsid w:val="00E274D1"/>
    <w:rsid w:val="00E27BC7"/>
    <w:rsid w:val="00E32592"/>
    <w:rsid w:val="00E33044"/>
    <w:rsid w:val="00E330FB"/>
    <w:rsid w:val="00E40184"/>
    <w:rsid w:val="00E41B25"/>
    <w:rsid w:val="00E42D40"/>
    <w:rsid w:val="00E43B07"/>
    <w:rsid w:val="00E4561E"/>
    <w:rsid w:val="00E46C0F"/>
    <w:rsid w:val="00E47DA4"/>
    <w:rsid w:val="00E50936"/>
    <w:rsid w:val="00E517DE"/>
    <w:rsid w:val="00E55608"/>
    <w:rsid w:val="00E5599B"/>
    <w:rsid w:val="00E64549"/>
    <w:rsid w:val="00E64CAE"/>
    <w:rsid w:val="00E67191"/>
    <w:rsid w:val="00E675DB"/>
    <w:rsid w:val="00E70D2B"/>
    <w:rsid w:val="00E713E3"/>
    <w:rsid w:val="00E71FA3"/>
    <w:rsid w:val="00E73FE2"/>
    <w:rsid w:val="00E82C10"/>
    <w:rsid w:val="00E84415"/>
    <w:rsid w:val="00E85DF1"/>
    <w:rsid w:val="00E85EBE"/>
    <w:rsid w:val="00E863FF"/>
    <w:rsid w:val="00E913E4"/>
    <w:rsid w:val="00E9214B"/>
    <w:rsid w:val="00E92DA6"/>
    <w:rsid w:val="00E97EDF"/>
    <w:rsid w:val="00EA3195"/>
    <w:rsid w:val="00EA3264"/>
    <w:rsid w:val="00EA3F9D"/>
    <w:rsid w:val="00EB1315"/>
    <w:rsid w:val="00EB1D3F"/>
    <w:rsid w:val="00EB231C"/>
    <w:rsid w:val="00EB2C03"/>
    <w:rsid w:val="00EB3660"/>
    <w:rsid w:val="00EB516C"/>
    <w:rsid w:val="00EC1181"/>
    <w:rsid w:val="00EC18B0"/>
    <w:rsid w:val="00EC57E7"/>
    <w:rsid w:val="00ED0F63"/>
    <w:rsid w:val="00ED2941"/>
    <w:rsid w:val="00ED2A93"/>
    <w:rsid w:val="00ED3187"/>
    <w:rsid w:val="00ED6C3F"/>
    <w:rsid w:val="00ED7F5C"/>
    <w:rsid w:val="00EE36D2"/>
    <w:rsid w:val="00EE53BC"/>
    <w:rsid w:val="00EF052A"/>
    <w:rsid w:val="00EF1A32"/>
    <w:rsid w:val="00EF6AB0"/>
    <w:rsid w:val="00F00E98"/>
    <w:rsid w:val="00F03229"/>
    <w:rsid w:val="00F06AD6"/>
    <w:rsid w:val="00F14328"/>
    <w:rsid w:val="00F15E37"/>
    <w:rsid w:val="00F168D8"/>
    <w:rsid w:val="00F174D0"/>
    <w:rsid w:val="00F32738"/>
    <w:rsid w:val="00F3293C"/>
    <w:rsid w:val="00F35EBD"/>
    <w:rsid w:val="00F377A1"/>
    <w:rsid w:val="00F423CA"/>
    <w:rsid w:val="00F458EF"/>
    <w:rsid w:val="00F476AB"/>
    <w:rsid w:val="00F533A7"/>
    <w:rsid w:val="00F539E3"/>
    <w:rsid w:val="00F5524F"/>
    <w:rsid w:val="00F564AB"/>
    <w:rsid w:val="00F565EC"/>
    <w:rsid w:val="00F63E0C"/>
    <w:rsid w:val="00F65E47"/>
    <w:rsid w:val="00F74396"/>
    <w:rsid w:val="00F7672E"/>
    <w:rsid w:val="00F81D3C"/>
    <w:rsid w:val="00F83268"/>
    <w:rsid w:val="00F86CF8"/>
    <w:rsid w:val="00F90C33"/>
    <w:rsid w:val="00F91A94"/>
    <w:rsid w:val="00F91B2E"/>
    <w:rsid w:val="00F9201C"/>
    <w:rsid w:val="00F93D14"/>
    <w:rsid w:val="00F95A20"/>
    <w:rsid w:val="00F962D9"/>
    <w:rsid w:val="00F97BD9"/>
    <w:rsid w:val="00F97D77"/>
    <w:rsid w:val="00FA4B84"/>
    <w:rsid w:val="00FB1155"/>
    <w:rsid w:val="00FB2D15"/>
    <w:rsid w:val="00FB474B"/>
    <w:rsid w:val="00FB6BE4"/>
    <w:rsid w:val="00FB7618"/>
    <w:rsid w:val="00FC09FC"/>
    <w:rsid w:val="00FC16BF"/>
    <w:rsid w:val="00FC1C34"/>
    <w:rsid w:val="00FC4061"/>
    <w:rsid w:val="00FC4DB9"/>
    <w:rsid w:val="00FC652A"/>
    <w:rsid w:val="00FD136E"/>
    <w:rsid w:val="00FD2C5D"/>
    <w:rsid w:val="00FD42C1"/>
    <w:rsid w:val="00FE0032"/>
    <w:rsid w:val="00FE11B0"/>
    <w:rsid w:val="00FE4DE9"/>
    <w:rsid w:val="00FE553D"/>
    <w:rsid w:val="00FE5EB0"/>
    <w:rsid w:val="00FF1214"/>
    <w:rsid w:val="00FF12E1"/>
    <w:rsid w:val="00FF39BE"/>
    <w:rsid w:val="00FF3D9A"/>
    <w:rsid w:val="00FF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7F7388"/>
    <w:pPr>
      <w:widowControl/>
      <w:spacing w:before="100" w:beforeAutospacing="1" w:after="100" w:afterAutospacing="1"/>
      <w:jc w:val="left"/>
      <w:outlineLvl w:val="0"/>
    </w:pPr>
    <w:rPr>
      <w:rFonts w:ascii="SimSun" w:eastAsia="SimSun" w:hAnsi="SimSun" w:cs="SimSun"/>
      <w:b/>
      <w:bCs/>
      <w:kern w:val="36"/>
      <w:sz w:val="48"/>
      <w:szCs w:val="48"/>
    </w:rPr>
  </w:style>
  <w:style w:type="paragraph" w:styleId="Heading2">
    <w:name w:val="heading 2"/>
    <w:basedOn w:val="Normal"/>
    <w:next w:val="Normal"/>
    <w:link w:val="Heading2Char"/>
    <w:uiPriority w:val="9"/>
    <w:semiHidden/>
    <w:unhideWhenUsed/>
    <w:qFormat/>
    <w:rsid w:val="005045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593BE1"/>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B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F5B3B"/>
    <w:rPr>
      <w:sz w:val="18"/>
      <w:szCs w:val="18"/>
    </w:rPr>
  </w:style>
  <w:style w:type="paragraph" w:styleId="Footer">
    <w:name w:val="footer"/>
    <w:basedOn w:val="Normal"/>
    <w:link w:val="FooterChar"/>
    <w:uiPriority w:val="99"/>
    <w:unhideWhenUsed/>
    <w:rsid w:val="007F5B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F5B3B"/>
    <w:rPr>
      <w:sz w:val="18"/>
      <w:szCs w:val="18"/>
    </w:rPr>
  </w:style>
  <w:style w:type="paragraph" w:styleId="ListParagraph">
    <w:name w:val="List Paragraph"/>
    <w:basedOn w:val="Normal"/>
    <w:uiPriority w:val="34"/>
    <w:qFormat/>
    <w:rsid w:val="0095479A"/>
    <w:pPr>
      <w:ind w:firstLineChars="200" w:firstLine="420"/>
    </w:pPr>
  </w:style>
  <w:style w:type="paragraph" w:customStyle="1" w:styleId="1">
    <w:name w:val="无间隔1"/>
    <w:link w:val="1Char"/>
    <w:uiPriority w:val="1"/>
    <w:qFormat/>
    <w:rsid w:val="00535F3B"/>
    <w:pPr>
      <w:widowControl w:val="0"/>
      <w:jc w:val="both"/>
    </w:pPr>
    <w:rPr>
      <w:rFonts w:ascii="Times New Roman" w:eastAsia="SimSun" w:hAnsi="Times New Roman" w:cs="Times New Roman"/>
      <w:szCs w:val="24"/>
    </w:rPr>
  </w:style>
  <w:style w:type="character" w:customStyle="1" w:styleId="1Char">
    <w:name w:val="无间隔1 Char"/>
    <w:basedOn w:val="DefaultParagraphFont"/>
    <w:link w:val="1"/>
    <w:uiPriority w:val="1"/>
    <w:qFormat/>
    <w:rsid w:val="00535F3B"/>
    <w:rPr>
      <w:rFonts w:ascii="Times New Roman" w:eastAsia="SimSun" w:hAnsi="Times New Roman" w:cs="Times New Roman"/>
      <w:szCs w:val="24"/>
    </w:rPr>
  </w:style>
  <w:style w:type="character" w:customStyle="1" w:styleId="keywords-mean">
    <w:name w:val="keywords-mean"/>
    <w:basedOn w:val="DefaultParagraphFont"/>
    <w:rsid w:val="008654C7"/>
  </w:style>
  <w:style w:type="character" w:customStyle="1" w:styleId="Heading1Char">
    <w:name w:val="Heading 1 Char"/>
    <w:basedOn w:val="DefaultParagraphFont"/>
    <w:link w:val="Heading1"/>
    <w:uiPriority w:val="9"/>
    <w:rsid w:val="007F7388"/>
    <w:rPr>
      <w:rFonts w:ascii="SimSun" w:eastAsia="SimSun" w:hAnsi="SimSun" w:cs="SimSun"/>
      <w:b/>
      <w:bCs/>
      <w:kern w:val="36"/>
      <w:sz w:val="48"/>
      <w:szCs w:val="48"/>
    </w:rPr>
  </w:style>
  <w:style w:type="character" w:customStyle="1" w:styleId="title-text">
    <w:name w:val="title-text"/>
    <w:basedOn w:val="DefaultParagraphFont"/>
    <w:rsid w:val="007F7388"/>
  </w:style>
  <w:style w:type="paragraph" w:styleId="NormalWeb">
    <w:name w:val="Normal (Web)"/>
    <w:basedOn w:val="Normal"/>
    <w:uiPriority w:val="99"/>
    <w:semiHidden/>
    <w:unhideWhenUsed/>
    <w:rsid w:val="00833AFE"/>
    <w:pPr>
      <w:widowControl/>
      <w:spacing w:before="100" w:beforeAutospacing="1" w:after="100" w:afterAutospacing="1"/>
      <w:jc w:val="left"/>
    </w:pPr>
    <w:rPr>
      <w:rFonts w:ascii="SimSun" w:eastAsia="SimSun" w:hAnsi="SimSun" w:cs="SimSun"/>
      <w:kern w:val="0"/>
      <w:sz w:val="24"/>
      <w:szCs w:val="24"/>
    </w:rPr>
  </w:style>
  <w:style w:type="character" w:customStyle="1" w:styleId="text">
    <w:name w:val="text"/>
    <w:basedOn w:val="DefaultParagraphFont"/>
    <w:rsid w:val="006A755F"/>
  </w:style>
  <w:style w:type="paragraph" w:customStyle="1" w:styleId="EndNoteBibliographyTitle">
    <w:name w:val="EndNote Bibliography Title"/>
    <w:basedOn w:val="Normal"/>
    <w:link w:val="EndNoteBibliographyTitle0"/>
    <w:rsid w:val="002C7A59"/>
    <w:pPr>
      <w:jc w:val="center"/>
    </w:pPr>
    <w:rPr>
      <w:rFonts w:ascii="DengXian" w:eastAsia="DengXian" w:hAnsi="DengXian"/>
      <w:noProof/>
      <w:sz w:val="20"/>
    </w:rPr>
  </w:style>
  <w:style w:type="character" w:customStyle="1" w:styleId="EndNoteBibliographyTitle0">
    <w:name w:val="EndNote Bibliography Title 字符"/>
    <w:basedOn w:val="1Char"/>
    <w:link w:val="EndNoteBibliographyTitle"/>
    <w:rsid w:val="002C7A59"/>
    <w:rPr>
      <w:rFonts w:ascii="DengXian" w:eastAsia="DengXian" w:hAnsi="DengXian" w:cs="Times New Roman"/>
      <w:noProof/>
      <w:sz w:val="20"/>
      <w:szCs w:val="24"/>
    </w:rPr>
  </w:style>
  <w:style w:type="paragraph" w:customStyle="1" w:styleId="EndNoteBibliography">
    <w:name w:val="EndNote Bibliography"/>
    <w:basedOn w:val="Normal"/>
    <w:link w:val="EndNoteBibliography0"/>
    <w:rsid w:val="002C7A59"/>
    <w:rPr>
      <w:rFonts w:ascii="DengXian" w:eastAsia="DengXian" w:hAnsi="DengXian"/>
      <w:noProof/>
      <w:sz w:val="20"/>
    </w:rPr>
  </w:style>
  <w:style w:type="character" w:customStyle="1" w:styleId="EndNoteBibliography0">
    <w:name w:val="EndNote Bibliography 字符"/>
    <w:basedOn w:val="1Char"/>
    <w:link w:val="EndNoteBibliography"/>
    <w:rsid w:val="002C7A59"/>
    <w:rPr>
      <w:rFonts w:ascii="DengXian" w:eastAsia="DengXian" w:hAnsi="DengXian" w:cs="Times New Roman"/>
      <w:noProof/>
      <w:sz w:val="20"/>
      <w:szCs w:val="24"/>
    </w:rPr>
  </w:style>
  <w:style w:type="character" w:styleId="CommentReference">
    <w:name w:val="annotation reference"/>
    <w:basedOn w:val="DefaultParagraphFont"/>
    <w:uiPriority w:val="99"/>
    <w:semiHidden/>
    <w:unhideWhenUsed/>
    <w:rsid w:val="003B739C"/>
    <w:rPr>
      <w:rFonts w:ascii="Tahoma" w:hAnsi="Tahoma" w:cs="Tahoma"/>
      <w:b w:val="0"/>
      <w:i w:val="0"/>
      <w:caps w:val="0"/>
      <w:strike w:val="0"/>
      <w:sz w:val="16"/>
      <w:szCs w:val="21"/>
      <w:u w:val="none"/>
    </w:rPr>
  </w:style>
  <w:style w:type="paragraph" w:styleId="CommentText">
    <w:name w:val="annotation text"/>
    <w:basedOn w:val="Normal"/>
    <w:link w:val="CommentTextChar"/>
    <w:uiPriority w:val="99"/>
    <w:unhideWhenUsed/>
    <w:rsid w:val="003B739C"/>
    <w:pPr>
      <w:jc w:val="left"/>
    </w:pPr>
    <w:rPr>
      <w:rFonts w:ascii="Tahoma" w:hAnsi="Tahoma" w:cs="Tahoma"/>
      <w:sz w:val="16"/>
      <w:lang w:val="en-GB"/>
    </w:rPr>
  </w:style>
  <w:style w:type="character" w:customStyle="1" w:styleId="CommentTextChar">
    <w:name w:val="Comment Text Char"/>
    <w:basedOn w:val="DefaultParagraphFont"/>
    <w:link w:val="CommentText"/>
    <w:uiPriority w:val="99"/>
    <w:rsid w:val="003B739C"/>
    <w:rPr>
      <w:rFonts w:ascii="Tahoma" w:hAnsi="Tahoma" w:cs="Tahoma"/>
      <w:sz w:val="16"/>
      <w:lang w:val="en-GB"/>
    </w:rPr>
  </w:style>
  <w:style w:type="paragraph" w:styleId="NoSpacing">
    <w:name w:val="No Spacing"/>
    <w:uiPriority w:val="1"/>
    <w:qFormat/>
    <w:rsid w:val="00BB468F"/>
    <w:pPr>
      <w:widowControl w:val="0"/>
      <w:jc w:val="both"/>
    </w:pPr>
    <w:rPr>
      <w:lang w:val="en-GB"/>
    </w:rPr>
  </w:style>
  <w:style w:type="character" w:styleId="Hyperlink">
    <w:name w:val="Hyperlink"/>
    <w:basedOn w:val="DefaultParagraphFont"/>
    <w:uiPriority w:val="99"/>
    <w:unhideWhenUsed/>
    <w:rsid w:val="00E33044"/>
    <w:rPr>
      <w:color w:val="0000FF"/>
      <w:u w:val="single"/>
    </w:rPr>
  </w:style>
  <w:style w:type="character" w:customStyle="1" w:styleId="Heading3Char">
    <w:name w:val="Heading 3 Char"/>
    <w:basedOn w:val="DefaultParagraphFont"/>
    <w:link w:val="Heading3"/>
    <w:uiPriority w:val="9"/>
    <w:rsid w:val="00593BE1"/>
    <w:rPr>
      <w:b/>
      <w:bCs/>
      <w:sz w:val="32"/>
      <w:szCs w:val="32"/>
    </w:rPr>
  </w:style>
  <w:style w:type="character" w:styleId="Emphasis">
    <w:name w:val="Emphasis"/>
    <w:basedOn w:val="DefaultParagraphFont"/>
    <w:uiPriority w:val="20"/>
    <w:qFormat/>
    <w:rsid w:val="007F0E04"/>
    <w:rPr>
      <w:i/>
      <w:iCs/>
    </w:rPr>
  </w:style>
  <w:style w:type="character" w:customStyle="1" w:styleId="Heading2Char">
    <w:name w:val="Heading 2 Char"/>
    <w:basedOn w:val="DefaultParagraphFont"/>
    <w:link w:val="Heading2"/>
    <w:uiPriority w:val="9"/>
    <w:semiHidden/>
    <w:rsid w:val="005045C3"/>
    <w:rPr>
      <w:rFonts w:asciiTheme="majorHAnsi" w:eastAsiaTheme="majorEastAsia" w:hAnsiTheme="majorHAnsi" w:cstheme="majorBidi"/>
      <w:b/>
      <w:bCs/>
      <w:sz w:val="32"/>
      <w:szCs w:val="32"/>
    </w:rPr>
  </w:style>
  <w:style w:type="character" w:customStyle="1" w:styleId="high-light">
    <w:name w:val="high-light"/>
    <w:basedOn w:val="DefaultParagraphFont"/>
    <w:rsid w:val="00924421"/>
  </w:style>
  <w:style w:type="paragraph" w:customStyle="1" w:styleId="ordinary-output">
    <w:name w:val="ordinary-output"/>
    <w:basedOn w:val="Normal"/>
    <w:rsid w:val="00603F7E"/>
    <w:pPr>
      <w:widowControl/>
      <w:spacing w:before="100" w:beforeAutospacing="1" w:after="100" w:afterAutospacing="1"/>
      <w:jc w:val="left"/>
    </w:pPr>
    <w:rPr>
      <w:rFonts w:ascii="SimSun" w:eastAsia="SimSun" w:hAnsi="SimSun" w:cs="SimSun"/>
      <w:kern w:val="0"/>
      <w:sz w:val="24"/>
      <w:szCs w:val="24"/>
    </w:rPr>
  </w:style>
  <w:style w:type="character" w:customStyle="1" w:styleId="high-light-bg">
    <w:name w:val="high-light-bg"/>
    <w:basedOn w:val="DefaultParagraphFont"/>
    <w:rsid w:val="00ED2A93"/>
  </w:style>
  <w:style w:type="character" w:styleId="LineNumber">
    <w:name w:val="line number"/>
    <w:basedOn w:val="DefaultParagraphFont"/>
    <w:uiPriority w:val="99"/>
    <w:semiHidden/>
    <w:unhideWhenUsed/>
    <w:rsid w:val="004B7FDB"/>
  </w:style>
  <w:style w:type="table" w:styleId="TableGrid">
    <w:name w:val="Table Grid"/>
    <w:basedOn w:val="TableNormal"/>
    <w:uiPriority w:val="39"/>
    <w:rsid w:val="00893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39"/>
    <w:rsid w:val="009B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rsid w:val="00A55D2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A55D2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C5BC3"/>
  </w:style>
  <w:style w:type="character" w:styleId="UnresolvedMention">
    <w:name w:val="Unresolved Mention"/>
    <w:basedOn w:val="DefaultParagraphFont"/>
    <w:uiPriority w:val="99"/>
    <w:semiHidden/>
    <w:unhideWhenUsed/>
    <w:rsid w:val="003B700D"/>
    <w:rPr>
      <w:color w:val="605E5C"/>
      <w:shd w:val="clear" w:color="auto" w:fill="E1DFDD"/>
    </w:rPr>
  </w:style>
  <w:style w:type="paragraph" w:styleId="Revision">
    <w:name w:val="Revision"/>
    <w:hidden/>
    <w:uiPriority w:val="99"/>
    <w:semiHidden/>
    <w:rsid w:val="001B75E2"/>
  </w:style>
  <w:style w:type="paragraph" w:styleId="CommentSubject">
    <w:name w:val="annotation subject"/>
    <w:basedOn w:val="CommentText"/>
    <w:next w:val="CommentText"/>
    <w:link w:val="CommentSubjectChar"/>
    <w:uiPriority w:val="99"/>
    <w:semiHidden/>
    <w:unhideWhenUsed/>
    <w:rsid w:val="001B75E2"/>
    <w:pPr>
      <w:jc w:val="both"/>
    </w:pPr>
    <w:rPr>
      <w:rFonts w:ascii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1B75E2"/>
    <w:rPr>
      <w:rFonts w:ascii="Tahoma" w:hAnsi="Tahoma" w:cs="Tahoma"/>
      <w:b/>
      <w:bCs/>
      <w:sz w:val="20"/>
      <w:szCs w:val="20"/>
      <w:lang w:val="en-GB"/>
    </w:rPr>
  </w:style>
  <w:style w:type="character" w:customStyle="1" w:styleId="cf01">
    <w:name w:val="cf01"/>
    <w:basedOn w:val="DefaultParagraphFont"/>
    <w:rsid w:val="007C3F30"/>
    <w:rPr>
      <w:rFonts w:ascii="Microsoft YaHei UI" w:eastAsia="Microsoft YaHei UI" w:hAnsi="Microsoft YaHei UI" w:hint="eastAsia"/>
      <w:sz w:val="18"/>
      <w:szCs w:val="18"/>
    </w:rPr>
  </w:style>
  <w:style w:type="table" w:customStyle="1" w:styleId="4">
    <w:name w:val="网格型4"/>
    <w:basedOn w:val="TableNormal"/>
    <w:next w:val="TableGrid"/>
    <w:uiPriority w:val="39"/>
    <w:rsid w:val="007E4C8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4593">
      <w:bodyDiv w:val="1"/>
      <w:marLeft w:val="0"/>
      <w:marRight w:val="0"/>
      <w:marTop w:val="0"/>
      <w:marBottom w:val="0"/>
      <w:divBdr>
        <w:top w:val="none" w:sz="0" w:space="0" w:color="auto"/>
        <w:left w:val="none" w:sz="0" w:space="0" w:color="auto"/>
        <w:bottom w:val="none" w:sz="0" w:space="0" w:color="auto"/>
        <w:right w:val="none" w:sz="0" w:space="0" w:color="auto"/>
      </w:divBdr>
    </w:div>
    <w:div w:id="194075150">
      <w:bodyDiv w:val="1"/>
      <w:marLeft w:val="0"/>
      <w:marRight w:val="0"/>
      <w:marTop w:val="0"/>
      <w:marBottom w:val="0"/>
      <w:divBdr>
        <w:top w:val="none" w:sz="0" w:space="0" w:color="auto"/>
        <w:left w:val="none" w:sz="0" w:space="0" w:color="auto"/>
        <w:bottom w:val="none" w:sz="0" w:space="0" w:color="auto"/>
        <w:right w:val="none" w:sz="0" w:space="0" w:color="auto"/>
      </w:divBdr>
    </w:div>
    <w:div w:id="772670292">
      <w:bodyDiv w:val="1"/>
      <w:marLeft w:val="0"/>
      <w:marRight w:val="0"/>
      <w:marTop w:val="0"/>
      <w:marBottom w:val="0"/>
      <w:divBdr>
        <w:top w:val="none" w:sz="0" w:space="0" w:color="auto"/>
        <w:left w:val="none" w:sz="0" w:space="0" w:color="auto"/>
        <w:bottom w:val="none" w:sz="0" w:space="0" w:color="auto"/>
        <w:right w:val="none" w:sz="0" w:space="0" w:color="auto"/>
      </w:divBdr>
    </w:div>
    <w:div w:id="827209122">
      <w:bodyDiv w:val="1"/>
      <w:marLeft w:val="0"/>
      <w:marRight w:val="0"/>
      <w:marTop w:val="0"/>
      <w:marBottom w:val="0"/>
      <w:divBdr>
        <w:top w:val="none" w:sz="0" w:space="0" w:color="auto"/>
        <w:left w:val="none" w:sz="0" w:space="0" w:color="auto"/>
        <w:bottom w:val="none" w:sz="0" w:space="0" w:color="auto"/>
        <w:right w:val="none" w:sz="0" w:space="0" w:color="auto"/>
      </w:divBdr>
    </w:div>
    <w:div w:id="1009482636">
      <w:bodyDiv w:val="1"/>
      <w:marLeft w:val="0"/>
      <w:marRight w:val="0"/>
      <w:marTop w:val="0"/>
      <w:marBottom w:val="0"/>
      <w:divBdr>
        <w:top w:val="none" w:sz="0" w:space="0" w:color="auto"/>
        <w:left w:val="none" w:sz="0" w:space="0" w:color="auto"/>
        <w:bottom w:val="none" w:sz="0" w:space="0" w:color="auto"/>
        <w:right w:val="none" w:sz="0" w:space="0" w:color="auto"/>
      </w:divBdr>
    </w:div>
    <w:div w:id="1105231623">
      <w:bodyDiv w:val="1"/>
      <w:marLeft w:val="0"/>
      <w:marRight w:val="0"/>
      <w:marTop w:val="0"/>
      <w:marBottom w:val="0"/>
      <w:divBdr>
        <w:top w:val="none" w:sz="0" w:space="0" w:color="auto"/>
        <w:left w:val="none" w:sz="0" w:space="0" w:color="auto"/>
        <w:bottom w:val="none" w:sz="0" w:space="0" w:color="auto"/>
        <w:right w:val="none" w:sz="0" w:space="0" w:color="auto"/>
      </w:divBdr>
    </w:div>
    <w:div w:id="1126972668">
      <w:bodyDiv w:val="1"/>
      <w:marLeft w:val="0"/>
      <w:marRight w:val="0"/>
      <w:marTop w:val="0"/>
      <w:marBottom w:val="0"/>
      <w:divBdr>
        <w:top w:val="none" w:sz="0" w:space="0" w:color="auto"/>
        <w:left w:val="none" w:sz="0" w:space="0" w:color="auto"/>
        <w:bottom w:val="none" w:sz="0" w:space="0" w:color="auto"/>
        <w:right w:val="none" w:sz="0" w:space="0" w:color="auto"/>
      </w:divBdr>
    </w:div>
    <w:div w:id="1131752760">
      <w:bodyDiv w:val="1"/>
      <w:marLeft w:val="0"/>
      <w:marRight w:val="0"/>
      <w:marTop w:val="0"/>
      <w:marBottom w:val="0"/>
      <w:divBdr>
        <w:top w:val="none" w:sz="0" w:space="0" w:color="auto"/>
        <w:left w:val="none" w:sz="0" w:space="0" w:color="auto"/>
        <w:bottom w:val="none" w:sz="0" w:space="0" w:color="auto"/>
        <w:right w:val="none" w:sz="0" w:space="0" w:color="auto"/>
      </w:divBdr>
    </w:div>
    <w:div w:id="1371341451">
      <w:bodyDiv w:val="1"/>
      <w:marLeft w:val="0"/>
      <w:marRight w:val="0"/>
      <w:marTop w:val="0"/>
      <w:marBottom w:val="0"/>
      <w:divBdr>
        <w:top w:val="none" w:sz="0" w:space="0" w:color="auto"/>
        <w:left w:val="none" w:sz="0" w:space="0" w:color="auto"/>
        <w:bottom w:val="none" w:sz="0" w:space="0" w:color="auto"/>
        <w:right w:val="none" w:sz="0" w:space="0" w:color="auto"/>
      </w:divBdr>
    </w:div>
    <w:div w:id="1413428722">
      <w:bodyDiv w:val="1"/>
      <w:marLeft w:val="0"/>
      <w:marRight w:val="0"/>
      <w:marTop w:val="0"/>
      <w:marBottom w:val="0"/>
      <w:divBdr>
        <w:top w:val="none" w:sz="0" w:space="0" w:color="auto"/>
        <w:left w:val="none" w:sz="0" w:space="0" w:color="auto"/>
        <w:bottom w:val="none" w:sz="0" w:space="0" w:color="auto"/>
        <w:right w:val="none" w:sz="0" w:space="0" w:color="auto"/>
      </w:divBdr>
      <w:divsChild>
        <w:div w:id="666328113">
          <w:marLeft w:val="0"/>
          <w:marRight w:val="0"/>
          <w:marTop w:val="0"/>
          <w:marBottom w:val="0"/>
          <w:divBdr>
            <w:top w:val="none" w:sz="0" w:space="0" w:color="auto"/>
            <w:left w:val="none" w:sz="0" w:space="0" w:color="auto"/>
            <w:bottom w:val="none" w:sz="0" w:space="0" w:color="auto"/>
            <w:right w:val="none" w:sz="0" w:space="0" w:color="auto"/>
          </w:divBdr>
          <w:divsChild>
            <w:div w:id="880289806">
              <w:marLeft w:val="0"/>
              <w:marRight w:val="0"/>
              <w:marTop w:val="0"/>
              <w:marBottom w:val="0"/>
              <w:divBdr>
                <w:top w:val="single" w:sz="6" w:space="0" w:color="4395FF"/>
                <w:left w:val="single" w:sz="6" w:space="0" w:color="4395FF"/>
                <w:bottom w:val="single" w:sz="6" w:space="0" w:color="4395FF"/>
                <w:right w:val="single" w:sz="6" w:space="0" w:color="4395FF"/>
              </w:divBdr>
              <w:divsChild>
                <w:div w:id="1036394710">
                  <w:marLeft w:val="0"/>
                  <w:marRight w:val="0"/>
                  <w:marTop w:val="0"/>
                  <w:marBottom w:val="0"/>
                  <w:divBdr>
                    <w:top w:val="none" w:sz="0" w:space="0" w:color="auto"/>
                    <w:left w:val="none" w:sz="0" w:space="0" w:color="auto"/>
                    <w:bottom w:val="none" w:sz="0" w:space="0" w:color="auto"/>
                    <w:right w:val="none" w:sz="0" w:space="0" w:color="auto"/>
                  </w:divBdr>
                  <w:divsChild>
                    <w:div w:id="95702925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214006599">
          <w:marLeft w:val="0"/>
          <w:marRight w:val="0"/>
          <w:marTop w:val="0"/>
          <w:marBottom w:val="0"/>
          <w:divBdr>
            <w:top w:val="none" w:sz="0" w:space="0" w:color="auto"/>
            <w:left w:val="none" w:sz="0" w:space="0" w:color="auto"/>
            <w:bottom w:val="none" w:sz="0" w:space="0" w:color="auto"/>
            <w:right w:val="none" w:sz="0" w:space="0" w:color="auto"/>
          </w:divBdr>
          <w:divsChild>
            <w:div w:id="370955912">
              <w:marLeft w:val="0"/>
              <w:marRight w:val="0"/>
              <w:marTop w:val="0"/>
              <w:marBottom w:val="0"/>
              <w:divBdr>
                <w:top w:val="none" w:sz="0" w:space="0" w:color="auto"/>
                <w:left w:val="none" w:sz="0" w:space="0" w:color="auto"/>
                <w:bottom w:val="none" w:sz="0" w:space="0" w:color="auto"/>
                <w:right w:val="none" w:sz="0" w:space="0" w:color="auto"/>
              </w:divBdr>
              <w:divsChild>
                <w:div w:id="1425692031">
                  <w:marLeft w:val="0"/>
                  <w:marRight w:val="0"/>
                  <w:marTop w:val="0"/>
                  <w:marBottom w:val="0"/>
                  <w:divBdr>
                    <w:top w:val="single" w:sz="6" w:space="8" w:color="EEEEEE"/>
                    <w:left w:val="none" w:sz="0" w:space="8" w:color="auto"/>
                    <w:bottom w:val="single" w:sz="6" w:space="8" w:color="EEEEEE"/>
                    <w:right w:val="single" w:sz="6" w:space="8" w:color="EEEEEE"/>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47264">
      <w:bodyDiv w:val="1"/>
      <w:marLeft w:val="0"/>
      <w:marRight w:val="0"/>
      <w:marTop w:val="0"/>
      <w:marBottom w:val="0"/>
      <w:divBdr>
        <w:top w:val="none" w:sz="0" w:space="0" w:color="auto"/>
        <w:left w:val="none" w:sz="0" w:space="0" w:color="auto"/>
        <w:bottom w:val="none" w:sz="0" w:space="0" w:color="auto"/>
        <w:right w:val="none" w:sz="0" w:space="0" w:color="auto"/>
      </w:divBdr>
    </w:div>
    <w:div w:id="1612086647">
      <w:bodyDiv w:val="1"/>
      <w:marLeft w:val="0"/>
      <w:marRight w:val="0"/>
      <w:marTop w:val="0"/>
      <w:marBottom w:val="0"/>
      <w:divBdr>
        <w:top w:val="none" w:sz="0" w:space="0" w:color="auto"/>
        <w:left w:val="none" w:sz="0" w:space="0" w:color="auto"/>
        <w:bottom w:val="none" w:sz="0" w:space="0" w:color="auto"/>
        <w:right w:val="none" w:sz="0" w:space="0" w:color="auto"/>
      </w:divBdr>
    </w:div>
    <w:div w:id="1731688980">
      <w:bodyDiv w:val="1"/>
      <w:marLeft w:val="0"/>
      <w:marRight w:val="0"/>
      <w:marTop w:val="0"/>
      <w:marBottom w:val="0"/>
      <w:divBdr>
        <w:top w:val="none" w:sz="0" w:space="0" w:color="auto"/>
        <w:left w:val="none" w:sz="0" w:space="0" w:color="auto"/>
        <w:bottom w:val="none" w:sz="0" w:space="0" w:color="auto"/>
        <w:right w:val="none" w:sz="0" w:space="0" w:color="auto"/>
      </w:divBdr>
    </w:div>
    <w:div w:id="2130663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4F4A-BC99-4F82-B927-F7EFAC1D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2022-08-01T16:21:00Z</dcterms:created>
  <dcterms:modified xsi:type="dcterms:W3CDTF">2022-08-01T16:21:00Z</dcterms:modified>
</cp:coreProperties>
</file>