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C8006" w14:textId="77777777" w:rsidR="00D20400" w:rsidRDefault="006801A5">
      <w:pPr>
        <w:pStyle w:val="Heading1"/>
        <w:rPr>
          <w:rFonts w:ascii="Times New Roman" w:eastAsia="Times New Roman" w:hAnsi="Times New Roman" w:cs="Times New Roman"/>
          <w:b/>
        </w:rPr>
      </w:pPr>
      <w:bookmarkStart w:id="0" w:name="_heading=h.9zowk9w97ctu" w:colFirst="0" w:colLast="0"/>
      <w:bookmarkEnd w:id="0"/>
      <w:r>
        <w:rPr>
          <w:rFonts w:ascii="Times New Roman" w:eastAsia="Times New Roman" w:hAnsi="Times New Roman" w:cs="Times New Roman"/>
          <w:b/>
        </w:rPr>
        <w:t>Appendix</w:t>
      </w:r>
    </w:p>
    <w:p w14:paraId="1C3849FD" w14:textId="77777777" w:rsidR="00D20400" w:rsidRDefault="006801A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Glossary: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AAP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Abiraterone Acetate + Prednisone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adverse event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androgen receptor</w:t>
      </w:r>
      <w:r>
        <w:rPr>
          <w:rFonts w:ascii="Times New Roman" w:eastAsia="Times New Roman" w:hAnsi="Times New Roman" w:cs="Times New Roman"/>
        </w:rPr>
        <w:br/>
        <w:t>ARD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androgen receptor directed</w:t>
      </w:r>
      <w:r>
        <w:rPr>
          <w:rFonts w:ascii="Times New Roman" w:eastAsia="Times New Roman" w:hAnsi="Times New Roman" w:cs="Times New Roman"/>
        </w:rPr>
        <w:br/>
        <w:t>BAWTO</w:t>
      </w:r>
      <w:r>
        <w:rPr>
          <w:rFonts w:ascii="Times New Roman" w:eastAsia="Times New Roman" w:hAnsi="Times New Roman" w:cs="Times New Roman"/>
        </w:rPr>
        <w:tab/>
        <w:t xml:space="preserve">biomarkers associated with therapeutic outcomes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DRD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DNA repair deficiency</w:t>
      </w:r>
      <w:r>
        <w:rPr>
          <w:rFonts w:ascii="Times New Roman" w:eastAsia="Times New Roman" w:hAnsi="Times New Roman" w:cs="Times New Roman"/>
        </w:rPr>
        <w:br/>
        <w:t>ENZ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enzalutamide</w:t>
      </w:r>
      <w:r>
        <w:rPr>
          <w:rFonts w:ascii="Times New Roman" w:eastAsia="Times New Roman" w:hAnsi="Times New Roman" w:cs="Times New Roman"/>
        </w:rPr>
        <w:br/>
        <w:t>HR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hazard ratio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HRD: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homologous recombination deficiency</w:t>
      </w:r>
      <w:r>
        <w:rPr>
          <w:rFonts w:ascii="Times New Roman" w:eastAsia="Times New Roman" w:hAnsi="Times New Roman" w:cs="Times New Roman"/>
        </w:rPr>
        <w:br/>
        <w:t>PARP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poly ADP ribose polymerase</w:t>
      </w:r>
      <w:r>
        <w:rPr>
          <w:rFonts w:ascii="Times New Roman" w:eastAsia="Times New Roman" w:hAnsi="Times New Roman" w:cs="Times New Roman"/>
        </w:rPr>
        <w:br/>
        <w:t>PARPi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poly ADP ribose polymerase inhibitor</w:t>
      </w:r>
      <w:r>
        <w:rPr>
          <w:rFonts w:ascii="Times New Roman" w:eastAsia="Times New Roman" w:hAnsi="Times New Roman" w:cs="Times New Roman"/>
        </w:rPr>
        <w:br/>
        <w:t>PFS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progression-free survival</w:t>
      </w:r>
      <w:r>
        <w:rPr>
          <w:rFonts w:ascii="Times New Roman" w:eastAsia="Times New Roman" w:hAnsi="Times New Roman" w:cs="Times New Roman"/>
        </w:rPr>
        <w:br/>
        <w:t>PSA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prostate specific antigen</w:t>
      </w:r>
      <w:r>
        <w:rPr>
          <w:rFonts w:ascii="Times New Roman" w:eastAsia="Times New Roman" w:hAnsi="Times New Roman" w:cs="Times New Roman"/>
        </w:rPr>
        <w:br/>
        <w:t xml:space="preserve">mCRPC </w:t>
      </w:r>
      <w:r>
        <w:rPr>
          <w:rFonts w:ascii="Times New Roman" w:eastAsia="Times New Roman" w:hAnsi="Times New Roman" w:cs="Times New Roman"/>
        </w:rPr>
        <w:tab/>
        <w:t>metastatic castration-resistant prostate cancer</w:t>
      </w:r>
      <w:r>
        <w:rPr>
          <w:rFonts w:ascii="Times New Roman" w:eastAsia="Times New Roman" w:hAnsi="Times New Roman" w:cs="Times New Roman"/>
        </w:rPr>
        <w:br/>
        <w:t>ML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</w:t>
      </w:r>
      <w:r>
        <w:rPr>
          <w:rFonts w:ascii="Times New Roman" w:eastAsia="Times New Roman" w:hAnsi="Times New Roman" w:cs="Times New Roman"/>
        </w:rPr>
        <w:t>chine learning</w:t>
      </w:r>
      <w:r>
        <w:rPr>
          <w:rFonts w:ascii="Times New Roman" w:eastAsia="Times New Roman" w:hAnsi="Times New Roman" w:cs="Times New Roman"/>
        </w:rPr>
        <w:br/>
        <w:t>MOB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model-based recursive partitioning </w:t>
      </w:r>
      <w:r>
        <w:rPr>
          <w:rFonts w:ascii="Times New Roman" w:eastAsia="Times New Roman" w:hAnsi="Times New Roman" w:cs="Times New Roman"/>
        </w:rPr>
        <w:br/>
        <w:t>NLP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natural language processing</w:t>
      </w:r>
      <w:r>
        <w:rPr>
          <w:rFonts w:ascii="Times New Roman" w:eastAsia="Times New Roman" w:hAnsi="Times New Roman" w:cs="Times New Roman"/>
        </w:rPr>
        <w:br/>
        <w:t>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overall survivability</w:t>
      </w:r>
      <w:r>
        <w:rPr>
          <w:rFonts w:ascii="Times New Roman" w:eastAsia="Times New Roman" w:hAnsi="Times New Roman" w:cs="Times New Roman"/>
        </w:rPr>
        <w:br/>
        <w:t>RECIST</w:t>
      </w:r>
      <w:r>
        <w:rPr>
          <w:rFonts w:ascii="Times New Roman" w:eastAsia="Times New Roman" w:hAnsi="Times New Roman" w:cs="Times New Roman"/>
        </w:rPr>
        <w:tab/>
        <w:t>response evaluation criteria in solid tumors</w:t>
      </w:r>
      <w:r>
        <w:rPr>
          <w:rFonts w:ascii="Times New Roman" w:eastAsia="Times New Roman" w:hAnsi="Times New Roman" w:cs="Times New Roman"/>
        </w:rPr>
        <w:br/>
        <w:t>SER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systematic evidence review</w:t>
      </w:r>
      <w:r>
        <w:rPr>
          <w:rFonts w:ascii="Times New Roman" w:eastAsia="Times New Roman" w:hAnsi="Times New Roman" w:cs="Times New Roman"/>
        </w:rPr>
        <w:br/>
        <w:t>SLR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systematic literature review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homologous recombinat</w:t>
      </w:r>
      <w:r>
        <w:rPr>
          <w:rFonts w:ascii="Times New Roman" w:eastAsia="Times New Roman" w:hAnsi="Times New Roman" w:cs="Times New Roman"/>
        </w:rPr>
        <w:t>ion and DNA repair deficiency (HRD/DRD)</w:t>
      </w:r>
    </w:p>
    <w:p w14:paraId="367B204A" w14:textId="77777777" w:rsidR="00D20400" w:rsidRDefault="006801A5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2C928542" w14:textId="77777777" w:rsidR="00D20400" w:rsidRDefault="006801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A1 Clinical Trial Hazards - </w:t>
      </w:r>
      <w:r>
        <w:rPr>
          <w:rFonts w:ascii="Times New Roman" w:eastAsia="Times New Roman" w:hAnsi="Times New Roman" w:cs="Times New Roman"/>
        </w:rPr>
        <w:t xml:space="preserve">Clinicaltrials.gov and AACT provide some programmatic access to adverse events from clinical trials. While Clinicaltrials.gov covered fewer trials but had more adverse events per trial. </w:t>
      </w:r>
      <w:r>
        <w:rPr>
          <w:rFonts w:ascii="Times New Roman" w:eastAsia="Times New Roman" w:hAnsi="Times New Roman" w:cs="Times New Roman"/>
        </w:rPr>
        <w:t>Clinicaltrials.gov also does a better job of normalizing vocabularies and has an organ/vocabulary system for reporting adverse events. It is possible that some of the adverse events captured in our research have yet to be added to the Clinicaltrials.gov sy</w:t>
      </w:r>
      <w:r>
        <w:rPr>
          <w:rFonts w:ascii="Times New Roman" w:eastAsia="Times New Roman" w:hAnsi="Times New Roman" w:cs="Times New Roman"/>
        </w:rPr>
        <w:t xml:space="preserve">stem. In the below figure, adverse events are reported at the organ level in a format similar to Fig 6. </w:t>
      </w:r>
    </w:p>
    <w:p w14:paraId="0C0F0EAB" w14:textId="77777777" w:rsidR="00D20400" w:rsidRDefault="006801A5">
      <w:pPr>
        <w:pStyle w:val="Heading2"/>
        <w:rPr>
          <w:rFonts w:ascii="Times New Roman" w:eastAsia="Times New Roman" w:hAnsi="Times New Roman" w:cs="Times New Roman"/>
        </w:rPr>
      </w:pPr>
      <w:bookmarkStart w:id="1" w:name="_heading=h.1mrcu09" w:colFirst="0" w:colLast="0"/>
      <w:bookmarkEnd w:id="1"/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54F3CF96" wp14:editId="286FA2AF">
            <wp:extent cx="6702574" cy="3754449"/>
            <wp:effectExtent l="0" t="0" r="0" b="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2574" cy="3754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279DB" w14:textId="77777777" w:rsidR="00D20400" w:rsidRDefault="006801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A2 AAP vs. PARPi Risk Difference - </w:t>
      </w:r>
      <w:r>
        <w:rPr>
          <w:rFonts w:ascii="Times New Roman" w:eastAsia="Times New Roman" w:hAnsi="Times New Roman" w:cs="Times New Roman"/>
        </w:rPr>
        <w:t>Reported adverse event rates in trials with both a PARP-i and AAP or Enzalutamide (ARD) arm can be used to evaluat</w:t>
      </w:r>
      <w:r>
        <w:rPr>
          <w:rFonts w:ascii="Times New Roman" w:eastAsia="Times New Roman" w:hAnsi="Times New Roman" w:cs="Times New Roman"/>
        </w:rPr>
        <w:t>e risk differences. The below figure demonstrates some subtlety in risk differences at the low-grade level. At the high-grade level, anemia was the only adverse event that reached significance.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DC0CA58" wp14:editId="481F89B4">
            <wp:simplePos x="0" y="0"/>
            <wp:positionH relativeFrom="column">
              <wp:posOffset>19055</wp:posOffset>
            </wp:positionH>
            <wp:positionV relativeFrom="paragraph">
              <wp:posOffset>960041</wp:posOffset>
            </wp:positionV>
            <wp:extent cx="6585577" cy="2018161"/>
            <wp:effectExtent l="0" t="0" r="0" b="0"/>
            <wp:wrapSquare wrapText="bothSides" distT="114300" distB="114300" distL="114300" distR="11430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7717" b="27913"/>
                    <a:stretch>
                      <a:fillRect/>
                    </a:stretch>
                  </pic:blipFill>
                  <pic:spPr>
                    <a:xfrm>
                      <a:off x="0" y="0"/>
                      <a:ext cx="6585577" cy="2018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F9A831" w14:textId="77777777" w:rsidR="00D20400" w:rsidRDefault="00D20400">
      <w:pPr>
        <w:pStyle w:val="Heading2"/>
        <w:rPr>
          <w:rFonts w:ascii="Times New Roman" w:eastAsia="Times New Roman" w:hAnsi="Times New Roman" w:cs="Times New Roman"/>
        </w:rPr>
      </w:pPr>
      <w:bookmarkStart w:id="2" w:name="_heading=h.46r0co2" w:colFirst="0" w:colLast="0"/>
      <w:bookmarkEnd w:id="2"/>
    </w:p>
    <w:p w14:paraId="51B62D47" w14:textId="77777777" w:rsidR="00D20400" w:rsidRDefault="00D20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Times New Roman" w:eastAsia="Times New Roman" w:hAnsi="Times New Roman" w:cs="Times New Roman"/>
          <w:color w:val="000000"/>
        </w:rPr>
      </w:pPr>
      <w:bookmarkStart w:id="3" w:name="_heading=h.3l18frh" w:colFirst="0" w:colLast="0"/>
      <w:bookmarkEnd w:id="3"/>
    </w:p>
    <w:sectPr w:rsidR="00D20400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E93F" w14:textId="77777777" w:rsidR="006801A5" w:rsidRDefault="006801A5">
      <w:pPr>
        <w:spacing w:after="0"/>
      </w:pPr>
      <w:r>
        <w:separator/>
      </w:r>
    </w:p>
  </w:endnote>
  <w:endnote w:type="continuationSeparator" w:id="0">
    <w:p w14:paraId="453F3A9E" w14:textId="77777777" w:rsidR="006801A5" w:rsidRDefault="00680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F5DF" w14:textId="77777777" w:rsidR="006801A5" w:rsidRDefault="006801A5">
      <w:pPr>
        <w:spacing w:after="0"/>
      </w:pPr>
      <w:r>
        <w:separator/>
      </w:r>
    </w:p>
  </w:footnote>
  <w:footnote w:type="continuationSeparator" w:id="0">
    <w:p w14:paraId="2B4C4A97" w14:textId="77777777" w:rsidR="006801A5" w:rsidRDefault="00680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B016" w14:textId="77777777" w:rsidR="00D20400" w:rsidRDefault="006801A5">
    <w:r>
      <w:pict w14:anchorId="2C2FA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05pt;height:10in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00"/>
    <w:rsid w:val="006801A5"/>
    <w:rsid w:val="00923441"/>
    <w:rsid w:val="00D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4D1397"/>
  <w15:docId w15:val="{FA4C01C0-6C70-4B3E-9A0B-DB890FB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GB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1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FC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Xw8mZRCUEzigpVhsjbRKo2Ibg==">AMUW2mVhH3YB0w2XNxWEUKQka+ej1Vy5KZ3PmPhNkR0Ab+OQnjh+2KKSbTaofqln2YcdnzcoU49KFb+Deu2u6M0jbjwTggTqzpCEZyxqx3PATV3mvVsSvaMMnDN+85l9nLzofeWLZWTGrPR2C5sJJJJXaRNtb9tauyLgG9+49CstEEdMB5VbTYI=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Frontiers Media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Channing Paller</dc:creator>
  <cp:lastModifiedBy>Susie Bradley</cp:lastModifiedBy>
  <cp:revision>2</cp:revision>
  <dcterms:created xsi:type="dcterms:W3CDTF">2022-09-08T13:03:00Z</dcterms:created>
  <dcterms:modified xsi:type="dcterms:W3CDTF">2022-09-08T13:03:00Z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0x010100B5B561C2E7B80643B697D458146D3EAA</vt:lpwstr>
  </property>
</Properties>
</file>