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5993875" w14:textId="77777777" w:rsidR="008D74F6" w:rsidRDefault="008D74F6" w:rsidP="005C1F04">
      <w:pPr>
        <w:spacing w:before="0" w:after="200" w:line="360" w:lineRule="auto"/>
        <w:rPr>
          <w:rFonts w:cs="Times New Roman"/>
          <w:b/>
          <w:bCs/>
          <w:szCs w:val="24"/>
        </w:rPr>
      </w:pPr>
    </w:p>
    <w:p w14:paraId="01B6CC0A" w14:textId="7143C059" w:rsidR="008D74F6" w:rsidRPr="00376CC5" w:rsidRDefault="008D74F6" w:rsidP="005C1F04">
      <w:pPr>
        <w:pStyle w:val="Title"/>
        <w:spacing w:line="360" w:lineRule="auto"/>
      </w:pPr>
      <w:r>
        <w:rPr>
          <w:bCs/>
          <w:sz w:val="24"/>
          <w:szCs w:val="24"/>
        </w:rPr>
        <w:t>Plasma TNFSF10 levels associated with a</w:t>
      </w:r>
      <w:r w:rsidRPr="00967D8F">
        <w:rPr>
          <w:bCs/>
          <w:sz w:val="24"/>
          <w:szCs w:val="24"/>
        </w:rPr>
        <w:t>camprosate</w:t>
      </w:r>
      <w:r>
        <w:rPr>
          <w:bCs/>
          <w:sz w:val="24"/>
          <w:szCs w:val="24"/>
        </w:rPr>
        <w:t xml:space="preserve"> treatment response in patients with alcohol use disorder</w:t>
      </w:r>
      <w:r w:rsidRPr="00376CC5">
        <w:t xml:space="preserve"> </w:t>
      </w:r>
    </w:p>
    <w:p w14:paraId="3A37B049" w14:textId="77777777" w:rsidR="00CD507B" w:rsidRDefault="00CD507B" w:rsidP="00CD507B">
      <w:pPr>
        <w:pStyle w:val="Heading1"/>
        <w:numPr>
          <w:ilvl w:val="0"/>
          <w:numId w:val="0"/>
        </w:numPr>
        <w:spacing w:before="100" w:beforeAutospacing="1" w:line="480" w:lineRule="auto"/>
        <w:ind w:left="90"/>
        <w:jc w:val="both"/>
        <w:rPr>
          <w:b w:val="0"/>
          <w:noProof/>
          <w:vertAlign w:val="superscript"/>
        </w:rPr>
      </w:pPr>
      <w:r w:rsidRPr="00BB2D03">
        <w:rPr>
          <w:b w:val="0"/>
          <w:noProof/>
        </w:rPr>
        <w:t>Ming-Fen Ho, Ph.D.</w:t>
      </w:r>
      <w:r w:rsidRPr="00BB2D03">
        <w:rPr>
          <w:b w:val="0"/>
          <w:noProof/>
          <w:vertAlign w:val="superscript"/>
        </w:rPr>
        <w:t>1*</w:t>
      </w:r>
      <w:r w:rsidRPr="00BB2D03">
        <w:rPr>
          <w:b w:val="0"/>
          <w:noProof/>
        </w:rPr>
        <w:t>, Cheng Zhang, Ph.D.</w:t>
      </w:r>
      <w:r w:rsidRPr="00BB2D03">
        <w:rPr>
          <w:b w:val="0"/>
          <w:noProof/>
          <w:vertAlign w:val="superscript"/>
        </w:rPr>
        <w:t>1</w:t>
      </w:r>
      <w:r w:rsidRPr="00BB2D03">
        <w:rPr>
          <w:rStyle w:val="normalchar"/>
          <w:b w:val="0"/>
        </w:rPr>
        <w:t>, Irene Moon, M.S</w:t>
      </w:r>
      <w:r w:rsidRPr="00BB2D03">
        <w:rPr>
          <w:rStyle w:val="normalchar"/>
          <w:b w:val="0"/>
          <w:vertAlign w:val="superscript"/>
        </w:rPr>
        <w:t>1</w:t>
      </w:r>
      <w:r w:rsidRPr="00BB2D03">
        <w:rPr>
          <w:b w:val="0"/>
          <w:noProof/>
        </w:rPr>
        <w:t>,</w:t>
      </w:r>
      <w:r w:rsidRPr="00BB2D03">
        <w:rPr>
          <w:rStyle w:val="normalchar"/>
          <w:b w:val="0"/>
        </w:rPr>
        <w:t xml:space="preserve"> Brandon J. Coombes, Ph.D.</w:t>
      </w:r>
      <w:r w:rsidRPr="00BB2D03">
        <w:rPr>
          <w:rStyle w:val="normalchar"/>
          <w:b w:val="0"/>
          <w:vertAlign w:val="superscript"/>
        </w:rPr>
        <w:t>2</w:t>
      </w:r>
      <w:r w:rsidRPr="00BB2D03">
        <w:rPr>
          <w:rStyle w:val="normalchar"/>
          <w:b w:val="0"/>
        </w:rPr>
        <w:t>, Joanna</w:t>
      </w:r>
      <w:r>
        <w:rPr>
          <w:rStyle w:val="normalchar"/>
          <w:b w:val="0"/>
        </w:rPr>
        <w:t xml:space="preserve"> </w:t>
      </w:r>
      <w:r w:rsidRPr="00BB2D03">
        <w:rPr>
          <w:rStyle w:val="normalchar"/>
          <w:b w:val="0"/>
        </w:rPr>
        <w:t>Biernacka, Ph.D.</w:t>
      </w:r>
      <w:r w:rsidRPr="00BB2D03">
        <w:rPr>
          <w:rStyle w:val="normalchar"/>
          <w:b w:val="0"/>
          <w:vertAlign w:val="superscript"/>
        </w:rPr>
        <w:t>2</w:t>
      </w:r>
      <w:r w:rsidRPr="00BB2D03">
        <w:rPr>
          <w:rStyle w:val="normalchar"/>
          <w:b w:val="0"/>
        </w:rPr>
        <w:t>,</w:t>
      </w:r>
      <w:r w:rsidRPr="00BB2D03">
        <w:rPr>
          <w:rStyle w:val="apple-converted-space"/>
          <w:b w:val="0"/>
        </w:rPr>
        <w:t xml:space="preserve"> </w:t>
      </w:r>
      <w:r w:rsidRPr="00BB2D03">
        <w:rPr>
          <w:b w:val="0"/>
          <w:noProof/>
        </w:rPr>
        <w:t>Michelle Skime, M.S.</w:t>
      </w:r>
      <w:r w:rsidRPr="00BB2D03">
        <w:rPr>
          <w:b w:val="0"/>
          <w:noProof/>
          <w:vertAlign w:val="superscript"/>
        </w:rPr>
        <w:t>3</w:t>
      </w:r>
      <w:r w:rsidRPr="00BB2D03">
        <w:rPr>
          <w:b w:val="0"/>
          <w:noProof/>
        </w:rPr>
        <w:t xml:space="preserve">, </w:t>
      </w:r>
      <w:r w:rsidRPr="00BB2D03">
        <w:rPr>
          <w:rStyle w:val="normalchar"/>
          <w:b w:val="0"/>
          <w:color w:val="000000" w:themeColor="text1"/>
        </w:rPr>
        <w:t>Doo-Sup Choi, Ph.D.</w:t>
      </w:r>
      <w:r w:rsidRPr="00BB2D03">
        <w:rPr>
          <w:rStyle w:val="normalchar"/>
          <w:b w:val="0"/>
          <w:color w:val="000000" w:themeColor="text1"/>
          <w:vertAlign w:val="superscript"/>
        </w:rPr>
        <w:t>1</w:t>
      </w:r>
      <w:r w:rsidRPr="00BB2D03">
        <w:rPr>
          <w:rStyle w:val="normalchar"/>
          <w:b w:val="0"/>
          <w:color w:val="000000" w:themeColor="text1"/>
        </w:rPr>
        <w:t xml:space="preserve">, </w:t>
      </w:r>
      <w:r>
        <w:rPr>
          <w:rStyle w:val="normalchar"/>
          <w:b w:val="0"/>
          <w:color w:val="000000" w:themeColor="text1"/>
        </w:rPr>
        <w:t xml:space="preserve">Paul E.  Croarkin, D.O, M.S., </w:t>
      </w:r>
      <w:r w:rsidRPr="00BB2D03">
        <w:rPr>
          <w:rStyle w:val="normalchar"/>
          <w:b w:val="0"/>
          <w:color w:val="000000" w:themeColor="text1"/>
        </w:rPr>
        <w:t>Mark A. Frye, M.D</w:t>
      </w:r>
      <w:r w:rsidRPr="00BB2D03">
        <w:rPr>
          <w:b w:val="0"/>
          <w:noProof/>
        </w:rPr>
        <w:t>.</w:t>
      </w:r>
      <w:r w:rsidRPr="00BB2D03">
        <w:rPr>
          <w:b w:val="0"/>
          <w:noProof/>
          <w:vertAlign w:val="superscript"/>
        </w:rPr>
        <w:t>3</w:t>
      </w:r>
      <w:r w:rsidRPr="00BB2D03">
        <w:rPr>
          <w:b w:val="0"/>
          <w:noProof/>
        </w:rPr>
        <w:t xml:space="preserve">, </w:t>
      </w:r>
      <w:r w:rsidRPr="00BB2D03">
        <w:rPr>
          <w:b w:val="0"/>
        </w:rPr>
        <w:t>Quyen Ngo, Ph.D.</w:t>
      </w:r>
      <w:r w:rsidRPr="00BB2D03">
        <w:rPr>
          <w:b w:val="0"/>
          <w:vertAlign w:val="superscript"/>
        </w:rPr>
        <w:t>4</w:t>
      </w:r>
      <w:r w:rsidRPr="00BB2D03">
        <w:rPr>
          <w:b w:val="0"/>
        </w:rPr>
        <w:t>, Cedric Skillon, M.D.</w:t>
      </w:r>
      <w:r w:rsidRPr="00BB2D03">
        <w:rPr>
          <w:b w:val="0"/>
          <w:vertAlign w:val="superscript"/>
        </w:rPr>
        <w:t>4</w:t>
      </w:r>
      <w:r w:rsidRPr="00BB2D03">
        <w:rPr>
          <w:b w:val="0"/>
        </w:rPr>
        <w:t xml:space="preserve">, </w:t>
      </w:r>
      <w:r w:rsidRPr="00BB2D03">
        <w:rPr>
          <w:rStyle w:val="normalchar"/>
          <w:b w:val="0"/>
        </w:rPr>
        <w:t>Tyler S. Oesterle, MD. M.P.H.</w:t>
      </w:r>
      <w:r w:rsidRPr="00BB2D03">
        <w:rPr>
          <w:rStyle w:val="normalchar"/>
          <w:b w:val="0"/>
          <w:vertAlign w:val="superscript"/>
        </w:rPr>
        <w:t>3</w:t>
      </w:r>
      <w:r w:rsidRPr="00BB2D03">
        <w:rPr>
          <w:rStyle w:val="normalchar"/>
          <w:b w:val="0"/>
        </w:rPr>
        <w:t>, Victor M Karpyak, MD, Ph.D</w:t>
      </w:r>
      <w:r w:rsidRPr="00BB2D03">
        <w:rPr>
          <w:rStyle w:val="normalchar"/>
          <w:b w:val="0"/>
          <w:vertAlign w:val="superscript"/>
        </w:rPr>
        <w:t>3</w:t>
      </w:r>
      <w:r w:rsidRPr="00BB2D03">
        <w:rPr>
          <w:rStyle w:val="normalchar"/>
          <w:rFonts w:eastAsiaTheme="minorEastAsia"/>
          <w:b w:val="0"/>
          <w:lang w:eastAsia="zh-TW"/>
        </w:rPr>
        <w:t xml:space="preserve">, </w:t>
      </w:r>
      <w:r w:rsidRPr="00BB2D03">
        <w:rPr>
          <w:b w:val="0"/>
          <w:noProof/>
        </w:rPr>
        <w:t xml:space="preserve"> Hu Li, Ph.D.</w:t>
      </w:r>
      <w:r w:rsidRPr="00BB2D03">
        <w:rPr>
          <w:b w:val="0"/>
          <w:noProof/>
          <w:vertAlign w:val="superscript"/>
        </w:rPr>
        <w:t>1</w:t>
      </w:r>
      <w:r w:rsidRPr="00BB2D03">
        <w:rPr>
          <w:b w:val="0"/>
          <w:noProof/>
        </w:rPr>
        <w:t>, and Richard M. Weinshilboum, M.D.</w:t>
      </w:r>
      <w:r w:rsidRPr="00BB2D03">
        <w:rPr>
          <w:b w:val="0"/>
          <w:noProof/>
          <w:vertAlign w:val="superscript"/>
        </w:rPr>
        <w:t>1*</w:t>
      </w:r>
    </w:p>
    <w:p w14:paraId="0D498733" w14:textId="77777777" w:rsidR="008D74F6" w:rsidRPr="00606CBB" w:rsidRDefault="008D74F6" w:rsidP="005C1F04">
      <w:pPr>
        <w:spacing w:after="0" w:line="360" w:lineRule="auto"/>
        <w:rPr>
          <w:rFonts w:cs="Times New Roman"/>
          <w:szCs w:val="24"/>
        </w:rPr>
      </w:pPr>
      <w:r w:rsidRPr="00606CBB">
        <w:rPr>
          <w:rStyle w:val="normalchar"/>
          <w:rFonts w:cs="Times New Roman"/>
          <w:szCs w:val="24"/>
          <w:vertAlign w:val="superscript"/>
        </w:rPr>
        <w:t>1</w:t>
      </w:r>
      <w:r w:rsidRPr="00606CBB">
        <w:rPr>
          <w:rFonts w:cs="Times New Roman"/>
          <w:szCs w:val="24"/>
        </w:rPr>
        <w:t xml:space="preserve"> Department of Molecular Pharmacology and Experimental Therapeutics; Mayo Clinic; Rochester, Minnesota, USA</w:t>
      </w:r>
    </w:p>
    <w:p w14:paraId="58D479A1" w14:textId="77777777" w:rsidR="008D74F6" w:rsidRPr="00606CBB" w:rsidRDefault="008D74F6" w:rsidP="005C1F04">
      <w:pPr>
        <w:spacing w:after="0" w:line="360" w:lineRule="auto"/>
        <w:rPr>
          <w:rFonts w:cs="Times New Roman"/>
          <w:szCs w:val="24"/>
        </w:rPr>
      </w:pPr>
      <w:r w:rsidRPr="00606CBB">
        <w:rPr>
          <w:rStyle w:val="normalchar"/>
          <w:rFonts w:cs="Times New Roman"/>
          <w:szCs w:val="24"/>
          <w:vertAlign w:val="superscript"/>
        </w:rPr>
        <w:t xml:space="preserve">2 </w:t>
      </w:r>
      <w:r w:rsidRPr="00606CBB">
        <w:rPr>
          <w:rFonts w:cs="Times New Roman"/>
          <w:szCs w:val="24"/>
        </w:rPr>
        <w:t>Division of Computational Biology, Quantitative Health Sciences; Mayo Clinic; Rochester, Minnesota, USA</w:t>
      </w:r>
    </w:p>
    <w:p w14:paraId="6A4B07FA" w14:textId="77777777" w:rsidR="008D74F6" w:rsidRPr="00606CBB" w:rsidRDefault="008D74F6" w:rsidP="005C1F04">
      <w:pPr>
        <w:spacing w:after="0" w:line="360" w:lineRule="auto"/>
        <w:rPr>
          <w:rFonts w:cs="Times New Roman"/>
          <w:szCs w:val="24"/>
        </w:rPr>
      </w:pPr>
      <w:r w:rsidRPr="00606CBB">
        <w:rPr>
          <w:rStyle w:val="normalchar"/>
          <w:rFonts w:cs="Times New Roman"/>
          <w:szCs w:val="24"/>
          <w:vertAlign w:val="superscript"/>
        </w:rPr>
        <w:t>3</w:t>
      </w:r>
      <w:r w:rsidRPr="00606CBB">
        <w:rPr>
          <w:rFonts w:cs="Times New Roman"/>
          <w:szCs w:val="24"/>
        </w:rPr>
        <w:t xml:space="preserve"> Department of Psychiatry and Psychology, Mayo Clinic; Rochester, Minnesota, USA</w:t>
      </w:r>
    </w:p>
    <w:p w14:paraId="5B7DF0A3" w14:textId="77777777" w:rsidR="008D74F6" w:rsidRPr="00606CBB" w:rsidRDefault="008D74F6" w:rsidP="005C1F04">
      <w:pPr>
        <w:autoSpaceDE w:val="0"/>
        <w:autoSpaceDN w:val="0"/>
        <w:spacing w:after="0" w:line="360" w:lineRule="auto"/>
        <w:jc w:val="both"/>
        <w:rPr>
          <w:rFonts w:cs="Times New Roman"/>
          <w:szCs w:val="24"/>
        </w:rPr>
      </w:pPr>
      <w:r w:rsidRPr="00606CBB">
        <w:rPr>
          <w:rStyle w:val="normalchar"/>
          <w:rFonts w:cs="Times New Roman"/>
          <w:szCs w:val="24"/>
          <w:vertAlign w:val="superscript"/>
        </w:rPr>
        <w:t>4</w:t>
      </w:r>
      <w:r w:rsidRPr="00606CBB">
        <w:rPr>
          <w:rFonts w:cs="Times New Roman"/>
          <w:szCs w:val="24"/>
        </w:rPr>
        <w:t xml:space="preserve"> Hazelden Betty Ford Foundation; Center City, Minnesota, USA</w:t>
      </w:r>
    </w:p>
    <w:p w14:paraId="09858FDC" w14:textId="77777777" w:rsidR="008D74F6" w:rsidRDefault="008D74F6" w:rsidP="005C1F04">
      <w:pPr>
        <w:spacing w:before="100" w:beforeAutospacing="1" w:after="100" w:afterAutospacing="1" w:line="360" w:lineRule="auto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</w:p>
    <w:p w14:paraId="63EC9AF3" w14:textId="77777777" w:rsidR="008D74F6" w:rsidRPr="00606CBB" w:rsidRDefault="008D74F6" w:rsidP="005C1F04">
      <w:pPr>
        <w:spacing w:before="100" w:beforeAutospacing="1" w:after="100" w:afterAutospacing="1" w:line="360" w:lineRule="auto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br/>
      </w:r>
      <w:r w:rsidRPr="00606CBB">
        <w:rPr>
          <w:rFonts w:cs="Times New Roman"/>
          <w:szCs w:val="24"/>
        </w:rPr>
        <w:t xml:space="preserve">Ming-Fen Ho, Ph.D., Mayo Clinic 200 First Street SW, Rochester, MN 55905, </w:t>
      </w:r>
    </w:p>
    <w:p w14:paraId="070146AE" w14:textId="77777777" w:rsidR="008D74F6" w:rsidRPr="00606CBB" w:rsidRDefault="008D74F6" w:rsidP="005C1F04">
      <w:pPr>
        <w:spacing w:before="100" w:beforeAutospacing="1" w:after="100" w:afterAutospacing="1" w:line="360" w:lineRule="auto"/>
        <w:jc w:val="both"/>
        <w:rPr>
          <w:rFonts w:cs="Times New Roman"/>
          <w:szCs w:val="24"/>
          <w:u w:val="single"/>
        </w:rPr>
      </w:pPr>
      <w:r w:rsidRPr="00606CBB">
        <w:rPr>
          <w:rFonts w:cs="Times New Roman"/>
          <w:szCs w:val="24"/>
        </w:rPr>
        <w:t>Phone: 507-284-2790, Email: ho.mingfen@mayo.edu</w:t>
      </w:r>
    </w:p>
    <w:p w14:paraId="570131FD" w14:textId="77777777" w:rsidR="008D74F6" w:rsidRPr="00606CBB" w:rsidRDefault="008D74F6" w:rsidP="005C1F04">
      <w:pPr>
        <w:spacing w:before="100" w:beforeAutospacing="1" w:after="100" w:afterAutospacing="1" w:line="360" w:lineRule="auto"/>
        <w:jc w:val="both"/>
        <w:rPr>
          <w:rFonts w:cs="Times New Roman"/>
          <w:szCs w:val="24"/>
        </w:rPr>
      </w:pPr>
      <w:r w:rsidRPr="00606CBB">
        <w:rPr>
          <w:rFonts w:cs="Times New Roman"/>
          <w:szCs w:val="24"/>
        </w:rPr>
        <w:t xml:space="preserve">Richard Weinshilboum, MD, Mayo Clinic 200 First Street SW, Rochester, MN 55905, </w:t>
      </w:r>
    </w:p>
    <w:p w14:paraId="63E79A43" w14:textId="77777777" w:rsidR="008D74F6" w:rsidRPr="00606CBB" w:rsidRDefault="008D74F6" w:rsidP="005C1F04">
      <w:pPr>
        <w:spacing w:before="100" w:beforeAutospacing="1" w:after="100" w:afterAutospacing="1" w:line="360" w:lineRule="auto"/>
        <w:jc w:val="both"/>
        <w:rPr>
          <w:rFonts w:cs="Times New Roman"/>
          <w:szCs w:val="24"/>
          <w:u w:val="single"/>
        </w:rPr>
      </w:pPr>
      <w:r w:rsidRPr="00606CBB">
        <w:rPr>
          <w:rFonts w:cs="Times New Roman"/>
          <w:szCs w:val="24"/>
        </w:rPr>
        <w:t xml:space="preserve">Phone: 507-284-2790, Email: </w:t>
      </w:r>
      <w:hyperlink r:id="rId8" w:history="1">
        <w:r w:rsidRPr="00606CBB">
          <w:rPr>
            <w:rStyle w:val="Hyperlink"/>
            <w:rFonts w:cs="Times New Roman"/>
            <w:szCs w:val="24"/>
          </w:rPr>
          <w:t>weinshilboum.richard@mayo.edu</w:t>
        </w:r>
      </w:hyperlink>
    </w:p>
    <w:p w14:paraId="5254DBA2" w14:textId="77777777" w:rsidR="008D74F6" w:rsidRDefault="008D74F6" w:rsidP="008D74F6">
      <w:pPr>
        <w:spacing w:before="0" w:after="200" w:line="276" w:lineRule="auto"/>
        <w:rPr>
          <w:rFonts w:cs="Times New Roman"/>
          <w:b/>
          <w:bCs/>
          <w:szCs w:val="24"/>
        </w:rPr>
      </w:pPr>
    </w:p>
    <w:p w14:paraId="28F253A4" w14:textId="77777777" w:rsidR="008D74F6" w:rsidRDefault="008D74F6" w:rsidP="008D74F6">
      <w:pPr>
        <w:spacing w:before="0" w:after="200" w:line="276" w:lineRule="auto"/>
        <w:rPr>
          <w:rFonts w:cs="Times New Roman"/>
          <w:b/>
          <w:bCs/>
          <w:szCs w:val="24"/>
        </w:rPr>
      </w:pPr>
    </w:p>
    <w:p w14:paraId="0EC36527" w14:textId="71AD12A3" w:rsidR="008D74F6" w:rsidRPr="0011095C" w:rsidRDefault="008D74F6" w:rsidP="0011095C">
      <w:pPr>
        <w:spacing w:after="200" w:line="276" w:lineRule="auto"/>
      </w:pPr>
      <w:r>
        <w:rPr>
          <w:rFonts w:cs="Times New Roman"/>
          <w:b/>
          <w:bCs/>
          <w:szCs w:val="24"/>
        </w:rPr>
        <w:lastRenderedPageBreak/>
        <w:t xml:space="preserve">Supplementary Figure 1. </w:t>
      </w:r>
      <w:r w:rsidRPr="003D438E">
        <w:rPr>
          <w:rFonts w:cs="Times New Roman"/>
          <w:szCs w:val="24"/>
        </w:rPr>
        <w:t>PACS was reduced in after acamprosate treatment.</w:t>
      </w:r>
      <w:r>
        <w:rPr>
          <w:rFonts w:cs="Times New Roman"/>
          <w:b/>
          <w:bCs/>
          <w:szCs w:val="24"/>
        </w:rPr>
        <w:t xml:space="preserve"> </w:t>
      </w:r>
      <w:r w:rsidR="00FE0056">
        <w:rPr>
          <w:rFonts w:cs="Times New Roman"/>
          <w:b/>
          <w:bCs/>
          <w:szCs w:val="24"/>
        </w:rPr>
        <w:t xml:space="preserve">(A) </w:t>
      </w:r>
      <w:r w:rsidR="00825408">
        <w:rPr>
          <w:rFonts w:cs="Times New Roman"/>
          <w:szCs w:val="24"/>
        </w:rPr>
        <w:t>PACS in t</w:t>
      </w:r>
      <w:r w:rsidR="00FE0056">
        <w:rPr>
          <w:rFonts w:cs="Times New Roman"/>
          <w:szCs w:val="24"/>
        </w:rPr>
        <w:t>he r</w:t>
      </w:r>
      <w:r w:rsidR="00FE0056" w:rsidRPr="00FE0056">
        <w:rPr>
          <w:rFonts w:cs="Times New Roman"/>
          <w:szCs w:val="24"/>
        </w:rPr>
        <w:t xml:space="preserve">elapse group </w:t>
      </w:r>
      <w:r w:rsidR="00825408">
        <w:rPr>
          <w:rFonts w:cs="Times New Roman"/>
          <w:szCs w:val="24"/>
        </w:rPr>
        <w:t>of</w:t>
      </w:r>
      <w:r w:rsidR="000C4D79">
        <w:rPr>
          <w:rFonts w:cs="Times New Roman"/>
          <w:szCs w:val="24"/>
        </w:rPr>
        <w:t xml:space="preserve"> </w:t>
      </w:r>
      <w:r w:rsidR="00FE0056" w:rsidRPr="00FE0056">
        <w:rPr>
          <w:rFonts w:cs="Times New Roman"/>
          <w:szCs w:val="24"/>
        </w:rPr>
        <w:t xml:space="preserve">AUD patients without </w:t>
      </w:r>
      <w:r w:rsidR="00FA030D">
        <w:rPr>
          <w:rFonts w:cs="Times New Roman"/>
          <w:szCs w:val="24"/>
        </w:rPr>
        <w:t xml:space="preserve">a </w:t>
      </w:r>
      <w:r w:rsidR="00FE0056" w:rsidRPr="00FE0056">
        <w:rPr>
          <w:rFonts w:cs="Times New Roman"/>
          <w:szCs w:val="24"/>
        </w:rPr>
        <w:t>history of SUD</w:t>
      </w:r>
      <w:r w:rsidR="00825408">
        <w:rPr>
          <w:rFonts w:cs="Times New Roman"/>
          <w:szCs w:val="24"/>
        </w:rPr>
        <w:t>,</w:t>
      </w:r>
      <w:r w:rsidR="00FE0056" w:rsidRPr="00FE0056">
        <w:rPr>
          <w:rFonts w:cs="Times New Roman"/>
          <w:szCs w:val="24"/>
        </w:rPr>
        <w:t xml:space="preserve"> </w:t>
      </w:r>
      <w:r w:rsidR="00192835">
        <w:rPr>
          <w:rFonts w:cs="Times New Roman"/>
          <w:szCs w:val="24"/>
        </w:rPr>
        <w:t>(</w:t>
      </w:r>
      <w:r w:rsidR="00192835" w:rsidRPr="00192835">
        <w:rPr>
          <w:i/>
          <w:iCs/>
        </w:rPr>
        <w:t xml:space="preserve">F </w:t>
      </w:r>
      <w:r w:rsidR="00192835" w:rsidRPr="00192835">
        <w:rPr>
          <w:i/>
          <w:iCs/>
          <w:vertAlign w:val="subscript"/>
        </w:rPr>
        <w:t>(2, 164)</w:t>
      </w:r>
      <w:r w:rsidR="00192835" w:rsidRPr="00192835">
        <w:t xml:space="preserve"> = 16.18</w:t>
      </w:r>
      <w:r w:rsidR="00192835">
        <w:t>, p</w:t>
      </w:r>
      <w:r w:rsidR="00192835" w:rsidRPr="00192835">
        <w:t>&lt;0.0001</w:t>
      </w:r>
      <w:r w:rsidR="00192835">
        <w:t>).</w:t>
      </w:r>
      <w:r w:rsidR="005C1F04">
        <w:t xml:space="preserve"> </w:t>
      </w:r>
      <w:r w:rsidR="00FE0056">
        <w:rPr>
          <w:rFonts w:cs="Times New Roman"/>
          <w:b/>
          <w:bCs/>
          <w:szCs w:val="24"/>
        </w:rPr>
        <w:t xml:space="preserve">(B) </w:t>
      </w:r>
      <w:r w:rsidR="00825408" w:rsidRPr="00825408">
        <w:rPr>
          <w:rFonts w:cs="Times New Roman"/>
          <w:szCs w:val="24"/>
        </w:rPr>
        <w:t>PACS in</w:t>
      </w:r>
      <w:r w:rsidR="00825408">
        <w:rPr>
          <w:rFonts w:cs="Times New Roman"/>
          <w:b/>
          <w:bCs/>
          <w:szCs w:val="24"/>
        </w:rPr>
        <w:t xml:space="preserve"> </w:t>
      </w:r>
      <w:r w:rsidR="00825408">
        <w:rPr>
          <w:rFonts w:cs="Times New Roman"/>
          <w:szCs w:val="24"/>
        </w:rPr>
        <w:t>t</w:t>
      </w:r>
      <w:r w:rsidR="00FE0056">
        <w:rPr>
          <w:rFonts w:cs="Times New Roman"/>
          <w:szCs w:val="24"/>
        </w:rPr>
        <w:t>he non-r</w:t>
      </w:r>
      <w:r w:rsidR="00FE0056" w:rsidRPr="00FE0056">
        <w:rPr>
          <w:rFonts w:cs="Times New Roman"/>
          <w:szCs w:val="24"/>
        </w:rPr>
        <w:t xml:space="preserve">elapse group </w:t>
      </w:r>
      <w:r w:rsidR="00825408">
        <w:rPr>
          <w:rFonts w:cs="Times New Roman"/>
          <w:szCs w:val="24"/>
        </w:rPr>
        <w:t>of</w:t>
      </w:r>
      <w:r w:rsidR="00FE0056" w:rsidRPr="00FE0056">
        <w:rPr>
          <w:rFonts w:cs="Times New Roman"/>
          <w:szCs w:val="24"/>
        </w:rPr>
        <w:t xml:space="preserve"> AUD patients without </w:t>
      </w:r>
      <w:r w:rsidR="00FA030D">
        <w:rPr>
          <w:rFonts w:cs="Times New Roman"/>
          <w:szCs w:val="24"/>
        </w:rPr>
        <w:t xml:space="preserve">a </w:t>
      </w:r>
      <w:r w:rsidR="00FE0056" w:rsidRPr="00FE0056">
        <w:rPr>
          <w:rFonts w:cs="Times New Roman"/>
          <w:szCs w:val="24"/>
        </w:rPr>
        <w:t>history of SUD</w:t>
      </w:r>
      <w:r w:rsidR="00825408" w:rsidRPr="00825408">
        <w:rPr>
          <w:rFonts w:cs="Times New Roman"/>
          <w:szCs w:val="24"/>
        </w:rPr>
        <w:t>,</w:t>
      </w:r>
      <w:r w:rsidR="00FE0056" w:rsidRPr="00825408">
        <w:rPr>
          <w:rFonts w:cs="Times New Roman"/>
          <w:szCs w:val="24"/>
        </w:rPr>
        <w:t xml:space="preserve"> </w:t>
      </w:r>
      <w:r w:rsidR="00192835">
        <w:rPr>
          <w:rFonts w:cs="Times New Roman"/>
          <w:b/>
          <w:bCs/>
          <w:szCs w:val="24"/>
        </w:rPr>
        <w:t>(</w:t>
      </w:r>
      <w:r w:rsidR="00192835" w:rsidRPr="00F26837">
        <w:rPr>
          <w:rFonts w:cs="Times New Roman"/>
          <w:i/>
          <w:iCs/>
          <w:szCs w:val="24"/>
        </w:rPr>
        <w:t xml:space="preserve">F </w:t>
      </w:r>
      <w:r w:rsidR="00192835" w:rsidRPr="00F26837">
        <w:rPr>
          <w:rFonts w:cs="Times New Roman"/>
          <w:i/>
          <w:iCs/>
          <w:szCs w:val="24"/>
          <w:vertAlign w:val="subscript"/>
        </w:rPr>
        <w:t>(2, 291)</w:t>
      </w:r>
      <w:r w:rsidR="00192835" w:rsidRPr="00F26837">
        <w:rPr>
          <w:rFonts w:cs="Times New Roman"/>
          <w:i/>
          <w:iCs/>
          <w:szCs w:val="24"/>
        </w:rPr>
        <w:t xml:space="preserve"> </w:t>
      </w:r>
      <w:r w:rsidR="00192835" w:rsidRPr="00192835">
        <w:rPr>
          <w:rFonts w:cs="Times New Roman"/>
          <w:szCs w:val="24"/>
        </w:rPr>
        <w:t>= 31.6</w:t>
      </w:r>
      <w:r w:rsidR="00192835">
        <w:rPr>
          <w:rFonts w:cs="Times New Roman"/>
          <w:b/>
          <w:bCs/>
          <w:szCs w:val="24"/>
        </w:rPr>
        <w:t xml:space="preserve">, </w:t>
      </w:r>
      <w:r w:rsidR="00192835">
        <w:t>p</w:t>
      </w:r>
      <w:r w:rsidR="00192835" w:rsidRPr="00192835">
        <w:t>&lt;0.0001</w:t>
      </w:r>
      <w:r w:rsidR="00192835">
        <w:t>).</w:t>
      </w:r>
      <w:r w:rsidR="00192835" w:rsidRPr="00192835">
        <w:rPr>
          <w:rFonts w:cs="Times New Roman"/>
          <w:b/>
          <w:bCs/>
          <w:szCs w:val="24"/>
        </w:rPr>
        <w:t xml:space="preserve"> </w:t>
      </w:r>
      <w:r w:rsidR="00FE0056">
        <w:rPr>
          <w:rFonts w:cs="Times New Roman"/>
          <w:b/>
          <w:bCs/>
          <w:szCs w:val="24"/>
        </w:rPr>
        <w:t xml:space="preserve">(C) </w:t>
      </w:r>
      <w:r w:rsidR="00825408" w:rsidRPr="00825408">
        <w:rPr>
          <w:rFonts w:cs="Times New Roman"/>
          <w:szCs w:val="24"/>
        </w:rPr>
        <w:t xml:space="preserve">PACS in </w:t>
      </w:r>
      <w:r w:rsidR="00825408">
        <w:rPr>
          <w:rFonts w:cs="Times New Roman"/>
          <w:szCs w:val="24"/>
        </w:rPr>
        <w:t>t</w:t>
      </w:r>
      <w:r w:rsidR="00FE0056">
        <w:rPr>
          <w:rFonts w:cs="Times New Roman"/>
          <w:szCs w:val="24"/>
        </w:rPr>
        <w:t>he r</w:t>
      </w:r>
      <w:r w:rsidR="00FE0056" w:rsidRPr="00FE0056">
        <w:rPr>
          <w:rFonts w:cs="Times New Roman"/>
          <w:szCs w:val="24"/>
        </w:rPr>
        <w:t xml:space="preserve">elapse group </w:t>
      </w:r>
      <w:r w:rsidR="00825408">
        <w:rPr>
          <w:rFonts w:cs="Times New Roman"/>
          <w:szCs w:val="24"/>
        </w:rPr>
        <w:t>of</w:t>
      </w:r>
      <w:r w:rsidR="00FE0056" w:rsidRPr="00FE0056">
        <w:rPr>
          <w:rFonts w:cs="Times New Roman"/>
          <w:szCs w:val="24"/>
        </w:rPr>
        <w:t xml:space="preserve"> AUD patients with</w:t>
      </w:r>
      <w:r w:rsidR="00FA030D">
        <w:rPr>
          <w:rFonts w:cs="Times New Roman"/>
          <w:szCs w:val="24"/>
        </w:rPr>
        <w:t xml:space="preserve"> a</w:t>
      </w:r>
      <w:r w:rsidR="00FE0056" w:rsidRPr="00FE0056">
        <w:rPr>
          <w:rFonts w:cs="Times New Roman"/>
          <w:szCs w:val="24"/>
        </w:rPr>
        <w:t xml:space="preserve"> history of SUD</w:t>
      </w:r>
      <w:r w:rsidR="00825408">
        <w:rPr>
          <w:rFonts w:cs="Times New Roman"/>
          <w:szCs w:val="24"/>
        </w:rPr>
        <w:t>, (</w:t>
      </w:r>
      <w:r w:rsidR="00825408" w:rsidRPr="00825408">
        <w:rPr>
          <w:i/>
          <w:iCs/>
        </w:rPr>
        <w:t xml:space="preserve">F </w:t>
      </w:r>
      <w:r w:rsidR="00825408" w:rsidRPr="00825408">
        <w:rPr>
          <w:i/>
          <w:iCs/>
          <w:vertAlign w:val="subscript"/>
        </w:rPr>
        <w:t>(2, 96)</w:t>
      </w:r>
      <w:r w:rsidR="00825408" w:rsidRPr="00825408">
        <w:rPr>
          <w:vertAlign w:val="subscript"/>
        </w:rPr>
        <w:t xml:space="preserve"> </w:t>
      </w:r>
      <w:r w:rsidR="00825408" w:rsidRPr="00825408">
        <w:t>= 5.991</w:t>
      </w:r>
      <w:r w:rsidR="00825408">
        <w:t>,</w:t>
      </w:r>
      <w:r w:rsidR="00825408" w:rsidRPr="00825408">
        <w:t xml:space="preserve"> </w:t>
      </w:r>
      <w:r w:rsidR="00825408">
        <w:t>p=</w:t>
      </w:r>
      <w:r w:rsidR="00825408" w:rsidRPr="00192835">
        <w:t>0.00</w:t>
      </w:r>
      <w:r w:rsidR="00825408">
        <w:t xml:space="preserve">3). </w:t>
      </w:r>
      <w:r w:rsidR="00FE0056">
        <w:rPr>
          <w:rFonts w:cs="Times New Roman"/>
          <w:b/>
          <w:bCs/>
          <w:szCs w:val="24"/>
        </w:rPr>
        <w:t xml:space="preserve">(D) </w:t>
      </w:r>
      <w:r w:rsidR="00825408" w:rsidRPr="00825408">
        <w:rPr>
          <w:rFonts w:cs="Times New Roman"/>
          <w:szCs w:val="24"/>
        </w:rPr>
        <w:t xml:space="preserve">PACS in </w:t>
      </w:r>
      <w:r w:rsidR="00825408">
        <w:rPr>
          <w:rFonts w:cs="Times New Roman"/>
          <w:szCs w:val="24"/>
        </w:rPr>
        <w:t>t</w:t>
      </w:r>
      <w:r w:rsidR="00FE0056">
        <w:rPr>
          <w:rFonts w:cs="Times New Roman"/>
          <w:szCs w:val="24"/>
        </w:rPr>
        <w:t>he non-r</w:t>
      </w:r>
      <w:r w:rsidR="00FE0056" w:rsidRPr="00FE0056">
        <w:rPr>
          <w:rFonts w:cs="Times New Roman"/>
          <w:szCs w:val="24"/>
        </w:rPr>
        <w:t xml:space="preserve">elapse group in AUD patients with </w:t>
      </w:r>
      <w:r w:rsidR="00FA030D">
        <w:rPr>
          <w:rFonts w:cs="Times New Roman"/>
          <w:szCs w:val="24"/>
        </w:rPr>
        <w:t xml:space="preserve">a </w:t>
      </w:r>
      <w:r w:rsidR="00FE0056" w:rsidRPr="00FE0056">
        <w:rPr>
          <w:rFonts w:cs="Times New Roman"/>
          <w:szCs w:val="24"/>
        </w:rPr>
        <w:t>history of SUD</w:t>
      </w:r>
      <w:r w:rsidR="005C1F04">
        <w:rPr>
          <w:rFonts w:cs="Times New Roman"/>
          <w:szCs w:val="24"/>
        </w:rPr>
        <w:t>, (</w:t>
      </w:r>
      <w:r w:rsidR="005C1F04" w:rsidRPr="005C1F04">
        <w:rPr>
          <w:i/>
          <w:iCs/>
        </w:rPr>
        <w:t xml:space="preserve">F </w:t>
      </w:r>
      <w:r w:rsidR="005C1F04" w:rsidRPr="005C1F04">
        <w:rPr>
          <w:i/>
          <w:iCs/>
          <w:vertAlign w:val="subscript"/>
        </w:rPr>
        <w:t>(2, 128</w:t>
      </w:r>
      <w:r w:rsidR="005C1F04" w:rsidRPr="005C1F04">
        <w:rPr>
          <w:i/>
          <w:iCs/>
        </w:rPr>
        <w:t xml:space="preserve">) </w:t>
      </w:r>
      <w:r w:rsidR="005C1F04" w:rsidRPr="005C1F04">
        <w:t>= 31.95</w:t>
      </w:r>
      <w:r w:rsidR="005C1F04">
        <w:t>, p</w:t>
      </w:r>
      <w:r w:rsidR="005C1F04" w:rsidRPr="00192835">
        <w:t>&lt;0.0001</w:t>
      </w:r>
      <w:r w:rsidR="005C1F04">
        <w:t>)</w:t>
      </w:r>
      <w:r w:rsidR="00FE0056" w:rsidRPr="00FE0056">
        <w:rPr>
          <w:rFonts w:cs="Times New Roman"/>
          <w:szCs w:val="24"/>
        </w:rPr>
        <w:t>.</w:t>
      </w:r>
      <w:r w:rsidR="00192835">
        <w:rPr>
          <w:rFonts w:cs="Times New Roman"/>
          <w:szCs w:val="24"/>
        </w:rPr>
        <w:t xml:space="preserve"> </w:t>
      </w:r>
      <w:r w:rsidR="00192835" w:rsidRPr="00967D8F">
        <w:rPr>
          <w:rFonts w:cs="Times New Roman"/>
          <w:color w:val="000000" w:themeColor="text1"/>
          <w:szCs w:val="24"/>
        </w:rPr>
        <w:t xml:space="preserve">Relapse was defined as taking one drink during three months of acamprosate treatment, while </w:t>
      </w:r>
      <w:r w:rsidR="00192835">
        <w:rPr>
          <w:rFonts w:cs="Times New Roman"/>
          <w:color w:val="000000" w:themeColor="text1"/>
          <w:szCs w:val="24"/>
        </w:rPr>
        <w:t>n</w:t>
      </w:r>
      <w:r w:rsidR="00192835" w:rsidRPr="00967D8F">
        <w:rPr>
          <w:rFonts w:cs="Times New Roman"/>
          <w:color w:val="000000" w:themeColor="text1"/>
          <w:szCs w:val="24"/>
        </w:rPr>
        <w:t>on-</w:t>
      </w:r>
      <w:r w:rsidR="00192835">
        <w:rPr>
          <w:rFonts w:cs="Times New Roman"/>
          <w:color w:val="000000" w:themeColor="text1"/>
          <w:szCs w:val="24"/>
        </w:rPr>
        <w:t>r</w:t>
      </w:r>
      <w:r w:rsidR="00192835" w:rsidRPr="00967D8F">
        <w:rPr>
          <w:rFonts w:cs="Times New Roman"/>
          <w:color w:val="000000" w:themeColor="text1"/>
          <w:szCs w:val="24"/>
        </w:rPr>
        <w:t>elapse was defined as remaining abstinent during three months of acamprosate treatment.</w:t>
      </w:r>
    </w:p>
    <w:p w14:paraId="3C83F515" w14:textId="77777777" w:rsidR="008D74F6" w:rsidRDefault="008D74F6" w:rsidP="008D74F6">
      <w:pPr>
        <w:spacing w:before="0" w:after="200" w:line="276" w:lineRule="auto"/>
        <w:rPr>
          <w:rFonts w:cs="Times New Roman"/>
          <w:b/>
          <w:bCs/>
          <w:szCs w:val="24"/>
        </w:rPr>
      </w:pPr>
    </w:p>
    <w:p w14:paraId="0447B338" w14:textId="2D20746A" w:rsidR="008D74F6" w:rsidRPr="00FA030D" w:rsidRDefault="008D74F6" w:rsidP="008D74F6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Supplementary Table 1</w:t>
      </w:r>
      <w:r w:rsidRPr="00AD4981">
        <w:rPr>
          <w:rFonts w:cs="Times New Roman"/>
          <w:b/>
          <w:bCs/>
          <w:szCs w:val="24"/>
        </w:rPr>
        <w:t xml:space="preserve">. </w:t>
      </w:r>
      <w:r w:rsidRPr="00DC3E1A">
        <w:rPr>
          <w:rFonts w:cs="Times New Roman"/>
          <w:szCs w:val="24"/>
        </w:rPr>
        <w:t>Olink Proteomics inflammatory panel and missing data frequency.</w:t>
      </w:r>
    </w:p>
    <w:p w14:paraId="6CF1419A" w14:textId="06B6C7ED" w:rsidR="008D74F6" w:rsidRDefault="008D74F6" w:rsidP="008D74F6">
      <w:pPr>
        <w:spacing w:before="0"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Supplementary Table 2. </w:t>
      </w:r>
      <w:r w:rsidRPr="00DC3E1A">
        <w:rPr>
          <w:rFonts w:cs="Times New Roman"/>
          <w:szCs w:val="24"/>
        </w:rPr>
        <w:t>Plasma concentrations of inflammatory markers in relapse and non-relapse groups.  Relapse was defined as taking one drink during three months of acamprosate treatment, while non-relapse was defined as remaining abstinent during three months of acamprosate treatment.</w:t>
      </w:r>
    </w:p>
    <w:p w14:paraId="77EDAC35" w14:textId="4E82B06B" w:rsidR="008D74F6" w:rsidRPr="00FA030D" w:rsidRDefault="008D74F6" w:rsidP="008D74F6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Supplementary Table 3. </w:t>
      </w:r>
      <w:r w:rsidRPr="00DC3E1A">
        <w:rPr>
          <w:rFonts w:cs="Times New Roman"/>
          <w:szCs w:val="24"/>
        </w:rPr>
        <w:t>Plasma concentrations of inflammatory markers in heavy relapse and non-heavy relapse groups.  Heavy relapse was defined as four or more standard drinks per day for a woman and five or more standard drinks per day for a man.</w:t>
      </w:r>
    </w:p>
    <w:p w14:paraId="7FE797FA" w14:textId="79084D19" w:rsidR="008D74F6" w:rsidRDefault="008D74F6" w:rsidP="008D74F6">
      <w:pPr>
        <w:spacing w:before="0"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Supplementary Table 4.</w:t>
      </w:r>
      <w:r w:rsidRPr="00DC3E1A">
        <w:rPr>
          <w:rFonts w:cs="Times New Roman"/>
          <w:b/>
          <w:bCs/>
          <w:szCs w:val="24"/>
        </w:rPr>
        <w:t xml:space="preserve"> </w:t>
      </w:r>
      <w:r w:rsidRPr="00DC3E1A">
        <w:rPr>
          <w:rFonts w:cs="Times New Roman"/>
          <w:szCs w:val="24"/>
        </w:rPr>
        <w:t>Correlation of time till relapse and baseline inflammatory markers.  Number of sober days was included as a covariate.</w:t>
      </w:r>
    </w:p>
    <w:p w14:paraId="08861724" w14:textId="17B0E9DC" w:rsidR="008D74F6" w:rsidRPr="00FA030D" w:rsidRDefault="008D74F6" w:rsidP="008D74F6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Supplementary Table 5.</w:t>
      </w:r>
      <w:r w:rsidRPr="00DC3E1A">
        <w:rPr>
          <w:rFonts w:cs="Times New Roman"/>
          <w:b/>
          <w:bCs/>
          <w:szCs w:val="24"/>
        </w:rPr>
        <w:t xml:space="preserve"> </w:t>
      </w:r>
      <w:r w:rsidRPr="00DC3E1A">
        <w:rPr>
          <w:rFonts w:cs="Times New Roman"/>
          <w:szCs w:val="24"/>
        </w:rPr>
        <w:t>Correlation of time till heavy relapse and baseline inflammatory markers.  Number of sober days was included as a covariate.</w:t>
      </w:r>
    </w:p>
    <w:p w14:paraId="5FC41A8B" w14:textId="7CA65662" w:rsidR="00CA6B4E" w:rsidRDefault="00CA6B4E" w:rsidP="008D74F6">
      <w:pPr>
        <w:spacing w:before="0" w:after="200" w:line="276" w:lineRule="auto"/>
        <w:rPr>
          <w:rFonts w:cs="Times New Roman"/>
          <w:b/>
          <w:bCs/>
          <w:szCs w:val="24"/>
        </w:rPr>
      </w:pPr>
      <w:r w:rsidRPr="00CA6B4E">
        <w:rPr>
          <w:rFonts w:cs="Times New Roman"/>
          <w:b/>
          <w:bCs/>
          <w:szCs w:val="24"/>
        </w:rPr>
        <w:t xml:space="preserve">Supplementary Table 6. </w:t>
      </w:r>
      <w:r w:rsidR="00FF3E8C" w:rsidRPr="00FF3E8C">
        <w:rPr>
          <w:rFonts w:cs="Times New Roman"/>
          <w:szCs w:val="24"/>
        </w:rPr>
        <w:t>Correlation</w:t>
      </w:r>
      <w:r w:rsidRPr="00FF3E8C">
        <w:rPr>
          <w:rFonts w:cs="Times New Roman"/>
          <w:szCs w:val="24"/>
        </w:rPr>
        <w:t xml:space="preserve"> of baseline PACS and plasma proteomics. Number of sober days prior to enrollment was included as </w:t>
      </w:r>
      <w:r w:rsidR="00932E5D">
        <w:rPr>
          <w:rFonts w:cs="Times New Roman"/>
          <w:szCs w:val="24"/>
        </w:rPr>
        <w:t xml:space="preserve">a </w:t>
      </w:r>
      <w:r w:rsidR="00FF3E8C" w:rsidRPr="00FF3E8C">
        <w:rPr>
          <w:rFonts w:cs="Times New Roman"/>
          <w:szCs w:val="24"/>
        </w:rPr>
        <w:t>covariate</w:t>
      </w:r>
      <w:r w:rsidRPr="00FF3E8C">
        <w:rPr>
          <w:rFonts w:cs="Times New Roman"/>
          <w:szCs w:val="24"/>
        </w:rPr>
        <w:t>.</w:t>
      </w:r>
      <w:r w:rsidRPr="00CA6B4E">
        <w:rPr>
          <w:rFonts w:cs="Times New Roman"/>
          <w:b/>
          <w:bCs/>
          <w:szCs w:val="24"/>
        </w:rPr>
        <w:t xml:space="preserve"> </w:t>
      </w:r>
    </w:p>
    <w:p w14:paraId="42E51FBA" w14:textId="58E506EB" w:rsidR="00E95690" w:rsidRPr="00E95690" w:rsidRDefault="00E95690" w:rsidP="008D74F6">
      <w:pPr>
        <w:spacing w:before="0" w:after="200" w:line="276" w:lineRule="auto"/>
        <w:rPr>
          <w:rFonts w:cs="Times New Roman"/>
          <w:szCs w:val="24"/>
        </w:rPr>
      </w:pPr>
      <w:r w:rsidRPr="00E95690">
        <w:rPr>
          <w:rFonts w:cs="Times New Roman"/>
          <w:b/>
          <w:bCs/>
          <w:szCs w:val="24"/>
        </w:rPr>
        <w:t xml:space="preserve">Supplementary Table 7, </w:t>
      </w:r>
      <w:r w:rsidRPr="00E95690">
        <w:rPr>
          <w:rFonts w:cs="Times New Roman"/>
          <w:szCs w:val="24"/>
        </w:rPr>
        <w:t xml:space="preserve">Sex-specific differences in protein concentrations. </w:t>
      </w:r>
    </w:p>
    <w:p w14:paraId="1B326B77" w14:textId="4A966946" w:rsidR="008D74F6" w:rsidRDefault="00CA6B4E" w:rsidP="008D74F6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Supplementary Table </w:t>
      </w:r>
      <w:r w:rsidR="00E95690">
        <w:rPr>
          <w:rFonts w:cs="Times New Roman"/>
          <w:b/>
          <w:bCs/>
          <w:szCs w:val="24"/>
        </w:rPr>
        <w:t>8</w:t>
      </w:r>
      <w:r>
        <w:rPr>
          <w:rFonts w:cs="Times New Roman"/>
          <w:b/>
          <w:bCs/>
          <w:szCs w:val="24"/>
        </w:rPr>
        <w:t xml:space="preserve">. </w:t>
      </w:r>
      <w:r w:rsidR="008D74F6" w:rsidRPr="00233165">
        <w:rPr>
          <w:rFonts w:cs="Times New Roman"/>
          <w:szCs w:val="24"/>
        </w:rPr>
        <w:t>History of substance dependence for the 442 AUD subjects enrolled in the acamprosate clinical trial.</w:t>
      </w:r>
    </w:p>
    <w:p w14:paraId="2E0587D3" w14:textId="5A084C88" w:rsidR="00026FF8" w:rsidRPr="00FA030D" w:rsidRDefault="00026FF8" w:rsidP="00FA030D">
      <w:pPr>
        <w:spacing w:after="200" w:line="276" w:lineRule="auto"/>
      </w:pPr>
      <w:r w:rsidRPr="00026FF8">
        <w:rPr>
          <w:rFonts w:cs="Times New Roman"/>
          <w:b/>
          <w:bCs/>
          <w:szCs w:val="24"/>
        </w:rPr>
        <w:t xml:space="preserve">Supplementary Table </w:t>
      </w:r>
      <w:r w:rsidR="00E95690">
        <w:rPr>
          <w:rFonts w:cs="Times New Roman"/>
          <w:b/>
          <w:bCs/>
          <w:szCs w:val="24"/>
        </w:rPr>
        <w:t>9</w:t>
      </w:r>
      <w:r w:rsidRPr="00026FF8">
        <w:rPr>
          <w:rFonts w:cs="Times New Roman"/>
          <w:b/>
          <w:bCs/>
          <w:szCs w:val="24"/>
        </w:rPr>
        <w:t xml:space="preserve">. </w:t>
      </w:r>
      <w:r w:rsidRPr="00026FF8">
        <w:rPr>
          <w:rFonts w:cs="Times New Roman"/>
          <w:szCs w:val="24"/>
        </w:rPr>
        <w:t>RNA</w:t>
      </w:r>
      <w:r>
        <w:rPr>
          <w:rFonts w:cs="Times New Roman"/>
          <w:szCs w:val="24"/>
        </w:rPr>
        <w:t>-</w:t>
      </w:r>
      <w:r w:rsidRPr="00026FF8">
        <w:rPr>
          <w:rFonts w:cs="Times New Roman"/>
          <w:szCs w:val="24"/>
        </w:rPr>
        <w:t>seq in PBMC from AUD patients. Relapse: n=27, non-relapse: n=26.</w:t>
      </w:r>
      <w:r w:rsidR="00D41350" w:rsidRPr="00D41350">
        <w:rPr>
          <w:rFonts w:cs="Times New Roman"/>
          <w:color w:val="000000" w:themeColor="text1"/>
          <w:szCs w:val="24"/>
        </w:rPr>
        <w:t xml:space="preserve"> </w:t>
      </w:r>
      <w:r w:rsidR="00D41350" w:rsidRPr="00967D8F">
        <w:rPr>
          <w:rFonts w:cs="Times New Roman"/>
          <w:color w:val="000000" w:themeColor="text1"/>
          <w:szCs w:val="24"/>
        </w:rPr>
        <w:t xml:space="preserve">Relapse was defined as taking one drink during three months of acamprosate treatment, while </w:t>
      </w:r>
      <w:r w:rsidR="00D41350">
        <w:rPr>
          <w:rFonts w:cs="Times New Roman"/>
          <w:color w:val="000000" w:themeColor="text1"/>
          <w:szCs w:val="24"/>
        </w:rPr>
        <w:t>n</w:t>
      </w:r>
      <w:r w:rsidR="00D41350" w:rsidRPr="00967D8F">
        <w:rPr>
          <w:rFonts w:cs="Times New Roman"/>
          <w:color w:val="000000" w:themeColor="text1"/>
          <w:szCs w:val="24"/>
        </w:rPr>
        <w:t>on-</w:t>
      </w:r>
      <w:r w:rsidR="00D41350">
        <w:rPr>
          <w:rFonts w:cs="Times New Roman"/>
          <w:color w:val="000000" w:themeColor="text1"/>
          <w:szCs w:val="24"/>
        </w:rPr>
        <w:t>r</w:t>
      </w:r>
      <w:r w:rsidR="00D41350" w:rsidRPr="00967D8F">
        <w:rPr>
          <w:rFonts w:cs="Times New Roman"/>
          <w:color w:val="000000" w:themeColor="text1"/>
          <w:szCs w:val="24"/>
        </w:rPr>
        <w:t>elapse was defined as remaining abstinent during three months of acamprosate treatment.</w:t>
      </w:r>
    </w:p>
    <w:p w14:paraId="7B65BC41" w14:textId="6D74962C" w:rsidR="00DE23E8" w:rsidRPr="001549D3" w:rsidRDefault="00026FF8" w:rsidP="00E95690">
      <w:pPr>
        <w:spacing w:after="200" w:line="276" w:lineRule="auto"/>
      </w:pPr>
      <w:r w:rsidRPr="00026FF8">
        <w:rPr>
          <w:rFonts w:cs="Times New Roman"/>
          <w:b/>
          <w:bCs/>
          <w:szCs w:val="24"/>
        </w:rPr>
        <w:t xml:space="preserve">Supplementary Table </w:t>
      </w:r>
      <w:r w:rsidR="00E95690">
        <w:rPr>
          <w:rFonts w:cs="Times New Roman"/>
          <w:b/>
          <w:bCs/>
          <w:szCs w:val="24"/>
        </w:rPr>
        <w:t>10</w:t>
      </w:r>
      <w:r w:rsidRPr="00026FF8">
        <w:rPr>
          <w:rFonts w:cs="Times New Roman"/>
          <w:b/>
          <w:bCs/>
          <w:szCs w:val="24"/>
        </w:rPr>
        <w:t xml:space="preserve">. </w:t>
      </w:r>
      <w:r w:rsidRPr="00026FF8">
        <w:rPr>
          <w:rFonts w:cs="Times New Roman"/>
          <w:szCs w:val="24"/>
        </w:rPr>
        <w:t>Pathway analysis using RNA</w:t>
      </w:r>
      <w:r>
        <w:rPr>
          <w:rFonts w:cs="Times New Roman"/>
          <w:szCs w:val="24"/>
        </w:rPr>
        <w:t>-</w:t>
      </w:r>
      <w:r w:rsidRPr="00026FF8">
        <w:rPr>
          <w:rFonts w:cs="Times New Roman"/>
          <w:szCs w:val="24"/>
        </w:rPr>
        <w:t xml:space="preserve">seq </w:t>
      </w:r>
      <w:r>
        <w:rPr>
          <w:rFonts w:cs="Times New Roman"/>
          <w:szCs w:val="24"/>
        </w:rPr>
        <w:t xml:space="preserve">data </w:t>
      </w:r>
      <w:r w:rsidRPr="00026FF8">
        <w:rPr>
          <w:rFonts w:cs="Times New Roman"/>
          <w:szCs w:val="24"/>
        </w:rPr>
        <w:t>in PBMC from AUD patients. Relapse: n=27, non-relapse: n=26.</w:t>
      </w:r>
      <w:r w:rsidR="00D41350">
        <w:rPr>
          <w:rFonts w:cs="Times New Roman"/>
          <w:szCs w:val="24"/>
        </w:rPr>
        <w:t xml:space="preserve"> </w:t>
      </w:r>
      <w:r w:rsidR="00D41350" w:rsidRPr="00967D8F">
        <w:rPr>
          <w:rFonts w:cs="Times New Roman"/>
          <w:color w:val="000000" w:themeColor="text1"/>
          <w:szCs w:val="24"/>
        </w:rPr>
        <w:t xml:space="preserve">Relapse was defined as taking one drink during three months of acamprosate treatment, while </w:t>
      </w:r>
      <w:r w:rsidR="00D41350">
        <w:rPr>
          <w:rFonts w:cs="Times New Roman"/>
          <w:color w:val="000000" w:themeColor="text1"/>
          <w:szCs w:val="24"/>
        </w:rPr>
        <w:t>n</w:t>
      </w:r>
      <w:r w:rsidR="00D41350" w:rsidRPr="00967D8F">
        <w:rPr>
          <w:rFonts w:cs="Times New Roman"/>
          <w:color w:val="000000" w:themeColor="text1"/>
          <w:szCs w:val="24"/>
        </w:rPr>
        <w:t>on-</w:t>
      </w:r>
      <w:r w:rsidR="00D41350">
        <w:rPr>
          <w:rFonts w:cs="Times New Roman"/>
          <w:color w:val="000000" w:themeColor="text1"/>
          <w:szCs w:val="24"/>
        </w:rPr>
        <w:t>r</w:t>
      </w:r>
      <w:r w:rsidR="00D41350" w:rsidRPr="00967D8F">
        <w:rPr>
          <w:rFonts w:cs="Times New Roman"/>
          <w:color w:val="000000" w:themeColor="text1"/>
          <w:szCs w:val="24"/>
        </w:rPr>
        <w:t>elapse was defined as remaining abstinent during three months of acamprosate treatment.</w:t>
      </w: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986710377">
    <w:abstractNumId w:val="0"/>
  </w:num>
  <w:num w:numId="2" w16cid:durableId="436876819">
    <w:abstractNumId w:val="4"/>
  </w:num>
  <w:num w:numId="3" w16cid:durableId="858544690">
    <w:abstractNumId w:val="1"/>
  </w:num>
  <w:num w:numId="4" w16cid:durableId="723220725">
    <w:abstractNumId w:val="5"/>
  </w:num>
  <w:num w:numId="5" w16cid:durableId="1887721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7055663">
    <w:abstractNumId w:val="3"/>
  </w:num>
  <w:num w:numId="7" w16cid:durableId="164440178">
    <w:abstractNumId w:val="6"/>
  </w:num>
  <w:num w:numId="8" w16cid:durableId="893780843">
    <w:abstractNumId w:val="6"/>
  </w:num>
  <w:num w:numId="9" w16cid:durableId="504250233">
    <w:abstractNumId w:val="6"/>
  </w:num>
  <w:num w:numId="10" w16cid:durableId="1475440768">
    <w:abstractNumId w:val="6"/>
  </w:num>
  <w:num w:numId="11" w16cid:durableId="53626376">
    <w:abstractNumId w:val="6"/>
  </w:num>
  <w:num w:numId="12" w16cid:durableId="1228303001">
    <w:abstractNumId w:val="6"/>
  </w:num>
  <w:num w:numId="13" w16cid:durableId="1811551426">
    <w:abstractNumId w:val="3"/>
  </w:num>
  <w:num w:numId="14" w16cid:durableId="471215306">
    <w:abstractNumId w:val="2"/>
  </w:num>
  <w:num w:numId="15" w16cid:durableId="421683559">
    <w:abstractNumId w:val="2"/>
  </w:num>
  <w:num w:numId="16" w16cid:durableId="292564062">
    <w:abstractNumId w:val="2"/>
  </w:num>
  <w:num w:numId="17" w16cid:durableId="121577346">
    <w:abstractNumId w:val="2"/>
  </w:num>
  <w:num w:numId="18" w16cid:durableId="1843469894">
    <w:abstractNumId w:val="2"/>
  </w:num>
  <w:num w:numId="19" w16cid:durableId="1195994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6FF8"/>
    <w:rsid w:val="00034304"/>
    <w:rsid w:val="00035434"/>
    <w:rsid w:val="00052A14"/>
    <w:rsid w:val="00077D53"/>
    <w:rsid w:val="000C4D79"/>
    <w:rsid w:val="00105FD9"/>
    <w:rsid w:val="0011095C"/>
    <w:rsid w:val="00117666"/>
    <w:rsid w:val="001549D3"/>
    <w:rsid w:val="00160065"/>
    <w:rsid w:val="00177D84"/>
    <w:rsid w:val="00192835"/>
    <w:rsid w:val="001B3C19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70DA"/>
    <w:rsid w:val="005C1F04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25408"/>
    <w:rsid w:val="0083759F"/>
    <w:rsid w:val="00885156"/>
    <w:rsid w:val="008D74F6"/>
    <w:rsid w:val="009151AA"/>
    <w:rsid w:val="00932E5D"/>
    <w:rsid w:val="0093429D"/>
    <w:rsid w:val="00943573"/>
    <w:rsid w:val="009465B1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A6B4E"/>
    <w:rsid w:val="00CD066B"/>
    <w:rsid w:val="00CD507B"/>
    <w:rsid w:val="00CD7CAE"/>
    <w:rsid w:val="00CE4FEE"/>
    <w:rsid w:val="00D060CF"/>
    <w:rsid w:val="00D41350"/>
    <w:rsid w:val="00DB59C3"/>
    <w:rsid w:val="00DC259A"/>
    <w:rsid w:val="00DE23E8"/>
    <w:rsid w:val="00E52377"/>
    <w:rsid w:val="00E537AD"/>
    <w:rsid w:val="00E64E17"/>
    <w:rsid w:val="00E866C9"/>
    <w:rsid w:val="00E95690"/>
    <w:rsid w:val="00EA3D3C"/>
    <w:rsid w:val="00EB7356"/>
    <w:rsid w:val="00EC090A"/>
    <w:rsid w:val="00ED20B5"/>
    <w:rsid w:val="00F26837"/>
    <w:rsid w:val="00F46900"/>
    <w:rsid w:val="00F61D89"/>
    <w:rsid w:val="00FA030D"/>
    <w:rsid w:val="00FE0056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apple-converted-space">
    <w:name w:val="apple-converted-space"/>
    <w:basedOn w:val="DefaultParagraphFont"/>
    <w:rsid w:val="008D74F6"/>
  </w:style>
  <w:style w:type="character" w:customStyle="1" w:styleId="normalchar">
    <w:name w:val="normal__char"/>
    <w:basedOn w:val="DefaultParagraphFont"/>
    <w:rsid w:val="008D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nshilboum.richard@mayo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38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Ho, Ming-Fen, Ph.D.</cp:lastModifiedBy>
  <cp:revision>18</cp:revision>
  <cp:lastPrinted>2013-10-03T12:51:00Z</cp:lastPrinted>
  <dcterms:created xsi:type="dcterms:W3CDTF">2022-06-09T21:06:00Z</dcterms:created>
  <dcterms:modified xsi:type="dcterms:W3CDTF">2022-08-07T23:28:00Z</dcterms:modified>
</cp:coreProperties>
</file>