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FA441" w14:textId="5806B352" w:rsidR="00EF4B1B" w:rsidRPr="00F81169" w:rsidRDefault="00EF4B1B" w:rsidP="006D5951">
      <w:pPr>
        <w:spacing w:line="360" w:lineRule="auto"/>
        <w:jc w:val="center"/>
        <w:rPr>
          <w:rFonts w:ascii="Times New Roman" w:hAnsi="Times New Roman"/>
          <w:b/>
          <w:sz w:val="24"/>
          <w:szCs w:val="24"/>
        </w:rPr>
      </w:pPr>
      <w:r w:rsidRPr="00F81169">
        <w:rPr>
          <w:rFonts w:ascii="Times New Roman" w:hAnsi="Times New Roman"/>
          <w:b/>
          <w:sz w:val="24"/>
          <w:szCs w:val="24"/>
        </w:rPr>
        <w:t xml:space="preserve">Supplementary </w:t>
      </w:r>
      <w:r w:rsidR="00C45068" w:rsidRPr="00F81169">
        <w:rPr>
          <w:rFonts w:ascii="Times New Roman" w:hAnsi="Times New Roman"/>
          <w:b/>
          <w:sz w:val="24"/>
          <w:szCs w:val="24"/>
        </w:rPr>
        <w:t>Information</w:t>
      </w:r>
    </w:p>
    <w:p w14:paraId="086AAA6A" w14:textId="3170A572" w:rsidR="004946D2" w:rsidRPr="00F81169" w:rsidRDefault="004946D2" w:rsidP="004946D2">
      <w:pPr>
        <w:pStyle w:val="Default"/>
        <w:spacing w:after="240" w:line="360" w:lineRule="auto"/>
        <w:jc w:val="center"/>
        <w:rPr>
          <w:rFonts w:ascii="Times New Roman" w:hAnsi="Times New Roman" w:cs="Times New Roman"/>
          <w:b/>
          <w:color w:val="auto"/>
        </w:rPr>
      </w:pPr>
      <w:r w:rsidRPr="00F81169">
        <w:rPr>
          <w:rFonts w:ascii="Times New Roman" w:hAnsi="Times New Roman" w:cs="Times New Roman"/>
          <w:b/>
          <w:color w:val="auto"/>
        </w:rPr>
        <w:t>Unraveling the potential of bacteri</w:t>
      </w:r>
      <w:r w:rsidR="00C154E1" w:rsidRPr="00F81169">
        <w:rPr>
          <w:rFonts w:ascii="Times New Roman" w:hAnsi="Times New Roman" w:cs="Times New Roman"/>
          <w:b/>
          <w:color w:val="auto"/>
        </w:rPr>
        <w:t>a</w:t>
      </w:r>
      <w:r w:rsidRPr="00F81169">
        <w:rPr>
          <w:rFonts w:ascii="Times New Roman" w:hAnsi="Times New Roman" w:cs="Times New Roman"/>
          <w:b/>
          <w:color w:val="auto"/>
        </w:rPr>
        <w:t xml:space="preserve"> isolated from the equatorial region of Indian Ocean in mercury detoxification</w:t>
      </w:r>
    </w:p>
    <w:p w14:paraId="65544EEE" w14:textId="5D3D11DA" w:rsidR="00B156D5" w:rsidRPr="00F81169" w:rsidRDefault="004946D2" w:rsidP="00B156D5">
      <w:pPr>
        <w:pStyle w:val="Default"/>
        <w:spacing w:line="360" w:lineRule="auto"/>
        <w:jc w:val="center"/>
        <w:rPr>
          <w:rFonts w:ascii="Times New Roman" w:hAnsi="Times New Roman" w:cs="Times New Roman"/>
          <w:color w:val="auto"/>
        </w:rPr>
      </w:pPr>
      <w:r w:rsidRPr="00F81169">
        <w:rPr>
          <w:rFonts w:ascii="Times New Roman" w:hAnsi="Times New Roman" w:cs="Times New Roman"/>
          <w:color w:val="auto"/>
        </w:rPr>
        <w:t>Gajendra Joshi</w:t>
      </w:r>
      <w:r w:rsidRPr="00F81169">
        <w:rPr>
          <w:rFonts w:ascii="Times New Roman" w:hAnsi="Times New Roman" w:cs="Times New Roman"/>
          <w:color w:val="auto"/>
          <w:vertAlign w:val="superscript"/>
        </w:rPr>
        <w:t>a,*</w:t>
      </w:r>
      <w:r w:rsidRPr="00F81169">
        <w:rPr>
          <w:rFonts w:ascii="Times New Roman" w:hAnsi="Times New Roman" w:cs="Times New Roman"/>
          <w:color w:val="auto"/>
        </w:rPr>
        <w:t>, Pankaj Verma</w:t>
      </w:r>
      <w:r w:rsidRPr="00F81169">
        <w:rPr>
          <w:rFonts w:ascii="Times New Roman" w:hAnsi="Times New Roman" w:cs="Times New Roman"/>
          <w:color w:val="auto"/>
          <w:vertAlign w:val="superscript"/>
        </w:rPr>
        <w:t>b</w:t>
      </w:r>
      <w:r w:rsidRPr="00F81169">
        <w:rPr>
          <w:rFonts w:ascii="Times New Roman" w:hAnsi="Times New Roman" w:cs="Times New Roman"/>
          <w:color w:val="auto"/>
        </w:rPr>
        <w:t>, Balakrishnan Meena</w:t>
      </w:r>
      <w:r w:rsidRPr="00F81169">
        <w:rPr>
          <w:rFonts w:ascii="Times New Roman" w:hAnsi="Times New Roman" w:cs="Times New Roman"/>
          <w:color w:val="auto"/>
          <w:vertAlign w:val="superscript"/>
        </w:rPr>
        <w:t>a</w:t>
      </w:r>
      <w:r w:rsidRPr="00F81169">
        <w:rPr>
          <w:rFonts w:ascii="Times New Roman" w:hAnsi="Times New Roman" w:cs="Times New Roman"/>
          <w:color w:val="auto"/>
        </w:rPr>
        <w:t>,</w:t>
      </w:r>
      <w:r w:rsidRPr="00F81169">
        <w:rPr>
          <w:rFonts w:ascii="Times New Roman" w:hAnsi="Times New Roman" w:cs="Times New Roman"/>
          <w:color w:val="auto"/>
          <w:vertAlign w:val="superscript"/>
        </w:rPr>
        <w:t xml:space="preserve"> </w:t>
      </w:r>
      <w:r w:rsidRPr="00F81169">
        <w:rPr>
          <w:rFonts w:ascii="Times New Roman" w:hAnsi="Times New Roman" w:cs="Times New Roman"/>
          <w:color w:val="auto"/>
          <w:lang w:eastAsia="en-IN"/>
        </w:rPr>
        <w:t>Prasun Goswami</w:t>
      </w:r>
      <w:r w:rsidRPr="00F81169">
        <w:rPr>
          <w:rFonts w:ascii="Times New Roman" w:hAnsi="Times New Roman" w:cs="Times New Roman"/>
          <w:color w:val="auto"/>
          <w:vertAlign w:val="superscript"/>
          <w:lang w:eastAsia="en-IN"/>
        </w:rPr>
        <w:t>a</w:t>
      </w:r>
      <w:r w:rsidR="00F61753" w:rsidRPr="00F61753">
        <w:rPr>
          <w:rFonts w:ascii="Times New Roman" w:hAnsi="Times New Roman" w:cs="Times New Roman"/>
          <w:color w:val="auto"/>
          <w:vertAlign w:val="superscript"/>
        </w:rPr>
        <w:t>†</w:t>
      </w:r>
      <w:r w:rsidRPr="00F81169">
        <w:rPr>
          <w:rFonts w:ascii="Times New Roman" w:hAnsi="Times New Roman" w:cs="Times New Roman"/>
          <w:color w:val="auto"/>
          <w:lang w:eastAsia="en-IN"/>
        </w:rPr>
        <w:t>, D Magesh Peter</w:t>
      </w:r>
      <w:r w:rsidRPr="00F81169">
        <w:rPr>
          <w:rFonts w:ascii="Times New Roman" w:hAnsi="Times New Roman" w:cs="Times New Roman"/>
          <w:color w:val="auto"/>
          <w:vertAlign w:val="superscript"/>
          <w:lang w:eastAsia="en-IN"/>
        </w:rPr>
        <w:t>b</w:t>
      </w:r>
      <w:r w:rsidRPr="00F81169">
        <w:rPr>
          <w:rFonts w:ascii="Times New Roman" w:hAnsi="Times New Roman" w:cs="Times New Roman"/>
          <w:color w:val="auto"/>
        </w:rPr>
        <w:t xml:space="preserve">, </w:t>
      </w:r>
      <w:bookmarkStart w:id="0" w:name="bau0025"/>
    </w:p>
    <w:p w14:paraId="7F1853EF" w14:textId="3DE7166E" w:rsidR="004946D2" w:rsidRPr="00F81169" w:rsidRDefault="004946D2" w:rsidP="004946D2">
      <w:pPr>
        <w:pStyle w:val="Default"/>
        <w:spacing w:after="240" w:line="360" w:lineRule="auto"/>
        <w:jc w:val="center"/>
        <w:rPr>
          <w:rFonts w:ascii="Times New Roman" w:hAnsi="Times New Roman" w:cs="Times New Roman"/>
          <w:color w:val="auto"/>
          <w:vertAlign w:val="superscript"/>
        </w:rPr>
      </w:pPr>
      <w:r w:rsidRPr="00F81169">
        <w:rPr>
          <w:rFonts w:ascii="Times New Roman" w:hAnsi="Times New Roman" w:cs="Times New Roman"/>
        </w:rPr>
        <w:t>Dilip Kumar Jha</w:t>
      </w:r>
      <w:bookmarkEnd w:id="0"/>
      <w:r w:rsidRPr="00F81169">
        <w:rPr>
          <w:rFonts w:ascii="Times New Roman" w:hAnsi="Times New Roman" w:cs="Times New Roman"/>
          <w:vertAlign w:val="superscript"/>
        </w:rPr>
        <w:t>b</w:t>
      </w:r>
      <w:r w:rsidRPr="00F81169">
        <w:rPr>
          <w:rFonts w:ascii="Times New Roman" w:hAnsi="Times New Roman" w:cs="Times New Roman"/>
          <w:color w:val="auto"/>
        </w:rPr>
        <w:t>, Nambali Valsalan Vinithkumar</w:t>
      </w:r>
      <w:r w:rsidRPr="00F81169">
        <w:rPr>
          <w:rFonts w:ascii="Times New Roman" w:hAnsi="Times New Roman" w:cs="Times New Roman"/>
          <w:color w:val="auto"/>
          <w:vertAlign w:val="superscript"/>
        </w:rPr>
        <w:t>a</w:t>
      </w:r>
      <w:r w:rsidRPr="00F81169">
        <w:rPr>
          <w:rFonts w:ascii="Times New Roman" w:hAnsi="Times New Roman" w:cs="Times New Roman"/>
          <w:color w:val="auto"/>
        </w:rPr>
        <w:t xml:space="preserve"> and Gopal Dharani</w:t>
      </w:r>
      <w:r w:rsidRPr="00F81169">
        <w:rPr>
          <w:rFonts w:ascii="Times New Roman" w:hAnsi="Times New Roman" w:cs="Times New Roman"/>
          <w:color w:val="auto"/>
          <w:vertAlign w:val="superscript"/>
        </w:rPr>
        <w:t>b</w:t>
      </w:r>
    </w:p>
    <w:p w14:paraId="6358F733" w14:textId="5DCB7117" w:rsidR="004946D2" w:rsidRPr="00F81169" w:rsidRDefault="004946D2" w:rsidP="004946D2">
      <w:pPr>
        <w:autoSpaceDE w:val="0"/>
        <w:autoSpaceDN w:val="0"/>
        <w:adjustRightInd w:val="0"/>
        <w:spacing w:after="0" w:line="360" w:lineRule="auto"/>
        <w:jc w:val="both"/>
        <w:rPr>
          <w:rFonts w:ascii="Times New Roman" w:hAnsi="Times New Roman"/>
          <w:sz w:val="24"/>
          <w:szCs w:val="24"/>
        </w:rPr>
      </w:pPr>
      <w:r w:rsidRPr="00F81169">
        <w:rPr>
          <w:rFonts w:ascii="Times New Roman" w:hAnsi="Times New Roman"/>
          <w:sz w:val="24"/>
          <w:szCs w:val="24"/>
          <w:vertAlign w:val="superscript"/>
        </w:rPr>
        <w:t>a</w:t>
      </w:r>
      <w:r w:rsidRPr="00F81169">
        <w:rPr>
          <w:rFonts w:ascii="Times New Roman" w:hAnsi="Times New Roman"/>
          <w:sz w:val="24"/>
          <w:szCs w:val="24"/>
        </w:rPr>
        <w:t xml:space="preserve">Atal Centre for Ocean Science and Technology for Islands, National Institute of Ocean Technology, </w:t>
      </w:r>
      <w:r w:rsidR="0001651F" w:rsidRPr="00F81169">
        <w:rPr>
          <w:rFonts w:ascii="Times New Roman" w:hAnsi="Times New Roman"/>
          <w:sz w:val="24"/>
          <w:szCs w:val="24"/>
        </w:rPr>
        <w:t>Ministry of Earth Sciences, Government of India,</w:t>
      </w:r>
      <w:r w:rsidR="0001651F" w:rsidRPr="00F81169">
        <w:rPr>
          <w:rFonts w:ascii="Times New Roman" w:hAnsi="Times New Roman"/>
        </w:rPr>
        <w:t xml:space="preserve"> </w:t>
      </w:r>
      <w:r w:rsidRPr="00F81169">
        <w:rPr>
          <w:rFonts w:ascii="Times New Roman" w:hAnsi="Times New Roman"/>
          <w:sz w:val="24"/>
          <w:szCs w:val="24"/>
        </w:rPr>
        <w:t>Port Blair 744103, Andaman and Nicobar Islands, India</w:t>
      </w:r>
    </w:p>
    <w:p w14:paraId="671057A3" w14:textId="2800006F" w:rsidR="004946D2" w:rsidRDefault="004946D2" w:rsidP="007F1589">
      <w:pPr>
        <w:pStyle w:val="Default"/>
        <w:spacing w:line="360" w:lineRule="auto"/>
        <w:jc w:val="both"/>
        <w:rPr>
          <w:rFonts w:ascii="Times New Roman" w:hAnsi="Times New Roman" w:cs="Times New Roman"/>
          <w:color w:val="auto"/>
        </w:rPr>
      </w:pPr>
      <w:r w:rsidRPr="00F81169">
        <w:rPr>
          <w:rFonts w:ascii="Times New Roman" w:hAnsi="Times New Roman" w:cs="Times New Roman"/>
          <w:color w:val="auto"/>
          <w:vertAlign w:val="superscript"/>
        </w:rPr>
        <w:t>b</w:t>
      </w:r>
      <w:r w:rsidRPr="00F81169">
        <w:rPr>
          <w:rFonts w:ascii="Times New Roman" w:hAnsi="Times New Roman" w:cs="Times New Roman"/>
          <w:color w:val="auto"/>
        </w:rPr>
        <w:t>Ocean Science and Technology for Islands, National Institute of Ocean Technology, Ministry of Earth Sciences, Government of India, Chennai 600100, India</w:t>
      </w:r>
    </w:p>
    <w:p w14:paraId="231D73C6" w14:textId="758B2BBB" w:rsidR="00F61753" w:rsidRPr="00F81169" w:rsidRDefault="00F61753" w:rsidP="00B156D5">
      <w:pPr>
        <w:pStyle w:val="Default"/>
        <w:spacing w:after="240" w:line="360" w:lineRule="auto"/>
        <w:jc w:val="both"/>
        <w:rPr>
          <w:rFonts w:ascii="Times New Roman" w:hAnsi="Times New Roman" w:cs="Times New Roman"/>
          <w:color w:val="auto"/>
        </w:rPr>
      </w:pPr>
      <w:r w:rsidRPr="00F61753">
        <w:rPr>
          <w:rFonts w:ascii="Times New Roman" w:hAnsi="Times New Roman" w:cs="Times New Roman"/>
          <w:color w:val="auto"/>
        </w:rPr>
        <w:t>†Present address; Indian Institute of Science Education and Research</w:t>
      </w:r>
      <w:r>
        <w:rPr>
          <w:rFonts w:ascii="Times New Roman" w:hAnsi="Times New Roman" w:cs="Times New Roman"/>
          <w:color w:val="auto"/>
        </w:rPr>
        <w:t xml:space="preserve">, </w:t>
      </w:r>
      <w:r w:rsidRPr="00F61753">
        <w:rPr>
          <w:rFonts w:ascii="Times New Roman" w:hAnsi="Times New Roman" w:cs="Times New Roman"/>
          <w:color w:val="auto"/>
        </w:rPr>
        <w:t>Kolkata, 741 246, India</w:t>
      </w:r>
    </w:p>
    <w:p w14:paraId="662D1981" w14:textId="0C20EE2A" w:rsidR="004946D2" w:rsidRPr="00F81169" w:rsidRDefault="004946D2" w:rsidP="004946D2">
      <w:pPr>
        <w:pStyle w:val="Default"/>
        <w:spacing w:after="240" w:line="360" w:lineRule="auto"/>
        <w:jc w:val="both"/>
        <w:rPr>
          <w:rFonts w:ascii="Times New Roman" w:hAnsi="Times New Roman"/>
          <w:lang w:eastAsia="en-IN"/>
        </w:rPr>
      </w:pPr>
      <w:r w:rsidRPr="00F81169">
        <w:rPr>
          <w:rFonts w:ascii="Times New Roman" w:hAnsi="Times New Roman"/>
          <w:lang w:eastAsia="en-IN"/>
        </w:rPr>
        <w:t xml:space="preserve">* Corresponding author: </w:t>
      </w:r>
      <w:r w:rsidR="00D6432F" w:rsidRPr="00F81169">
        <w:rPr>
          <w:rFonts w:ascii="Times New Roman" w:hAnsi="Times New Roman"/>
          <w:lang w:eastAsia="en-IN"/>
        </w:rPr>
        <w:t xml:space="preserve">gajendrajoshi4@gmail.com </w:t>
      </w:r>
      <w:r w:rsidR="008F3F4C" w:rsidRPr="00F81169">
        <w:rPr>
          <w:rFonts w:ascii="Times New Roman" w:hAnsi="Times New Roman"/>
          <w:lang w:eastAsia="en-IN"/>
        </w:rPr>
        <w:t>(G. Joshi)</w:t>
      </w:r>
    </w:p>
    <w:p w14:paraId="4631883A" w14:textId="5C02753C" w:rsidR="005B2506" w:rsidRPr="00F81169" w:rsidRDefault="005B2506" w:rsidP="006D5951">
      <w:pPr>
        <w:autoSpaceDE w:val="0"/>
        <w:autoSpaceDN w:val="0"/>
        <w:adjustRightInd w:val="0"/>
        <w:spacing w:line="360" w:lineRule="auto"/>
        <w:rPr>
          <w:rFonts w:ascii="Times New Roman" w:hAnsi="Times New Roman"/>
          <w:b/>
          <w:bCs/>
          <w:sz w:val="24"/>
          <w:szCs w:val="24"/>
          <w:lang w:eastAsia="en-IN"/>
        </w:rPr>
      </w:pPr>
      <w:r w:rsidRPr="00F81169">
        <w:rPr>
          <w:rFonts w:ascii="Times New Roman" w:hAnsi="Times New Roman"/>
          <w:b/>
          <w:bCs/>
          <w:sz w:val="24"/>
          <w:szCs w:val="24"/>
          <w:lang w:eastAsia="en-IN"/>
        </w:rPr>
        <w:t>Material and Methods</w:t>
      </w:r>
    </w:p>
    <w:p w14:paraId="0296BAF2" w14:textId="29D04F11" w:rsidR="00BB1CEA" w:rsidRPr="00F81169" w:rsidRDefault="00BB1CEA" w:rsidP="0094253C">
      <w:pPr>
        <w:autoSpaceDE w:val="0"/>
        <w:autoSpaceDN w:val="0"/>
        <w:adjustRightInd w:val="0"/>
        <w:spacing w:line="360" w:lineRule="auto"/>
        <w:jc w:val="both"/>
        <w:rPr>
          <w:rFonts w:ascii="Times New Roman" w:hAnsi="Times New Roman"/>
          <w:i/>
          <w:sz w:val="24"/>
          <w:szCs w:val="24"/>
        </w:rPr>
      </w:pPr>
      <w:r w:rsidRPr="00F81169">
        <w:rPr>
          <w:rFonts w:ascii="Times New Roman" w:eastAsia="MyriadPro-BoldSemiCn" w:hAnsi="Times New Roman"/>
          <w:i/>
          <w:sz w:val="24"/>
          <w:szCs w:val="24"/>
        </w:rPr>
        <w:t xml:space="preserve">Isolation and screening of </w:t>
      </w:r>
      <w:r w:rsidRPr="00F81169">
        <w:rPr>
          <w:rFonts w:ascii="Times New Roman" w:hAnsi="Times New Roman"/>
          <w:i/>
          <w:sz w:val="24"/>
          <w:szCs w:val="24"/>
          <w:lang w:eastAsia="en-IN"/>
        </w:rPr>
        <w:t xml:space="preserve">total </w:t>
      </w:r>
      <w:r w:rsidRPr="00F81169">
        <w:rPr>
          <w:rFonts w:ascii="Times New Roman" w:hAnsi="Times New Roman"/>
          <w:i/>
          <w:sz w:val="24"/>
          <w:szCs w:val="24"/>
        </w:rPr>
        <w:t>culturable</w:t>
      </w:r>
      <w:r w:rsidRPr="00F81169">
        <w:rPr>
          <w:rFonts w:ascii="Times New Roman" w:hAnsi="Times New Roman"/>
          <w:i/>
          <w:sz w:val="24"/>
          <w:szCs w:val="24"/>
          <w:lang w:eastAsia="en-IN"/>
        </w:rPr>
        <w:t xml:space="preserve"> bacteria (TCB)</w:t>
      </w:r>
      <w:r w:rsidRPr="00F81169">
        <w:rPr>
          <w:rFonts w:ascii="Times New Roman" w:eastAsia="MyriadPro-BoldSemiCn" w:hAnsi="Times New Roman"/>
          <w:i/>
          <w:sz w:val="24"/>
          <w:szCs w:val="24"/>
        </w:rPr>
        <w:t xml:space="preserve"> and </w:t>
      </w:r>
      <w:r w:rsidR="00BF45C3" w:rsidRPr="00F81169">
        <w:rPr>
          <w:rFonts w:ascii="Times New Roman" w:eastAsia="MyriadPro-BoldSemiCn" w:hAnsi="Times New Roman"/>
          <w:i/>
          <w:sz w:val="24"/>
          <w:szCs w:val="24"/>
        </w:rPr>
        <w:t>C</w:t>
      </w:r>
      <w:r w:rsidRPr="00F81169">
        <w:rPr>
          <w:rFonts w:ascii="Times New Roman" w:eastAsia="MyriadPro-BoldSemiCn" w:hAnsi="Times New Roman"/>
          <w:i/>
          <w:sz w:val="24"/>
          <w:szCs w:val="24"/>
        </w:rPr>
        <w:t>MRB</w:t>
      </w:r>
    </w:p>
    <w:p w14:paraId="39324E17" w14:textId="27564074" w:rsidR="00BB1CEA" w:rsidRPr="00F81169" w:rsidRDefault="00BB1CEA" w:rsidP="00BB1CEA">
      <w:pPr>
        <w:autoSpaceDE w:val="0"/>
        <w:autoSpaceDN w:val="0"/>
        <w:adjustRightInd w:val="0"/>
        <w:spacing w:after="0" w:line="360" w:lineRule="auto"/>
        <w:ind w:firstLine="284"/>
        <w:jc w:val="both"/>
        <w:rPr>
          <w:rFonts w:ascii="Times New Roman" w:hAnsi="Times New Roman"/>
          <w:sz w:val="24"/>
          <w:szCs w:val="24"/>
        </w:rPr>
      </w:pPr>
      <w:r w:rsidRPr="00F81169">
        <w:rPr>
          <w:rFonts w:ascii="Times New Roman" w:hAnsi="Times New Roman"/>
          <w:sz w:val="24"/>
          <w:szCs w:val="24"/>
        </w:rPr>
        <w:t>All the glasswares were thoroughly rinsed in 4N HNO</w:t>
      </w:r>
      <w:r w:rsidRPr="00F81169">
        <w:rPr>
          <w:rFonts w:ascii="Times New Roman" w:hAnsi="Times New Roman"/>
          <w:sz w:val="24"/>
          <w:szCs w:val="24"/>
          <w:vertAlign w:val="subscript"/>
        </w:rPr>
        <w:t>3</w:t>
      </w:r>
      <w:r w:rsidRPr="00F81169">
        <w:rPr>
          <w:rFonts w:ascii="Times New Roman" w:hAnsi="Times New Roman"/>
          <w:sz w:val="24"/>
          <w:szCs w:val="24"/>
        </w:rPr>
        <w:t>, followed by numerous rinses with distilled water prior to use. The stock solution (1 g/L) of mercuric chloride (HgCl</w:t>
      </w:r>
      <w:r w:rsidRPr="00F81169">
        <w:rPr>
          <w:rFonts w:ascii="Times New Roman" w:hAnsi="Times New Roman"/>
          <w:sz w:val="24"/>
          <w:szCs w:val="24"/>
          <w:vertAlign w:val="subscript"/>
        </w:rPr>
        <w:t>2</w:t>
      </w:r>
      <w:r w:rsidRPr="00F81169">
        <w:rPr>
          <w:rFonts w:ascii="Times New Roman" w:hAnsi="Times New Roman"/>
          <w:sz w:val="24"/>
          <w:szCs w:val="24"/>
        </w:rPr>
        <w:t xml:space="preserve">, Merck) was prepared with ultrapure water (UPW, Elix UV5 and Milli-Q, Millipore, USA). The stability of the Hg stock solution was ensured by </w:t>
      </w:r>
      <w:r w:rsidRPr="00F81169">
        <w:rPr>
          <w:rFonts w:ascii="Times New Roman" w:hAnsi="Times New Roman"/>
          <w:sz w:val="24"/>
          <w:szCs w:val="24"/>
          <w:shd w:val="clear" w:color="auto" w:fill="FFFFFF"/>
        </w:rPr>
        <w:t>reducing the pH level below 2.0 using Suprapur elemental grade nitric acid (Merck, India)</w:t>
      </w:r>
      <w:r w:rsidRPr="00F81169">
        <w:rPr>
          <w:rFonts w:ascii="Times New Roman" w:hAnsi="Times New Roman"/>
          <w:sz w:val="24"/>
          <w:szCs w:val="24"/>
        </w:rPr>
        <w:t xml:space="preserve">. The media and Hg supplement were sterilized separately (media - autoclaving at 121 °C for 15 min and Hg solution - filtered through a </w:t>
      </w:r>
      <w:r w:rsidRPr="00F81169">
        <w:rPr>
          <w:rFonts w:ascii="Times New Roman" w:eastAsia="MyriadPro-BoldSemiCn" w:hAnsi="Times New Roman"/>
          <w:sz w:val="24"/>
          <w:szCs w:val="24"/>
        </w:rPr>
        <w:t xml:space="preserve">0.2 </w:t>
      </w:r>
      <w:r w:rsidRPr="00F81169">
        <w:rPr>
          <w:rFonts w:ascii="Times New Roman" w:hAnsi="Times New Roman"/>
          <w:sz w:val="24"/>
          <w:szCs w:val="24"/>
          <w:shd w:val="clear" w:color="auto" w:fill="FFFFFF"/>
        </w:rPr>
        <w:t xml:space="preserve">μm pore size </w:t>
      </w:r>
      <w:r w:rsidRPr="00F81169">
        <w:rPr>
          <w:rFonts w:ascii="Times New Roman" w:hAnsi="Times New Roman"/>
          <w:sz w:val="24"/>
          <w:szCs w:val="24"/>
        </w:rPr>
        <w:t>syringe filter (</w:t>
      </w:r>
      <w:r w:rsidRPr="00F81169">
        <w:rPr>
          <w:rFonts w:ascii="Times New Roman" w:eastAsia="CharisSIL" w:hAnsi="Times New Roman"/>
          <w:sz w:val="24"/>
          <w:szCs w:val="24"/>
          <w:lang w:eastAsia="en-IN" w:bidi="hi-IN"/>
        </w:rPr>
        <w:t>Whatman, USA</w:t>
      </w:r>
      <w:r w:rsidRPr="00F81169">
        <w:rPr>
          <w:rFonts w:ascii="Times New Roman" w:hAnsi="Times New Roman"/>
          <w:sz w:val="24"/>
          <w:szCs w:val="24"/>
        </w:rPr>
        <w:t xml:space="preserve">). </w:t>
      </w:r>
    </w:p>
    <w:p w14:paraId="19A7E67A" w14:textId="1D445DA2" w:rsidR="00BB1CEA" w:rsidRPr="00F81169" w:rsidRDefault="00BB1CEA" w:rsidP="0094253C">
      <w:pPr>
        <w:autoSpaceDE w:val="0"/>
        <w:autoSpaceDN w:val="0"/>
        <w:adjustRightInd w:val="0"/>
        <w:spacing w:after="0" w:line="360" w:lineRule="auto"/>
        <w:ind w:firstLine="284"/>
        <w:jc w:val="both"/>
        <w:rPr>
          <w:rFonts w:ascii="Times New Roman" w:hAnsi="Times New Roman"/>
          <w:sz w:val="24"/>
          <w:szCs w:val="24"/>
        </w:rPr>
      </w:pPr>
      <w:r w:rsidRPr="00F81169">
        <w:rPr>
          <w:rFonts w:ascii="Times New Roman" w:hAnsi="Times New Roman"/>
          <w:sz w:val="24"/>
          <w:szCs w:val="24"/>
          <w:lang w:eastAsia="en-IN"/>
        </w:rPr>
        <w:t xml:space="preserve">To isolate total </w:t>
      </w:r>
      <w:r w:rsidRPr="00F81169">
        <w:rPr>
          <w:rFonts w:ascii="Times New Roman" w:hAnsi="Times New Roman"/>
          <w:sz w:val="24"/>
          <w:szCs w:val="24"/>
        </w:rPr>
        <w:t>culturable</w:t>
      </w:r>
      <w:r w:rsidRPr="00F81169">
        <w:rPr>
          <w:rFonts w:ascii="Times New Roman" w:hAnsi="Times New Roman"/>
          <w:sz w:val="24"/>
          <w:szCs w:val="24"/>
          <w:lang w:eastAsia="en-IN"/>
        </w:rPr>
        <w:t xml:space="preserve"> bacteria (TCB), serial dilution (undiluted, 10</w:t>
      </w:r>
      <w:r w:rsidRPr="00F81169">
        <w:rPr>
          <w:rFonts w:ascii="Times New Roman" w:eastAsia="MTSY" w:hAnsi="Times New Roman"/>
          <w:sz w:val="24"/>
          <w:szCs w:val="24"/>
          <w:vertAlign w:val="superscript"/>
          <w:lang w:eastAsia="en-IN"/>
        </w:rPr>
        <w:t>-</w:t>
      </w:r>
      <w:r w:rsidRPr="00F81169">
        <w:rPr>
          <w:rFonts w:ascii="Times New Roman" w:hAnsi="Times New Roman"/>
          <w:sz w:val="24"/>
          <w:szCs w:val="24"/>
          <w:vertAlign w:val="superscript"/>
          <w:lang w:eastAsia="en-IN"/>
        </w:rPr>
        <w:t>2</w:t>
      </w:r>
      <w:r w:rsidRPr="00F81169">
        <w:rPr>
          <w:rFonts w:ascii="Times New Roman" w:hAnsi="Times New Roman"/>
          <w:sz w:val="24"/>
          <w:szCs w:val="24"/>
          <w:lang w:eastAsia="en-IN"/>
        </w:rPr>
        <w:t>, 10</w:t>
      </w:r>
      <w:r w:rsidRPr="00F81169">
        <w:rPr>
          <w:rFonts w:ascii="Times New Roman" w:hAnsi="Times New Roman"/>
          <w:sz w:val="24"/>
          <w:szCs w:val="24"/>
          <w:vertAlign w:val="superscript"/>
          <w:lang w:eastAsia="en-IN"/>
        </w:rPr>
        <w:t xml:space="preserve">-4, </w:t>
      </w:r>
      <w:r w:rsidRPr="00F81169">
        <w:rPr>
          <w:rFonts w:ascii="Times New Roman" w:hAnsi="Times New Roman"/>
          <w:sz w:val="24"/>
          <w:szCs w:val="24"/>
          <w:lang w:eastAsia="en-IN"/>
        </w:rPr>
        <w:t>and 10</w:t>
      </w:r>
      <w:r w:rsidRPr="00F81169">
        <w:rPr>
          <w:rFonts w:ascii="Times New Roman" w:eastAsia="MTSY" w:hAnsi="Times New Roman"/>
          <w:sz w:val="24"/>
          <w:szCs w:val="24"/>
          <w:vertAlign w:val="superscript"/>
          <w:lang w:eastAsia="en-IN"/>
        </w:rPr>
        <w:t>-</w:t>
      </w:r>
      <w:r w:rsidRPr="00F81169">
        <w:rPr>
          <w:rFonts w:ascii="Times New Roman" w:hAnsi="Times New Roman"/>
          <w:sz w:val="24"/>
          <w:szCs w:val="24"/>
          <w:vertAlign w:val="superscript"/>
          <w:lang w:eastAsia="en-IN"/>
        </w:rPr>
        <w:t>6</w:t>
      </w:r>
      <w:r w:rsidRPr="00F81169">
        <w:rPr>
          <w:rFonts w:ascii="Times New Roman" w:hAnsi="Times New Roman"/>
          <w:sz w:val="24"/>
          <w:szCs w:val="24"/>
          <w:lang w:eastAsia="en-IN"/>
        </w:rPr>
        <w:t>) of seawater samples were taken. The aliquot of 100 µ</w:t>
      </w:r>
      <w:r w:rsidR="00F2043C" w:rsidRPr="00F81169">
        <w:rPr>
          <w:rFonts w:ascii="Times New Roman" w:hAnsi="Times New Roman"/>
          <w:sz w:val="24"/>
          <w:szCs w:val="24"/>
          <w:lang w:eastAsia="en-IN"/>
        </w:rPr>
        <w:t>L</w:t>
      </w:r>
      <w:r w:rsidRPr="00F81169">
        <w:rPr>
          <w:rFonts w:ascii="Times New Roman" w:hAnsi="Times New Roman"/>
          <w:sz w:val="24"/>
          <w:szCs w:val="24"/>
          <w:lang w:eastAsia="en-IN"/>
        </w:rPr>
        <w:t xml:space="preserve"> of samples was spread in triplicates onto nutrient-rich medium, i.e. Zobell Marine Agar medium </w:t>
      </w:r>
      <w:r w:rsidRPr="00F81169">
        <w:rPr>
          <w:rFonts w:ascii="Times New Roman" w:eastAsia="MyriadPro-BoldSemiCn" w:hAnsi="Times New Roman"/>
          <w:sz w:val="24"/>
          <w:szCs w:val="24"/>
        </w:rPr>
        <w:t xml:space="preserve">(ZMA, Himedia, Mumbai) </w:t>
      </w:r>
      <w:r w:rsidRPr="00F81169">
        <w:rPr>
          <w:rFonts w:ascii="Times New Roman" w:hAnsi="Times New Roman"/>
          <w:sz w:val="24"/>
          <w:szCs w:val="24"/>
          <w:lang w:eastAsia="en-IN"/>
        </w:rPr>
        <w:t xml:space="preserve">plates and incubated at room temperature (RT) </w:t>
      </w:r>
      <w:r w:rsidRPr="00F81169">
        <w:rPr>
          <w:rFonts w:ascii="Times New Roman" w:eastAsia="MyriadPro-BoldSemiCn" w:hAnsi="Times New Roman"/>
          <w:sz w:val="24"/>
          <w:szCs w:val="24"/>
        </w:rPr>
        <w:t xml:space="preserve">for 5 ̶ 7 days under aerobic conditions; </w:t>
      </w:r>
      <w:r w:rsidRPr="00F81169">
        <w:rPr>
          <w:rFonts w:ascii="Times New Roman" w:hAnsi="Times New Roman"/>
          <w:sz w:val="24"/>
          <w:szCs w:val="24"/>
          <w:lang w:eastAsia="en-IN"/>
        </w:rPr>
        <w:t xml:space="preserve">so that TCB </w:t>
      </w:r>
      <w:r w:rsidRPr="00F81169">
        <w:rPr>
          <w:rFonts w:ascii="Times New Roman" w:hAnsi="Times New Roman"/>
          <w:sz w:val="24"/>
          <w:szCs w:val="24"/>
        </w:rPr>
        <w:t xml:space="preserve">could grow easily. </w:t>
      </w:r>
      <w:r w:rsidRPr="00F81169">
        <w:rPr>
          <w:rFonts w:ascii="Times New Roman" w:eastAsia="MyriadPro-BoldSemiCn" w:hAnsi="Times New Roman"/>
          <w:sz w:val="24"/>
          <w:szCs w:val="24"/>
        </w:rPr>
        <w:t xml:space="preserve">To isolate and enumerate </w:t>
      </w:r>
      <w:r w:rsidRPr="00F81169">
        <w:rPr>
          <w:rFonts w:ascii="Times New Roman" w:hAnsi="Times New Roman"/>
          <w:sz w:val="24"/>
          <w:szCs w:val="24"/>
        </w:rPr>
        <w:t>culturable</w:t>
      </w:r>
      <w:r w:rsidRPr="00F81169">
        <w:rPr>
          <w:rFonts w:ascii="Times New Roman" w:hAnsi="Times New Roman"/>
          <w:sz w:val="24"/>
          <w:szCs w:val="24"/>
          <w:lang w:eastAsia="en-IN"/>
        </w:rPr>
        <w:t xml:space="preserve"> </w:t>
      </w:r>
      <w:r w:rsidRPr="00F81169">
        <w:rPr>
          <w:rFonts w:ascii="Times New Roman" w:eastAsia="MyriadPro-BoldSemiCn" w:hAnsi="Times New Roman"/>
          <w:iCs/>
          <w:sz w:val="24"/>
          <w:szCs w:val="24"/>
        </w:rPr>
        <w:t xml:space="preserve">mercury-resistant </w:t>
      </w:r>
      <w:r w:rsidRPr="00F81169">
        <w:rPr>
          <w:rFonts w:ascii="Times New Roman" w:eastAsia="MyriadPro-BoldSemiCn" w:hAnsi="Times New Roman"/>
          <w:sz w:val="24"/>
          <w:szCs w:val="24"/>
        </w:rPr>
        <w:t xml:space="preserve">bacteria (CMRB), the ZMA media </w:t>
      </w:r>
      <w:r w:rsidRPr="00F81169">
        <w:rPr>
          <w:rFonts w:ascii="Times New Roman" w:hAnsi="Times New Roman"/>
          <w:sz w:val="24"/>
          <w:szCs w:val="24"/>
        </w:rPr>
        <w:t>supplemented with 10 mg/L of Hg as HgCl</w:t>
      </w:r>
      <w:r w:rsidRPr="00F81169">
        <w:rPr>
          <w:rFonts w:ascii="Times New Roman" w:hAnsi="Times New Roman"/>
          <w:sz w:val="24"/>
          <w:szCs w:val="24"/>
          <w:vertAlign w:val="subscript"/>
        </w:rPr>
        <w:t xml:space="preserve">2 </w:t>
      </w:r>
      <w:r w:rsidRPr="00F81169">
        <w:rPr>
          <w:rFonts w:ascii="Times New Roman" w:hAnsi="Times New Roman"/>
          <w:sz w:val="24"/>
          <w:szCs w:val="24"/>
        </w:rPr>
        <w:t>was used as an enriched media. TCB and CMRB were counted using the standard formula (CFU/m</w:t>
      </w:r>
      <w:r w:rsidR="00F2043C" w:rsidRPr="00F81169">
        <w:rPr>
          <w:rFonts w:ascii="Times New Roman" w:hAnsi="Times New Roman"/>
          <w:sz w:val="24"/>
          <w:szCs w:val="24"/>
        </w:rPr>
        <w:t>L</w:t>
      </w:r>
      <w:r w:rsidRPr="00F81169">
        <w:rPr>
          <w:rFonts w:ascii="Times New Roman" w:hAnsi="Times New Roman"/>
          <w:sz w:val="24"/>
          <w:szCs w:val="24"/>
        </w:rPr>
        <w:t xml:space="preserve">). </w:t>
      </w:r>
    </w:p>
    <w:p w14:paraId="5941914A" w14:textId="77777777" w:rsidR="00BB1CEA" w:rsidRPr="00F81169" w:rsidRDefault="00BB1CEA" w:rsidP="004946D2">
      <w:pPr>
        <w:autoSpaceDE w:val="0"/>
        <w:autoSpaceDN w:val="0"/>
        <w:adjustRightInd w:val="0"/>
        <w:spacing w:line="360" w:lineRule="auto"/>
        <w:ind w:firstLine="284"/>
        <w:jc w:val="both"/>
        <w:rPr>
          <w:rFonts w:ascii="Times New Roman" w:hAnsi="Times New Roman"/>
          <w:sz w:val="24"/>
          <w:szCs w:val="24"/>
        </w:rPr>
      </w:pPr>
      <w:r w:rsidRPr="00F81169">
        <w:rPr>
          <w:rFonts w:ascii="Times New Roman" w:hAnsi="Times New Roman"/>
          <w:sz w:val="24"/>
          <w:szCs w:val="24"/>
        </w:rPr>
        <w:t xml:space="preserve">Based on the morphological difference, </w:t>
      </w:r>
      <w:r w:rsidRPr="00F81169">
        <w:rPr>
          <w:rFonts w:ascii="Times New Roman" w:eastAsia="MyriadPro-BoldSemiCn" w:hAnsi="Times New Roman"/>
          <w:sz w:val="24"/>
          <w:szCs w:val="24"/>
        </w:rPr>
        <w:t xml:space="preserve">various colonies were picked </w:t>
      </w:r>
      <w:r w:rsidRPr="00F81169">
        <w:rPr>
          <w:rFonts w:ascii="Times New Roman" w:hAnsi="Times New Roman"/>
          <w:sz w:val="24"/>
          <w:szCs w:val="24"/>
        </w:rPr>
        <w:t>from Hg supplemented petri plates and further purified by re-streaking on HgCl</w:t>
      </w:r>
      <w:r w:rsidRPr="00F81169">
        <w:rPr>
          <w:rFonts w:ascii="Times New Roman" w:hAnsi="Times New Roman"/>
          <w:sz w:val="24"/>
          <w:szCs w:val="24"/>
          <w:vertAlign w:val="subscript"/>
        </w:rPr>
        <w:t>2</w:t>
      </w:r>
      <w:r w:rsidRPr="00F81169">
        <w:rPr>
          <w:rFonts w:ascii="Times New Roman" w:hAnsi="Times New Roman"/>
          <w:sz w:val="24"/>
          <w:szCs w:val="24"/>
        </w:rPr>
        <w:t xml:space="preserve"> supplemented ZMA medium plates. After </w:t>
      </w:r>
      <w:r w:rsidRPr="00F81169">
        <w:rPr>
          <w:rFonts w:ascii="Times New Roman" w:hAnsi="Times New Roman"/>
          <w:sz w:val="24"/>
          <w:szCs w:val="24"/>
        </w:rPr>
        <w:lastRenderedPageBreak/>
        <w:t xml:space="preserve">purification, the glycerol stocking was done for selected </w:t>
      </w:r>
      <w:r w:rsidRPr="00F81169">
        <w:rPr>
          <w:rFonts w:ascii="Times New Roman" w:eastAsia="MyriadPro-BoldSemiCn" w:hAnsi="Times New Roman"/>
          <w:sz w:val="24"/>
          <w:szCs w:val="24"/>
        </w:rPr>
        <w:t xml:space="preserve">MRB </w:t>
      </w:r>
      <w:r w:rsidRPr="00F81169">
        <w:rPr>
          <w:rFonts w:ascii="Times New Roman" w:hAnsi="Times New Roman"/>
          <w:sz w:val="24"/>
          <w:szCs w:val="24"/>
        </w:rPr>
        <w:t>isolates and kept at -80 °C. Selected MRBs were further analyzed for their survival in the higher concentration of Hg and their potential to detoxify the Hg.</w:t>
      </w:r>
    </w:p>
    <w:p w14:paraId="00B341AC" w14:textId="11623293" w:rsidR="005B2506" w:rsidRPr="00F81169" w:rsidRDefault="005B2506" w:rsidP="005B2506">
      <w:pPr>
        <w:spacing w:line="360" w:lineRule="auto"/>
        <w:jc w:val="both"/>
        <w:rPr>
          <w:rFonts w:ascii="Times New Roman" w:hAnsi="Times New Roman"/>
          <w:sz w:val="24"/>
          <w:szCs w:val="24"/>
        </w:rPr>
      </w:pPr>
      <w:bookmarkStart w:id="1" w:name="_Hlk93316688"/>
      <w:r w:rsidRPr="00F81169">
        <w:rPr>
          <w:rFonts w:ascii="Times New Roman" w:hAnsi="Times New Roman"/>
          <w:i/>
          <w:sz w:val="24"/>
          <w:szCs w:val="24"/>
        </w:rPr>
        <w:t>Hg</w:t>
      </w:r>
      <w:r w:rsidRPr="00F81169">
        <w:rPr>
          <w:rFonts w:ascii="Times New Roman" w:hAnsi="Times New Roman"/>
          <w:i/>
          <w:sz w:val="24"/>
          <w:szCs w:val="24"/>
          <w:vertAlign w:val="superscript"/>
        </w:rPr>
        <w:t xml:space="preserve">2+ </w:t>
      </w:r>
      <w:r w:rsidRPr="00F81169">
        <w:rPr>
          <w:rFonts w:ascii="Times New Roman" w:hAnsi="Times New Roman"/>
          <w:i/>
          <w:sz w:val="24"/>
          <w:szCs w:val="24"/>
        </w:rPr>
        <w:t>tolerance by bacterial isolates</w:t>
      </w:r>
    </w:p>
    <w:p w14:paraId="1F77116A" w14:textId="49965F42" w:rsidR="005B2506" w:rsidRPr="00F81169" w:rsidRDefault="005B2506" w:rsidP="005B2506">
      <w:pPr>
        <w:spacing w:line="360" w:lineRule="auto"/>
        <w:ind w:firstLine="284"/>
        <w:jc w:val="both"/>
        <w:rPr>
          <w:rFonts w:ascii="Times New Roman" w:hAnsi="Times New Roman"/>
          <w:sz w:val="24"/>
          <w:szCs w:val="24"/>
        </w:rPr>
      </w:pPr>
      <w:r w:rsidRPr="00F81169">
        <w:rPr>
          <w:rFonts w:ascii="Times New Roman" w:hAnsi="Times New Roman"/>
          <w:sz w:val="24"/>
          <w:szCs w:val="24"/>
        </w:rPr>
        <w:t xml:space="preserve">In brief, overnight-grown CMRB cultures (1% of bacterial inoculum) were used for bioassay and inoculated into </w:t>
      </w:r>
      <w:bookmarkStart w:id="2" w:name="_Hlk93137723"/>
      <w:r w:rsidRPr="00F81169">
        <w:rPr>
          <w:rFonts w:ascii="Times New Roman" w:hAnsi="Times New Roman"/>
          <w:sz w:val="24"/>
          <w:szCs w:val="24"/>
          <w:lang w:eastAsia="en-IN"/>
        </w:rPr>
        <w:t>Zobell Marine Broth medium (</w:t>
      </w:r>
      <w:r w:rsidRPr="00F81169">
        <w:rPr>
          <w:rFonts w:ascii="Times New Roman" w:hAnsi="Times New Roman"/>
          <w:sz w:val="24"/>
          <w:szCs w:val="24"/>
        </w:rPr>
        <w:t xml:space="preserve">ZMB, Himedia, Mumbai) </w:t>
      </w:r>
      <w:bookmarkEnd w:id="2"/>
      <w:r w:rsidRPr="00F81169">
        <w:rPr>
          <w:rFonts w:ascii="Times New Roman" w:hAnsi="Times New Roman"/>
          <w:sz w:val="24"/>
          <w:szCs w:val="24"/>
        </w:rPr>
        <w:t>supplemented with different Hg concentrations i.e. 25, 50, 75, and 100 mg/L of HgCl</w:t>
      </w:r>
      <w:r w:rsidRPr="00F81169">
        <w:rPr>
          <w:rFonts w:ascii="Times New Roman" w:hAnsi="Times New Roman"/>
          <w:sz w:val="24"/>
          <w:szCs w:val="24"/>
          <w:vertAlign w:val="subscript"/>
        </w:rPr>
        <w:t>2</w:t>
      </w:r>
      <w:r w:rsidRPr="00F81169">
        <w:rPr>
          <w:rFonts w:ascii="Times New Roman" w:hAnsi="Times New Roman"/>
          <w:sz w:val="24"/>
          <w:szCs w:val="24"/>
        </w:rPr>
        <w:t>. The glass tubes were incubated at 30 °C and 150 rpm for 48 h. In this assay, the cultures that showed growth equivalent to the positive control (with no significant difference) in the presence of 50 mg/L of Hg were selected for further study. Based on the growth behavior of cultures in the presence of more than 50 mg/L of HgCl</w:t>
      </w:r>
      <w:r w:rsidRPr="00F81169">
        <w:rPr>
          <w:rFonts w:ascii="Times New Roman" w:hAnsi="Times New Roman"/>
          <w:sz w:val="24"/>
          <w:szCs w:val="24"/>
          <w:vertAlign w:val="subscript"/>
        </w:rPr>
        <w:t>2</w:t>
      </w:r>
      <w:r w:rsidRPr="00F81169">
        <w:rPr>
          <w:rFonts w:ascii="Times New Roman" w:hAnsi="Times New Roman"/>
          <w:sz w:val="24"/>
          <w:szCs w:val="24"/>
        </w:rPr>
        <w:t xml:space="preserve">, the selected isolates were classified into two different categories i.e. MRB and moderate MRB (MMRB). The culture showed more than 50% growth to the positive control for each strain in the presence of 100 mg/L </w:t>
      </w:r>
      <w:r w:rsidR="008D531F" w:rsidRPr="00F81169">
        <w:rPr>
          <w:rFonts w:ascii="Times New Roman" w:hAnsi="Times New Roman"/>
          <w:sz w:val="24"/>
          <w:szCs w:val="24"/>
        </w:rPr>
        <w:t xml:space="preserve">were </w:t>
      </w:r>
      <w:r w:rsidRPr="00F81169">
        <w:rPr>
          <w:rFonts w:ascii="Times New Roman" w:hAnsi="Times New Roman"/>
          <w:sz w:val="24"/>
          <w:szCs w:val="24"/>
        </w:rPr>
        <w:t>considered as MRB, while cultures that showed growth less than 50% were considered as MMRB.</w:t>
      </w:r>
    </w:p>
    <w:p w14:paraId="67B512CE" w14:textId="77777777" w:rsidR="00B674EA" w:rsidRPr="00F81169" w:rsidRDefault="00B674EA" w:rsidP="00B674EA">
      <w:pPr>
        <w:autoSpaceDE w:val="0"/>
        <w:autoSpaceDN w:val="0"/>
        <w:adjustRightInd w:val="0"/>
        <w:spacing w:line="360" w:lineRule="auto"/>
        <w:rPr>
          <w:rFonts w:ascii="Times New Roman" w:hAnsi="Times New Roman"/>
          <w:i/>
          <w:sz w:val="24"/>
          <w:szCs w:val="24"/>
        </w:rPr>
      </w:pPr>
      <w:r w:rsidRPr="00F81169">
        <w:rPr>
          <w:rFonts w:ascii="Times New Roman" w:hAnsi="Times New Roman"/>
          <w:i/>
          <w:sz w:val="24"/>
          <w:szCs w:val="24"/>
        </w:rPr>
        <w:t xml:space="preserve">Antibiotic susceptibility assessment    </w:t>
      </w:r>
    </w:p>
    <w:p w14:paraId="289F4E11" w14:textId="165B8D0D" w:rsidR="00B674EA" w:rsidRPr="00F81169" w:rsidRDefault="00B674EA" w:rsidP="00B674EA">
      <w:pPr>
        <w:spacing w:line="360" w:lineRule="auto"/>
        <w:ind w:firstLine="284"/>
        <w:jc w:val="both"/>
        <w:rPr>
          <w:rFonts w:ascii="Times New Roman" w:hAnsi="Times New Roman"/>
          <w:sz w:val="24"/>
          <w:szCs w:val="24"/>
          <w:lang w:val="en-US"/>
        </w:rPr>
      </w:pPr>
      <w:r w:rsidRPr="00F81169">
        <w:rPr>
          <w:rFonts w:ascii="Times New Roman" w:hAnsi="Times New Roman"/>
          <w:sz w:val="24"/>
          <w:szCs w:val="24"/>
        </w:rPr>
        <w:t xml:space="preserve">The susceptibility/resistance of the MRB </w:t>
      </w:r>
      <w:r w:rsidR="00AA072F" w:rsidRPr="00F81169">
        <w:rPr>
          <w:rFonts w:ascii="Times New Roman" w:hAnsi="Times New Roman"/>
          <w:sz w:val="24"/>
          <w:szCs w:val="24"/>
        </w:rPr>
        <w:t>towards</w:t>
      </w:r>
      <w:r w:rsidRPr="00F81169">
        <w:rPr>
          <w:rFonts w:ascii="Times New Roman" w:hAnsi="Times New Roman"/>
          <w:sz w:val="24"/>
          <w:szCs w:val="24"/>
        </w:rPr>
        <w:t xml:space="preserve"> fifteen antibiotics viz. amoxyclav (AMC, 30 μg), ampicillin (AMP, 10 μg), azithromycin (AZM, 15 μg), cefotaxime (CTX, 30 μg), chloramphenicol (CP, 30 μg), ciprofloxacin (CFX, 5 μg), erythromycin (EM, 15 μg), gatifloxacin (GFX, 5 μg), gentamicin (GM, 10 μg), kanamycin (KM, 30 μg), methicillin (MC, 5μg ), norfloxacin (NFX, 10 μg), streptomycin (SM, 10 μg), tetracycline (TC, 30 μg), and vancomycin (VM, 30 μg) was determined by the disk diffusion method </w:t>
      </w:r>
      <w:r w:rsidRPr="00F81169">
        <w:rPr>
          <w:rFonts w:ascii="Times New Roman" w:hAnsi="Times New Roman"/>
          <w:color w:val="4472C4" w:themeColor="accent1"/>
          <w:sz w:val="24"/>
          <w:szCs w:val="24"/>
        </w:rPr>
        <w:t>(CLSI 2013)</w:t>
      </w:r>
      <w:r w:rsidRPr="00F81169">
        <w:rPr>
          <w:rFonts w:ascii="Times New Roman" w:hAnsi="Times New Roman"/>
          <w:sz w:val="24"/>
          <w:szCs w:val="24"/>
        </w:rPr>
        <w:t xml:space="preserve"> on Mueller-Hinton Agar medium (MHA, Himedia, Mumbai). The presence of a clear zone around the disc after overnight incubation indicated sensitivity towards particular antibiotics. Subsequently, the diameters of inhibition zones were measured, whereas bacterial growth was observed around the disk in the case of resistance. </w:t>
      </w:r>
    </w:p>
    <w:bookmarkEnd w:id="1"/>
    <w:p w14:paraId="4A998FA8" w14:textId="4A4D687E" w:rsidR="005B2506" w:rsidRPr="00F81169" w:rsidRDefault="005B2506" w:rsidP="005B2506">
      <w:pPr>
        <w:spacing w:line="360" w:lineRule="auto"/>
        <w:jc w:val="both"/>
        <w:rPr>
          <w:rFonts w:ascii="Times New Roman" w:hAnsi="Times New Roman"/>
          <w:sz w:val="24"/>
          <w:szCs w:val="24"/>
        </w:rPr>
      </w:pPr>
      <w:r w:rsidRPr="00F81169">
        <w:rPr>
          <w:rFonts w:ascii="Times New Roman" w:hAnsi="Times New Roman"/>
          <w:i/>
          <w:sz w:val="24"/>
          <w:szCs w:val="24"/>
        </w:rPr>
        <w:t xml:space="preserve">DNA isolation and 16S rDNA </w:t>
      </w:r>
      <w:r w:rsidR="008D531F" w:rsidRPr="00F81169">
        <w:rPr>
          <w:rFonts w:ascii="Times New Roman" w:hAnsi="Times New Roman"/>
          <w:i/>
          <w:sz w:val="24"/>
          <w:szCs w:val="24"/>
        </w:rPr>
        <w:t xml:space="preserve">based </w:t>
      </w:r>
      <w:r w:rsidRPr="00F81169">
        <w:rPr>
          <w:rFonts w:ascii="Times New Roman" w:hAnsi="Times New Roman"/>
          <w:i/>
          <w:sz w:val="24"/>
          <w:szCs w:val="24"/>
        </w:rPr>
        <w:t>identification</w:t>
      </w:r>
      <w:r w:rsidRPr="00F81169">
        <w:rPr>
          <w:rFonts w:ascii="Times New Roman" w:hAnsi="Times New Roman"/>
          <w:sz w:val="24"/>
          <w:szCs w:val="24"/>
        </w:rPr>
        <w:t xml:space="preserve"> </w:t>
      </w:r>
    </w:p>
    <w:p w14:paraId="240F1AE6" w14:textId="02A6688F" w:rsidR="003B5F2C" w:rsidRPr="00F81169" w:rsidRDefault="005B2506" w:rsidP="00614698">
      <w:pPr>
        <w:autoSpaceDE w:val="0"/>
        <w:autoSpaceDN w:val="0"/>
        <w:adjustRightInd w:val="0"/>
        <w:spacing w:line="360" w:lineRule="auto"/>
        <w:ind w:firstLine="284"/>
        <w:jc w:val="both"/>
        <w:rPr>
          <w:rFonts w:ascii="Times New Roman" w:eastAsiaTheme="minorHAnsi" w:hAnsi="Times New Roman"/>
          <w:sz w:val="24"/>
          <w:szCs w:val="24"/>
          <w:lang w:bidi="hi-IN"/>
        </w:rPr>
      </w:pPr>
      <w:r w:rsidRPr="00F81169">
        <w:rPr>
          <w:rFonts w:ascii="Times New Roman" w:hAnsi="Times New Roman"/>
          <w:sz w:val="24"/>
          <w:szCs w:val="24"/>
        </w:rPr>
        <w:t xml:space="preserve">In brief, the freshly grown bacterial cells in the ZMB medium were used to isolate the genomic DNA using the bacterial genomic DNA extraction kit (Himedia, Mumbai). The polymerase chain reaction (PCR) amplification was executed with the universal 16S rDNA primers of 27F and 1495R. The amplified PCR products were analyzed using an agarose gel electrophoresis unit (1.5%) and examined under </w:t>
      </w:r>
      <w:r w:rsidR="00F900AE" w:rsidRPr="00F81169">
        <w:rPr>
          <w:rFonts w:ascii="Times New Roman" w:hAnsi="Times New Roman"/>
          <w:sz w:val="24"/>
          <w:szCs w:val="24"/>
        </w:rPr>
        <w:t xml:space="preserve">a </w:t>
      </w:r>
      <w:r w:rsidRPr="00F81169">
        <w:rPr>
          <w:rFonts w:ascii="Times New Roman" w:hAnsi="Times New Roman"/>
          <w:sz w:val="24"/>
          <w:szCs w:val="24"/>
        </w:rPr>
        <w:t xml:space="preserve">gel documentation system (BioRad). Further, PCR products were purified and quantified by DS-11 Spectrophotometer (DeNovix Inc.) followed by sequencing the 16S rDNA </w:t>
      </w:r>
      <w:r w:rsidRPr="00F81169">
        <w:rPr>
          <w:rFonts w:ascii="Times New Roman" w:hAnsi="Times New Roman"/>
          <w:sz w:val="24"/>
          <w:szCs w:val="24"/>
        </w:rPr>
        <w:lastRenderedPageBreak/>
        <w:t>region. Sequence similarity has been analyzed with the existing 16S rDNA sequences by applying the BLASTn at www.ncbi.nlm.nih.gov/nucleotide after obtaining the consensus sequences using BioEdit (7.0.5.3). To perform multiple sequence alignments of sequence, ClustalX (1.83) was used. MEGA X software was used to construct a phylogenetic tree using the neighbor-joining (NJ) DNA distance algorithm (</w:t>
      </w:r>
      <w:r w:rsidRPr="00F81169">
        <w:rPr>
          <w:rFonts w:ascii="Times New Roman" w:hAnsi="Times New Roman"/>
          <w:color w:val="4472C4" w:themeColor="accent1"/>
          <w:sz w:val="24"/>
          <w:szCs w:val="24"/>
        </w:rPr>
        <w:t>Kumar et al. 2018</w:t>
      </w:r>
      <w:r w:rsidRPr="00F81169">
        <w:rPr>
          <w:rFonts w:ascii="Times New Roman" w:hAnsi="Times New Roman"/>
          <w:sz w:val="24"/>
          <w:szCs w:val="24"/>
        </w:rPr>
        <w:t>).</w:t>
      </w:r>
      <w:r w:rsidR="003B5F2C" w:rsidRPr="00F81169">
        <w:rPr>
          <w:rFonts w:ascii="Times New Roman" w:hAnsi="Times New Roman"/>
          <w:sz w:val="24"/>
          <w:szCs w:val="24"/>
        </w:rPr>
        <w:t xml:space="preserve"> </w:t>
      </w:r>
      <w:r w:rsidR="003B5F2C" w:rsidRPr="00F81169">
        <w:rPr>
          <w:rFonts w:ascii="Times New Roman" w:eastAsiaTheme="minorHAnsi" w:hAnsi="Times New Roman"/>
          <w:sz w:val="24"/>
          <w:szCs w:val="24"/>
          <w:lang w:bidi="hi-IN"/>
        </w:rPr>
        <w:t>Based on 1,000 re-samplings of NJ data sets, the bootstrap analysis was performed to evaluate the resultant tree topologies (</w:t>
      </w:r>
      <w:r w:rsidR="003B5F2C" w:rsidRPr="00F81169">
        <w:rPr>
          <w:rFonts w:ascii="Times New Roman" w:eastAsiaTheme="minorHAnsi" w:hAnsi="Times New Roman"/>
          <w:color w:val="4472C4" w:themeColor="accent1"/>
          <w:sz w:val="24"/>
          <w:szCs w:val="24"/>
          <w:lang w:bidi="hi-IN"/>
        </w:rPr>
        <w:t>Felsenstein 1985</w:t>
      </w:r>
      <w:r w:rsidR="003B5F2C" w:rsidRPr="00F81169">
        <w:rPr>
          <w:rFonts w:ascii="Times New Roman" w:eastAsiaTheme="minorHAnsi" w:hAnsi="Times New Roman"/>
          <w:sz w:val="24"/>
          <w:szCs w:val="24"/>
          <w:lang w:bidi="hi-IN"/>
        </w:rPr>
        <w:t>).</w:t>
      </w:r>
    </w:p>
    <w:p w14:paraId="53771063" w14:textId="068895E7" w:rsidR="005B2506" w:rsidRPr="00F81169" w:rsidRDefault="005B2506" w:rsidP="005B2506">
      <w:pPr>
        <w:spacing w:line="360" w:lineRule="auto"/>
        <w:jc w:val="both"/>
        <w:rPr>
          <w:rFonts w:ascii="Times New Roman" w:hAnsi="Times New Roman"/>
          <w:i/>
          <w:iCs/>
          <w:sz w:val="24"/>
          <w:szCs w:val="24"/>
        </w:rPr>
      </w:pPr>
      <w:r w:rsidRPr="00F81169">
        <w:rPr>
          <w:rFonts w:ascii="Times New Roman" w:hAnsi="Times New Roman"/>
          <w:i/>
          <w:iCs/>
          <w:sz w:val="24"/>
          <w:szCs w:val="24"/>
        </w:rPr>
        <w:t>Mercury estimation</w:t>
      </w:r>
    </w:p>
    <w:p w14:paraId="7D7817CF" w14:textId="60DE0736" w:rsidR="005B2506" w:rsidRPr="00F81169" w:rsidRDefault="005B2506" w:rsidP="005B2506">
      <w:pPr>
        <w:spacing w:line="360" w:lineRule="auto"/>
        <w:ind w:firstLine="284"/>
        <w:jc w:val="both"/>
        <w:rPr>
          <w:rFonts w:ascii="Times New Roman" w:hAnsi="Times New Roman"/>
          <w:sz w:val="24"/>
          <w:szCs w:val="24"/>
        </w:rPr>
      </w:pPr>
      <w:r w:rsidRPr="00F81169">
        <w:rPr>
          <w:rFonts w:ascii="Times New Roman" w:hAnsi="Times New Roman"/>
          <w:sz w:val="24"/>
          <w:szCs w:val="24"/>
        </w:rPr>
        <w:t>The level of mercury in the supernatant was determined using analytical grade reagents and chemicals. All the containers and vessels were cleaned by soaking in 5% HNO</w:t>
      </w:r>
      <w:r w:rsidRPr="00F81169">
        <w:rPr>
          <w:rFonts w:ascii="Times New Roman" w:hAnsi="Times New Roman"/>
          <w:sz w:val="24"/>
          <w:szCs w:val="24"/>
          <w:vertAlign w:val="subscript"/>
        </w:rPr>
        <w:t>3</w:t>
      </w:r>
      <w:r w:rsidRPr="00F81169">
        <w:rPr>
          <w:rFonts w:ascii="Times New Roman" w:hAnsi="Times New Roman"/>
          <w:sz w:val="24"/>
          <w:szCs w:val="24"/>
        </w:rPr>
        <w:t xml:space="preserve"> for 24 h followed by rinsing with UPW and drying. In brief, 5 m</w:t>
      </w:r>
      <w:r w:rsidR="00F2043C" w:rsidRPr="00F81169">
        <w:rPr>
          <w:rFonts w:ascii="Times New Roman" w:hAnsi="Times New Roman"/>
          <w:sz w:val="24"/>
          <w:szCs w:val="24"/>
        </w:rPr>
        <w:t>L</w:t>
      </w:r>
      <w:r w:rsidRPr="00F81169">
        <w:rPr>
          <w:rFonts w:ascii="Times New Roman" w:hAnsi="Times New Roman"/>
          <w:sz w:val="24"/>
          <w:szCs w:val="24"/>
        </w:rPr>
        <w:t xml:space="preserve"> of bacterial supernatant was added to 5 m</w:t>
      </w:r>
      <w:r w:rsidR="00F2043C" w:rsidRPr="00F81169">
        <w:rPr>
          <w:rFonts w:ascii="Times New Roman" w:hAnsi="Times New Roman"/>
          <w:sz w:val="24"/>
          <w:szCs w:val="24"/>
        </w:rPr>
        <w:t>L</w:t>
      </w:r>
      <w:r w:rsidRPr="00F81169">
        <w:rPr>
          <w:rFonts w:ascii="Times New Roman" w:hAnsi="Times New Roman"/>
          <w:sz w:val="24"/>
          <w:szCs w:val="24"/>
        </w:rPr>
        <w:t xml:space="preserve"> of concentrated HNO</w:t>
      </w:r>
      <w:r w:rsidRPr="00F81169">
        <w:rPr>
          <w:rFonts w:ascii="Times New Roman" w:hAnsi="Times New Roman"/>
          <w:sz w:val="24"/>
          <w:szCs w:val="24"/>
          <w:vertAlign w:val="subscript"/>
        </w:rPr>
        <w:t>3</w:t>
      </w:r>
      <w:r w:rsidRPr="00F81169">
        <w:rPr>
          <w:rFonts w:ascii="Times New Roman" w:hAnsi="Times New Roman"/>
          <w:sz w:val="24"/>
          <w:szCs w:val="24"/>
        </w:rPr>
        <w:t xml:space="preserve"> (Suprapur, Merck) before microwave digestion. After digestion, the sample was transferred to centrifuge tubes, and the volume was made up to 50 m</w:t>
      </w:r>
      <w:r w:rsidR="00F2043C" w:rsidRPr="00F81169">
        <w:rPr>
          <w:rFonts w:ascii="Times New Roman" w:hAnsi="Times New Roman"/>
          <w:sz w:val="24"/>
          <w:szCs w:val="24"/>
        </w:rPr>
        <w:t>L</w:t>
      </w:r>
      <w:r w:rsidRPr="00F81169">
        <w:rPr>
          <w:rFonts w:ascii="Times New Roman" w:hAnsi="Times New Roman"/>
          <w:sz w:val="24"/>
          <w:szCs w:val="24"/>
        </w:rPr>
        <w:t xml:space="preserve"> with UPW.</w:t>
      </w:r>
    </w:p>
    <w:p w14:paraId="7F295E7C" w14:textId="3423E223" w:rsidR="00A243E4" w:rsidRPr="00F81169" w:rsidRDefault="00A243E4" w:rsidP="00A243E4">
      <w:pPr>
        <w:rPr>
          <w:rFonts w:ascii="Times New Roman" w:hAnsi="Times New Roman"/>
          <w:i/>
          <w:iCs/>
          <w:sz w:val="24"/>
          <w:szCs w:val="24"/>
        </w:rPr>
      </w:pPr>
      <w:r w:rsidRPr="00F81169">
        <w:rPr>
          <w:rFonts w:ascii="Times New Roman" w:hAnsi="Times New Roman"/>
          <w:i/>
          <w:iCs/>
          <w:sz w:val="24"/>
          <w:szCs w:val="24"/>
        </w:rPr>
        <w:t xml:space="preserve">Molecular docking </w:t>
      </w:r>
    </w:p>
    <w:p w14:paraId="2A6BADF7" w14:textId="77777777" w:rsidR="00A243E4" w:rsidRPr="00F81169" w:rsidRDefault="00A243E4" w:rsidP="00A243E4">
      <w:pPr>
        <w:spacing w:before="240" w:after="0" w:line="360" w:lineRule="auto"/>
        <w:ind w:firstLine="284"/>
        <w:jc w:val="both"/>
        <w:rPr>
          <w:rFonts w:ascii="Times New Roman" w:hAnsi="Times New Roman"/>
          <w:sz w:val="24"/>
          <w:szCs w:val="24"/>
        </w:rPr>
      </w:pPr>
      <w:r w:rsidRPr="00F81169">
        <w:rPr>
          <w:rFonts w:ascii="Times New Roman" w:hAnsi="Times New Roman"/>
          <w:sz w:val="24"/>
          <w:szCs w:val="24"/>
        </w:rPr>
        <w:t xml:space="preserve">To prepare a macromolecule, the PDB file of targeted protein i.e. GST enzyme (PDB ID-1R5A) was obtained in 3D structure from the </w:t>
      </w:r>
      <w:bookmarkStart w:id="3" w:name="_Hlk92104571"/>
      <w:r w:rsidRPr="00F81169">
        <w:rPr>
          <w:rFonts w:ascii="Times New Roman" w:hAnsi="Times New Roman"/>
          <w:sz w:val="24"/>
          <w:szCs w:val="24"/>
        </w:rPr>
        <w:t>Protein Data Bank database (</w:t>
      </w:r>
      <w:r w:rsidRPr="00F81169">
        <w:rPr>
          <w:rFonts w:ascii="Times New Roman" w:hAnsi="Times New Roman"/>
          <w:color w:val="4472C4" w:themeColor="accent1"/>
          <w:sz w:val="24"/>
          <w:szCs w:val="24"/>
        </w:rPr>
        <w:t>https://www.rcsb.org/</w:t>
      </w:r>
      <w:bookmarkEnd w:id="3"/>
      <w:r w:rsidRPr="00F81169">
        <w:rPr>
          <w:rFonts w:ascii="Times New Roman" w:hAnsi="Times New Roman"/>
          <w:color w:val="4472C4" w:themeColor="accent1"/>
          <w:sz w:val="24"/>
          <w:szCs w:val="24"/>
        </w:rPr>
        <w:t>structure/1R5A</w:t>
      </w:r>
      <w:r w:rsidRPr="00F81169">
        <w:rPr>
          <w:rFonts w:ascii="Times New Roman" w:hAnsi="Times New Roman"/>
          <w:sz w:val="24"/>
          <w:szCs w:val="24"/>
        </w:rPr>
        <w:t>). The BIOVA Discovery Studio Visualizer Tool 21.1.0.0 (</w:t>
      </w:r>
      <w:r w:rsidRPr="00F81169">
        <w:rPr>
          <w:rFonts w:ascii="Times New Roman" w:hAnsi="Times New Roman"/>
          <w:color w:val="4472C4" w:themeColor="accent1"/>
          <w:sz w:val="24"/>
          <w:szCs w:val="24"/>
        </w:rPr>
        <w:t>https://www.3ds.com</w:t>
      </w:r>
      <w:r w:rsidRPr="00F81169">
        <w:rPr>
          <w:rFonts w:ascii="Times New Roman" w:hAnsi="Times New Roman"/>
          <w:sz w:val="24"/>
          <w:szCs w:val="24"/>
        </w:rPr>
        <w:t>) was used to open the targeted protein and normalize the protein by removing the water molecules and non-bounded residues; eliminating the unwanted portion of the protein and small molecules, and normalizing the energy of selected chains.</w:t>
      </w:r>
      <w:r w:rsidRPr="00F81169">
        <w:rPr>
          <w:rFonts w:ascii="Open Sans" w:hAnsi="Open Sans" w:cs="Open Sans"/>
          <w:color w:val="494949"/>
          <w:sz w:val="23"/>
          <w:szCs w:val="23"/>
          <w:shd w:val="clear" w:color="auto" w:fill="FFFFFF"/>
        </w:rPr>
        <w:t> </w:t>
      </w:r>
      <w:r w:rsidRPr="00F81169">
        <w:rPr>
          <w:rFonts w:ascii="Times New Roman" w:hAnsi="Times New Roman"/>
          <w:sz w:val="24"/>
          <w:szCs w:val="24"/>
        </w:rPr>
        <w:t xml:space="preserve">Further, after identifying and defining the binding sites, polar hydrogen was added. Before saving the normalized protein, we ensured that all the binding sites were enclosed by the binding sphere and noted down the XYZ attributes and radius of the binding sphere. Gasteiger charges and Kollman charges were also applied to the normalized GST using AutoDock Vina (ADV) as described by </w:t>
      </w:r>
      <w:r w:rsidRPr="00F81169">
        <w:rPr>
          <w:rFonts w:ascii="Times New Roman" w:hAnsi="Times New Roman"/>
          <w:color w:val="4472C4" w:themeColor="accent1"/>
          <w:sz w:val="24"/>
          <w:szCs w:val="24"/>
        </w:rPr>
        <w:t>Trott and Olson, 2010</w:t>
      </w:r>
      <w:r w:rsidRPr="00F81169">
        <w:rPr>
          <w:rFonts w:ascii="Times New Roman" w:hAnsi="Times New Roman"/>
          <w:sz w:val="24"/>
          <w:szCs w:val="24"/>
        </w:rPr>
        <w:t xml:space="preserve">. Finally, the 3D structure of normalized GST was saved in PDB format for further docking studies. </w:t>
      </w:r>
    </w:p>
    <w:p w14:paraId="7FFDABC7" w14:textId="00EE267C" w:rsidR="00A243E4" w:rsidRPr="00F81169" w:rsidRDefault="00A243E4" w:rsidP="00A243E4">
      <w:pPr>
        <w:spacing w:line="360" w:lineRule="auto"/>
        <w:ind w:firstLine="284"/>
        <w:jc w:val="both"/>
        <w:rPr>
          <w:rFonts w:ascii="Times New Roman" w:hAnsi="Times New Roman"/>
          <w:sz w:val="24"/>
          <w:szCs w:val="24"/>
        </w:rPr>
      </w:pPr>
      <w:r w:rsidRPr="00F81169">
        <w:rPr>
          <w:rFonts w:ascii="Times New Roman" w:hAnsi="Times New Roman"/>
          <w:sz w:val="24"/>
          <w:szCs w:val="24"/>
        </w:rPr>
        <w:t>For ligand preparation, the SDF file of bioactive compound i.e. Isooctyl thioglycolate</w:t>
      </w:r>
      <w:r w:rsidR="00F275A9" w:rsidRPr="00F81169">
        <w:rPr>
          <w:rFonts w:ascii="Times New Roman" w:hAnsi="Times New Roman"/>
          <w:sz w:val="24"/>
          <w:szCs w:val="24"/>
        </w:rPr>
        <w:t xml:space="preserve"> (IOTG</w:t>
      </w:r>
      <w:r w:rsidRPr="00F81169">
        <w:rPr>
          <w:rFonts w:ascii="Times New Roman" w:hAnsi="Times New Roman"/>
          <w:sz w:val="24"/>
          <w:szCs w:val="24"/>
        </w:rPr>
        <w:t>) was downloaded from PubChem (</w:t>
      </w:r>
      <w:r w:rsidRPr="00F81169">
        <w:rPr>
          <w:rFonts w:ascii="Times New Roman" w:hAnsi="Times New Roman"/>
          <w:color w:val="4472C4" w:themeColor="accent1"/>
          <w:sz w:val="24"/>
          <w:szCs w:val="24"/>
        </w:rPr>
        <w:t>https://pubchem.ncbi.nlm.nih.gov/compound/Isooctyl-thioglycolate</w:t>
      </w:r>
      <w:r w:rsidRPr="00F81169">
        <w:rPr>
          <w:rFonts w:ascii="Times New Roman" w:hAnsi="Times New Roman"/>
          <w:sz w:val="24"/>
          <w:szCs w:val="24"/>
        </w:rPr>
        <w:t xml:space="preserve">) and, the obtained SDF file was converted into PDB file format using </w:t>
      </w:r>
      <w:bookmarkStart w:id="4" w:name="_Hlk92104909"/>
      <w:r w:rsidRPr="00F81169">
        <w:rPr>
          <w:rFonts w:ascii="Times New Roman" w:hAnsi="Times New Roman"/>
          <w:sz w:val="24"/>
          <w:szCs w:val="24"/>
        </w:rPr>
        <w:t xml:space="preserve">Online SMILES Translator and Structure File Generator tool available at </w:t>
      </w:r>
      <w:r w:rsidRPr="00F81169">
        <w:rPr>
          <w:rFonts w:ascii="Times New Roman" w:hAnsi="Times New Roman"/>
          <w:color w:val="4472C4" w:themeColor="accent1"/>
          <w:sz w:val="24"/>
          <w:szCs w:val="24"/>
        </w:rPr>
        <w:t>https://cactus.nci.nih.gov/translate</w:t>
      </w:r>
      <w:bookmarkEnd w:id="4"/>
      <w:r w:rsidRPr="00F81169">
        <w:rPr>
          <w:rFonts w:ascii="Times New Roman" w:hAnsi="Times New Roman"/>
          <w:sz w:val="24"/>
          <w:szCs w:val="24"/>
        </w:rPr>
        <w:t xml:space="preserve">. Molecular docking was performed using ADV software and BIOVA Discovery Studio Visualizer Tool 21.1.0.0 was used to perceive the </w:t>
      </w:r>
      <w:bookmarkStart w:id="5" w:name="_Hlk91239822"/>
      <w:r w:rsidRPr="00F81169">
        <w:rPr>
          <w:rFonts w:ascii="Times New Roman" w:hAnsi="Times New Roman"/>
          <w:sz w:val="24"/>
          <w:szCs w:val="24"/>
        </w:rPr>
        <w:t>interactions between receptor and ligand</w:t>
      </w:r>
      <w:bookmarkEnd w:id="5"/>
      <w:r w:rsidRPr="00F81169">
        <w:rPr>
          <w:rFonts w:ascii="Times New Roman" w:hAnsi="Times New Roman"/>
          <w:sz w:val="24"/>
          <w:szCs w:val="24"/>
        </w:rPr>
        <w:t>.</w:t>
      </w:r>
    </w:p>
    <w:p w14:paraId="4A636ACF" w14:textId="3BAF6916" w:rsidR="005B2506" w:rsidRPr="00F81169" w:rsidRDefault="007C1B71" w:rsidP="003E4F8A">
      <w:pPr>
        <w:tabs>
          <w:tab w:val="left" w:pos="3038"/>
          <w:tab w:val="left" w:pos="5573"/>
        </w:tabs>
        <w:autoSpaceDE w:val="0"/>
        <w:autoSpaceDN w:val="0"/>
        <w:adjustRightInd w:val="0"/>
        <w:spacing w:line="360" w:lineRule="auto"/>
        <w:jc w:val="both"/>
        <w:rPr>
          <w:rFonts w:ascii="Times New Roman" w:hAnsi="Times New Roman"/>
          <w:b/>
          <w:bCs/>
          <w:sz w:val="24"/>
          <w:szCs w:val="24"/>
        </w:rPr>
      </w:pPr>
      <w:r w:rsidRPr="00F81169">
        <w:rPr>
          <w:rFonts w:ascii="Times New Roman" w:hAnsi="Times New Roman"/>
          <w:b/>
          <w:bCs/>
          <w:sz w:val="24"/>
          <w:szCs w:val="24"/>
        </w:rPr>
        <w:t>Results</w:t>
      </w:r>
    </w:p>
    <w:p w14:paraId="44CE953B" w14:textId="1D8F0F09" w:rsidR="0094253C" w:rsidRPr="00F81169" w:rsidRDefault="0094253C" w:rsidP="0094253C">
      <w:pPr>
        <w:tabs>
          <w:tab w:val="left" w:pos="142"/>
        </w:tabs>
        <w:autoSpaceDE w:val="0"/>
        <w:autoSpaceDN w:val="0"/>
        <w:adjustRightInd w:val="0"/>
        <w:spacing w:line="360" w:lineRule="auto"/>
        <w:jc w:val="both"/>
        <w:rPr>
          <w:rFonts w:ascii="Times New Roman" w:hAnsi="Times New Roman"/>
          <w:i/>
          <w:sz w:val="24"/>
          <w:szCs w:val="24"/>
        </w:rPr>
      </w:pPr>
      <w:r w:rsidRPr="00F81169">
        <w:rPr>
          <w:rFonts w:ascii="Times New Roman" w:eastAsia="MyriadPro-BoldSemiCn" w:hAnsi="Times New Roman"/>
          <w:i/>
          <w:sz w:val="24"/>
          <w:szCs w:val="24"/>
        </w:rPr>
        <w:lastRenderedPageBreak/>
        <w:t>Physic</w:t>
      </w:r>
      <w:r w:rsidR="008D531F" w:rsidRPr="00F81169">
        <w:rPr>
          <w:rFonts w:ascii="Times New Roman" w:eastAsia="MyriadPro-BoldSemiCn" w:hAnsi="Times New Roman"/>
          <w:i/>
          <w:sz w:val="24"/>
          <w:szCs w:val="24"/>
        </w:rPr>
        <w:t>o-chemical</w:t>
      </w:r>
      <w:r w:rsidRPr="00F81169">
        <w:rPr>
          <w:rFonts w:ascii="Times New Roman" w:eastAsia="MyriadPro-BoldSemiCn" w:hAnsi="Times New Roman"/>
          <w:i/>
          <w:sz w:val="24"/>
          <w:szCs w:val="24"/>
        </w:rPr>
        <w:t xml:space="preserve"> parameters of water </w:t>
      </w:r>
    </w:p>
    <w:p w14:paraId="443FC8FB" w14:textId="51F6BF20" w:rsidR="0094253C" w:rsidRPr="00F81169" w:rsidRDefault="0094253C" w:rsidP="0094253C">
      <w:pPr>
        <w:autoSpaceDE w:val="0"/>
        <w:autoSpaceDN w:val="0"/>
        <w:adjustRightInd w:val="0"/>
        <w:spacing w:line="360" w:lineRule="auto"/>
        <w:ind w:firstLine="284"/>
        <w:jc w:val="both"/>
        <w:rPr>
          <w:rFonts w:ascii="Times New Roman" w:hAnsi="Times New Roman"/>
          <w:sz w:val="24"/>
          <w:szCs w:val="24"/>
        </w:rPr>
      </w:pPr>
      <w:r w:rsidRPr="00F81169">
        <w:rPr>
          <w:rFonts w:ascii="Times New Roman" w:hAnsi="Times New Roman"/>
          <w:sz w:val="24"/>
          <w:szCs w:val="24"/>
        </w:rPr>
        <w:t>The physi</w:t>
      </w:r>
      <w:r w:rsidR="008D531F" w:rsidRPr="00F81169">
        <w:rPr>
          <w:rFonts w:ascii="Times New Roman" w:hAnsi="Times New Roman"/>
          <w:sz w:val="24"/>
          <w:szCs w:val="24"/>
        </w:rPr>
        <w:t>c</w:t>
      </w:r>
      <w:r w:rsidRPr="00F81169">
        <w:rPr>
          <w:rFonts w:ascii="Times New Roman" w:hAnsi="Times New Roman"/>
          <w:sz w:val="24"/>
          <w:szCs w:val="24"/>
        </w:rPr>
        <w:t xml:space="preserve">o-chemical parameters of the samples collected from two different sites were identical to each other and within acceptable limits. There was no significant variation observed, which is quite natural when the atmospheric profile of the ecosystem is taken into consideration. The surface water salinity of the equatorial region of the Indian Ocean was 34.10 and 35.46 PSU, respectively, at Site 1 and Site 2. A notable change in temperature was observed on a photic </w:t>
      </w:r>
      <w:r w:rsidRPr="00F81169">
        <w:rPr>
          <w:rFonts w:ascii="Times New Roman" w:hAnsi="Times New Roman"/>
          <w:sz w:val="24"/>
          <w:szCs w:val="24"/>
          <w:lang w:eastAsia="en-IN"/>
        </w:rPr>
        <w:t xml:space="preserve">layer that </w:t>
      </w:r>
      <w:r w:rsidRPr="00F81169">
        <w:rPr>
          <w:rFonts w:ascii="Times New Roman" w:hAnsi="Times New Roman"/>
          <w:sz w:val="24"/>
          <w:szCs w:val="24"/>
        </w:rPr>
        <w:t>varied from 29.41 ºC (Site 1) to 28.45 ºC (Site 2). A similar salinity and temperature profile of the equatorial region of the Indian Ocean was reported in previous studies (</w:t>
      </w:r>
      <w:r w:rsidRPr="00F81169">
        <w:rPr>
          <w:rFonts w:ascii="Times New Roman" w:hAnsi="Times New Roman"/>
          <w:color w:val="4472C4" w:themeColor="accent1"/>
          <w:sz w:val="24"/>
          <w:szCs w:val="24"/>
        </w:rPr>
        <w:t>Subha Anand S 2014</w:t>
      </w:r>
      <w:r w:rsidRPr="00F81169">
        <w:rPr>
          <w:rFonts w:ascii="Times New Roman" w:hAnsi="Times New Roman"/>
          <w:sz w:val="24"/>
          <w:szCs w:val="24"/>
        </w:rPr>
        <w:t xml:space="preserve">). </w:t>
      </w:r>
      <w:r w:rsidR="00B309C3" w:rsidRPr="00F81169">
        <w:rPr>
          <w:rFonts w:ascii="Times New Roman" w:hAnsi="Times New Roman"/>
          <w:sz w:val="24"/>
          <w:szCs w:val="24"/>
        </w:rPr>
        <w:t>Hg concentration in all the collected samples was below the detection limit (0.73 µg/L)</w:t>
      </w:r>
      <w:r w:rsidR="00A511D8" w:rsidRPr="00F81169">
        <w:rPr>
          <w:rFonts w:ascii="Times New Roman" w:hAnsi="Times New Roman"/>
          <w:sz w:val="24"/>
          <w:szCs w:val="24"/>
        </w:rPr>
        <w:t>.</w:t>
      </w:r>
    </w:p>
    <w:p w14:paraId="768CA85A" w14:textId="50E9F3FD" w:rsidR="00EF4B1B" w:rsidRPr="00F81169" w:rsidRDefault="00EF4B1B" w:rsidP="003E4F8A">
      <w:pPr>
        <w:tabs>
          <w:tab w:val="left" w:pos="3038"/>
          <w:tab w:val="left" w:pos="5573"/>
        </w:tabs>
        <w:autoSpaceDE w:val="0"/>
        <w:autoSpaceDN w:val="0"/>
        <w:adjustRightInd w:val="0"/>
        <w:spacing w:line="360" w:lineRule="auto"/>
        <w:jc w:val="both"/>
        <w:rPr>
          <w:rFonts w:ascii="Times New Roman" w:hAnsi="Times New Roman"/>
          <w:sz w:val="24"/>
          <w:szCs w:val="24"/>
        </w:rPr>
      </w:pPr>
      <w:r w:rsidRPr="00F81169">
        <w:rPr>
          <w:rFonts w:ascii="Times New Roman" w:hAnsi="Times New Roman"/>
          <w:b/>
          <w:bCs/>
          <w:sz w:val="24"/>
          <w:szCs w:val="24"/>
        </w:rPr>
        <w:t>Table S1</w:t>
      </w:r>
      <w:r w:rsidRPr="00F81169">
        <w:rPr>
          <w:rFonts w:ascii="Times New Roman" w:hAnsi="Times New Roman"/>
          <w:sz w:val="24"/>
          <w:szCs w:val="24"/>
        </w:rPr>
        <w:t xml:space="preserve"> Total culturable bacterial and culturable mercury resistant bacteria </w:t>
      </w:r>
      <w:r w:rsidR="00014810" w:rsidRPr="00F81169">
        <w:rPr>
          <w:rFonts w:ascii="Times New Roman" w:hAnsi="Times New Roman"/>
          <w:sz w:val="24"/>
          <w:szCs w:val="24"/>
        </w:rPr>
        <w:t xml:space="preserve">count </w:t>
      </w:r>
      <w:r w:rsidRPr="00F81169">
        <w:rPr>
          <w:rFonts w:ascii="Times New Roman" w:hAnsi="Times New Roman"/>
          <w:sz w:val="24"/>
          <w:szCs w:val="24"/>
        </w:rPr>
        <w:t xml:space="preserve">from seawater samples collected from the </w:t>
      </w:r>
      <w:r w:rsidR="00014810" w:rsidRPr="00F81169">
        <w:rPr>
          <w:rFonts w:ascii="Times New Roman" w:hAnsi="Times New Roman"/>
          <w:sz w:val="24"/>
          <w:szCs w:val="24"/>
        </w:rPr>
        <w:t>ERIO</w:t>
      </w:r>
      <w:r w:rsidRPr="00F81169">
        <w:rPr>
          <w:rFonts w:ascii="Times New Roman" w:hAnsi="Times New Roman"/>
          <w:sz w:val="24"/>
          <w:szCs w:val="24"/>
        </w:rPr>
        <w:t xml:space="preserve">. Data were </w:t>
      </w:r>
      <w:r w:rsidRPr="00F81169">
        <w:rPr>
          <w:rFonts w:ascii="Times New Roman" w:hAnsi="Times New Roman"/>
          <w:sz w:val="24"/>
          <w:szCs w:val="24"/>
          <w:lang w:eastAsia="en-IN"/>
        </w:rPr>
        <w:t>represented as the mean ± SD (n=3).</w:t>
      </w:r>
      <w:r w:rsidRPr="00F81169">
        <w:rPr>
          <w:rFonts w:ascii="Times New Roman" w:hAnsi="Times New Roman"/>
          <w:sz w:val="24"/>
          <w:szCs w:val="24"/>
        </w:rPr>
        <w:t xml:space="preserve"> </w:t>
      </w:r>
    </w:p>
    <w:tbl>
      <w:tblPr>
        <w:tblW w:w="10346" w:type="dxa"/>
        <w:jc w:val="center"/>
        <w:tblBorders>
          <w:top w:val="single" w:sz="4" w:space="0" w:color="auto"/>
          <w:bottom w:val="single" w:sz="4" w:space="0" w:color="auto"/>
        </w:tblBorders>
        <w:tblLook w:val="04A0" w:firstRow="1" w:lastRow="0" w:firstColumn="1" w:lastColumn="0" w:noHBand="0" w:noVBand="1"/>
      </w:tblPr>
      <w:tblGrid>
        <w:gridCol w:w="604"/>
        <w:gridCol w:w="1775"/>
        <w:gridCol w:w="870"/>
        <w:gridCol w:w="1024"/>
        <w:gridCol w:w="1576"/>
        <w:gridCol w:w="1594"/>
        <w:gridCol w:w="1830"/>
        <w:gridCol w:w="1073"/>
      </w:tblGrid>
      <w:tr w:rsidR="00EF4B1B" w:rsidRPr="00F81169" w14:paraId="7C7BB5D9" w14:textId="77777777" w:rsidTr="006D5951">
        <w:trPr>
          <w:jc w:val="center"/>
        </w:trPr>
        <w:tc>
          <w:tcPr>
            <w:tcW w:w="604" w:type="dxa"/>
            <w:tcBorders>
              <w:top w:val="single" w:sz="4" w:space="0" w:color="auto"/>
              <w:bottom w:val="single" w:sz="4" w:space="0" w:color="auto"/>
            </w:tcBorders>
          </w:tcPr>
          <w:p w14:paraId="25C567DB"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Site</w:t>
            </w:r>
          </w:p>
        </w:tc>
        <w:tc>
          <w:tcPr>
            <w:tcW w:w="1775" w:type="dxa"/>
            <w:tcBorders>
              <w:top w:val="single" w:sz="4" w:space="0" w:color="auto"/>
              <w:bottom w:val="single" w:sz="4" w:space="0" w:color="auto"/>
            </w:tcBorders>
          </w:tcPr>
          <w:p w14:paraId="212DF20F"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GPS Location</w:t>
            </w:r>
          </w:p>
        </w:tc>
        <w:tc>
          <w:tcPr>
            <w:tcW w:w="870" w:type="dxa"/>
            <w:tcBorders>
              <w:top w:val="single" w:sz="4" w:space="0" w:color="auto"/>
              <w:bottom w:val="single" w:sz="4" w:space="0" w:color="auto"/>
            </w:tcBorders>
          </w:tcPr>
          <w:p w14:paraId="7AABF772"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Depth (m)</w:t>
            </w:r>
          </w:p>
        </w:tc>
        <w:tc>
          <w:tcPr>
            <w:tcW w:w="1024" w:type="dxa"/>
            <w:tcBorders>
              <w:top w:val="single" w:sz="4" w:space="0" w:color="auto"/>
              <w:bottom w:val="single" w:sz="4" w:space="0" w:color="auto"/>
            </w:tcBorders>
          </w:tcPr>
          <w:p w14:paraId="3240D3FD"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Salinity (PSU)</w:t>
            </w:r>
          </w:p>
        </w:tc>
        <w:tc>
          <w:tcPr>
            <w:tcW w:w="1576" w:type="dxa"/>
            <w:tcBorders>
              <w:top w:val="single" w:sz="4" w:space="0" w:color="auto"/>
              <w:bottom w:val="single" w:sz="4" w:space="0" w:color="auto"/>
            </w:tcBorders>
          </w:tcPr>
          <w:p w14:paraId="7C11693F"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Temperature (°C)</w:t>
            </w:r>
          </w:p>
        </w:tc>
        <w:tc>
          <w:tcPr>
            <w:tcW w:w="1594" w:type="dxa"/>
            <w:tcBorders>
              <w:top w:val="single" w:sz="4" w:space="0" w:color="auto"/>
              <w:bottom w:val="single" w:sz="4" w:space="0" w:color="auto"/>
            </w:tcBorders>
          </w:tcPr>
          <w:p w14:paraId="081094AA" w14:textId="77777777" w:rsidR="005B3A6A"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 xml:space="preserve">TCB Count        </w:t>
            </w:r>
          </w:p>
          <w:p w14:paraId="42FF9C02" w14:textId="0B12216F"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(x10</w:t>
            </w:r>
            <w:r w:rsidRPr="00F81169">
              <w:rPr>
                <w:rFonts w:ascii="Times New Roman" w:hAnsi="Times New Roman"/>
                <w:b/>
                <w:sz w:val="24"/>
                <w:szCs w:val="24"/>
                <w:vertAlign w:val="superscript"/>
              </w:rPr>
              <w:t xml:space="preserve">2 </w:t>
            </w:r>
            <w:r w:rsidRPr="00F81169">
              <w:rPr>
                <w:rFonts w:ascii="Times New Roman" w:hAnsi="Times New Roman"/>
                <w:b/>
                <w:sz w:val="24"/>
                <w:szCs w:val="24"/>
              </w:rPr>
              <w:t>CFU</w:t>
            </w:r>
            <w:r w:rsidR="00C804DC" w:rsidRPr="00F81169">
              <w:rPr>
                <w:rFonts w:ascii="Times New Roman" w:hAnsi="Times New Roman"/>
                <w:b/>
                <w:sz w:val="24"/>
                <w:szCs w:val="24"/>
              </w:rPr>
              <w:t xml:space="preserve"> </w:t>
            </w:r>
            <w:r w:rsidR="00066B1E" w:rsidRPr="00F81169">
              <w:rPr>
                <w:rFonts w:ascii="Times New Roman" w:hAnsi="Times New Roman"/>
                <w:b/>
                <w:sz w:val="24"/>
                <w:szCs w:val="24"/>
              </w:rPr>
              <w:t>/</w:t>
            </w:r>
            <w:r w:rsidR="00C804DC" w:rsidRPr="00F81169">
              <w:rPr>
                <w:rFonts w:ascii="Times New Roman" w:hAnsi="Times New Roman"/>
                <w:b/>
                <w:sz w:val="24"/>
                <w:szCs w:val="24"/>
              </w:rPr>
              <w:t xml:space="preserve"> </w:t>
            </w:r>
            <w:r w:rsidRPr="00F81169">
              <w:rPr>
                <w:rFonts w:ascii="Times New Roman" w:hAnsi="Times New Roman"/>
                <w:b/>
                <w:sz w:val="24"/>
                <w:szCs w:val="24"/>
              </w:rPr>
              <w:t>m</w:t>
            </w:r>
            <w:r w:rsidR="00F2043C" w:rsidRPr="00F81169">
              <w:rPr>
                <w:rFonts w:ascii="Times New Roman" w:hAnsi="Times New Roman"/>
                <w:b/>
                <w:sz w:val="24"/>
                <w:szCs w:val="24"/>
              </w:rPr>
              <w:t>L</w:t>
            </w:r>
            <w:r w:rsidRPr="00F81169">
              <w:rPr>
                <w:rFonts w:ascii="Times New Roman" w:hAnsi="Times New Roman"/>
                <w:b/>
                <w:sz w:val="24"/>
                <w:szCs w:val="24"/>
              </w:rPr>
              <w:t>) ± SD</w:t>
            </w:r>
          </w:p>
        </w:tc>
        <w:tc>
          <w:tcPr>
            <w:tcW w:w="1830" w:type="dxa"/>
            <w:tcBorders>
              <w:top w:val="single" w:sz="4" w:space="0" w:color="auto"/>
              <w:bottom w:val="single" w:sz="4" w:space="0" w:color="auto"/>
            </w:tcBorders>
          </w:tcPr>
          <w:p w14:paraId="6310D7F5" w14:textId="702F51D5" w:rsidR="00EF4B1B" w:rsidRPr="00F81169" w:rsidRDefault="00EF4B1B" w:rsidP="00C804DC">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Total CMRB Count</w:t>
            </w:r>
            <w:r w:rsidR="00C804DC" w:rsidRPr="00F81169">
              <w:rPr>
                <w:rFonts w:ascii="Times New Roman" w:hAnsi="Times New Roman"/>
                <w:b/>
                <w:sz w:val="24"/>
                <w:szCs w:val="24"/>
              </w:rPr>
              <w:t xml:space="preserve"> </w:t>
            </w:r>
            <w:r w:rsidRPr="00F81169">
              <w:rPr>
                <w:rFonts w:ascii="Times New Roman" w:hAnsi="Times New Roman"/>
                <w:b/>
                <w:sz w:val="24"/>
                <w:szCs w:val="24"/>
              </w:rPr>
              <w:t>(x10</w:t>
            </w:r>
            <w:r w:rsidRPr="00F81169">
              <w:rPr>
                <w:rFonts w:ascii="Times New Roman" w:hAnsi="Times New Roman"/>
                <w:b/>
                <w:sz w:val="24"/>
                <w:szCs w:val="24"/>
                <w:vertAlign w:val="superscript"/>
              </w:rPr>
              <w:t xml:space="preserve">2 </w:t>
            </w:r>
            <w:r w:rsidRPr="00F81169">
              <w:rPr>
                <w:rFonts w:ascii="Times New Roman" w:hAnsi="Times New Roman"/>
                <w:b/>
                <w:sz w:val="24"/>
                <w:szCs w:val="24"/>
              </w:rPr>
              <w:t>CFU</w:t>
            </w:r>
            <w:r w:rsidR="00066B1E" w:rsidRPr="00F81169">
              <w:rPr>
                <w:rFonts w:ascii="Times New Roman" w:hAnsi="Times New Roman"/>
                <w:b/>
                <w:sz w:val="24"/>
                <w:szCs w:val="24"/>
              </w:rPr>
              <w:t>/</w:t>
            </w:r>
            <w:r w:rsidRPr="00F81169">
              <w:rPr>
                <w:rFonts w:ascii="Times New Roman" w:hAnsi="Times New Roman"/>
                <w:b/>
                <w:sz w:val="24"/>
                <w:szCs w:val="24"/>
              </w:rPr>
              <w:t>m</w:t>
            </w:r>
            <w:r w:rsidR="00F2043C" w:rsidRPr="00F81169">
              <w:rPr>
                <w:rFonts w:ascii="Times New Roman" w:hAnsi="Times New Roman"/>
                <w:b/>
                <w:sz w:val="24"/>
                <w:szCs w:val="24"/>
              </w:rPr>
              <w:t>L</w:t>
            </w:r>
            <w:r w:rsidRPr="00F81169">
              <w:rPr>
                <w:rFonts w:ascii="Times New Roman" w:hAnsi="Times New Roman"/>
                <w:b/>
                <w:sz w:val="24"/>
                <w:szCs w:val="24"/>
              </w:rPr>
              <w:t>) ± SD</w:t>
            </w:r>
          </w:p>
        </w:tc>
        <w:tc>
          <w:tcPr>
            <w:tcW w:w="1073" w:type="dxa"/>
            <w:tcBorders>
              <w:top w:val="single" w:sz="4" w:space="0" w:color="auto"/>
              <w:bottom w:val="single" w:sz="4" w:space="0" w:color="auto"/>
            </w:tcBorders>
          </w:tcPr>
          <w:p w14:paraId="1839CD0A" w14:textId="4FADAD9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b/>
                <w:sz w:val="24"/>
                <w:szCs w:val="24"/>
              </w:rPr>
            </w:pPr>
            <w:r w:rsidRPr="00F81169">
              <w:rPr>
                <w:rFonts w:ascii="Times New Roman" w:hAnsi="Times New Roman"/>
                <w:b/>
                <w:sz w:val="24"/>
                <w:szCs w:val="24"/>
              </w:rPr>
              <w:t xml:space="preserve">% </w:t>
            </w:r>
            <w:r w:rsidR="005B3A6A" w:rsidRPr="00F81169">
              <w:rPr>
                <w:rFonts w:ascii="Times New Roman" w:hAnsi="Times New Roman"/>
                <w:b/>
                <w:sz w:val="24"/>
                <w:szCs w:val="24"/>
              </w:rPr>
              <w:t xml:space="preserve">of </w:t>
            </w:r>
            <w:r w:rsidRPr="00F81169">
              <w:rPr>
                <w:rFonts w:ascii="Times New Roman" w:hAnsi="Times New Roman"/>
                <w:b/>
                <w:sz w:val="24"/>
                <w:szCs w:val="24"/>
              </w:rPr>
              <w:t>CMRB</w:t>
            </w:r>
          </w:p>
        </w:tc>
      </w:tr>
      <w:tr w:rsidR="00EF4B1B" w:rsidRPr="00F81169" w14:paraId="6C6EA91E" w14:textId="77777777" w:rsidTr="006D5951">
        <w:trPr>
          <w:jc w:val="center"/>
        </w:trPr>
        <w:tc>
          <w:tcPr>
            <w:tcW w:w="604" w:type="dxa"/>
            <w:tcBorders>
              <w:top w:val="single" w:sz="4" w:space="0" w:color="auto"/>
            </w:tcBorders>
          </w:tcPr>
          <w:p w14:paraId="30FC2F08"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1</w:t>
            </w:r>
          </w:p>
        </w:tc>
        <w:tc>
          <w:tcPr>
            <w:tcW w:w="1775" w:type="dxa"/>
            <w:tcBorders>
              <w:top w:val="single" w:sz="4" w:space="0" w:color="auto"/>
            </w:tcBorders>
          </w:tcPr>
          <w:p w14:paraId="69F9A77B" w14:textId="77777777" w:rsidR="00333AAE" w:rsidRPr="00F81169" w:rsidRDefault="00333AAE" w:rsidP="005B3A6A">
            <w:pPr>
              <w:spacing w:after="0" w:line="360" w:lineRule="auto"/>
              <w:rPr>
                <w:rFonts w:ascii="Times New Roman" w:eastAsia="Times New Roman" w:hAnsi="Times New Roman"/>
                <w:sz w:val="24"/>
                <w:szCs w:val="24"/>
              </w:rPr>
            </w:pPr>
            <w:r w:rsidRPr="00F81169">
              <w:rPr>
                <w:rFonts w:ascii="Times New Roman" w:eastAsia="Times New Roman" w:hAnsi="Times New Roman"/>
                <w:sz w:val="24"/>
                <w:szCs w:val="24"/>
              </w:rPr>
              <w:t xml:space="preserve">00° 00′ 559″ N &amp; </w:t>
            </w:r>
          </w:p>
          <w:p w14:paraId="3AE23282" w14:textId="26B43247" w:rsidR="00EF4B1B" w:rsidRPr="00F81169" w:rsidRDefault="00333AAE" w:rsidP="005B3A6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rPr>
              <w:t>80° 37′ 919″ E</w:t>
            </w:r>
          </w:p>
        </w:tc>
        <w:tc>
          <w:tcPr>
            <w:tcW w:w="870" w:type="dxa"/>
            <w:tcBorders>
              <w:top w:val="single" w:sz="4" w:space="0" w:color="auto"/>
            </w:tcBorders>
          </w:tcPr>
          <w:p w14:paraId="12B87388"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5</w:t>
            </w:r>
          </w:p>
        </w:tc>
        <w:tc>
          <w:tcPr>
            <w:tcW w:w="1024" w:type="dxa"/>
            <w:tcBorders>
              <w:top w:val="single" w:sz="4" w:space="0" w:color="auto"/>
            </w:tcBorders>
          </w:tcPr>
          <w:p w14:paraId="4934D4C3"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34.10</w:t>
            </w:r>
          </w:p>
        </w:tc>
        <w:tc>
          <w:tcPr>
            <w:tcW w:w="1576" w:type="dxa"/>
            <w:tcBorders>
              <w:top w:val="single" w:sz="4" w:space="0" w:color="auto"/>
            </w:tcBorders>
          </w:tcPr>
          <w:p w14:paraId="0AD32B10"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29.41</w:t>
            </w:r>
          </w:p>
        </w:tc>
        <w:tc>
          <w:tcPr>
            <w:tcW w:w="1594" w:type="dxa"/>
            <w:tcBorders>
              <w:top w:val="single" w:sz="4" w:space="0" w:color="auto"/>
            </w:tcBorders>
          </w:tcPr>
          <w:p w14:paraId="6227BFB4"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176.66 ± 47.71</w:t>
            </w:r>
          </w:p>
        </w:tc>
        <w:tc>
          <w:tcPr>
            <w:tcW w:w="1830" w:type="dxa"/>
            <w:tcBorders>
              <w:top w:val="single" w:sz="4" w:space="0" w:color="auto"/>
            </w:tcBorders>
          </w:tcPr>
          <w:p w14:paraId="29F253C1"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26.66 ± 10.21</w:t>
            </w:r>
          </w:p>
        </w:tc>
        <w:tc>
          <w:tcPr>
            <w:tcW w:w="1073" w:type="dxa"/>
            <w:tcBorders>
              <w:top w:val="single" w:sz="4" w:space="0" w:color="auto"/>
            </w:tcBorders>
          </w:tcPr>
          <w:p w14:paraId="5083D426"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16.20</w:t>
            </w:r>
          </w:p>
        </w:tc>
      </w:tr>
      <w:tr w:rsidR="00EF4B1B" w:rsidRPr="00F81169" w14:paraId="63C15EC9" w14:textId="77777777" w:rsidTr="006D5951">
        <w:trPr>
          <w:jc w:val="center"/>
        </w:trPr>
        <w:tc>
          <w:tcPr>
            <w:tcW w:w="604" w:type="dxa"/>
          </w:tcPr>
          <w:p w14:paraId="6C5AD2A4"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2</w:t>
            </w:r>
          </w:p>
        </w:tc>
        <w:tc>
          <w:tcPr>
            <w:tcW w:w="1775" w:type="dxa"/>
          </w:tcPr>
          <w:p w14:paraId="7F96A937" w14:textId="77777777" w:rsidR="00333AAE" w:rsidRPr="00F81169" w:rsidRDefault="00333AAE" w:rsidP="003E4F8A">
            <w:pPr>
              <w:spacing w:after="0" w:line="360" w:lineRule="auto"/>
              <w:rPr>
                <w:rFonts w:ascii="Times New Roman" w:eastAsia="Times New Roman" w:hAnsi="Times New Roman"/>
                <w:sz w:val="24"/>
                <w:szCs w:val="24"/>
              </w:rPr>
            </w:pPr>
            <w:r w:rsidRPr="00F81169">
              <w:rPr>
                <w:rFonts w:ascii="Times New Roman" w:eastAsia="Times New Roman" w:hAnsi="Times New Roman"/>
                <w:sz w:val="24"/>
                <w:szCs w:val="24"/>
              </w:rPr>
              <w:t xml:space="preserve">00° 28′ 649″ N &amp; </w:t>
            </w:r>
          </w:p>
          <w:p w14:paraId="734FC966" w14:textId="2EF1715C" w:rsidR="00EF4B1B" w:rsidRPr="00F81169" w:rsidRDefault="00333AAE"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rPr>
              <w:t>87° 50′ 546″ E</w:t>
            </w:r>
          </w:p>
        </w:tc>
        <w:tc>
          <w:tcPr>
            <w:tcW w:w="870" w:type="dxa"/>
          </w:tcPr>
          <w:p w14:paraId="56EE3694"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5</w:t>
            </w:r>
          </w:p>
        </w:tc>
        <w:tc>
          <w:tcPr>
            <w:tcW w:w="1024" w:type="dxa"/>
          </w:tcPr>
          <w:p w14:paraId="0BB0B498"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35.46</w:t>
            </w:r>
          </w:p>
        </w:tc>
        <w:tc>
          <w:tcPr>
            <w:tcW w:w="1576" w:type="dxa"/>
          </w:tcPr>
          <w:p w14:paraId="150CE31E" w14:textId="77777777" w:rsidR="00EF4B1B" w:rsidRPr="00F81169" w:rsidRDefault="00EF4B1B" w:rsidP="003E4F8A">
            <w:pPr>
              <w:spacing w:after="0" w:line="360" w:lineRule="auto"/>
              <w:rPr>
                <w:rFonts w:ascii="Times New Roman" w:eastAsia="Times New Roman" w:hAnsi="Times New Roman"/>
                <w:sz w:val="24"/>
                <w:szCs w:val="24"/>
                <w:lang w:eastAsia="en-IN"/>
              </w:rPr>
            </w:pPr>
            <w:r w:rsidRPr="00F81169">
              <w:rPr>
                <w:rFonts w:ascii="Times New Roman" w:eastAsia="Times New Roman" w:hAnsi="Times New Roman"/>
                <w:sz w:val="24"/>
                <w:szCs w:val="24"/>
                <w:lang w:eastAsia="en-IN"/>
              </w:rPr>
              <w:t>28.45</w:t>
            </w:r>
          </w:p>
        </w:tc>
        <w:tc>
          <w:tcPr>
            <w:tcW w:w="1594" w:type="dxa"/>
          </w:tcPr>
          <w:p w14:paraId="2A71BCB5"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131 ± 37.04</w:t>
            </w:r>
          </w:p>
        </w:tc>
        <w:tc>
          <w:tcPr>
            <w:tcW w:w="1830" w:type="dxa"/>
          </w:tcPr>
          <w:p w14:paraId="6861382E"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9 ± 4</w:t>
            </w:r>
          </w:p>
        </w:tc>
        <w:tc>
          <w:tcPr>
            <w:tcW w:w="1073" w:type="dxa"/>
          </w:tcPr>
          <w:p w14:paraId="74B52109" w14:textId="77777777" w:rsidR="00EF4B1B" w:rsidRPr="00F81169" w:rsidRDefault="00EF4B1B" w:rsidP="003E4F8A">
            <w:pPr>
              <w:pStyle w:val="ListParagraph"/>
              <w:tabs>
                <w:tab w:val="left" w:pos="1691"/>
              </w:tabs>
              <w:autoSpaceDE w:val="0"/>
              <w:autoSpaceDN w:val="0"/>
              <w:adjustRightInd w:val="0"/>
              <w:spacing w:after="0" w:line="360" w:lineRule="auto"/>
              <w:ind w:left="0"/>
              <w:rPr>
                <w:rFonts w:ascii="Times New Roman" w:hAnsi="Times New Roman"/>
                <w:sz w:val="24"/>
                <w:szCs w:val="24"/>
              </w:rPr>
            </w:pPr>
            <w:r w:rsidRPr="00F81169">
              <w:rPr>
                <w:rFonts w:ascii="Times New Roman" w:hAnsi="Times New Roman"/>
                <w:sz w:val="24"/>
                <w:szCs w:val="24"/>
              </w:rPr>
              <w:t>6.84</w:t>
            </w:r>
          </w:p>
        </w:tc>
      </w:tr>
    </w:tbl>
    <w:p w14:paraId="3419FDD4" w14:textId="77777777" w:rsidR="00AE277D" w:rsidRPr="00F81169" w:rsidRDefault="00AE277D" w:rsidP="005B3A6A">
      <w:pPr>
        <w:tabs>
          <w:tab w:val="left" w:pos="142"/>
        </w:tabs>
        <w:autoSpaceDE w:val="0"/>
        <w:autoSpaceDN w:val="0"/>
        <w:adjustRightInd w:val="0"/>
        <w:spacing w:after="0" w:line="360" w:lineRule="auto"/>
        <w:jc w:val="both"/>
        <w:rPr>
          <w:rFonts w:ascii="Times New Roman" w:eastAsia="MyriadPro-BoldSemiCn" w:hAnsi="Times New Roman"/>
          <w:i/>
          <w:sz w:val="24"/>
          <w:szCs w:val="24"/>
        </w:rPr>
      </w:pPr>
    </w:p>
    <w:p w14:paraId="077DDADE" w14:textId="77777777" w:rsidR="00573364" w:rsidRPr="00F81169" w:rsidRDefault="00573364" w:rsidP="00A46377">
      <w:pPr>
        <w:spacing w:line="360" w:lineRule="auto"/>
        <w:jc w:val="both"/>
        <w:rPr>
          <w:rFonts w:ascii="Times New Roman" w:hAnsi="Times New Roman"/>
          <w:i/>
          <w:sz w:val="24"/>
          <w:szCs w:val="24"/>
        </w:rPr>
      </w:pPr>
    </w:p>
    <w:p w14:paraId="5F2087B2" w14:textId="77777777" w:rsidR="00573364" w:rsidRPr="00F81169" w:rsidRDefault="00573364" w:rsidP="00A46377">
      <w:pPr>
        <w:spacing w:line="360" w:lineRule="auto"/>
        <w:jc w:val="both"/>
        <w:rPr>
          <w:rFonts w:ascii="Times New Roman" w:hAnsi="Times New Roman"/>
          <w:i/>
          <w:sz w:val="24"/>
          <w:szCs w:val="24"/>
        </w:rPr>
      </w:pPr>
    </w:p>
    <w:p w14:paraId="093ACC32" w14:textId="77777777" w:rsidR="00573364" w:rsidRPr="00F81169" w:rsidRDefault="00573364" w:rsidP="00A46377">
      <w:pPr>
        <w:spacing w:line="360" w:lineRule="auto"/>
        <w:jc w:val="both"/>
        <w:rPr>
          <w:rFonts w:ascii="Times New Roman" w:hAnsi="Times New Roman"/>
          <w:i/>
          <w:sz w:val="24"/>
          <w:szCs w:val="24"/>
        </w:rPr>
      </w:pPr>
    </w:p>
    <w:p w14:paraId="58E80158" w14:textId="77777777" w:rsidR="00573364" w:rsidRPr="00F81169" w:rsidRDefault="00573364" w:rsidP="00A46377">
      <w:pPr>
        <w:spacing w:line="360" w:lineRule="auto"/>
        <w:jc w:val="both"/>
        <w:rPr>
          <w:rFonts w:ascii="Times New Roman" w:hAnsi="Times New Roman"/>
          <w:i/>
          <w:sz w:val="24"/>
          <w:szCs w:val="24"/>
        </w:rPr>
      </w:pPr>
    </w:p>
    <w:p w14:paraId="6BA811A0" w14:textId="77777777" w:rsidR="00573364" w:rsidRPr="00F81169" w:rsidRDefault="00573364" w:rsidP="00A46377">
      <w:pPr>
        <w:spacing w:line="360" w:lineRule="auto"/>
        <w:jc w:val="both"/>
        <w:rPr>
          <w:rFonts w:ascii="Times New Roman" w:hAnsi="Times New Roman"/>
          <w:i/>
          <w:sz w:val="24"/>
          <w:szCs w:val="24"/>
        </w:rPr>
      </w:pPr>
    </w:p>
    <w:p w14:paraId="7E6CD8C5" w14:textId="77777777" w:rsidR="00573364" w:rsidRPr="00F81169" w:rsidRDefault="00573364" w:rsidP="00A46377">
      <w:pPr>
        <w:spacing w:line="360" w:lineRule="auto"/>
        <w:jc w:val="both"/>
        <w:rPr>
          <w:rFonts w:ascii="Times New Roman" w:hAnsi="Times New Roman"/>
          <w:i/>
          <w:sz w:val="24"/>
          <w:szCs w:val="24"/>
        </w:rPr>
      </w:pPr>
    </w:p>
    <w:p w14:paraId="04F6F0D6" w14:textId="77777777" w:rsidR="007F1589" w:rsidRDefault="007F1589" w:rsidP="00A46377">
      <w:pPr>
        <w:spacing w:line="360" w:lineRule="auto"/>
        <w:jc w:val="both"/>
        <w:rPr>
          <w:rFonts w:ascii="Times New Roman" w:hAnsi="Times New Roman"/>
          <w:i/>
          <w:sz w:val="24"/>
          <w:szCs w:val="24"/>
        </w:rPr>
      </w:pPr>
    </w:p>
    <w:p w14:paraId="31CA4169" w14:textId="77777777" w:rsidR="009F4160" w:rsidRDefault="009F4160" w:rsidP="00A46377">
      <w:pPr>
        <w:spacing w:line="360" w:lineRule="auto"/>
        <w:jc w:val="both"/>
        <w:rPr>
          <w:rFonts w:ascii="Times New Roman" w:hAnsi="Times New Roman"/>
          <w:i/>
          <w:sz w:val="24"/>
          <w:szCs w:val="24"/>
        </w:rPr>
      </w:pPr>
    </w:p>
    <w:p w14:paraId="57D07F9A" w14:textId="7A232834" w:rsidR="00A46377" w:rsidRPr="00F81169" w:rsidRDefault="00A46377" w:rsidP="00A46377">
      <w:pPr>
        <w:spacing w:line="360" w:lineRule="auto"/>
        <w:jc w:val="both"/>
        <w:rPr>
          <w:rFonts w:ascii="Times New Roman" w:hAnsi="Times New Roman"/>
          <w:b/>
          <w:bCs/>
          <w:sz w:val="24"/>
          <w:szCs w:val="24"/>
        </w:rPr>
      </w:pPr>
      <w:r w:rsidRPr="00F81169">
        <w:rPr>
          <w:rFonts w:ascii="Times New Roman" w:hAnsi="Times New Roman"/>
          <w:i/>
          <w:sz w:val="24"/>
          <w:szCs w:val="24"/>
        </w:rPr>
        <w:lastRenderedPageBreak/>
        <w:t>Effect of Hg</w:t>
      </w:r>
      <w:r w:rsidRPr="00F81169">
        <w:rPr>
          <w:rFonts w:ascii="Times New Roman" w:hAnsi="Times New Roman"/>
          <w:i/>
          <w:sz w:val="24"/>
          <w:szCs w:val="24"/>
          <w:vertAlign w:val="superscript"/>
        </w:rPr>
        <w:t>2+</w:t>
      </w:r>
      <w:r w:rsidRPr="00F81169">
        <w:rPr>
          <w:rFonts w:ascii="Times New Roman" w:hAnsi="Times New Roman"/>
          <w:i/>
          <w:sz w:val="24"/>
          <w:szCs w:val="24"/>
        </w:rPr>
        <w:t>on isolates</w:t>
      </w:r>
    </w:p>
    <w:p w14:paraId="45F37631" w14:textId="3074421A" w:rsidR="00A46377" w:rsidRPr="00F81169" w:rsidRDefault="00A46377" w:rsidP="00437D85">
      <w:pPr>
        <w:spacing w:after="0" w:line="360" w:lineRule="auto"/>
        <w:jc w:val="both"/>
        <w:rPr>
          <w:rFonts w:ascii="Times New Roman" w:hAnsi="Times New Roman"/>
          <w:sz w:val="24"/>
          <w:szCs w:val="24"/>
        </w:rPr>
      </w:pPr>
      <w:r w:rsidRPr="00F81169">
        <w:rPr>
          <w:rFonts w:ascii="Times New Roman" w:hAnsi="Times New Roman"/>
          <w:b/>
          <w:bCs/>
          <w:sz w:val="24"/>
          <w:szCs w:val="24"/>
        </w:rPr>
        <w:t>Fig. S1.</w:t>
      </w:r>
      <w:r w:rsidRPr="00F81169">
        <w:rPr>
          <w:rFonts w:ascii="Times New Roman" w:hAnsi="Times New Roman"/>
          <w:sz w:val="24"/>
          <w:szCs w:val="24"/>
        </w:rPr>
        <w:t xml:space="preserve"> </w:t>
      </w:r>
      <w:r w:rsidRPr="00F81169">
        <w:rPr>
          <w:rFonts w:ascii="Times New Roman" w:hAnsi="Times New Roman"/>
          <w:sz w:val="24"/>
          <w:szCs w:val="24"/>
          <w:lang w:eastAsia="en-IN"/>
        </w:rPr>
        <w:t>Growth of four cultures in the presence of various Hg</w:t>
      </w:r>
      <w:r w:rsidRPr="00F81169">
        <w:rPr>
          <w:rFonts w:ascii="Times New Roman" w:hAnsi="Times New Roman"/>
          <w:sz w:val="24"/>
          <w:szCs w:val="24"/>
          <w:vertAlign w:val="superscript"/>
          <w:lang w:eastAsia="en-IN"/>
        </w:rPr>
        <w:t>2+</w:t>
      </w:r>
      <w:r w:rsidRPr="00F81169">
        <w:rPr>
          <w:rFonts w:ascii="Times New Roman" w:hAnsi="Times New Roman"/>
          <w:sz w:val="24"/>
          <w:szCs w:val="24"/>
          <w:lang w:eastAsia="en-IN"/>
        </w:rPr>
        <w:t xml:space="preserve"> concentrations (a) OD</w:t>
      </w:r>
      <w:r w:rsidRPr="00F81169">
        <w:rPr>
          <w:rFonts w:ascii="Times New Roman" w:hAnsi="Times New Roman"/>
          <w:sz w:val="24"/>
          <w:szCs w:val="24"/>
          <w:vertAlign w:val="subscript"/>
          <w:lang w:eastAsia="en-IN"/>
        </w:rPr>
        <w:t>600nm</w:t>
      </w:r>
      <w:r w:rsidRPr="00F81169">
        <w:rPr>
          <w:rFonts w:ascii="Times New Roman" w:hAnsi="Times New Roman"/>
          <w:sz w:val="24"/>
          <w:szCs w:val="24"/>
          <w:lang w:eastAsia="en-IN"/>
        </w:rPr>
        <w:t xml:space="preserve"> and (b) dry biomass. The test concentrations include 0, 25, 50, 75, and 100 </w:t>
      </w:r>
      <w:r w:rsidRPr="00F81169">
        <w:rPr>
          <w:rFonts w:ascii="Times New Roman" w:hAnsi="Times New Roman"/>
          <w:sz w:val="24"/>
          <w:szCs w:val="24"/>
        </w:rPr>
        <w:t>mg/L</w:t>
      </w:r>
      <w:r w:rsidRPr="00F81169">
        <w:rPr>
          <w:rFonts w:ascii="Times New Roman" w:hAnsi="Times New Roman"/>
          <w:sz w:val="24"/>
          <w:szCs w:val="24"/>
          <w:lang w:eastAsia="en-IN"/>
        </w:rPr>
        <w:t xml:space="preserve"> of Hg as HgCl</w:t>
      </w:r>
      <w:r w:rsidRPr="00F81169">
        <w:rPr>
          <w:rFonts w:ascii="Times New Roman" w:hAnsi="Times New Roman"/>
          <w:sz w:val="24"/>
          <w:szCs w:val="24"/>
          <w:vertAlign w:val="subscript"/>
          <w:lang w:eastAsia="en-IN"/>
        </w:rPr>
        <w:t>2</w:t>
      </w:r>
      <w:r w:rsidRPr="00F81169">
        <w:rPr>
          <w:rFonts w:ascii="Times New Roman" w:hAnsi="Times New Roman"/>
          <w:sz w:val="24"/>
          <w:szCs w:val="24"/>
          <w:lang w:eastAsia="en-IN"/>
        </w:rPr>
        <w:t>. Bars with an asterisk (*) indicate significant differences in the level of p &lt; 0.05. Results represented as mean ± SD (n=3).</w:t>
      </w:r>
    </w:p>
    <w:p w14:paraId="280A06CD" w14:textId="77777777" w:rsidR="00A46377" w:rsidRPr="00F81169" w:rsidRDefault="00A46377" w:rsidP="00437D85">
      <w:pPr>
        <w:spacing w:after="0" w:line="360" w:lineRule="auto"/>
        <w:jc w:val="center"/>
        <w:rPr>
          <w:rFonts w:ascii="Times New Roman" w:hAnsi="Times New Roman"/>
          <w:sz w:val="24"/>
          <w:szCs w:val="24"/>
        </w:rPr>
      </w:pPr>
      <w:r w:rsidRPr="00F81169">
        <w:rPr>
          <w:noProof/>
          <w:lang w:val="en-PH" w:eastAsia="en-PH"/>
        </w:rPr>
        <w:drawing>
          <wp:inline distT="0" distB="0" distL="0" distR="0" wp14:anchorId="23B3B5E6" wp14:editId="2E56561E">
            <wp:extent cx="4638892" cy="3487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0872" cy="3526206"/>
                    </a:xfrm>
                    <a:prstGeom prst="rect">
                      <a:avLst/>
                    </a:prstGeom>
                    <a:noFill/>
                    <a:ln>
                      <a:noFill/>
                    </a:ln>
                  </pic:spPr>
                </pic:pic>
              </a:graphicData>
            </a:graphic>
          </wp:inline>
        </w:drawing>
      </w:r>
    </w:p>
    <w:p w14:paraId="5B96A016" w14:textId="22AE2E48" w:rsidR="0059524E" w:rsidRPr="00F81169" w:rsidRDefault="0059524E" w:rsidP="00437D85">
      <w:pPr>
        <w:tabs>
          <w:tab w:val="left" w:pos="1968"/>
        </w:tabs>
        <w:spacing w:after="0" w:line="360" w:lineRule="auto"/>
        <w:jc w:val="both"/>
        <w:rPr>
          <w:rFonts w:ascii="Times New Roman" w:hAnsi="Times New Roman"/>
          <w:sz w:val="24"/>
          <w:szCs w:val="24"/>
        </w:rPr>
      </w:pPr>
      <w:r w:rsidRPr="00F81169">
        <w:rPr>
          <w:rFonts w:ascii="Times New Roman" w:hAnsi="Times New Roman"/>
          <w:b/>
          <w:bCs/>
          <w:sz w:val="24"/>
          <w:szCs w:val="24"/>
        </w:rPr>
        <w:t>Table S2</w:t>
      </w:r>
      <w:r w:rsidRPr="00F81169">
        <w:rPr>
          <w:rFonts w:ascii="Times New Roman" w:hAnsi="Times New Roman"/>
          <w:sz w:val="24"/>
          <w:szCs w:val="24"/>
        </w:rPr>
        <w:t xml:space="preserve"> The method recovery percentage of mercury by ICP-MS during the experiment (Detection limit - 0.73 µg/L).</w:t>
      </w:r>
    </w:p>
    <w:tbl>
      <w:tblPr>
        <w:tblW w:w="7949" w:type="dxa"/>
        <w:jc w:val="center"/>
        <w:tblBorders>
          <w:top w:val="single" w:sz="4" w:space="0" w:color="auto"/>
          <w:bottom w:val="single" w:sz="4" w:space="0" w:color="auto"/>
        </w:tblBorders>
        <w:tblLook w:val="04A0" w:firstRow="1" w:lastRow="0" w:firstColumn="1" w:lastColumn="0" w:noHBand="0" w:noVBand="1"/>
      </w:tblPr>
      <w:tblGrid>
        <w:gridCol w:w="2552"/>
        <w:gridCol w:w="2551"/>
        <w:gridCol w:w="1189"/>
        <w:gridCol w:w="1657"/>
      </w:tblGrid>
      <w:tr w:rsidR="0059524E" w:rsidRPr="00F81169" w14:paraId="7EDE0894" w14:textId="77777777" w:rsidTr="000116BD">
        <w:trPr>
          <w:trHeight w:val="300"/>
          <w:jc w:val="center"/>
        </w:trPr>
        <w:tc>
          <w:tcPr>
            <w:tcW w:w="2552" w:type="dxa"/>
            <w:tcBorders>
              <w:top w:val="single" w:sz="4" w:space="0" w:color="auto"/>
              <w:bottom w:val="single" w:sz="4" w:space="0" w:color="auto"/>
            </w:tcBorders>
            <w:shd w:val="clear" w:color="auto" w:fill="auto"/>
            <w:noWrap/>
            <w:vAlign w:val="center"/>
            <w:hideMark/>
          </w:tcPr>
          <w:p w14:paraId="3C884468" w14:textId="77777777" w:rsidR="0059524E" w:rsidRPr="00F81169" w:rsidRDefault="0059524E" w:rsidP="000116BD">
            <w:pPr>
              <w:spacing w:after="0" w:line="360" w:lineRule="auto"/>
              <w:jc w:val="center"/>
              <w:rPr>
                <w:rFonts w:ascii="Times New Roman" w:eastAsia="Times New Roman" w:hAnsi="Times New Roman"/>
                <w:b/>
                <w:sz w:val="24"/>
                <w:szCs w:val="24"/>
              </w:rPr>
            </w:pPr>
            <w:r w:rsidRPr="00F81169">
              <w:rPr>
                <w:rFonts w:ascii="Times New Roman" w:eastAsia="Times New Roman" w:hAnsi="Times New Roman"/>
                <w:b/>
                <w:sz w:val="24"/>
                <w:szCs w:val="24"/>
              </w:rPr>
              <w:t>Nominal concentration (</w:t>
            </w:r>
            <w:r w:rsidRPr="00F81169">
              <w:rPr>
                <w:rFonts w:ascii="Times New Roman" w:hAnsi="Times New Roman"/>
                <w:b/>
                <w:bCs/>
                <w:sz w:val="24"/>
                <w:szCs w:val="24"/>
              </w:rPr>
              <w:t>mg/L</w:t>
            </w:r>
            <w:r w:rsidRPr="00F81169">
              <w:rPr>
                <w:rFonts w:ascii="Times New Roman" w:eastAsia="Times New Roman" w:hAnsi="Times New Roman"/>
                <w:b/>
                <w:sz w:val="24"/>
                <w:szCs w:val="24"/>
              </w:rPr>
              <w:t>)</w:t>
            </w:r>
          </w:p>
        </w:tc>
        <w:tc>
          <w:tcPr>
            <w:tcW w:w="2551" w:type="dxa"/>
            <w:tcBorders>
              <w:top w:val="single" w:sz="4" w:space="0" w:color="auto"/>
              <w:bottom w:val="single" w:sz="4" w:space="0" w:color="auto"/>
            </w:tcBorders>
            <w:shd w:val="clear" w:color="auto" w:fill="auto"/>
            <w:noWrap/>
            <w:vAlign w:val="center"/>
            <w:hideMark/>
          </w:tcPr>
          <w:p w14:paraId="52B53082" w14:textId="77777777" w:rsidR="0059524E" w:rsidRPr="00F81169" w:rsidRDefault="0059524E" w:rsidP="000116BD">
            <w:pPr>
              <w:spacing w:after="0" w:line="360" w:lineRule="auto"/>
              <w:jc w:val="center"/>
              <w:rPr>
                <w:rFonts w:ascii="Times New Roman" w:eastAsia="Times New Roman" w:hAnsi="Times New Roman"/>
                <w:b/>
                <w:sz w:val="24"/>
                <w:szCs w:val="24"/>
              </w:rPr>
            </w:pPr>
            <w:r w:rsidRPr="00F81169">
              <w:rPr>
                <w:rFonts w:ascii="Times New Roman" w:eastAsia="Times New Roman" w:hAnsi="Times New Roman"/>
                <w:b/>
                <w:sz w:val="24"/>
                <w:szCs w:val="24"/>
              </w:rPr>
              <w:t>Measured concentration (</w:t>
            </w:r>
            <w:r w:rsidRPr="00F81169">
              <w:rPr>
                <w:rFonts w:ascii="Times New Roman" w:hAnsi="Times New Roman"/>
                <w:b/>
                <w:bCs/>
                <w:sz w:val="24"/>
                <w:szCs w:val="24"/>
              </w:rPr>
              <w:t>mg/L</w:t>
            </w:r>
            <w:r w:rsidRPr="00F81169">
              <w:rPr>
                <w:rFonts w:ascii="Times New Roman" w:eastAsia="Times New Roman" w:hAnsi="Times New Roman"/>
                <w:b/>
                <w:sz w:val="24"/>
                <w:szCs w:val="24"/>
              </w:rPr>
              <w:t>)</w:t>
            </w:r>
          </w:p>
        </w:tc>
        <w:tc>
          <w:tcPr>
            <w:tcW w:w="1189" w:type="dxa"/>
            <w:tcBorders>
              <w:top w:val="single" w:sz="4" w:space="0" w:color="auto"/>
              <w:bottom w:val="single" w:sz="4" w:space="0" w:color="auto"/>
            </w:tcBorders>
            <w:shd w:val="clear" w:color="auto" w:fill="auto"/>
            <w:noWrap/>
            <w:vAlign w:val="center"/>
            <w:hideMark/>
          </w:tcPr>
          <w:p w14:paraId="0C12C631" w14:textId="77777777" w:rsidR="0059524E" w:rsidRPr="00F81169" w:rsidRDefault="0059524E" w:rsidP="000116BD">
            <w:pPr>
              <w:spacing w:after="0" w:line="360" w:lineRule="auto"/>
              <w:jc w:val="center"/>
              <w:rPr>
                <w:rFonts w:ascii="Times New Roman" w:eastAsia="Times New Roman" w:hAnsi="Times New Roman"/>
                <w:b/>
                <w:sz w:val="24"/>
                <w:szCs w:val="24"/>
              </w:rPr>
            </w:pPr>
            <w:r w:rsidRPr="00F81169">
              <w:rPr>
                <w:rFonts w:ascii="Times New Roman" w:eastAsia="Times New Roman" w:hAnsi="Times New Roman"/>
                <w:b/>
                <w:sz w:val="24"/>
                <w:szCs w:val="24"/>
              </w:rPr>
              <w:t>Recovery (%)</w:t>
            </w:r>
          </w:p>
        </w:tc>
        <w:tc>
          <w:tcPr>
            <w:tcW w:w="1657" w:type="dxa"/>
            <w:tcBorders>
              <w:top w:val="single" w:sz="4" w:space="0" w:color="auto"/>
              <w:bottom w:val="single" w:sz="4" w:space="0" w:color="auto"/>
            </w:tcBorders>
            <w:shd w:val="clear" w:color="auto" w:fill="auto"/>
            <w:noWrap/>
            <w:vAlign w:val="center"/>
            <w:hideMark/>
          </w:tcPr>
          <w:p w14:paraId="474A0CE8" w14:textId="77777777" w:rsidR="0059524E" w:rsidRPr="00F81169" w:rsidRDefault="0059524E" w:rsidP="000116BD">
            <w:pPr>
              <w:spacing w:after="0" w:line="360" w:lineRule="auto"/>
              <w:jc w:val="center"/>
              <w:rPr>
                <w:rFonts w:ascii="Times New Roman" w:eastAsia="Times New Roman" w:hAnsi="Times New Roman"/>
                <w:b/>
                <w:sz w:val="24"/>
                <w:szCs w:val="24"/>
              </w:rPr>
            </w:pPr>
            <w:r w:rsidRPr="00F81169">
              <w:rPr>
                <w:rFonts w:ascii="Times New Roman" w:eastAsia="Times New Roman" w:hAnsi="Times New Roman"/>
                <w:b/>
                <w:sz w:val="24"/>
                <w:szCs w:val="24"/>
              </w:rPr>
              <w:t>Average recovery (%)</w:t>
            </w:r>
          </w:p>
        </w:tc>
      </w:tr>
      <w:tr w:rsidR="0059524E" w:rsidRPr="00F81169" w14:paraId="4D0208D9" w14:textId="77777777" w:rsidTr="000116BD">
        <w:trPr>
          <w:trHeight w:val="300"/>
          <w:jc w:val="center"/>
        </w:trPr>
        <w:tc>
          <w:tcPr>
            <w:tcW w:w="2552" w:type="dxa"/>
            <w:tcBorders>
              <w:top w:val="single" w:sz="4" w:space="0" w:color="auto"/>
            </w:tcBorders>
            <w:shd w:val="clear" w:color="auto" w:fill="auto"/>
            <w:noWrap/>
            <w:vAlign w:val="center"/>
            <w:hideMark/>
          </w:tcPr>
          <w:p w14:paraId="26FC0FFA"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0</w:t>
            </w:r>
          </w:p>
        </w:tc>
        <w:tc>
          <w:tcPr>
            <w:tcW w:w="2551" w:type="dxa"/>
            <w:tcBorders>
              <w:top w:val="single" w:sz="4" w:space="0" w:color="auto"/>
            </w:tcBorders>
            <w:shd w:val="clear" w:color="auto" w:fill="auto"/>
            <w:noWrap/>
            <w:hideMark/>
          </w:tcPr>
          <w:p w14:paraId="2EFDA730"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hAnsi="Times New Roman"/>
                <w:sz w:val="24"/>
                <w:szCs w:val="24"/>
              </w:rPr>
              <w:t>&lt; DL</w:t>
            </w:r>
          </w:p>
        </w:tc>
        <w:tc>
          <w:tcPr>
            <w:tcW w:w="1189" w:type="dxa"/>
            <w:tcBorders>
              <w:top w:val="single" w:sz="4" w:space="0" w:color="auto"/>
            </w:tcBorders>
            <w:shd w:val="clear" w:color="auto" w:fill="auto"/>
            <w:noWrap/>
            <w:vAlign w:val="center"/>
            <w:hideMark/>
          </w:tcPr>
          <w:p w14:paraId="5403AD36"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NC</w:t>
            </w:r>
          </w:p>
        </w:tc>
        <w:tc>
          <w:tcPr>
            <w:tcW w:w="1657" w:type="dxa"/>
            <w:vMerge w:val="restart"/>
            <w:tcBorders>
              <w:top w:val="single" w:sz="4" w:space="0" w:color="auto"/>
            </w:tcBorders>
            <w:shd w:val="clear" w:color="auto" w:fill="auto"/>
            <w:noWrap/>
            <w:vAlign w:val="center"/>
            <w:hideMark/>
          </w:tcPr>
          <w:p w14:paraId="2C18C31D"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NC</w:t>
            </w:r>
          </w:p>
        </w:tc>
      </w:tr>
      <w:tr w:rsidR="0059524E" w:rsidRPr="00F81169" w14:paraId="6B954E88" w14:textId="77777777" w:rsidTr="000116BD">
        <w:trPr>
          <w:trHeight w:val="300"/>
          <w:jc w:val="center"/>
        </w:trPr>
        <w:tc>
          <w:tcPr>
            <w:tcW w:w="2552" w:type="dxa"/>
            <w:shd w:val="clear" w:color="auto" w:fill="auto"/>
            <w:noWrap/>
            <w:vAlign w:val="center"/>
            <w:hideMark/>
          </w:tcPr>
          <w:p w14:paraId="621A5A73"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0</w:t>
            </w:r>
          </w:p>
        </w:tc>
        <w:tc>
          <w:tcPr>
            <w:tcW w:w="2551" w:type="dxa"/>
            <w:shd w:val="clear" w:color="auto" w:fill="auto"/>
            <w:noWrap/>
            <w:hideMark/>
          </w:tcPr>
          <w:p w14:paraId="280CE404"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hAnsi="Times New Roman"/>
                <w:sz w:val="24"/>
                <w:szCs w:val="24"/>
              </w:rPr>
              <w:t>&lt; DL</w:t>
            </w:r>
          </w:p>
        </w:tc>
        <w:tc>
          <w:tcPr>
            <w:tcW w:w="1189" w:type="dxa"/>
            <w:shd w:val="clear" w:color="auto" w:fill="auto"/>
            <w:noWrap/>
            <w:vAlign w:val="center"/>
            <w:hideMark/>
          </w:tcPr>
          <w:p w14:paraId="1194390F"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NC</w:t>
            </w:r>
          </w:p>
        </w:tc>
        <w:tc>
          <w:tcPr>
            <w:tcW w:w="1657" w:type="dxa"/>
            <w:vMerge/>
            <w:vAlign w:val="center"/>
            <w:hideMark/>
          </w:tcPr>
          <w:p w14:paraId="7E5DB27D" w14:textId="77777777" w:rsidR="0059524E" w:rsidRPr="00F81169" w:rsidRDefault="0059524E" w:rsidP="000116BD">
            <w:pPr>
              <w:spacing w:after="0" w:line="360" w:lineRule="auto"/>
              <w:jc w:val="center"/>
              <w:rPr>
                <w:rFonts w:ascii="Times New Roman" w:eastAsia="Times New Roman" w:hAnsi="Times New Roman"/>
                <w:sz w:val="24"/>
                <w:szCs w:val="24"/>
              </w:rPr>
            </w:pPr>
          </w:p>
        </w:tc>
      </w:tr>
      <w:tr w:rsidR="0059524E" w:rsidRPr="00F81169" w14:paraId="09E4FBBE" w14:textId="77777777" w:rsidTr="000116BD">
        <w:trPr>
          <w:trHeight w:val="300"/>
          <w:jc w:val="center"/>
        </w:trPr>
        <w:tc>
          <w:tcPr>
            <w:tcW w:w="2552" w:type="dxa"/>
            <w:shd w:val="clear" w:color="auto" w:fill="auto"/>
            <w:noWrap/>
            <w:vAlign w:val="center"/>
            <w:hideMark/>
          </w:tcPr>
          <w:p w14:paraId="59F2B19D"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0</w:t>
            </w:r>
          </w:p>
        </w:tc>
        <w:tc>
          <w:tcPr>
            <w:tcW w:w="2551" w:type="dxa"/>
            <w:shd w:val="clear" w:color="auto" w:fill="auto"/>
            <w:noWrap/>
            <w:hideMark/>
          </w:tcPr>
          <w:p w14:paraId="4E94B7C4"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hAnsi="Times New Roman"/>
                <w:sz w:val="24"/>
                <w:szCs w:val="24"/>
              </w:rPr>
              <w:t>&lt; DL</w:t>
            </w:r>
          </w:p>
        </w:tc>
        <w:tc>
          <w:tcPr>
            <w:tcW w:w="1189" w:type="dxa"/>
            <w:shd w:val="clear" w:color="auto" w:fill="auto"/>
            <w:noWrap/>
            <w:vAlign w:val="center"/>
            <w:hideMark/>
          </w:tcPr>
          <w:p w14:paraId="3A5AAAFA"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NC</w:t>
            </w:r>
          </w:p>
        </w:tc>
        <w:tc>
          <w:tcPr>
            <w:tcW w:w="1657" w:type="dxa"/>
            <w:vMerge/>
            <w:vAlign w:val="center"/>
            <w:hideMark/>
          </w:tcPr>
          <w:p w14:paraId="435E0B51" w14:textId="77777777" w:rsidR="0059524E" w:rsidRPr="00F81169" w:rsidRDefault="0059524E" w:rsidP="000116BD">
            <w:pPr>
              <w:spacing w:after="0" w:line="360" w:lineRule="auto"/>
              <w:jc w:val="center"/>
              <w:rPr>
                <w:rFonts w:ascii="Times New Roman" w:eastAsia="Times New Roman" w:hAnsi="Times New Roman"/>
                <w:sz w:val="24"/>
                <w:szCs w:val="24"/>
              </w:rPr>
            </w:pPr>
          </w:p>
        </w:tc>
      </w:tr>
      <w:tr w:rsidR="0059524E" w:rsidRPr="00F81169" w14:paraId="6F079B9C" w14:textId="77777777" w:rsidTr="000116BD">
        <w:trPr>
          <w:trHeight w:val="300"/>
          <w:jc w:val="center"/>
        </w:trPr>
        <w:tc>
          <w:tcPr>
            <w:tcW w:w="2552" w:type="dxa"/>
            <w:shd w:val="clear" w:color="auto" w:fill="auto"/>
            <w:noWrap/>
            <w:vAlign w:val="center"/>
            <w:hideMark/>
          </w:tcPr>
          <w:p w14:paraId="309A6F48"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50</w:t>
            </w:r>
          </w:p>
        </w:tc>
        <w:tc>
          <w:tcPr>
            <w:tcW w:w="2551" w:type="dxa"/>
            <w:shd w:val="clear" w:color="auto" w:fill="auto"/>
            <w:noWrap/>
            <w:vAlign w:val="center"/>
            <w:hideMark/>
          </w:tcPr>
          <w:p w14:paraId="2FABED08"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44.08</w:t>
            </w:r>
          </w:p>
        </w:tc>
        <w:tc>
          <w:tcPr>
            <w:tcW w:w="1189" w:type="dxa"/>
            <w:shd w:val="clear" w:color="auto" w:fill="auto"/>
            <w:noWrap/>
            <w:vAlign w:val="center"/>
            <w:hideMark/>
          </w:tcPr>
          <w:p w14:paraId="71B11782"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88.16</w:t>
            </w:r>
          </w:p>
        </w:tc>
        <w:tc>
          <w:tcPr>
            <w:tcW w:w="1657" w:type="dxa"/>
            <w:vMerge w:val="restart"/>
            <w:shd w:val="clear" w:color="auto" w:fill="auto"/>
            <w:noWrap/>
            <w:vAlign w:val="center"/>
            <w:hideMark/>
          </w:tcPr>
          <w:p w14:paraId="31DFBAA2" w14:textId="77777777" w:rsidR="0059524E" w:rsidRPr="00F81169" w:rsidRDefault="0059524E" w:rsidP="000116BD">
            <w:pPr>
              <w:spacing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92.81 ± 3.27</w:t>
            </w:r>
          </w:p>
        </w:tc>
      </w:tr>
      <w:tr w:rsidR="0059524E" w:rsidRPr="00F81169" w14:paraId="1F948018" w14:textId="77777777" w:rsidTr="000116BD">
        <w:trPr>
          <w:trHeight w:val="300"/>
          <w:jc w:val="center"/>
        </w:trPr>
        <w:tc>
          <w:tcPr>
            <w:tcW w:w="2552" w:type="dxa"/>
            <w:shd w:val="clear" w:color="auto" w:fill="auto"/>
            <w:noWrap/>
            <w:vAlign w:val="center"/>
            <w:hideMark/>
          </w:tcPr>
          <w:p w14:paraId="11E9A9CF"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50</w:t>
            </w:r>
          </w:p>
        </w:tc>
        <w:tc>
          <w:tcPr>
            <w:tcW w:w="2551" w:type="dxa"/>
            <w:shd w:val="clear" w:color="auto" w:fill="auto"/>
            <w:noWrap/>
            <w:vAlign w:val="center"/>
            <w:hideMark/>
          </w:tcPr>
          <w:p w14:paraId="4C2420AC"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45.41</w:t>
            </w:r>
          </w:p>
        </w:tc>
        <w:tc>
          <w:tcPr>
            <w:tcW w:w="1189" w:type="dxa"/>
            <w:shd w:val="clear" w:color="auto" w:fill="auto"/>
            <w:noWrap/>
            <w:vAlign w:val="center"/>
            <w:hideMark/>
          </w:tcPr>
          <w:p w14:paraId="21064259"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90.82</w:t>
            </w:r>
          </w:p>
        </w:tc>
        <w:tc>
          <w:tcPr>
            <w:tcW w:w="1657" w:type="dxa"/>
            <w:vMerge/>
            <w:vAlign w:val="center"/>
            <w:hideMark/>
          </w:tcPr>
          <w:p w14:paraId="082C1E56" w14:textId="77777777" w:rsidR="0059524E" w:rsidRPr="00F81169" w:rsidRDefault="0059524E" w:rsidP="000116BD">
            <w:pPr>
              <w:spacing w:line="360" w:lineRule="auto"/>
              <w:jc w:val="center"/>
              <w:rPr>
                <w:rFonts w:ascii="Times New Roman" w:eastAsia="Times New Roman" w:hAnsi="Times New Roman"/>
                <w:sz w:val="24"/>
                <w:szCs w:val="24"/>
              </w:rPr>
            </w:pPr>
          </w:p>
        </w:tc>
      </w:tr>
      <w:tr w:rsidR="0059524E" w:rsidRPr="00F81169" w14:paraId="5C744E23" w14:textId="77777777" w:rsidTr="000116BD">
        <w:trPr>
          <w:trHeight w:val="300"/>
          <w:jc w:val="center"/>
        </w:trPr>
        <w:tc>
          <w:tcPr>
            <w:tcW w:w="2552" w:type="dxa"/>
            <w:shd w:val="clear" w:color="auto" w:fill="auto"/>
            <w:noWrap/>
            <w:vAlign w:val="center"/>
            <w:hideMark/>
          </w:tcPr>
          <w:p w14:paraId="1F02CAB3"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50</w:t>
            </w:r>
          </w:p>
        </w:tc>
        <w:tc>
          <w:tcPr>
            <w:tcW w:w="2551" w:type="dxa"/>
            <w:shd w:val="clear" w:color="auto" w:fill="auto"/>
            <w:noWrap/>
            <w:vAlign w:val="center"/>
            <w:hideMark/>
          </w:tcPr>
          <w:p w14:paraId="4926EE6C"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46.07</w:t>
            </w:r>
          </w:p>
        </w:tc>
        <w:tc>
          <w:tcPr>
            <w:tcW w:w="1189" w:type="dxa"/>
            <w:shd w:val="clear" w:color="auto" w:fill="auto"/>
            <w:noWrap/>
            <w:vAlign w:val="center"/>
            <w:hideMark/>
          </w:tcPr>
          <w:p w14:paraId="75958451"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92.14</w:t>
            </w:r>
          </w:p>
        </w:tc>
        <w:tc>
          <w:tcPr>
            <w:tcW w:w="1657" w:type="dxa"/>
            <w:vMerge/>
            <w:vAlign w:val="center"/>
            <w:hideMark/>
          </w:tcPr>
          <w:p w14:paraId="04020486" w14:textId="77777777" w:rsidR="0059524E" w:rsidRPr="00F81169" w:rsidRDefault="0059524E" w:rsidP="000116BD">
            <w:pPr>
              <w:spacing w:line="360" w:lineRule="auto"/>
              <w:jc w:val="center"/>
              <w:rPr>
                <w:rFonts w:ascii="Times New Roman" w:eastAsia="Times New Roman" w:hAnsi="Times New Roman"/>
                <w:sz w:val="24"/>
                <w:szCs w:val="24"/>
              </w:rPr>
            </w:pPr>
          </w:p>
        </w:tc>
      </w:tr>
      <w:tr w:rsidR="0059524E" w:rsidRPr="00F81169" w14:paraId="2A7A2979" w14:textId="77777777" w:rsidTr="000116BD">
        <w:trPr>
          <w:trHeight w:val="300"/>
          <w:jc w:val="center"/>
        </w:trPr>
        <w:tc>
          <w:tcPr>
            <w:tcW w:w="2552" w:type="dxa"/>
            <w:shd w:val="clear" w:color="auto" w:fill="auto"/>
            <w:noWrap/>
            <w:vAlign w:val="center"/>
            <w:hideMark/>
          </w:tcPr>
          <w:p w14:paraId="74E67D29"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100</w:t>
            </w:r>
          </w:p>
        </w:tc>
        <w:tc>
          <w:tcPr>
            <w:tcW w:w="2551" w:type="dxa"/>
            <w:shd w:val="clear" w:color="auto" w:fill="auto"/>
            <w:noWrap/>
            <w:vAlign w:val="center"/>
            <w:hideMark/>
          </w:tcPr>
          <w:p w14:paraId="495C960A"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93.85</w:t>
            </w:r>
          </w:p>
        </w:tc>
        <w:tc>
          <w:tcPr>
            <w:tcW w:w="1189" w:type="dxa"/>
            <w:shd w:val="clear" w:color="auto" w:fill="auto"/>
            <w:noWrap/>
            <w:vAlign w:val="center"/>
            <w:hideMark/>
          </w:tcPr>
          <w:p w14:paraId="7FF4D91E"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93.85</w:t>
            </w:r>
          </w:p>
        </w:tc>
        <w:tc>
          <w:tcPr>
            <w:tcW w:w="1657" w:type="dxa"/>
            <w:vMerge/>
            <w:shd w:val="clear" w:color="auto" w:fill="auto"/>
            <w:noWrap/>
            <w:vAlign w:val="center"/>
            <w:hideMark/>
          </w:tcPr>
          <w:p w14:paraId="6F3A4BC8" w14:textId="77777777" w:rsidR="0059524E" w:rsidRPr="00F81169" w:rsidRDefault="0059524E" w:rsidP="000116BD">
            <w:pPr>
              <w:spacing w:after="0" w:line="360" w:lineRule="auto"/>
              <w:jc w:val="center"/>
              <w:rPr>
                <w:rFonts w:ascii="Times New Roman" w:eastAsia="Times New Roman" w:hAnsi="Times New Roman"/>
                <w:sz w:val="24"/>
                <w:szCs w:val="24"/>
              </w:rPr>
            </w:pPr>
          </w:p>
        </w:tc>
      </w:tr>
      <w:tr w:rsidR="0059524E" w:rsidRPr="00F81169" w14:paraId="7EFDE501" w14:textId="77777777" w:rsidTr="000116BD">
        <w:trPr>
          <w:trHeight w:val="300"/>
          <w:jc w:val="center"/>
        </w:trPr>
        <w:tc>
          <w:tcPr>
            <w:tcW w:w="2552" w:type="dxa"/>
            <w:shd w:val="clear" w:color="auto" w:fill="auto"/>
            <w:noWrap/>
            <w:vAlign w:val="center"/>
            <w:hideMark/>
          </w:tcPr>
          <w:p w14:paraId="2B95DD80"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100</w:t>
            </w:r>
          </w:p>
        </w:tc>
        <w:tc>
          <w:tcPr>
            <w:tcW w:w="2551" w:type="dxa"/>
            <w:shd w:val="clear" w:color="auto" w:fill="auto"/>
            <w:noWrap/>
            <w:vAlign w:val="center"/>
            <w:hideMark/>
          </w:tcPr>
          <w:p w14:paraId="2F5F4979"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97.77</w:t>
            </w:r>
          </w:p>
        </w:tc>
        <w:tc>
          <w:tcPr>
            <w:tcW w:w="1189" w:type="dxa"/>
            <w:shd w:val="clear" w:color="auto" w:fill="auto"/>
            <w:noWrap/>
            <w:vAlign w:val="center"/>
            <w:hideMark/>
          </w:tcPr>
          <w:p w14:paraId="759275DB"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97.77</w:t>
            </w:r>
          </w:p>
        </w:tc>
        <w:tc>
          <w:tcPr>
            <w:tcW w:w="1657" w:type="dxa"/>
            <w:vMerge/>
            <w:vAlign w:val="center"/>
            <w:hideMark/>
          </w:tcPr>
          <w:p w14:paraId="0EC036AB" w14:textId="77777777" w:rsidR="0059524E" w:rsidRPr="00F81169" w:rsidRDefault="0059524E" w:rsidP="000116BD">
            <w:pPr>
              <w:spacing w:after="0" w:line="360" w:lineRule="auto"/>
              <w:jc w:val="center"/>
              <w:rPr>
                <w:rFonts w:ascii="Times New Roman" w:eastAsia="Times New Roman" w:hAnsi="Times New Roman"/>
                <w:sz w:val="24"/>
                <w:szCs w:val="24"/>
              </w:rPr>
            </w:pPr>
          </w:p>
        </w:tc>
      </w:tr>
      <w:tr w:rsidR="0059524E" w:rsidRPr="00F81169" w14:paraId="6CA21DA9" w14:textId="77777777" w:rsidTr="000116BD">
        <w:trPr>
          <w:trHeight w:val="300"/>
          <w:jc w:val="center"/>
        </w:trPr>
        <w:tc>
          <w:tcPr>
            <w:tcW w:w="2552" w:type="dxa"/>
            <w:shd w:val="clear" w:color="auto" w:fill="auto"/>
            <w:noWrap/>
            <w:vAlign w:val="center"/>
            <w:hideMark/>
          </w:tcPr>
          <w:p w14:paraId="6D4761FA"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100</w:t>
            </w:r>
          </w:p>
        </w:tc>
        <w:tc>
          <w:tcPr>
            <w:tcW w:w="2551" w:type="dxa"/>
            <w:shd w:val="clear" w:color="auto" w:fill="auto"/>
            <w:noWrap/>
            <w:vAlign w:val="center"/>
            <w:hideMark/>
          </w:tcPr>
          <w:p w14:paraId="6686B585"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94.15</w:t>
            </w:r>
          </w:p>
        </w:tc>
        <w:tc>
          <w:tcPr>
            <w:tcW w:w="1189" w:type="dxa"/>
            <w:shd w:val="clear" w:color="auto" w:fill="auto"/>
            <w:noWrap/>
            <w:vAlign w:val="center"/>
            <w:hideMark/>
          </w:tcPr>
          <w:p w14:paraId="58EE9957" w14:textId="77777777" w:rsidR="0059524E" w:rsidRPr="00F81169" w:rsidRDefault="0059524E" w:rsidP="000116BD">
            <w:pPr>
              <w:spacing w:after="0" w:line="360" w:lineRule="auto"/>
              <w:jc w:val="center"/>
              <w:rPr>
                <w:rFonts w:ascii="Times New Roman" w:eastAsia="Times New Roman" w:hAnsi="Times New Roman"/>
                <w:sz w:val="24"/>
                <w:szCs w:val="24"/>
              </w:rPr>
            </w:pPr>
            <w:r w:rsidRPr="00F81169">
              <w:rPr>
                <w:rFonts w:ascii="Times New Roman" w:eastAsia="Times New Roman" w:hAnsi="Times New Roman"/>
                <w:sz w:val="24"/>
                <w:szCs w:val="24"/>
              </w:rPr>
              <w:t>94.15</w:t>
            </w:r>
          </w:p>
        </w:tc>
        <w:tc>
          <w:tcPr>
            <w:tcW w:w="1657" w:type="dxa"/>
            <w:vMerge/>
            <w:vAlign w:val="center"/>
            <w:hideMark/>
          </w:tcPr>
          <w:p w14:paraId="547D7945" w14:textId="77777777" w:rsidR="0059524E" w:rsidRPr="00F81169" w:rsidRDefault="0059524E" w:rsidP="000116BD">
            <w:pPr>
              <w:spacing w:after="0" w:line="360" w:lineRule="auto"/>
              <w:jc w:val="center"/>
              <w:rPr>
                <w:rFonts w:ascii="Times New Roman" w:eastAsia="Times New Roman" w:hAnsi="Times New Roman"/>
                <w:sz w:val="24"/>
                <w:szCs w:val="24"/>
              </w:rPr>
            </w:pPr>
          </w:p>
        </w:tc>
      </w:tr>
    </w:tbl>
    <w:p w14:paraId="2258D52E" w14:textId="77777777" w:rsidR="0059524E" w:rsidRPr="00F81169" w:rsidRDefault="0059524E" w:rsidP="0059524E">
      <w:pPr>
        <w:shd w:val="clear" w:color="auto" w:fill="FFFFFF"/>
        <w:spacing w:before="240" w:line="480" w:lineRule="auto"/>
        <w:jc w:val="both"/>
        <w:rPr>
          <w:rFonts w:ascii="Times New Roman" w:hAnsi="Times New Roman"/>
          <w:sz w:val="24"/>
          <w:szCs w:val="24"/>
        </w:rPr>
      </w:pPr>
      <w:r w:rsidRPr="00F81169">
        <w:rPr>
          <w:rFonts w:ascii="Times New Roman" w:hAnsi="Times New Roman"/>
          <w:sz w:val="24"/>
          <w:szCs w:val="24"/>
        </w:rPr>
        <w:t>&lt; DL: B</w:t>
      </w:r>
      <w:r w:rsidRPr="00F81169">
        <w:rPr>
          <w:rFonts w:ascii="Times New Roman" w:hAnsi="Times New Roman"/>
          <w:sz w:val="24"/>
          <w:szCs w:val="24"/>
          <w:shd w:val="clear" w:color="auto" w:fill="FFFFFF"/>
        </w:rPr>
        <w:t>elow detection limit, NC: Not calculated</w:t>
      </w:r>
    </w:p>
    <w:p w14:paraId="67731964" w14:textId="1245B8AB" w:rsidR="004946D2" w:rsidRPr="00F81169" w:rsidRDefault="00A46377" w:rsidP="00824467">
      <w:pPr>
        <w:pStyle w:val="ListParagraph"/>
        <w:tabs>
          <w:tab w:val="left" w:pos="1691"/>
        </w:tabs>
        <w:autoSpaceDE w:val="0"/>
        <w:autoSpaceDN w:val="0"/>
        <w:adjustRightInd w:val="0"/>
        <w:spacing w:line="360" w:lineRule="auto"/>
        <w:ind w:left="0"/>
        <w:jc w:val="both"/>
        <w:rPr>
          <w:rFonts w:ascii="Times New Roman" w:hAnsi="Times New Roman"/>
          <w:i/>
          <w:sz w:val="24"/>
          <w:szCs w:val="24"/>
        </w:rPr>
      </w:pPr>
      <w:r w:rsidRPr="00F81169">
        <w:rPr>
          <w:rFonts w:ascii="Times New Roman" w:hAnsi="Times New Roman"/>
          <w:i/>
          <w:sz w:val="24"/>
          <w:szCs w:val="24"/>
        </w:rPr>
        <w:lastRenderedPageBreak/>
        <w:t>Antibiotic tolerance of isolates</w:t>
      </w:r>
    </w:p>
    <w:p w14:paraId="17CA4081" w14:textId="7DB8034B" w:rsidR="00B674EA" w:rsidRPr="00F81169" w:rsidRDefault="00AA072F" w:rsidP="00B674EA">
      <w:pPr>
        <w:pStyle w:val="ListParagraph"/>
        <w:tabs>
          <w:tab w:val="left" w:pos="1691"/>
        </w:tabs>
        <w:autoSpaceDE w:val="0"/>
        <w:autoSpaceDN w:val="0"/>
        <w:adjustRightInd w:val="0"/>
        <w:spacing w:line="360" w:lineRule="auto"/>
        <w:ind w:left="0"/>
        <w:jc w:val="both"/>
        <w:rPr>
          <w:rFonts w:ascii="Times New Roman" w:hAnsi="Times New Roman"/>
          <w:i/>
          <w:sz w:val="24"/>
          <w:szCs w:val="24"/>
        </w:rPr>
      </w:pPr>
      <w:r w:rsidRPr="00F81169">
        <w:rPr>
          <w:rFonts w:ascii="Times New Roman" w:hAnsi="Times New Roman"/>
          <w:sz w:val="24"/>
          <w:szCs w:val="24"/>
        </w:rPr>
        <w:t>T</w:t>
      </w:r>
      <w:r w:rsidR="00B674EA" w:rsidRPr="00F81169">
        <w:rPr>
          <w:rFonts w:ascii="Times New Roman" w:hAnsi="Times New Roman"/>
          <w:sz w:val="24"/>
          <w:szCs w:val="24"/>
        </w:rPr>
        <w:t>he strains were found to resist different antibiotics. The isolate NIOT-EQR_J7 showed resistance against 11 antibiotics, whereas isolate NIOT-EQR_J248, isolate NIOT-EQR_J251 and isolate NIOT-EQR_J258 were resistant against 3, 2, and 4 antibiotics, respectively. In this study, t</w:t>
      </w:r>
      <w:r w:rsidR="00B674EA" w:rsidRPr="00F81169">
        <w:rPr>
          <w:rFonts w:ascii="Times New Roman" w:hAnsi="Times New Roman"/>
          <w:sz w:val="24"/>
          <w:szCs w:val="24"/>
          <w:lang w:val="en-US"/>
        </w:rPr>
        <w:t xml:space="preserve">he maximum zone of inhibition of 35 mm was shown by </w:t>
      </w:r>
      <w:r w:rsidR="00B674EA" w:rsidRPr="00F81169">
        <w:rPr>
          <w:rFonts w:ascii="Times New Roman" w:hAnsi="Times New Roman"/>
          <w:sz w:val="24"/>
          <w:szCs w:val="24"/>
        </w:rPr>
        <w:t>NIOT-EQR_J251</w:t>
      </w:r>
      <w:r w:rsidR="00B674EA" w:rsidRPr="00F81169">
        <w:rPr>
          <w:rFonts w:ascii="Times New Roman" w:hAnsi="Times New Roman"/>
          <w:sz w:val="24"/>
          <w:szCs w:val="24"/>
          <w:lang w:val="en-US"/>
        </w:rPr>
        <w:t xml:space="preserve"> against CTX 30 </w:t>
      </w:r>
      <w:r w:rsidR="00B674EA" w:rsidRPr="00F81169">
        <w:rPr>
          <w:rFonts w:ascii="Times New Roman" w:hAnsi="Times New Roman"/>
          <w:sz w:val="24"/>
          <w:szCs w:val="24"/>
        </w:rPr>
        <w:t>μg</w:t>
      </w:r>
      <w:r w:rsidR="00B674EA" w:rsidRPr="00F81169">
        <w:rPr>
          <w:rFonts w:ascii="Times New Roman" w:hAnsi="Times New Roman"/>
          <w:sz w:val="24"/>
          <w:szCs w:val="24"/>
          <w:lang w:val="en-US"/>
        </w:rPr>
        <w:t xml:space="preserve">. However, the minimum zone of inhibition of 12 mm showed by </w:t>
      </w:r>
      <w:r w:rsidR="00B674EA" w:rsidRPr="00F81169">
        <w:rPr>
          <w:rFonts w:ascii="Times New Roman" w:hAnsi="Times New Roman"/>
          <w:sz w:val="24"/>
          <w:szCs w:val="24"/>
        </w:rPr>
        <w:t xml:space="preserve">NIOT-EQR_J7 and NIOT-EQR_J251 </w:t>
      </w:r>
      <w:r w:rsidR="00B674EA" w:rsidRPr="00F81169">
        <w:rPr>
          <w:rFonts w:ascii="Times New Roman" w:hAnsi="Times New Roman"/>
          <w:sz w:val="24"/>
          <w:szCs w:val="24"/>
          <w:lang w:val="en-US"/>
        </w:rPr>
        <w:t xml:space="preserve">against GM 10 </w:t>
      </w:r>
      <w:r w:rsidR="00B674EA" w:rsidRPr="00F81169">
        <w:rPr>
          <w:rFonts w:ascii="Times New Roman" w:hAnsi="Times New Roman"/>
          <w:sz w:val="24"/>
          <w:szCs w:val="24"/>
        </w:rPr>
        <w:t>μg</w:t>
      </w:r>
      <w:r w:rsidR="00B674EA" w:rsidRPr="00F81169">
        <w:rPr>
          <w:rFonts w:ascii="Times New Roman" w:hAnsi="Times New Roman"/>
          <w:sz w:val="24"/>
          <w:szCs w:val="24"/>
          <w:lang w:val="en-US"/>
        </w:rPr>
        <w:t xml:space="preserve"> and AMC 30 </w:t>
      </w:r>
      <w:r w:rsidR="00B674EA" w:rsidRPr="00F81169">
        <w:rPr>
          <w:rFonts w:ascii="Times New Roman" w:hAnsi="Times New Roman"/>
          <w:sz w:val="24"/>
          <w:szCs w:val="24"/>
        </w:rPr>
        <w:t>μg</w:t>
      </w:r>
      <w:r w:rsidR="00B674EA" w:rsidRPr="00F81169">
        <w:rPr>
          <w:rFonts w:ascii="Times New Roman" w:hAnsi="Times New Roman"/>
          <w:sz w:val="24"/>
          <w:szCs w:val="24"/>
          <w:lang w:val="en-US"/>
        </w:rPr>
        <w:t xml:space="preserve">, respectively. The detailed results of </w:t>
      </w:r>
      <w:r w:rsidR="00B674EA" w:rsidRPr="00F81169">
        <w:rPr>
          <w:rFonts w:ascii="Times New Roman" w:hAnsi="Times New Roman"/>
          <w:sz w:val="24"/>
          <w:szCs w:val="24"/>
        </w:rPr>
        <w:t xml:space="preserve">tolerance of isolates against various antibiotics are shown in Table S3. Environmental bacteria codified the same genetic element such as plasmids and transposons for toxic metal resistance genes and antimicrobial drugs </w:t>
      </w:r>
      <w:r w:rsidR="00B674EA" w:rsidRPr="00F81169">
        <w:rPr>
          <w:rFonts w:ascii="Times New Roman" w:hAnsi="Times New Roman"/>
          <w:color w:val="4472C4" w:themeColor="accent1"/>
          <w:sz w:val="24"/>
          <w:szCs w:val="24"/>
        </w:rPr>
        <w:t>(Wang et al. 2006; Hassen et al. 1998)</w:t>
      </w:r>
      <w:r w:rsidR="00B674EA" w:rsidRPr="00F81169">
        <w:rPr>
          <w:rFonts w:ascii="Times New Roman" w:hAnsi="Times New Roman"/>
          <w:sz w:val="24"/>
          <w:szCs w:val="24"/>
        </w:rPr>
        <w:t xml:space="preserve">. Consequently, metal and antibiotic resistance have been found and characterized in several bacterial systems at the molecular level </w:t>
      </w:r>
      <w:r w:rsidR="00B674EA" w:rsidRPr="00F81169">
        <w:rPr>
          <w:rFonts w:ascii="Times New Roman" w:hAnsi="Times New Roman"/>
          <w:color w:val="4472C4" w:themeColor="accent1"/>
          <w:sz w:val="24"/>
          <w:szCs w:val="24"/>
        </w:rPr>
        <w:t>(Lee et al. 2001)</w:t>
      </w:r>
      <w:r w:rsidR="00B674EA" w:rsidRPr="00F81169">
        <w:rPr>
          <w:rFonts w:ascii="Times New Roman" w:hAnsi="Times New Roman"/>
          <w:sz w:val="24"/>
          <w:szCs w:val="24"/>
        </w:rPr>
        <w:t xml:space="preserve">. </w:t>
      </w:r>
      <w:r w:rsidRPr="00F81169">
        <w:rPr>
          <w:rFonts w:ascii="Times New Roman" w:hAnsi="Times New Roman"/>
          <w:sz w:val="24"/>
          <w:szCs w:val="24"/>
        </w:rPr>
        <w:t xml:space="preserve">The antibiotic tolerance of </w:t>
      </w:r>
      <w:r w:rsidR="00B674EA" w:rsidRPr="00F81169">
        <w:rPr>
          <w:rFonts w:ascii="Times New Roman" w:hAnsi="Times New Roman"/>
          <w:sz w:val="24"/>
          <w:szCs w:val="24"/>
        </w:rPr>
        <w:t xml:space="preserve">isolates </w:t>
      </w:r>
      <w:r w:rsidR="00C91B56" w:rsidRPr="00F81169">
        <w:rPr>
          <w:rFonts w:ascii="Times New Roman" w:hAnsi="Times New Roman"/>
          <w:sz w:val="24"/>
          <w:szCs w:val="24"/>
        </w:rPr>
        <w:t>is</w:t>
      </w:r>
      <w:r w:rsidR="00B674EA" w:rsidRPr="00F81169">
        <w:rPr>
          <w:rFonts w:ascii="Times New Roman" w:hAnsi="Times New Roman"/>
          <w:sz w:val="24"/>
          <w:szCs w:val="24"/>
        </w:rPr>
        <w:t xml:space="preserve"> of interest as they </w:t>
      </w:r>
      <w:r w:rsidR="00C91B56" w:rsidRPr="00F81169">
        <w:rPr>
          <w:rFonts w:ascii="Times New Roman" w:hAnsi="Times New Roman"/>
          <w:sz w:val="24"/>
          <w:szCs w:val="24"/>
        </w:rPr>
        <w:t xml:space="preserve">are </w:t>
      </w:r>
      <w:r w:rsidR="00B674EA" w:rsidRPr="00F81169">
        <w:rPr>
          <w:rFonts w:ascii="Times New Roman" w:hAnsi="Times New Roman"/>
          <w:sz w:val="24"/>
          <w:szCs w:val="24"/>
        </w:rPr>
        <w:t>promis</w:t>
      </w:r>
      <w:r w:rsidR="00C91B56" w:rsidRPr="00F81169">
        <w:rPr>
          <w:rFonts w:ascii="Times New Roman" w:hAnsi="Times New Roman"/>
          <w:sz w:val="24"/>
          <w:szCs w:val="24"/>
        </w:rPr>
        <w:t>ing candidates</w:t>
      </w:r>
      <w:r w:rsidR="00B674EA" w:rsidRPr="00F81169">
        <w:rPr>
          <w:rFonts w:ascii="Times New Roman" w:hAnsi="Times New Roman"/>
          <w:sz w:val="24"/>
          <w:szCs w:val="24"/>
        </w:rPr>
        <w:t xml:space="preserve"> for bioremediation of </w:t>
      </w:r>
      <w:r w:rsidR="00C91B56" w:rsidRPr="00F81169">
        <w:rPr>
          <w:rFonts w:ascii="Times New Roman" w:hAnsi="Times New Roman"/>
          <w:sz w:val="24"/>
          <w:szCs w:val="24"/>
        </w:rPr>
        <w:t>Hg</w:t>
      </w:r>
      <w:r w:rsidR="00B674EA" w:rsidRPr="00F81169">
        <w:rPr>
          <w:rFonts w:ascii="Times New Roman" w:hAnsi="Times New Roman"/>
          <w:sz w:val="24"/>
          <w:szCs w:val="24"/>
        </w:rPr>
        <w:t>.</w:t>
      </w:r>
    </w:p>
    <w:p w14:paraId="16D88A9C" w14:textId="77777777" w:rsidR="00D06C90" w:rsidRPr="00F81169" w:rsidRDefault="00D06C90" w:rsidP="00B674EA">
      <w:pPr>
        <w:pStyle w:val="ListParagraph"/>
        <w:tabs>
          <w:tab w:val="left" w:pos="1691"/>
        </w:tabs>
        <w:autoSpaceDE w:val="0"/>
        <w:autoSpaceDN w:val="0"/>
        <w:adjustRightInd w:val="0"/>
        <w:spacing w:before="240" w:line="360" w:lineRule="auto"/>
        <w:ind w:left="0"/>
        <w:jc w:val="both"/>
        <w:rPr>
          <w:rFonts w:ascii="Times New Roman" w:hAnsi="Times New Roman"/>
          <w:b/>
          <w:bCs/>
          <w:sz w:val="24"/>
          <w:szCs w:val="24"/>
        </w:rPr>
      </w:pPr>
    </w:p>
    <w:p w14:paraId="1A6EA933" w14:textId="17B85D1B" w:rsidR="00B674EA" w:rsidRPr="00F81169" w:rsidRDefault="00B674EA" w:rsidP="00B674EA">
      <w:pPr>
        <w:pStyle w:val="ListParagraph"/>
        <w:tabs>
          <w:tab w:val="left" w:pos="1691"/>
        </w:tabs>
        <w:autoSpaceDE w:val="0"/>
        <w:autoSpaceDN w:val="0"/>
        <w:adjustRightInd w:val="0"/>
        <w:spacing w:before="240" w:line="360" w:lineRule="auto"/>
        <w:ind w:left="0"/>
        <w:jc w:val="both"/>
        <w:rPr>
          <w:rFonts w:ascii="Times New Roman" w:hAnsi="Times New Roman"/>
          <w:i/>
          <w:sz w:val="24"/>
          <w:szCs w:val="24"/>
        </w:rPr>
      </w:pPr>
      <w:r w:rsidRPr="00F81169">
        <w:rPr>
          <w:rFonts w:ascii="Times New Roman" w:hAnsi="Times New Roman"/>
          <w:b/>
          <w:bCs/>
          <w:sz w:val="24"/>
          <w:szCs w:val="24"/>
        </w:rPr>
        <w:t>Table S3</w:t>
      </w:r>
      <w:r w:rsidRPr="00F81169">
        <w:rPr>
          <w:rFonts w:ascii="Times New Roman" w:hAnsi="Times New Roman"/>
          <w:sz w:val="24"/>
          <w:szCs w:val="24"/>
        </w:rPr>
        <w:t xml:space="preserve"> Tolerance of MRB and MMRB isolates against various antibiotics tested in the MHA medium</w:t>
      </w:r>
    </w:p>
    <w:tbl>
      <w:tblPr>
        <w:tblpPr w:leftFromText="180" w:rightFromText="180" w:vertAnchor="page" w:horzAnchor="margin" w:tblpY="8401"/>
        <w:tblW w:w="9871" w:type="dxa"/>
        <w:tblBorders>
          <w:top w:val="single" w:sz="4" w:space="0" w:color="auto"/>
          <w:bottom w:val="single" w:sz="4" w:space="0" w:color="auto"/>
        </w:tblBorders>
        <w:tblLook w:val="04A0" w:firstRow="1" w:lastRow="0" w:firstColumn="1" w:lastColumn="0" w:noHBand="0" w:noVBand="1"/>
      </w:tblPr>
      <w:tblGrid>
        <w:gridCol w:w="1552"/>
        <w:gridCol w:w="1910"/>
        <w:gridCol w:w="2150"/>
        <w:gridCol w:w="2126"/>
        <w:gridCol w:w="2133"/>
      </w:tblGrid>
      <w:tr w:rsidR="00B674EA" w:rsidRPr="00F81169" w14:paraId="26EE37C0" w14:textId="77777777" w:rsidTr="00D06C90">
        <w:tc>
          <w:tcPr>
            <w:tcW w:w="1552" w:type="dxa"/>
            <w:vMerge w:val="restart"/>
            <w:tcBorders>
              <w:top w:val="single" w:sz="4" w:space="0" w:color="auto"/>
            </w:tcBorders>
            <w:vAlign w:val="center"/>
          </w:tcPr>
          <w:p w14:paraId="055A228F" w14:textId="77777777" w:rsidR="00B674EA" w:rsidRPr="00F81169" w:rsidRDefault="00B674EA" w:rsidP="00D06C90">
            <w:pPr>
              <w:pStyle w:val="ListParagraph"/>
              <w:tabs>
                <w:tab w:val="left" w:pos="2448"/>
                <w:tab w:val="left" w:pos="3038"/>
              </w:tabs>
              <w:autoSpaceDE w:val="0"/>
              <w:autoSpaceDN w:val="0"/>
              <w:adjustRightInd w:val="0"/>
              <w:spacing w:after="0" w:line="276" w:lineRule="auto"/>
              <w:ind w:left="0"/>
              <w:rPr>
                <w:rFonts w:ascii="Times New Roman" w:hAnsi="Times New Roman"/>
                <w:b/>
                <w:sz w:val="24"/>
                <w:szCs w:val="24"/>
              </w:rPr>
            </w:pPr>
            <w:r w:rsidRPr="00F81169">
              <w:rPr>
                <w:rFonts w:ascii="Times New Roman" w:hAnsi="Times New Roman"/>
                <w:b/>
                <w:sz w:val="24"/>
                <w:szCs w:val="24"/>
              </w:rPr>
              <w:t>Antibiotics</w:t>
            </w:r>
          </w:p>
        </w:tc>
        <w:tc>
          <w:tcPr>
            <w:tcW w:w="8319" w:type="dxa"/>
            <w:gridSpan w:val="4"/>
            <w:tcBorders>
              <w:top w:val="single" w:sz="4" w:space="0" w:color="auto"/>
              <w:bottom w:val="single" w:sz="4" w:space="0" w:color="auto"/>
            </w:tcBorders>
          </w:tcPr>
          <w:p w14:paraId="6DEC8D1B"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bCs/>
                <w:sz w:val="24"/>
                <w:szCs w:val="24"/>
                <w:lang w:val="en-US"/>
              </w:rPr>
            </w:pPr>
            <w:r w:rsidRPr="00F81169">
              <w:rPr>
                <w:rFonts w:ascii="Times New Roman" w:hAnsi="Times New Roman"/>
                <w:b/>
                <w:bCs/>
                <w:sz w:val="24"/>
                <w:szCs w:val="24"/>
                <w:lang w:val="en-US"/>
              </w:rPr>
              <w:t>Culture &amp; diameter of inhibition zone (mm)</w:t>
            </w:r>
          </w:p>
        </w:tc>
      </w:tr>
      <w:tr w:rsidR="00B674EA" w:rsidRPr="00F81169" w14:paraId="472CE003" w14:textId="77777777" w:rsidTr="00D06C90">
        <w:tc>
          <w:tcPr>
            <w:tcW w:w="1552" w:type="dxa"/>
            <w:vMerge/>
            <w:tcBorders>
              <w:bottom w:val="single" w:sz="4" w:space="0" w:color="auto"/>
            </w:tcBorders>
          </w:tcPr>
          <w:p w14:paraId="1BDD8CC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sz w:val="24"/>
                <w:szCs w:val="24"/>
                <w:lang w:val="en-US"/>
              </w:rPr>
            </w:pPr>
          </w:p>
        </w:tc>
        <w:tc>
          <w:tcPr>
            <w:tcW w:w="1910" w:type="dxa"/>
            <w:tcBorders>
              <w:top w:val="single" w:sz="4" w:space="0" w:color="auto"/>
              <w:bottom w:val="single" w:sz="4" w:space="0" w:color="auto"/>
            </w:tcBorders>
          </w:tcPr>
          <w:p w14:paraId="1D6F7C5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sz w:val="24"/>
                <w:szCs w:val="24"/>
              </w:rPr>
            </w:pPr>
            <w:r w:rsidRPr="00F81169">
              <w:rPr>
                <w:rFonts w:ascii="Times New Roman" w:hAnsi="Times New Roman"/>
                <w:b/>
                <w:sz w:val="24"/>
                <w:szCs w:val="24"/>
              </w:rPr>
              <w:t>NIOT-EQR_</w:t>
            </w:r>
            <w:r w:rsidRPr="00F81169">
              <w:rPr>
                <w:rFonts w:ascii="Times New Roman" w:hAnsi="Times New Roman"/>
                <w:b/>
                <w:iCs/>
                <w:sz w:val="24"/>
                <w:szCs w:val="24"/>
              </w:rPr>
              <w:t>J7</w:t>
            </w:r>
          </w:p>
        </w:tc>
        <w:tc>
          <w:tcPr>
            <w:tcW w:w="2150" w:type="dxa"/>
            <w:tcBorders>
              <w:top w:val="single" w:sz="4" w:space="0" w:color="auto"/>
              <w:bottom w:val="single" w:sz="4" w:space="0" w:color="auto"/>
            </w:tcBorders>
          </w:tcPr>
          <w:p w14:paraId="59014C8D"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sz w:val="24"/>
                <w:szCs w:val="24"/>
              </w:rPr>
            </w:pPr>
            <w:r w:rsidRPr="00F81169">
              <w:rPr>
                <w:rFonts w:ascii="Times New Roman" w:hAnsi="Times New Roman"/>
                <w:b/>
                <w:sz w:val="24"/>
                <w:szCs w:val="24"/>
              </w:rPr>
              <w:t>NIOT-EQR_</w:t>
            </w:r>
            <w:r w:rsidRPr="00F81169">
              <w:rPr>
                <w:rFonts w:ascii="Times New Roman" w:hAnsi="Times New Roman"/>
                <w:b/>
                <w:iCs/>
                <w:sz w:val="24"/>
                <w:szCs w:val="24"/>
              </w:rPr>
              <w:t>J248</w:t>
            </w:r>
          </w:p>
        </w:tc>
        <w:tc>
          <w:tcPr>
            <w:tcW w:w="2126" w:type="dxa"/>
            <w:tcBorders>
              <w:top w:val="single" w:sz="4" w:space="0" w:color="auto"/>
              <w:bottom w:val="single" w:sz="4" w:space="0" w:color="auto"/>
            </w:tcBorders>
          </w:tcPr>
          <w:p w14:paraId="21E2933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sz w:val="24"/>
                <w:szCs w:val="24"/>
              </w:rPr>
            </w:pPr>
            <w:r w:rsidRPr="00F81169">
              <w:rPr>
                <w:rFonts w:ascii="Times New Roman" w:hAnsi="Times New Roman"/>
                <w:b/>
                <w:sz w:val="24"/>
                <w:szCs w:val="24"/>
              </w:rPr>
              <w:t>NIOT-EQR_</w:t>
            </w:r>
            <w:r w:rsidRPr="00F81169">
              <w:rPr>
                <w:rFonts w:ascii="Times New Roman" w:hAnsi="Times New Roman"/>
                <w:b/>
                <w:iCs/>
                <w:sz w:val="24"/>
                <w:szCs w:val="24"/>
              </w:rPr>
              <w:t>J251</w:t>
            </w:r>
          </w:p>
        </w:tc>
        <w:tc>
          <w:tcPr>
            <w:tcW w:w="2133" w:type="dxa"/>
            <w:tcBorders>
              <w:top w:val="single" w:sz="4" w:space="0" w:color="auto"/>
              <w:bottom w:val="single" w:sz="4" w:space="0" w:color="auto"/>
            </w:tcBorders>
          </w:tcPr>
          <w:p w14:paraId="0C377915"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rPr>
                <w:rFonts w:ascii="Times New Roman" w:hAnsi="Times New Roman"/>
                <w:b/>
                <w:bCs/>
                <w:sz w:val="24"/>
                <w:szCs w:val="24"/>
                <w:lang w:val="en-US"/>
              </w:rPr>
            </w:pPr>
            <w:r w:rsidRPr="00F81169">
              <w:rPr>
                <w:rFonts w:ascii="Times New Roman" w:hAnsi="Times New Roman"/>
                <w:b/>
                <w:sz w:val="24"/>
                <w:szCs w:val="24"/>
              </w:rPr>
              <w:t>NIOT-EQR_</w:t>
            </w:r>
            <w:r w:rsidRPr="00F81169">
              <w:rPr>
                <w:rFonts w:ascii="Times New Roman" w:hAnsi="Times New Roman"/>
                <w:b/>
                <w:iCs/>
                <w:sz w:val="24"/>
                <w:szCs w:val="24"/>
              </w:rPr>
              <w:t>J258</w:t>
            </w:r>
          </w:p>
        </w:tc>
      </w:tr>
      <w:tr w:rsidR="00B674EA" w:rsidRPr="00F81169" w14:paraId="07153D8B" w14:textId="77777777" w:rsidTr="00D06C90">
        <w:tc>
          <w:tcPr>
            <w:tcW w:w="1552" w:type="dxa"/>
            <w:tcBorders>
              <w:top w:val="single" w:sz="4" w:space="0" w:color="auto"/>
              <w:bottom w:val="nil"/>
            </w:tcBorders>
          </w:tcPr>
          <w:p w14:paraId="1F9AB493"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rPr>
            </w:pPr>
            <w:r w:rsidRPr="00F81169">
              <w:rPr>
                <w:rFonts w:ascii="Times New Roman" w:hAnsi="Times New Roman"/>
                <w:sz w:val="24"/>
                <w:szCs w:val="24"/>
                <w:lang w:val="en-US"/>
              </w:rPr>
              <w:t xml:space="preserve">AMC 30 </w:t>
            </w:r>
            <w:r w:rsidRPr="00F81169">
              <w:rPr>
                <w:rFonts w:ascii="Times New Roman" w:hAnsi="Times New Roman"/>
                <w:sz w:val="24"/>
                <w:szCs w:val="24"/>
              </w:rPr>
              <w:t xml:space="preserve"> μg</w:t>
            </w:r>
          </w:p>
        </w:tc>
        <w:tc>
          <w:tcPr>
            <w:tcW w:w="1910" w:type="dxa"/>
            <w:tcBorders>
              <w:top w:val="single" w:sz="4" w:space="0" w:color="auto"/>
              <w:bottom w:val="nil"/>
            </w:tcBorders>
          </w:tcPr>
          <w:p w14:paraId="0D0E2AF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bCs/>
                <w:kern w:val="24"/>
                <w:sz w:val="24"/>
                <w:szCs w:val="24"/>
                <w:lang w:val="en-US"/>
              </w:rPr>
              <w:t>0 (R)</w:t>
            </w:r>
          </w:p>
        </w:tc>
        <w:tc>
          <w:tcPr>
            <w:tcW w:w="2150" w:type="dxa"/>
            <w:tcBorders>
              <w:top w:val="single" w:sz="4" w:space="0" w:color="auto"/>
              <w:bottom w:val="nil"/>
            </w:tcBorders>
          </w:tcPr>
          <w:p w14:paraId="73923A96"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bCs/>
                <w:kern w:val="24"/>
                <w:sz w:val="24"/>
                <w:szCs w:val="24"/>
                <w:lang w:val="en-US"/>
              </w:rPr>
              <w:t>0 (R)</w:t>
            </w:r>
          </w:p>
        </w:tc>
        <w:tc>
          <w:tcPr>
            <w:tcW w:w="2126" w:type="dxa"/>
            <w:tcBorders>
              <w:top w:val="single" w:sz="4" w:space="0" w:color="auto"/>
              <w:bottom w:val="nil"/>
            </w:tcBorders>
          </w:tcPr>
          <w:p w14:paraId="4BDE80E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bCs/>
                <w:kern w:val="24"/>
                <w:sz w:val="24"/>
                <w:szCs w:val="24"/>
                <w:lang w:val="en-US"/>
              </w:rPr>
              <w:t xml:space="preserve">12 </w:t>
            </w:r>
            <w:r w:rsidRPr="00F81169">
              <w:rPr>
                <w:rFonts w:ascii="Times New Roman" w:hAnsi="Times New Roman"/>
                <w:kern w:val="24"/>
                <w:sz w:val="24"/>
                <w:szCs w:val="24"/>
                <w:lang w:val="en-US"/>
              </w:rPr>
              <w:t>(S)</w:t>
            </w:r>
          </w:p>
        </w:tc>
        <w:tc>
          <w:tcPr>
            <w:tcW w:w="2133" w:type="dxa"/>
            <w:tcBorders>
              <w:top w:val="single" w:sz="4" w:space="0" w:color="auto"/>
              <w:bottom w:val="nil"/>
            </w:tcBorders>
          </w:tcPr>
          <w:p w14:paraId="32050ECB"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bCs/>
                <w:kern w:val="24"/>
                <w:sz w:val="24"/>
                <w:szCs w:val="24"/>
                <w:lang w:val="en-US"/>
              </w:rPr>
              <w:t>0 (R)</w:t>
            </w:r>
          </w:p>
        </w:tc>
      </w:tr>
      <w:tr w:rsidR="00B674EA" w:rsidRPr="00F81169" w14:paraId="08BFF2F7" w14:textId="77777777" w:rsidTr="00D06C90">
        <w:tc>
          <w:tcPr>
            <w:tcW w:w="1552" w:type="dxa"/>
            <w:tcBorders>
              <w:top w:val="nil"/>
              <w:bottom w:val="nil"/>
            </w:tcBorders>
          </w:tcPr>
          <w:p w14:paraId="54E6AF06"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AMP 10 </w:t>
            </w:r>
            <w:r w:rsidRPr="00F81169">
              <w:rPr>
                <w:rFonts w:ascii="Times New Roman" w:hAnsi="Times New Roman"/>
                <w:sz w:val="24"/>
                <w:szCs w:val="24"/>
              </w:rPr>
              <w:t xml:space="preserve"> μg</w:t>
            </w:r>
          </w:p>
        </w:tc>
        <w:tc>
          <w:tcPr>
            <w:tcW w:w="1910" w:type="dxa"/>
            <w:tcBorders>
              <w:top w:val="nil"/>
              <w:bottom w:val="nil"/>
            </w:tcBorders>
          </w:tcPr>
          <w:p w14:paraId="30D5557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bCs/>
                <w:kern w:val="24"/>
                <w:sz w:val="24"/>
                <w:szCs w:val="24"/>
                <w:lang w:val="en-US"/>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Borders>
              <w:top w:val="nil"/>
              <w:bottom w:val="nil"/>
            </w:tcBorders>
          </w:tcPr>
          <w:p w14:paraId="033D943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bCs/>
                <w:kern w:val="24"/>
                <w:sz w:val="24"/>
                <w:szCs w:val="24"/>
                <w:lang w:val="en-US"/>
              </w:rPr>
            </w:pPr>
            <w:r w:rsidRPr="00F81169">
              <w:rPr>
                <w:rFonts w:ascii="Times New Roman" w:hAnsi="Times New Roman"/>
                <w:kern w:val="24"/>
                <w:sz w:val="24"/>
                <w:szCs w:val="24"/>
                <w:lang w:val="en-US"/>
              </w:rPr>
              <w:t>18 (S)</w:t>
            </w:r>
          </w:p>
        </w:tc>
        <w:tc>
          <w:tcPr>
            <w:tcW w:w="2126" w:type="dxa"/>
            <w:tcBorders>
              <w:top w:val="nil"/>
              <w:bottom w:val="nil"/>
            </w:tcBorders>
          </w:tcPr>
          <w:p w14:paraId="6C6C1330"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bCs/>
                <w:kern w:val="24"/>
                <w:sz w:val="24"/>
                <w:szCs w:val="24"/>
                <w:lang w:val="en-US"/>
              </w:rPr>
            </w:pPr>
            <w:r w:rsidRPr="00F81169">
              <w:rPr>
                <w:rFonts w:ascii="Times New Roman" w:hAnsi="Times New Roman"/>
                <w:kern w:val="24"/>
                <w:sz w:val="24"/>
                <w:szCs w:val="24"/>
                <w:lang w:val="en-US"/>
              </w:rPr>
              <w:t>22 (S)</w:t>
            </w:r>
          </w:p>
        </w:tc>
        <w:tc>
          <w:tcPr>
            <w:tcW w:w="2133" w:type="dxa"/>
            <w:tcBorders>
              <w:top w:val="nil"/>
              <w:bottom w:val="nil"/>
            </w:tcBorders>
          </w:tcPr>
          <w:p w14:paraId="09291965"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bCs/>
                <w:kern w:val="24"/>
                <w:sz w:val="24"/>
                <w:szCs w:val="24"/>
                <w:lang w:val="en-US"/>
              </w:rPr>
            </w:pPr>
            <w:r w:rsidRPr="00F81169">
              <w:rPr>
                <w:rFonts w:ascii="Times New Roman" w:hAnsi="Times New Roman"/>
                <w:kern w:val="24"/>
                <w:sz w:val="24"/>
                <w:szCs w:val="24"/>
                <w:lang w:val="en-US"/>
              </w:rPr>
              <w:t>29 (S)</w:t>
            </w:r>
          </w:p>
        </w:tc>
      </w:tr>
      <w:tr w:rsidR="00B674EA" w:rsidRPr="00F81169" w14:paraId="6768FF82" w14:textId="77777777" w:rsidTr="00D06C90">
        <w:tc>
          <w:tcPr>
            <w:tcW w:w="1552" w:type="dxa"/>
            <w:tcBorders>
              <w:top w:val="nil"/>
              <w:bottom w:val="nil"/>
            </w:tcBorders>
          </w:tcPr>
          <w:p w14:paraId="46D894D8"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AZM 15 </w:t>
            </w:r>
            <w:r w:rsidRPr="00F81169">
              <w:rPr>
                <w:rFonts w:ascii="Times New Roman" w:hAnsi="Times New Roman"/>
                <w:sz w:val="24"/>
                <w:szCs w:val="24"/>
              </w:rPr>
              <w:t xml:space="preserve"> μg</w:t>
            </w:r>
          </w:p>
        </w:tc>
        <w:tc>
          <w:tcPr>
            <w:tcW w:w="1910" w:type="dxa"/>
            <w:tcBorders>
              <w:top w:val="nil"/>
              <w:bottom w:val="nil"/>
            </w:tcBorders>
          </w:tcPr>
          <w:p w14:paraId="7DD2F54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Borders>
              <w:top w:val="nil"/>
              <w:bottom w:val="nil"/>
            </w:tcBorders>
          </w:tcPr>
          <w:p w14:paraId="21180088"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25 (S)</w:t>
            </w:r>
          </w:p>
        </w:tc>
        <w:tc>
          <w:tcPr>
            <w:tcW w:w="2126" w:type="dxa"/>
            <w:tcBorders>
              <w:top w:val="nil"/>
              <w:bottom w:val="nil"/>
            </w:tcBorders>
          </w:tcPr>
          <w:p w14:paraId="30D9182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26 (S)</w:t>
            </w:r>
          </w:p>
        </w:tc>
        <w:tc>
          <w:tcPr>
            <w:tcW w:w="2133" w:type="dxa"/>
            <w:tcBorders>
              <w:top w:val="nil"/>
              <w:bottom w:val="nil"/>
            </w:tcBorders>
          </w:tcPr>
          <w:p w14:paraId="13816E16"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r>
      <w:tr w:rsidR="00B674EA" w:rsidRPr="00F81169" w14:paraId="20B915AA" w14:textId="77777777" w:rsidTr="00D06C90">
        <w:tc>
          <w:tcPr>
            <w:tcW w:w="1552" w:type="dxa"/>
            <w:tcBorders>
              <w:top w:val="nil"/>
              <w:bottom w:val="nil"/>
            </w:tcBorders>
          </w:tcPr>
          <w:p w14:paraId="421EFCF0"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CTX 30 </w:t>
            </w:r>
            <w:r w:rsidRPr="00F81169">
              <w:rPr>
                <w:rFonts w:ascii="Times New Roman" w:hAnsi="Times New Roman"/>
                <w:sz w:val="24"/>
                <w:szCs w:val="24"/>
              </w:rPr>
              <w:t xml:space="preserve"> μg</w:t>
            </w:r>
          </w:p>
        </w:tc>
        <w:tc>
          <w:tcPr>
            <w:tcW w:w="1910" w:type="dxa"/>
            <w:tcBorders>
              <w:top w:val="nil"/>
              <w:bottom w:val="nil"/>
            </w:tcBorders>
          </w:tcPr>
          <w:p w14:paraId="39DA4D71"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sz w:val="24"/>
                <w:szCs w:val="24"/>
              </w:rPr>
              <w:t xml:space="preserve">31 </w:t>
            </w:r>
            <w:r w:rsidRPr="00F81169">
              <w:rPr>
                <w:rFonts w:ascii="Times New Roman" w:hAnsi="Times New Roman"/>
                <w:kern w:val="24"/>
                <w:sz w:val="24"/>
                <w:szCs w:val="24"/>
                <w:lang w:val="en-US"/>
              </w:rPr>
              <w:t>(S)</w:t>
            </w:r>
          </w:p>
        </w:tc>
        <w:tc>
          <w:tcPr>
            <w:tcW w:w="2150" w:type="dxa"/>
            <w:tcBorders>
              <w:top w:val="nil"/>
              <w:bottom w:val="nil"/>
            </w:tcBorders>
          </w:tcPr>
          <w:p w14:paraId="06D9C21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19 (S)</w:t>
            </w:r>
          </w:p>
        </w:tc>
        <w:tc>
          <w:tcPr>
            <w:tcW w:w="2126" w:type="dxa"/>
            <w:tcBorders>
              <w:top w:val="nil"/>
              <w:bottom w:val="nil"/>
            </w:tcBorders>
          </w:tcPr>
          <w:p w14:paraId="6AF8B91C"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35 (S)</w:t>
            </w:r>
          </w:p>
        </w:tc>
        <w:tc>
          <w:tcPr>
            <w:tcW w:w="2133" w:type="dxa"/>
            <w:tcBorders>
              <w:top w:val="nil"/>
              <w:bottom w:val="nil"/>
            </w:tcBorders>
          </w:tcPr>
          <w:p w14:paraId="62E25A8F"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22 (S)</w:t>
            </w:r>
          </w:p>
        </w:tc>
      </w:tr>
      <w:tr w:rsidR="00B674EA" w:rsidRPr="00F81169" w14:paraId="443D16B5" w14:textId="77777777" w:rsidTr="00D06C90">
        <w:tc>
          <w:tcPr>
            <w:tcW w:w="1552" w:type="dxa"/>
            <w:tcBorders>
              <w:top w:val="nil"/>
            </w:tcBorders>
          </w:tcPr>
          <w:p w14:paraId="7780DBF1"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CP 30 </w:t>
            </w:r>
            <w:r w:rsidRPr="00F81169">
              <w:rPr>
                <w:rFonts w:ascii="Times New Roman" w:hAnsi="Times New Roman"/>
                <w:sz w:val="24"/>
                <w:szCs w:val="24"/>
              </w:rPr>
              <w:t xml:space="preserve"> μg</w:t>
            </w:r>
          </w:p>
        </w:tc>
        <w:tc>
          <w:tcPr>
            <w:tcW w:w="1910" w:type="dxa"/>
            <w:tcBorders>
              <w:top w:val="nil"/>
            </w:tcBorders>
          </w:tcPr>
          <w:p w14:paraId="2582ADC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Borders>
              <w:top w:val="nil"/>
            </w:tcBorders>
          </w:tcPr>
          <w:p w14:paraId="2152780D"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32 (S)</w:t>
            </w:r>
          </w:p>
        </w:tc>
        <w:tc>
          <w:tcPr>
            <w:tcW w:w="2126" w:type="dxa"/>
            <w:tcBorders>
              <w:top w:val="nil"/>
            </w:tcBorders>
          </w:tcPr>
          <w:p w14:paraId="73D457BF"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31 (S)</w:t>
            </w:r>
          </w:p>
        </w:tc>
        <w:tc>
          <w:tcPr>
            <w:tcW w:w="2133" w:type="dxa"/>
            <w:tcBorders>
              <w:top w:val="nil"/>
            </w:tcBorders>
          </w:tcPr>
          <w:p w14:paraId="3437301A"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kern w:val="24"/>
                <w:sz w:val="24"/>
                <w:szCs w:val="24"/>
                <w:lang w:val="en-US"/>
              </w:rPr>
            </w:pPr>
            <w:r w:rsidRPr="00F81169">
              <w:rPr>
                <w:rFonts w:ascii="Times New Roman" w:hAnsi="Times New Roman"/>
                <w:kern w:val="24"/>
                <w:sz w:val="24"/>
                <w:szCs w:val="24"/>
                <w:lang w:val="en-US"/>
              </w:rPr>
              <w:t>32 (S)</w:t>
            </w:r>
          </w:p>
        </w:tc>
      </w:tr>
      <w:tr w:rsidR="00B674EA" w:rsidRPr="00F81169" w14:paraId="1BE63C61" w14:textId="77777777" w:rsidTr="00D06C90">
        <w:tc>
          <w:tcPr>
            <w:tcW w:w="1552" w:type="dxa"/>
          </w:tcPr>
          <w:p w14:paraId="769CFF9B"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rPr>
            </w:pPr>
            <w:r w:rsidRPr="00F81169">
              <w:rPr>
                <w:rFonts w:ascii="Times New Roman" w:hAnsi="Times New Roman"/>
                <w:sz w:val="24"/>
                <w:szCs w:val="24"/>
                <w:lang w:val="en-US"/>
              </w:rPr>
              <w:t xml:space="preserve">CFX 5 </w:t>
            </w:r>
            <w:r w:rsidRPr="00F81169">
              <w:rPr>
                <w:rFonts w:ascii="Times New Roman" w:hAnsi="Times New Roman"/>
                <w:sz w:val="24"/>
                <w:szCs w:val="24"/>
              </w:rPr>
              <w:t xml:space="preserve"> μg</w:t>
            </w:r>
          </w:p>
        </w:tc>
        <w:tc>
          <w:tcPr>
            <w:tcW w:w="1910" w:type="dxa"/>
          </w:tcPr>
          <w:p w14:paraId="0006E60F"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23B46D98"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28 (S)</w:t>
            </w:r>
          </w:p>
        </w:tc>
        <w:tc>
          <w:tcPr>
            <w:tcW w:w="2126" w:type="dxa"/>
          </w:tcPr>
          <w:p w14:paraId="5BDD372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25 (S)</w:t>
            </w:r>
          </w:p>
        </w:tc>
        <w:tc>
          <w:tcPr>
            <w:tcW w:w="2133" w:type="dxa"/>
          </w:tcPr>
          <w:p w14:paraId="509915CD"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24 (S)</w:t>
            </w:r>
          </w:p>
        </w:tc>
      </w:tr>
      <w:tr w:rsidR="00B674EA" w:rsidRPr="00F81169" w14:paraId="045DDDC0" w14:textId="77777777" w:rsidTr="00D06C90">
        <w:tc>
          <w:tcPr>
            <w:tcW w:w="1552" w:type="dxa"/>
          </w:tcPr>
          <w:p w14:paraId="6AA72615"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rPr>
            </w:pPr>
            <w:r w:rsidRPr="00F81169">
              <w:rPr>
                <w:rFonts w:ascii="Times New Roman" w:hAnsi="Times New Roman"/>
                <w:sz w:val="24"/>
                <w:szCs w:val="24"/>
                <w:lang w:val="en-US"/>
              </w:rPr>
              <w:t xml:space="preserve">EM 15 </w:t>
            </w:r>
            <w:r w:rsidRPr="00F81169">
              <w:rPr>
                <w:rFonts w:ascii="Times New Roman" w:hAnsi="Times New Roman"/>
                <w:sz w:val="24"/>
                <w:szCs w:val="24"/>
              </w:rPr>
              <w:t xml:space="preserve"> μg</w:t>
            </w:r>
          </w:p>
        </w:tc>
        <w:tc>
          <w:tcPr>
            <w:tcW w:w="1910" w:type="dxa"/>
          </w:tcPr>
          <w:p w14:paraId="296CF375"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53C4A4B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19 (S)</w:t>
            </w:r>
          </w:p>
        </w:tc>
        <w:tc>
          <w:tcPr>
            <w:tcW w:w="2126" w:type="dxa"/>
          </w:tcPr>
          <w:p w14:paraId="39EF2EA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22 (S)</w:t>
            </w:r>
          </w:p>
        </w:tc>
        <w:tc>
          <w:tcPr>
            <w:tcW w:w="2133" w:type="dxa"/>
          </w:tcPr>
          <w:p w14:paraId="27DDD5C0"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30 (S)</w:t>
            </w:r>
          </w:p>
        </w:tc>
      </w:tr>
      <w:tr w:rsidR="00B674EA" w:rsidRPr="00F81169" w14:paraId="0B437EFD" w14:textId="77777777" w:rsidTr="00D06C90">
        <w:tc>
          <w:tcPr>
            <w:tcW w:w="1552" w:type="dxa"/>
          </w:tcPr>
          <w:p w14:paraId="2010CEAB"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rPr>
            </w:pPr>
            <w:r w:rsidRPr="00F81169">
              <w:rPr>
                <w:rFonts w:ascii="Times New Roman" w:hAnsi="Times New Roman"/>
                <w:sz w:val="24"/>
                <w:szCs w:val="24"/>
                <w:lang w:val="en-US"/>
              </w:rPr>
              <w:t xml:space="preserve">GFX 5 </w:t>
            </w:r>
            <w:r w:rsidRPr="00F81169">
              <w:rPr>
                <w:rFonts w:ascii="Times New Roman" w:hAnsi="Times New Roman"/>
                <w:sz w:val="24"/>
                <w:szCs w:val="24"/>
              </w:rPr>
              <w:t xml:space="preserve"> μg</w:t>
            </w:r>
          </w:p>
        </w:tc>
        <w:tc>
          <w:tcPr>
            <w:tcW w:w="1910" w:type="dxa"/>
          </w:tcPr>
          <w:p w14:paraId="3FD52746"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sz w:val="24"/>
                <w:szCs w:val="24"/>
              </w:rPr>
              <w:t xml:space="preserve">17 </w:t>
            </w:r>
            <w:r w:rsidRPr="00F81169">
              <w:rPr>
                <w:rFonts w:ascii="Times New Roman" w:hAnsi="Times New Roman"/>
                <w:kern w:val="24"/>
                <w:sz w:val="24"/>
                <w:szCs w:val="24"/>
                <w:lang w:val="en-US"/>
              </w:rPr>
              <w:t>(S)</w:t>
            </w:r>
          </w:p>
        </w:tc>
        <w:tc>
          <w:tcPr>
            <w:tcW w:w="2150" w:type="dxa"/>
          </w:tcPr>
          <w:p w14:paraId="6F50884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27 (S)</w:t>
            </w:r>
          </w:p>
        </w:tc>
        <w:tc>
          <w:tcPr>
            <w:tcW w:w="2126" w:type="dxa"/>
          </w:tcPr>
          <w:p w14:paraId="7F88586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27 (S)</w:t>
            </w:r>
          </w:p>
        </w:tc>
        <w:tc>
          <w:tcPr>
            <w:tcW w:w="2133" w:type="dxa"/>
          </w:tcPr>
          <w:p w14:paraId="2CB3DD74"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18 (S)</w:t>
            </w:r>
          </w:p>
        </w:tc>
      </w:tr>
      <w:tr w:rsidR="00B674EA" w:rsidRPr="00F81169" w14:paraId="4561E867" w14:textId="77777777" w:rsidTr="00D06C90">
        <w:tc>
          <w:tcPr>
            <w:tcW w:w="1552" w:type="dxa"/>
          </w:tcPr>
          <w:p w14:paraId="376B6D34"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GM 10 </w:t>
            </w:r>
            <w:r w:rsidRPr="00F81169">
              <w:rPr>
                <w:rFonts w:ascii="Times New Roman" w:hAnsi="Times New Roman"/>
                <w:sz w:val="24"/>
                <w:szCs w:val="24"/>
              </w:rPr>
              <w:t xml:space="preserve"> μg</w:t>
            </w:r>
          </w:p>
        </w:tc>
        <w:tc>
          <w:tcPr>
            <w:tcW w:w="1910" w:type="dxa"/>
          </w:tcPr>
          <w:p w14:paraId="2F492DB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12 (S)</w:t>
            </w:r>
          </w:p>
        </w:tc>
        <w:tc>
          <w:tcPr>
            <w:tcW w:w="2150" w:type="dxa"/>
          </w:tcPr>
          <w:p w14:paraId="256ADC48"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21 (S)</w:t>
            </w:r>
          </w:p>
        </w:tc>
        <w:tc>
          <w:tcPr>
            <w:tcW w:w="2126" w:type="dxa"/>
          </w:tcPr>
          <w:p w14:paraId="0F918F1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22 (S)</w:t>
            </w:r>
          </w:p>
        </w:tc>
        <w:tc>
          <w:tcPr>
            <w:tcW w:w="2133" w:type="dxa"/>
          </w:tcPr>
          <w:p w14:paraId="5E2B7CDC"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18 (S)</w:t>
            </w:r>
          </w:p>
        </w:tc>
      </w:tr>
      <w:tr w:rsidR="00B674EA" w:rsidRPr="00F81169" w14:paraId="32EE8A01" w14:textId="77777777" w:rsidTr="00D06C90">
        <w:tc>
          <w:tcPr>
            <w:tcW w:w="1552" w:type="dxa"/>
          </w:tcPr>
          <w:p w14:paraId="581D8125"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KM 30 </w:t>
            </w:r>
            <w:r w:rsidRPr="00F81169">
              <w:rPr>
                <w:rFonts w:ascii="Times New Roman" w:hAnsi="Times New Roman"/>
                <w:sz w:val="24"/>
                <w:szCs w:val="24"/>
              </w:rPr>
              <w:t xml:space="preserve"> μg</w:t>
            </w:r>
          </w:p>
        </w:tc>
        <w:tc>
          <w:tcPr>
            <w:tcW w:w="1910" w:type="dxa"/>
          </w:tcPr>
          <w:p w14:paraId="7EF05E7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66646533"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14 (S)</w:t>
            </w:r>
          </w:p>
        </w:tc>
        <w:tc>
          <w:tcPr>
            <w:tcW w:w="2126" w:type="dxa"/>
          </w:tcPr>
          <w:p w14:paraId="348B467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16 (S)</w:t>
            </w:r>
          </w:p>
        </w:tc>
        <w:tc>
          <w:tcPr>
            <w:tcW w:w="2133" w:type="dxa"/>
          </w:tcPr>
          <w:p w14:paraId="5E1A52FD"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17 (S)</w:t>
            </w:r>
          </w:p>
        </w:tc>
      </w:tr>
      <w:tr w:rsidR="00B674EA" w:rsidRPr="00F81169" w14:paraId="12FD5847" w14:textId="77777777" w:rsidTr="00D06C90">
        <w:tc>
          <w:tcPr>
            <w:tcW w:w="1552" w:type="dxa"/>
          </w:tcPr>
          <w:p w14:paraId="043116E4"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MC 5 </w:t>
            </w:r>
            <w:r w:rsidRPr="00F81169">
              <w:rPr>
                <w:rFonts w:ascii="Times New Roman" w:hAnsi="Times New Roman"/>
                <w:sz w:val="24"/>
                <w:szCs w:val="24"/>
              </w:rPr>
              <w:t xml:space="preserve"> μg</w:t>
            </w:r>
          </w:p>
        </w:tc>
        <w:tc>
          <w:tcPr>
            <w:tcW w:w="1910" w:type="dxa"/>
          </w:tcPr>
          <w:p w14:paraId="6A47EA17"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63EC5636"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26" w:type="dxa"/>
          </w:tcPr>
          <w:p w14:paraId="7CB437FF"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33" w:type="dxa"/>
          </w:tcPr>
          <w:p w14:paraId="28D51E6F"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r>
      <w:tr w:rsidR="00B674EA" w:rsidRPr="00F81169" w14:paraId="6AE52254" w14:textId="77777777" w:rsidTr="00D06C90">
        <w:tc>
          <w:tcPr>
            <w:tcW w:w="1552" w:type="dxa"/>
          </w:tcPr>
          <w:p w14:paraId="1C304801"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NFX 10 </w:t>
            </w:r>
            <w:r w:rsidRPr="00F81169">
              <w:rPr>
                <w:rFonts w:ascii="Times New Roman" w:hAnsi="Times New Roman"/>
                <w:sz w:val="24"/>
                <w:szCs w:val="24"/>
              </w:rPr>
              <w:t xml:space="preserve"> μg</w:t>
            </w:r>
          </w:p>
        </w:tc>
        <w:tc>
          <w:tcPr>
            <w:tcW w:w="1910" w:type="dxa"/>
          </w:tcPr>
          <w:p w14:paraId="0347084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57159BA7"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27 (S)</w:t>
            </w:r>
          </w:p>
        </w:tc>
        <w:tc>
          <w:tcPr>
            <w:tcW w:w="2126" w:type="dxa"/>
          </w:tcPr>
          <w:p w14:paraId="73014C47"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22 (S)</w:t>
            </w:r>
          </w:p>
        </w:tc>
        <w:tc>
          <w:tcPr>
            <w:tcW w:w="2133" w:type="dxa"/>
          </w:tcPr>
          <w:p w14:paraId="13D8453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25 (S)</w:t>
            </w:r>
          </w:p>
        </w:tc>
      </w:tr>
      <w:tr w:rsidR="00B674EA" w:rsidRPr="00F81169" w14:paraId="1197774D" w14:textId="77777777" w:rsidTr="00D06C90">
        <w:tc>
          <w:tcPr>
            <w:tcW w:w="1552" w:type="dxa"/>
          </w:tcPr>
          <w:p w14:paraId="7362E34E"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SM 10 </w:t>
            </w:r>
            <w:r w:rsidRPr="00F81169">
              <w:rPr>
                <w:rFonts w:ascii="Times New Roman" w:hAnsi="Times New Roman"/>
                <w:sz w:val="24"/>
                <w:szCs w:val="24"/>
              </w:rPr>
              <w:t xml:space="preserve"> μg</w:t>
            </w:r>
          </w:p>
        </w:tc>
        <w:tc>
          <w:tcPr>
            <w:tcW w:w="1910" w:type="dxa"/>
          </w:tcPr>
          <w:p w14:paraId="33B70BAA"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10475AF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15 (S)</w:t>
            </w:r>
          </w:p>
        </w:tc>
        <w:tc>
          <w:tcPr>
            <w:tcW w:w="2126" w:type="dxa"/>
          </w:tcPr>
          <w:p w14:paraId="1C7A7AC6"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14 (S)</w:t>
            </w:r>
          </w:p>
        </w:tc>
        <w:tc>
          <w:tcPr>
            <w:tcW w:w="2133" w:type="dxa"/>
          </w:tcPr>
          <w:p w14:paraId="21C4AFC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18 (S)</w:t>
            </w:r>
          </w:p>
        </w:tc>
      </w:tr>
      <w:tr w:rsidR="00B674EA" w:rsidRPr="00F81169" w14:paraId="2F5800ED" w14:textId="77777777" w:rsidTr="00D06C90">
        <w:tc>
          <w:tcPr>
            <w:tcW w:w="1552" w:type="dxa"/>
          </w:tcPr>
          <w:p w14:paraId="7AC885EF"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TC 30 </w:t>
            </w:r>
            <w:r w:rsidRPr="00F81169">
              <w:rPr>
                <w:rFonts w:ascii="Times New Roman" w:hAnsi="Times New Roman"/>
                <w:sz w:val="24"/>
                <w:szCs w:val="24"/>
              </w:rPr>
              <w:t xml:space="preserve"> μg</w:t>
            </w:r>
          </w:p>
        </w:tc>
        <w:tc>
          <w:tcPr>
            <w:tcW w:w="1910" w:type="dxa"/>
          </w:tcPr>
          <w:p w14:paraId="79C70E2B"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21 (S)</w:t>
            </w:r>
          </w:p>
        </w:tc>
        <w:tc>
          <w:tcPr>
            <w:tcW w:w="2150" w:type="dxa"/>
          </w:tcPr>
          <w:p w14:paraId="64777AA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20 (S)</w:t>
            </w:r>
          </w:p>
        </w:tc>
        <w:tc>
          <w:tcPr>
            <w:tcW w:w="2126" w:type="dxa"/>
          </w:tcPr>
          <w:p w14:paraId="56A8922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18 (S)</w:t>
            </w:r>
          </w:p>
        </w:tc>
        <w:tc>
          <w:tcPr>
            <w:tcW w:w="2133" w:type="dxa"/>
          </w:tcPr>
          <w:p w14:paraId="1BFC0BA9"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21 (S)</w:t>
            </w:r>
          </w:p>
        </w:tc>
      </w:tr>
      <w:tr w:rsidR="00B674EA" w:rsidRPr="00F81169" w14:paraId="55B520B3" w14:textId="77777777" w:rsidTr="00D06C90">
        <w:tc>
          <w:tcPr>
            <w:tcW w:w="1552" w:type="dxa"/>
          </w:tcPr>
          <w:p w14:paraId="5E285638" w14:textId="77777777" w:rsidR="00B674EA" w:rsidRPr="00F81169" w:rsidRDefault="00B674EA" w:rsidP="00D06C90">
            <w:pPr>
              <w:tabs>
                <w:tab w:val="left" w:pos="3038"/>
                <w:tab w:val="left" w:pos="5573"/>
              </w:tabs>
              <w:autoSpaceDE w:val="0"/>
              <w:autoSpaceDN w:val="0"/>
              <w:adjustRightInd w:val="0"/>
              <w:spacing w:after="0" w:line="276" w:lineRule="auto"/>
              <w:rPr>
                <w:rFonts w:ascii="Times New Roman" w:hAnsi="Times New Roman"/>
                <w:sz w:val="24"/>
                <w:szCs w:val="24"/>
                <w:lang w:val="en-US"/>
              </w:rPr>
            </w:pPr>
            <w:r w:rsidRPr="00F81169">
              <w:rPr>
                <w:rFonts w:ascii="Times New Roman" w:hAnsi="Times New Roman"/>
                <w:sz w:val="24"/>
                <w:szCs w:val="24"/>
                <w:lang w:val="en-US"/>
              </w:rPr>
              <w:t xml:space="preserve">VM 30 </w:t>
            </w:r>
            <w:r w:rsidRPr="00F81169">
              <w:rPr>
                <w:rFonts w:ascii="Times New Roman" w:hAnsi="Times New Roman"/>
                <w:sz w:val="24"/>
                <w:szCs w:val="24"/>
              </w:rPr>
              <w:t xml:space="preserve"> μg</w:t>
            </w:r>
          </w:p>
        </w:tc>
        <w:tc>
          <w:tcPr>
            <w:tcW w:w="1910" w:type="dxa"/>
          </w:tcPr>
          <w:p w14:paraId="4C807F2E"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50" w:type="dxa"/>
          </w:tcPr>
          <w:p w14:paraId="789BE392"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26" w:type="dxa"/>
          </w:tcPr>
          <w:p w14:paraId="0F764C68"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c>
          <w:tcPr>
            <w:tcW w:w="2133" w:type="dxa"/>
          </w:tcPr>
          <w:p w14:paraId="485DE8B4" w14:textId="77777777" w:rsidR="00B674EA" w:rsidRPr="00F81169" w:rsidRDefault="00B674EA" w:rsidP="00D06C90">
            <w:pPr>
              <w:pStyle w:val="ListParagraph"/>
              <w:tabs>
                <w:tab w:val="left" w:pos="3038"/>
                <w:tab w:val="left" w:pos="5573"/>
              </w:tabs>
              <w:autoSpaceDE w:val="0"/>
              <w:autoSpaceDN w:val="0"/>
              <w:adjustRightInd w:val="0"/>
              <w:spacing w:after="0" w:line="276" w:lineRule="auto"/>
              <w:ind w:left="0"/>
              <w:jc w:val="center"/>
              <w:rPr>
                <w:rFonts w:ascii="Times New Roman" w:hAnsi="Times New Roman"/>
                <w:sz w:val="24"/>
                <w:szCs w:val="24"/>
              </w:rPr>
            </w:pPr>
            <w:r w:rsidRPr="00F81169">
              <w:rPr>
                <w:rFonts w:ascii="Times New Roman" w:hAnsi="Times New Roman"/>
                <w:kern w:val="24"/>
                <w:sz w:val="24"/>
                <w:szCs w:val="24"/>
                <w:lang w:val="en-US"/>
              </w:rPr>
              <w:t xml:space="preserve">0 </w:t>
            </w:r>
            <w:r w:rsidRPr="00F81169">
              <w:rPr>
                <w:rFonts w:ascii="Times New Roman" w:hAnsi="Times New Roman"/>
                <w:bCs/>
                <w:kern w:val="24"/>
                <w:sz w:val="24"/>
                <w:szCs w:val="24"/>
                <w:lang w:val="en-US"/>
              </w:rPr>
              <w:t>(R)</w:t>
            </w:r>
          </w:p>
        </w:tc>
      </w:tr>
    </w:tbl>
    <w:p w14:paraId="34C24002" w14:textId="77777777" w:rsidR="00B674EA" w:rsidRPr="00F81169" w:rsidRDefault="00B674EA" w:rsidP="00B674EA">
      <w:pPr>
        <w:autoSpaceDE w:val="0"/>
        <w:autoSpaceDN w:val="0"/>
        <w:adjustRightInd w:val="0"/>
        <w:spacing w:before="240" w:line="360" w:lineRule="auto"/>
        <w:jc w:val="both"/>
        <w:rPr>
          <w:rFonts w:ascii="Times New Roman" w:hAnsi="Times New Roman"/>
          <w:sz w:val="24"/>
          <w:szCs w:val="24"/>
        </w:rPr>
      </w:pPr>
      <w:r w:rsidRPr="00F81169">
        <w:rPr>
          <w:rFonts w:ascii="Times New Roman" w:hAnsi="Times New Roman"/>
          <w:sz w:val="24"/>
          <w:szCs w:val="24"/>
        </w:rPr>
        <w:t xml:space="preserve">R-Resistant, S-Susceptible </w:t>
      </w:r>
    </w:p>
    <w:p w14:paraId="7D7EA0D9" w14:textId="77777777" w:rsidR="00D06C90" w:rsidRPr="00F81169" w:rsidRDefault="00D06C90" w:rsidP="00A15DAA">
      <w:pPr>
        <w:spacing w:line="360" w:lineRule="auto"/>
        <w:jc w:val="both"/>
        <w:rPr>
          <w:rFonts w:ascii="Times New Roman" w:hAnsi="Times New Roman"/>
          <w:i/>
          <w:sz w:val="24"/>
          <w:szCs w:val="24"/>
        </w:rPr>
      </w:pPr>
    </w:p>
    <w:p w14:paraId="75D6E3A2" w14:textId="437B1BA1" w:rsidR="00A15DAA" w:rsidRPr="00F81169" w:rsidRDefault="00A15DAA" w:rsidP="00A15DAA">
      <w:pPr>
        <w:spacing w:line="360" w:lineRule="auto"/>
        <w:jc w:val="both"/>
        <w:rPr>
          <w:rFonts w:ascii="Times New Roman" w:hAnsi="Times New Roman"/>
          <w:i/>
          <w:sz w:val="24"/>
          <w:szCs w:val="24"/>
        </w:rPr>
      </w:pPr>
      <w:r w:rsidRPr="00F81169">
        <w:rPr>
          <w:rFonts w:ascii="Times New Roman" w:hAnsi="Times New Roman"/>
          <w:i/>
          <w:sz w:val="24"/>
          <w:szCs w:val="24"/>
        </w:rPr>
        <w:lastRenderedPageBreak/>
        <w:t xml:space="preserve">Amplification of 16S rDNA </w:t>
      </w:r>
    </w:p>
    <w:p w14:paraId="5A26E825" w14:textId="6E05F6B8" w:rsidR="00A15DAA" w:rsidRPr="00F81169" w:rsidRDefault="00A15DAA" w:rsidP="00A15DAA">
      <w:pPr>
        <w:spacing w:after="0" w:line="360" w:lineRule="auto"/>
        <w:jc w:val="both"/>
        <w:rPr>
          <w:rFonts w:ascii="Times New Roman" w:hAnsi="Times New Roman"/>
          <w:sz w:val="24"/>
          <w:szCs w:val="24"/>
        </w:rPr>
      </w:pPr>
      <w:r w:rsidRPr="00F81169">
        <w:rPr>
          <w:rFonts w:ascii="Times New Roman" w:hAnsi="Times New Roman"/>
          <w:b/>
          <w:bCs/>
          <w:sz w:val="24"/>
          <w:szCs w:val="24"/>
        </w:rPr>
        <w:t>Fig. S2.</w:t>
      </w:r>
      <w:r w:rsidRPr="00F81169">
        <w:rPr>
          <w:rFonts w:ascii="Times New Roman" w:hAnsi="Times New Roman"/>
          <w:sz w:val="24"/>
          <w:szCs w:val="24"/>
        </w:rPr>
        <w:t xml:space="preserve"> Gel electrophoresis analysis of 16S rDNA gene amplicons of MRB and MMRB strains. Lane 1: 1 kb DNA Ladder, and Lane 2 to 5: amplified products.</w:t>
      </w:r>
    </w:p>
    <w:p w14:paraId="21A4C88E" w14:textId="77777777" w:rsidR="00A15DAA" w:rsidRPr="00F81169" w:rsidRDefault="00A15DAA" w:rsidP="00824467">
      <w:pPr>
        <w:jc w:val="center"/>
        <w:rPr>
          <w:rFonts w:ascii="Times New Roman" w:hAnsi="Times New Roman"/>
          <w:sz w:val="24"/>
          <w:szCs w:val="24"/>
        </w:rPr>
      </w:pPr>
      <w:r w:rsidRPr="00F81169">
        <w:rPr>
          <w:rFonts w:ascii="Times New Roman" w:hAnsi="Times New Roman"/>
          <w:noProof/>
          <w:sz w:val="24"/>
          <w:szCs w:val="24"/>
          <w:lang w:val="en-PH" w:eastAsia="en-PH"/>
        </w:rPr>
        <w:drawing>
          <wp:inline distT="0" distB="0" distL="0" distR="0" wp14:anchorId="49AEC5C1" wp14:editId="50E5529B">
            <wp:extent cx="4657725" cy="4657725"/>
            <wp:effectExtent l="0" t="0" r="0" b="0"/>
            <wp:docPr id="2" name="Picture 1" descr="I:\Mercury Equitorial\16S rDNA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rcury Equitorial\16S rDNA final 2.png"/>
                    <pic:cNvPicPr>
                      <a:picLocks noChangeAspect="1" noChangeArrowheads="1"/>
                    </pic:cNvPicPr>
                  </pic:nvPicPr>
                  <pic:blipFill>
                    <a:blip r:embed="rId7">
                      <a:extLst>
                        <a:ext uri="{28A0092B-C50C-407E-A947-70E740481C1C}">
                          <a14:useLocalDpi xmlns:a14="http://schemas.microsoft.com/office/drawing/2010/main" val="0"/>
                        </a:ext>
                      </a:extLst>
                    </a:blip>
                    <a:srcRect l="17450" t="8426" r="13908"/>
                    <a:stretch>
                      <a:fillRect/>
                    </a:stretch>
                  </pic:blipFill>
                  <pic:spPr bwMode="auto">
                    <a:xfrm>
                      <a:off x="0" y="0"/>
                      <a:ext cx="4657725" cy="4657725"/>
                    </a:xfrm>
                    <a:prstGeom prst="rect">
                      <a:avLst/>
                    </a:prstGeom>
                    <a:noFill/>
                    <a:ln>
                      <a:noFill/>
                    </a:ln>
                  </pic:spPr>
                </pic:pic>
              </a:graphicData>
            </a:graphic>
          </wp:inline>
        </w:drawing>
      </w:r>
    </w:p>
    <w:p w14:paraId="64C322EF" w14:textId="023BFF5B" w:rsidR="000041C4" w:rsidRPr="00F81169" w:rsidRDefault="000041C4" w:rsidP="000041C4">
      <w:pPr>
        <w:tabs>
          <w:tab w:val="left" w:pos="2760"/>
        </w:tabs>
        <w:spacing w:line="360" w:lineRule="auto"/>
        <w:jc w:val="both"/>
        <w:rPr>
          <w:rFonts w:ascii="Times New Roman" w:eastAsia="MyriadPro-BoldSemiCn" w:hAnsi="Times New Roman"/>
          <w:i/>
          <w:iCs/>
          <w:sz w:val="24"/>
          <w:szCs w:val="24"/>
        </w:rPr>
      </w:pPr>
      <w:r w:rsidRPr="00F81169">
        <w:rPr>
          <w:rFonts w:ascii="Times New Roman" w:eastAsia="MyriadPro-BoldSemiCn" w:hAnsi="Times New Roman"/>
          <w:i/>
          <w:iCs/>
          <w:sz w:val="24"/>
          <w:szCs w:val="24"/>
        </w:rPr>
        <w:t>FT-IR analysis</w:t>
      </w:r>
    </w:p>
    <w:p w14:paraId="2D201D51" w14:textId="77777777" w:rsidR="000041C4" w:rsidRPr="00F81169" w:rsidRDefault="000041C4" w:rsidP="000041C4">
      <w:pPr>
        <w:tabs>
          <w:tab w:val="left" w:pos="2760"/>
        </w:tabs>
        <w:spacing w:line="360" w:lineRule="auto"/>
        <w:jc w:val="both"/>
        <w:rPr>
          <w:rFonts w:ascii="Times New Roman" w:hAnsi="Times New Roman"/>
          <w:sz w:val="24"/>
          <w:szCs w:val="24"/>
        </w:rPr>
      </w:pPr>
      <w:r w:rsidRPr="00F81169">
        <w:rPr>
          <w:rFonts w:ascii="Times New Roman" w:eastAsia="MyriadPro-BoldSemiCn" w:hAnsi="Times New Roman"/>
          <w:sz w:val="24"/>
          <w:szCs w:val="24"/>
        </w:rPr>
        <w:t xml:space="preserve">A </w:t>
      </w:r>
      <w:r w:rsidRPr="00F81169">
        <w:rPr>
          <w:rFonts w:ascii="Times New Roman" w:hAnsi="Times New Roman"/>
          <w:sz w:val="24"/>
          <w:szCs w:val="24"/>
        </w:rPr>
        <w:t>distinct</w:t>
      </w:r>
      <w:r w:rsidRPr="00F81169">
        <w:rPr>
          <w:rFonts w:ascii="Times New Roman" w:eastAsia="MyriadPro-BoldSemiCn" w:hAnsi="Times New Roman"/>
          <w:sz w:val="24"/>
          <w:szCs w:val="24"/>
        </w:rPr>
        <w:t xml:space="preserve"> pattern and shift in wavelengths have been observed in the range of 400  ̶  4000 cm</w:t>
      </w:r>
      <w:r w:rsidRPr="00F81169">
        <w:rPr>
          <w:rFonts w:ascii="Times New Roman" w:eastAsia="MyriadPro-BoldSemiCn" w:hAnsi="Times New Roman"/>
          <w:sz w:val="24"/>
          <w:szCs w:val="24"/>
          <w:vertAlign w:val="superscript"/>
        </w:rPr>
        <w:t xml:space="preserve">-1 </w:t>
      </w:r>
      <w:r w:rsidRPr="00F81169">
        <w:rPr>
          <w:rFonts w:ascii="Times New Roman" w:eastAsia="MyriadPro-BoldSemiCn" w:hAnsi="Times New Roman"/>
          <w:sz w:val="24"/>
          <w:szCs w:val="24"/>
        </w:rPr>
        <w:t xml:space="preserve">in some functional groups </w:t>
      </w:r>
      <w:r w:rsidRPr="00F81169">
        <w:rPr>
          <w:rFonts w:ascii="Times New Roman" w:hAnsi="Times New Roman"/>
          <w:sz w:val="24"/>
          <w:szCs w:val="24"/>
        </w:rPr>
        <w:t>of all the four cultures in the absence and presence of Hg as HgCl</w:t>
      </w:r>
      <w:r w:rsidRPr="00F81169">
        <w:rPr>
          <w:rFonts w:ascii="Times New Roman" w:hAnsi="Times New Roman"/>
          <w:sz w:val="24"/>
          <w:szCs w:val="24"/>
          <w:vertAlign w:val="subscript"/>
        </w:rPr>
        <w:t>2</w:t>
      </w:r>
      <w:r w:rsidRPr="00F81169">
        <w:rPr>
          <w:rFonts w:ascii="Times New Roman" w:hAnsi="Times New Roman"/>
          <w:sz w:val="24"/>
          <w:szCs w:val="24"/>
        </w:rPr>
        <w:t>. The major shifts in wavenumbers were attributed to −OH (alcohol), Alkane C-H, OH (Carboxylic acid), Amide (C=O), Nitro (N-O) group, Amine (C–N), phosphate (P=O stretch), and alkyl halide groups, respectively. Fig. 5 a-d</w:t>
      </w:r>
      <w:r w:rsidRPr="00F81169">
        <w:rPr>
          <w:rFonts w:ascii="Times New Roman" w:hAnsi="Times New Roman"/>
          <w:color w:val="FF0000"/>
          <w:sz w:val="24"/>
          <w:szCs w:val="24"/>
        </w:rPr>
        <w:t xml:space="preserve"> </w:t>
      </w:r>
      <w:r w:rsidRPr="00F81169">
        <w:rPr>
          <w:rFonts w:ascii="Times New Roman" w:hAnsi="Times New Roman"/>
          <w:sz w:val="24"/>
          <w:szCs w:val="24"/>
        </w:rPr>
        <w:t>displays the FT-IR spectra of 4 MRB with and without Hg</w:t>
      </w:r>
      <w:r w:rsidRPr="00F81169">
        <w:rPr>
          <w:rFonts w:ascii="Times New Roman" w:hAnsi="Times New Roman"/>
          <w:sz w:val="24"/>
          <w:szCs w:val="24"/>
          <w:vertAlign w:val="superscript"/>
        </w:rPr>
        <w:t>2+</w:t>
      </w:r>
      <w:r w:rsidRPr="00F81169">
        <w:rPr>
          <w:rFonts w:ascii="Times New Roman" w:hAnsi="Times New Roman"/>
          <w:sz w:val="24"/>
          <w:szCs w:val="24"/>
        </w:rPr>
        <w:t xml:space="preserve">. The spectrum of NIOT-EQR_J7 (Fig. 5a) showed one sharp peak around 3234.15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which was attributed to OH (Alcohol) group, was appeared in the presence of Hg</w:t>
      </w:r>
      <w:r w:rsidRPr="00F81169">
        <w:rPr>
          <w:rFonts w:ascii="Times New Roman" w:hAnsi="Times New Roman"/>
          <w:sz w:val="24"/>
          <w:szCs w:val="24"/>
          <w:vertAlign w:val="superscript"/>
        </w:rPr>
        <w:t xml:space="preserve">2+, </w:t>
      </w:r>
      <w:r w:rsidRPr="00F81169">
        <w:rPr>
          <w:rFonts w:ascii="Times New Roman" w:hAnsi="Times New Roman"/>
          <w:sz w:val="24"/>
          <w:szCs w:val="24"/>
        </w:rPr>
        <w:t xml:space="preserve">whereas four peaks around 2800.07, 2540.19, 992.06, 922.45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which were attributed to Alkane C-H, =OH (Carboxylic acid) and P=O stretch, was disappeared in the presence of Hg</w:t>
      </w:r>
      <w:r w:rsidRPr="00F81169">
        <w:rPr>
          <w:rFonts w:ascii="Times New Roman" w:hAnsi="Times New Roman"/>
          <w:sz w:val="24"/>
          <w:szCs w:val="24"/>
          <w:vertAlign w:val="superscript"/>
        </w:rPr>
        <w:t>2+</w:t>
      </w:r>
      <w:r w:rsidRPr="00F81169">
        <w:rPr>
          <w:rFonts w:ascii="Times New Roman" w:hAnsi="Times New Roman"/>
          <w:sz w:val="24"/>
          <w:szCs w:val="24"/>
        </w:rPr>
        <w:t>. The peaks corresponding to Alkane C-H, Amide C = O stretch, N-O asymmetric stretch, Aromatic C=C Stretch, Amine (C-N), P</w:t>
      </w:r>
      <w:r w:rsidRPr="00F81169">
        <w:rPr>
          <w:rFonts w:ascii="Times New Roman" w:eastAsia="MTSY" w:hAnsi="Times New Roman"/>
          <w:sz w:val="24"/>
          <w:szCs w:val="24"/>
        </w:rPr>
        <w:t>=</w:t>
      </w:r>
      <w:r w:rsidRPr="00F81169">
        <w:rPr>
          <w:rFonts w:ascii="Times New Roman" w:hAnsi="Times New Roman"/>
          <w:sz w:val="24"/>
          <w:szCs w:val="24"/>
        </w:rPr>
        <w:t>O stretch were found to be shifted when bacteria were grown in the presence of Hg</w:t>
      </w:r>
      <w:r w:rsidRPr="00F81169">
        <w:rPr>
          <w:rFonts w:ascii="Times New Roman" w:hAnsi="Times New Roman"/>
          <w:sz w:val="24"/>
          <w:szCs w:val="24"/>
          <w:vertAlign w:val="superscript"/>
        </w:rPr>
        <w:t>2+</w:t>
      </w:r>
      <w:r w:rsidRPr="00F81169">
        <w:rPr>
          <w:rFonts w:ascii="Times New Roman" w:hAnsi="Times New Roman"/>
          <w:sz w:val="24"/>
          <w:szCs w:val="24"/>
        </w:rPr>
        <w:t>. In the case of NIOT-</w:t>
      </w:r>
      <w:r w:rsidRPr="00F81169">
        <w:rPr>
          <w:rFonts w:ascii="Times New Roman" w:hAnsi="Times New Roman"/>
          <w:sz w:val="24"/>
          <w:szCs w:val="24"/>
        </w:rPr>
        <w:lastRenderedPageBreak/>
        <w:t>EQR_J248 with Hg</w:t>
      </w:r>
      <w:r w:rsidRPr="00F81169">
        <w:rPr>
          <w:rFonts w:ascii="Times New Roman" w:hAnsi="Times New Roman"/>
          <w:sz w:val="24"/>
          <w:szCs w:val="24"/>
          <w:vertAlign w:val="superscript"/>
        </w:rPr>
        <w:t>2+</w:t>
      </w:r>
      <w:r w:rsidRPr="00F81169">
        <w:rPr>
          <w:rFonts w:ascii="Times New Roman" w:hAnsi="Times New Roman"/>
          <w:sz w:val="24"/>
          <w:szCs w:val="24"/>
        </w:rPr>
        <w:t xml:space="preserve">, the spectrum (Fig. 5b) designated corresponding stretching vibrations of Alkane C-H (2923.88, 2814.42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-1</w:t>
      </w:r>
      <w:r w:rsidRPr="00F81169">
        <w:rPr>
          <w:rFonts w:ascii="Times New Roman" w:hAnsi="Times New Roman"/>
          <w:sz w:val="24"/>
          <w:szCs w:val="24"/>
        </w:rPr>
        <w:t xml:space="preserve">), N-O stretch (1602.80, 1523.59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-1</w:t>
      </w:r>
      <w:r w:rsidRPr="00F81169">
        <w:rPr>
          <w:rFonts w:ascii="Times New Roman" w:hAnsi="Times New Roman"/>
          <w:sz w:val="24"/>
          <w:szCs w:val="24"/>
        </w:rPr>
        <w:t xml:space="preserve">),  Aromatic C=C Stretch (1439.04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-1</w:t>
      </w:r>
      <w:r w:rsidRPr="00F81169">
        <w:rPr>
          <w:rFonts w:ascii="Times New Roman" w:hAnsi="Times New Roman"/>
          <w:sz w:val="24"/>
          <w:szCs w:val="24"/>
        </w:rPr>
        <w:t>), P</w:t>
      </w:r>
      <w:r w:rsidRPr="00F81169">
        <w:rPr>
          <w:rFonts w:ascii="Times New Roman" w:eastAsia="MTSY" w:hAnsi="Times New Roman"/>
          <w:sz w:val="24"/>
          <w:szCs w:val="24"/>
        </w:rPr>
        <w:t>=</w:t>
      </w:r>
      <w:r w:rsidRPr="00F81169">
        <w:rPr>
          <w:rFonts w:ascii="Times New Roman" w:hAnsi="Times New Roman"/>
          <w:sz w:val="24"/>
          <w:szCs w:val="24"/>
        </w:rPr>
        <w:t xml:space="preserve">O stretch (967.06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-1</w:t>
      </w:r>
      <w:r w:rsidRPr="00F81169">
        <w:rPr>
          <w:rFonts w:ascii="Times New Roman" w:hAnsi="Times New Roman"/>
          <w:sz w:val="24"/>
          <w:szCs w:val="24"/>
        </w:rPr>
        <w:t xml:space="preserve">), Alkyl halide (748.15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-1</w:t>
      </w:r>
      <w:r w:rsidRPr="00F81169">
        <w:rPr>
          <w:rFonts w:ascii="Times New Roman" w:hAnsi="Times New Roman"/>
          <w:sz w:val="24"/>
          <w:szCs w:val="24"/>
        </w:rPr>
        <w:t xml:space="preserve">) were found to be shifted at around 2917.24, 2829.07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 xml:space="preserve">(Alkane C-H), 1598.59, 1512.17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 xml:space="preserve">(N-O stretch), 1412.68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 xml:space="preserve">(Aromatic C=C Stretch), 921.19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(P</w:t>
      </w:r>
      <w:r w:rsidRPr="00F81169">
        <w:rPr>
          <w:rFonts w:ascii="Times New Roman" w:eastAsia="MTSY" w:hAnsi="Times New Roman"/>
          <w:sz w:val="24"/>
          <w:szCs w:val="24"/>
        </w:rPr>
        <w:t>=</w:t>
      </w:r>
      <w:r w:rsidRPr="00F81169">
        <w:rPr>
          <w:rFonts w:ascii="Times New Roman" w:hAnsi="Times New Roman"/>
          <w:sz w:val="24"/>
          <w:szCs w:val="24"/>
        </w:rPr>
        <w:t xml:space="preserve">O stretch), and 721.47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(Alkyl halide), respectively without Hg</w:t>
      </w:r>
      <w:r w:rsidRPr="00F81169">
        <w:rPr>
          <w:rFonts w:ascii="Times New Roman" w:hAnsi="Times New Roman"/>
          <w:sz w:val="24"/>
          <w:szCs w:val="24"/>
          <w:vertAlign w:val="superscript"/>
        </w:rPr>
        <w:t xml:space="preserve">2+ </w:t>
      </w:r>
      <w:r w:rsidRPr="00F81169">
        <w:rPr>
          <w:rFonts w:ascii="Times New Roman" w:hAnsi="Times New Roman"/>
          <w:sz w:val="24"/>
          <w:szCs w:val="24"/>
        </w:rPr>
        <w:t xml:space="preserve">supplementation. Also, a new peak around 1736.53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(Amide C = O stretch) was noticed with Hg</w:t>
      </w:r>
      <w:r w:rsidRPr="00F81169">
        <w:rPr>
          <w:rFonts w:ascii="Times New Roman" w:hAnsi="Times New Roman"/>
          <w:sz w:val="24"/>
          <w:szCs w:val="24"/>
          <w:vertAlign w:val="superscript"/>
        </w:rPr>
        <w:t xml:space="preserve">2+ </w:t>
      </w:r>
      <w:r w:rsidRPr="00F81169">
        <w:rPr>
          <w:rFonts w:ascii="Times New Roman" w:hAnsi="Times New Roman"/>
          <w:sz w:val="24"/>
          <w:szCs w:val="24"/>
        </w:rPr>
        <w:t>whereas peaks at 1368.77, 1233.03, 1069.50, 827.61, and 763.70 cm</w:t>
      </w:r>
      <w:r w:rsidRPr="00F81169">
        <w:rPr>
          <w:rFonts w:ascii="Times New Roman" w:hAnsi="Times New Roman"/>
          <w:sz w:val="24"/>
          <w:szCs w:val="24"/>
          <w:vertAlign w:val="superscript"/>
        </w:rPr>
        <w:t xml:space="preserve">-1 </w:t>
      </w:r>
      <w:r w:rsidRPr="00F81169">
        <w:rPr>
          <w:rFonts w:ascii="Times New Roman" w:hAnsi="Times New Roman"/>
          <w:sz w:val="24"/>
          <w:szCs w:val="24"/>
        </w:rPr>
        <w:t>were observed without Hg</w:t>
      </w:r>
      <w:r w:rsidRPr="00F81169">
        <w:rPr>
          <w:rFonts w:ascii="Times New Roman" w:hAnsi="Times New Roman"/>
          <w:sz w:val="24"/>
          <w:szCs w:val="24"/>
          <w:vertAlign w:val="superscript"/>
        </w:rPr>
        <w:t>2+</w:t>
      </w:r>
      <w:r w:rsidRPr="00F81169">
        <w:rPr>
          <w:rFonts w:ascii="Times New Roman" w:hAnsi="Times New Roman"/>
          <w:sz w:val="24"/>
          <w:szCs w:val="24"/>
        </w:rPr>
        <w:t>. On the other hand, the spectrum of NIOT-EQR_J251 showed peaks in wavenumbers of 1641.71, 1546.29, 1398.29, 1248.61, 1134.18, 964.26, and 903.97 cm</w:t>
      </w:r>
      <w:r w:rsidRPr="00F81169">
        <w:rPr>
          <w:rFonts w:ascii="Times New Roman" w:hAnsi="Times New Roman"/>
          <w:sz w:val="24"/>
          <w:szCs w:val="24"/>
          <w:vertAlign w:val="superscript"/>
        </w:rPr>
        <w:t>-1</w:t>
      </w:r>
      <w:r w:rsidRPr="00F81169">
        <w:rPr>
          <w:rFonts w:ascii="Times New Roman" w:hAnsi="Times New Roman"/>
          <w:sz w:val="24"/>
          <w:szCs w:val="24"/>
        </w:rPr>
        <w:t xml:space="preserve"> which demonstrated the characteristic vibrations of the Amide C = O stretch, N-O asymmetric stretch, N-O symmetric stretch, C–N stretching, Organic phosphates (P=O) stretching, and 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 respectively found to be shifted in the absence of Hg</w:t>
      </w:r>
      <w:r w:rsidRPr="00F81169">
        <w:rPr>
          <w:rFonts w:ascii="Times New Roman" w:hAnsi="Times New Roman"/>
          <w:sz w:val="24"/>
          <w:szCs w:val="24"/>
          <w:vertAlign w:val="superscript"/>
        </w:rPr>
        <w:t xml:space="preserve">2+ </w:t>
      </w:r>
      <w:r w:rsidRPr="00F81169">
        <w:rPr>
          <w:rFonts w:ascii="Times New Roman" w:hAnsi="Times New Roman"/>
          <w:sz w:val="24"/>
          <w:szCs w:val="24"/>
        </w:rPr>
        <w:t xml:space="preserve">(as shown in Fig. 5c). Additionally, one new peak at 2994.94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in the presence of Hg</w:t>
      </w:r>
      <w:r w:rsidRPr="00F81169">
        <w:rPr>
          <w:rFonts w:ascii="Times New Roman" w:hAnsi="Times New Roman"/>
          <w:sz w:val="24"/>
          <w:szCs w:val="24"/>
          <w:vertAlign w:val="superscript"/>
        </w:rPr>
        <w:t>2+</w:t>
      </w:r>
      <w:r w:rsidRPr="00F81169">
        <w:rPr>
          <w:rFonts w:ascii="Times New Roman" w:hAnsi="Times New Roman"/>
          <w:sz w:val="24"/>
          <w:szCs w:val="24"/>
        </w:rPr>
        <w:t xml:space="preserve"> and three peaks at 2733.19, 2613.26, 751.51 cm</w:t>
      </w:r>
      <w:r w:rsidRPr="00F81169">
        <w:rPr>
          <w:rFonts w:ascii="Times New Roman" w:hAnsi="Times New Roman"/>
          <w:sz w:val="24"/>
          <w:szCs w:val="24"/>
          <w:vertAlign w:val="superscript"/>
        </w:rPr>
        <w:t xml:space="preserve">-1 </w:t>
      </w:r>
      <w:r w:rsidRPr="00F81169">
        <w:rPr>
          <w:rFonts w:ascii="Times New Roman" w:hAnsi="Times New Roman"/>
          <w:sz w:val="24"/>
          <w:szCs w:val="24"/>
        </w:rPr>
        <w:t>in the absence of Hg</w:t>
      </w:r>
      <w:r w:rsidRPr="00F81169">
        <w:rPr>
          <w:rFonts w:ascii="Times New Roman" w:hAnsi="Times New Roman"/>
          <w:sz w:val="24"/>
          <w:szCs w:val="24"/>
          <w:vertAlign w:val="superscript"/>
        </w:rPr>
        <w:t>2+</w:t>
      </w:r>
      <w:r w:rsidRPr="00F81169">
        <w:rPr>
          <w:rFonts w:ascii="Times New Roman" w:hAnsi="Times New Roman"/>
          <w:sz w:val="24"/>
          <w:szCs w:val="24"/>
        </w:rPr>
        <w:t xml:space="preserve"> appeared, which are assigned to Alkane C-H, =OH (Carboxylic acid) and Alkyl halide. Apart from this in Fig. 5d, FTIR analysis of NIOT-EQR_J258 revealed the peaks in the absence of Hg</w:t>
      </w:r>
      <w:r w:rsidRPr="00F81169">
        <w:rPr>
          <w:rFonts w:ascii="Times New Roman" w:hAnsi="Times New Roman"/>
          <w:sz w:val="24"/>
          <w:szCs w:val="24"/>
          <w:vertAlign w:val="superscript"/>
        </w:rPr>
        <w:t>2+</w:t>
      </w:r>
      <w:r w:rsidRPr="00F81169">
        <w:rPr>
          <w:rFonts w:ascii="Times New Roman" w:hAnsi="Times New Roman"/>
          <w:sz w:val="24"/>
          <w:szCs w:val="24"/>
        </w:rPr>
        <w:t xml:space="preserve"> at 1718.86, 1594.03, 1358.84, 1206.39, 1053.23 and 864.95 cm</w:t>
      </w:r>
      <w:r w:rsidRPr="00F81169">
        <w:rPr>
          <w:rFonts w:ascii="Times New Roman" w:hAnsi="Times New Roman"/>
          <w:sz w:val="24"/>
          <w:szCs w:val="24"/>
          <w:vertAlign w:val="superscript"/>
        </w:rPr>
        <w:t xml:space="preserve">-1 </w:t>
      </w:r>
      <w:r w:rsidRPr="00F81169">
        <w:rPr>
          <w:rFonts w:ascii="Times New Roman" w:hAnsi="Times New Roman"/>
          <w:sz w:val="24"/>
          <w:szCs w:val="24"/>
        </w:rPr>
        <w:t>indicated stretching vibration of Amide C = O stretch, Nitro (N-O), Amine (C-N), P=O and Alkyl halide functional groups found to be shifted at 1692.13, 1597.90, 1366.57, 1273.25, 1087.95 and 827.96 cm</w:t>
      </w:r>
      <w:r w:rsidRPr="00F81169">
        <w:rPr>
          <w:rFonts w:ascii="Times New Roman" w:hAnsi="Times New Roman"/>
          <w:sz w:val="24"/>
          <w:szCs w:val="24"/>
          <w:vertAlign w:val="superscript"/>
        </w:rPr>
        <w:t>-1</w:t>
      </w:r>
      <w:r w:rsidRPr="00F81169">
        <w:rPr>
          <w:rFonts w:ascii="Times New Roman" w:hAnsi="Times New Roman"/>
          <w:sz w:val="24"/>
          <w:szCs w:val="24"/>
        </w:rPr>
        <w:t xml:space="preserve"> when grown in the presence of Hg</w:t>
      </w:r>
      <w:r w:rsidRPr="00F81169">
        <w:rPr>
          <w:rFonts w:ascii="Times New Roman" w:hAnsi="Times New Roman"/>
          <w:sz w:val="24"/>
          <w:szCs w:val="24"/>
          <w:vertAlign w:val="superscript"/>
        </w:rPr>
        <w:t>2+</w:t>
      </w:r>
      <w:r w:rsidRPr="00F81169">
        <w:rPr>
          <w:rFonts w:ascii="Times New Roman" w:hAnsi="Times New Roman"/>
          <w:sz w:val="24"/>
          <w:szCs w:val="24"/>
        </w:rPr>
        <w:t xml:space="preserve">. Also, a new peak at 3017.95 </w:t>
      </w:r>
      <w:r w:rsidRPr="00F81169">
        <w:rPr>
          <w:rFonts w:ascii="Times New Roman" w:eastAsia="MyriadPro-BoldSemiCn" w:hAnsi="Times New Roman"/>
          <w:sz w:val="24"/>
          <w:szCs w:val="24"/>
        </w:rPr>
        <w:t>cm</w:t>
      </w:r>
      <w:r w:rsidRPr="00F81169">
        <w:rPr>
          <w:rFonts w:ascii="Times New Roman" w:eastAsia="MyriadPro-BoldSemiCn" w:hAnsi="Times New Roman"/>
          <w:sz w:val="24"/>
          <w:szCs w:val="24"/>
          <w:vertAlign w:val="superscript"/>
        </w:rPr>
        <w:t xml:space="preserve">-1 </w:t>
      </w:r>
      <w:r w:rsidRPr="00F81169">
        <w:rPr>
          <w:rFonts w:ascii="Times New Roman" w:hAnsi="Times New Roman"/>
          <w:sz w:val="24"/>
          <w:szCs w:val="24"/>
        </w:rPr>
        <w:t>was noticed in the absence of Hg</w:t>
      </w:r>
      <w:r w:rsidRPr="00F81169">
        <w:rPr>
          <w:rFonts w:ascii="Times New Roman" w:hAnsi="Times New Roman"/>
          <w:sz w:val="24"/>
          <w:szCs w:val="24"/>
          <w:vertAlign w:val="superscript"/>
        </w:rPr>
        <w:t>2+</w:t>
      </w:r>
      <w:r w:rsidRPr="00F81169">
        <w:rPr>
          <w:rFonts w:ascii="Times New Roman" w:hAnsi="Times New Roman"/>
          <w:sz w:val="24"/>
          <w:szCs w:val="24"/>
        </w:rPr>
        <w:t>, attributed to Alkane C-H.</w:t>
      </w:r>
    </w:p>
    <w:p w14:paraId="052107D6" w14:textId="77777777" w:rsidR="000041C4" w:rsidRPr="00F81169" w:rsidRDefault="000041C4" w:rsidP="00BE3898">
      <w:pPr>
        <w:autoSpaceDE w:val="0"/>
        <w:autoSpaceDN w:val="0"/>
        <w:adjustRightInd w:val="0"/>
        <w:spacing w:before="240" w:line="360" w:lineRule="auto"/>
        <w:jc w:val="both"/>
        <w:rPr>
          <w:rFonts w:ascii="Times New Roman" w:hAnsi="Times New Roman"/>
          <w:sz w:val="24"/>
          <w:szCs w:val="24"/>
        </w:rPr>
      </w:pPr>
    </w:p>
    <w:p w14:paraId="7FB0F8E1" w14:textId="1CC6660E" w:rsidR="00BE3898" w:rsidRPr="00F81169" w:rsidRDefault="00BE3898" w:rsidP="00BE3898">
      <w:pPr>
        <w:tabs>
          <w:tab w:val="center" w:pos="4961"/>
        </w:tabs>
        <w:rPr>
          <w:rFonts w:ascii="Times New Roman" w:hAnsi="Times New Roman"/>
          <w:sz w:val="24"/>
          <w:szCs w:val="24"/>
        </w:rPr>
        <w:sectPr w:rsidR="00BE3898" w:rsidRPr="00F81169" w:rsidSect="00F81169">
          <w:footerReference w:type="default" r:id="rId8"/>
          <w:pgSz w:w="11906" w:h="16838"/>
          <w:pgMar w:top="1440" w:right="1134" w:bottom="1440" w:left="1134" w:header="709" w:footer="709" w:gutter="0"/>
          <w:cols w:space="708"/>
          <w:docGrid w:linePitch="360"/>
        </w:sectPr>
      </w:pPr>
    </w:p>
    <w:p w14:paraId="10E10E41" w14:textId="0FB9D99D" w:rsidR="00EF4B1B" w:rsidRPr="00F81169" w:rsidRDefault="00EF4B1B" w:rsidP="003E4F8A">
      <w:pPr>
        <w:autoSpaceDE w:val="0"/>
        <w:autoSpaceDN w:val="0"/>
        <w:adjustRightInd w:val="0"/>
        <w:spacing w:line="360" w:lineRule="auto"/>
        <w:jc w:val="both"/>
        <w:rPr>
          <w:rFonts w:ascii="Times New Roman" w:hAnsi="Times New Roman"/>
          <w:sz w:val="24"/>
          <w:szCs w:val="24"/>
        </w:rPr>
      </w:pPr>
      <w:r w:rsidRPr="00F81169">
        <w:rPr>
          <w:rFonts w:ascii="Times New Roman" w:hAnsi="Times New Roman"/>
          <w:b/>
          <w:bCs/>
          <w:sz w:val="24"/>
          <w:szCs w:val="24"/>
        </w:rPr>
        <w:lastRenderedPageBreak/>
        <w:t>Table S</w:t>
      </w:r>
      <w:r w:rsidR="0059524E" w:rsidRPr="00F81169">
        <w:rPr>
          <w:rFonts w:ascii="Times New Roman" w:hAnsi="Times New Roman"/>
          <w:b/>
          <w:bCs/>
          <w:sz w:val="24"/>
          <w:szCs w:val="24"/>
        </w:rPr>
        <w:t>4</w:t>
      </w:r>
      <w:r w:rsidRPr="00F81169">
        <w:rPr>
          <w:rFonts w:ascii="Times New Roman" w:hAnsi="Times New Roman"/>
          <w:sz w:val="24"/>
          <w:szCs w:val="24"/>
        </w:rPr>
        <w:t xml:space="preserve"> The shift of major wavelengths (cm</w:t>
      </w:r>
      <w:r w:rsidRPr="00F81169">
        <w:rPr>
          <w:rFonts w:ascii="Times New Roman" w:hAnsi="Times New Roman"/>
          <w:sz w:val="24"/>
          <w:szCs w:val="24"/>
          <w:vertAlign w:val="superscript"/>
        </w:rPr>
        <w:t>-1</w:t>
      </w:r>
      <w:r w:rsidRPr="00F81169">
        <w:rPr>
          <w:rFonts w:ascii="Times New Roman" w:hAnsi="Times New Roman"/>
          <w:sz w:val="24"/>
          <w:szCs w:val="24"/>
        </w:rPr>
        <w:t>) of the functional groups in IR spectra of four strains grown with (50 mg</w:t>
      </w:r>
      <w:r w:rsidR="00066B1E" w:rsidRPr="00F81169">
        <w:rPr>
          <w:rFonts w:ascii="Times New Roman" w:hAnsi="Times New Roman"/>
          <w:sz w:val="24"/>
          <w:szCs w:val="24"/>
        </w:rPr>
        <w:t>/</w:t>
      </w:r>
      <w:r w:rsidRPr="00F81169">
        <w:rPr>
          <w:rFonts w:ascii="Times New Roman" w:hAnsi="Times New Roman"/>
          <w:sz w:val="24"/>
          <w:szCs w:val="24"/>
        </w:rPr>
        <w:t>L Hg as HgCl</w:t>
      </w:r>
      <w:r w:rsidRPr="00F81169">
        <w:rPr>
          <w:rFonts w:ascii="Times New Roman" w:hAnsi="Times New Roman"/>
          <w:sz w:val="24"/>
          <w:szCs w:val="24"/>
          <w:vertAlign w:val="subscript"/>
        </w:rPr>
        <w:t>2</w:t>
      </w:r>
      <w:r w:rsidRPr="00F81169">
        <w:rPr>
          <w:rFonts w:ascii="Times New Roman" w:hAnsi="Times New Roman"/>
          <w:sz w:val="24"/>
          <w:szCs w:val="24"/>
        </w:rPr>
        <w:t xml:space="preserve">) and without </w:t>
      </w:r>
      <w:r w:rsidRPr="00F81169">
        <w:rPr>
          <w:rFonts w:ascii="Times New Roman" w:hAnsi="Times New Roman"/>
          <w:bCs/>
          <w:sz w:val="24"/>
          <w:szCs w:val="24"/>
        </w:rPr>
        <w:t>Hg</w:t>
      </w:r>
      <w:r w:rsidRPr="00F81169">
        <w:rPr>
          <w:rFonts w:ascii="Times New Roman" w:hAnsi="Times New Roman"/>
          <w:bCs/>
          <w:sz w:val="24"/>
          <w:szCs w:val="24"/>
          <w:vertAlign w:val="superscript"/>
        </w:rPr>
        <w:t xml:space="preserve">2+ </w:t>
      </w:r>
      <w:r w:rsidRPr="00F81169">
        <w:rPr>
          <w:rFonts w:ascii="Times New Roman" w:hAnsi="Times New Roman"/>
          <w:bCs/>
          <w:sz w:val="24"/>
          <w:szCs w:val="24"/>
        </w:rPr>
        <w:t>supplementation.</w:t>
      </w:r>
    </w:p>
    <w:tbl>
      <w:tblPr>
        <w:tblW w:w="13068" w:type="dxa"/>
        <w:jc w:val="center"/>
        <w:tblBorders>
          <w:top w:val="single" w:sz="4" w:space="0" w:color="auto"/>
          <w:bottom w:val="single" w:sz="4" w:space="0" w:color="auto"/>
        </w:tblBorders>
        <w:tblLook w:val="04A0" w:firstRow="1" w:lastRow="0" w:firstColumn="1" w:lastColumn="0" w:noHBand="0" w:noVBand="1"/>
      </w:tblPr>
      <w:tblGrid>
        <w:gridCol w:w="1735"/>
        <w:gridCol w:w="2552"/>
        <w:gridCol w:w="1567"/>
        <w:gridCol w:w="1867"/>
        <w:gridCol w:w="5347"/>
      </w:tblGrid>
      <w:tr w:rsidR="00EF4B1B" w:rsidRPr="00F81169" w14:paraId="6ED7DA1F" w14:textId="77777777" w:rsidTr="00730345">
        <w:trPr>
          <w:jc w:val="center"/>
        </w:trPr>
        <w:tc>
          <w:tcPr>
            <w:tcW w:w="1735" w:type="dxa"/>
            <w:tcBorders>
              <w:top w:val="single" w:sz="4" w:space="0" w:color="auto"/>
              <w:bottom w:val="single" w:sz="4" w:space="0" w:color="auto"/>
            </w:tcBorders>
            <w:vAlign w:val="center"/>
          </w:tcPr>
          <w:p w14:paraId="24EC98D9" w14:textId="77777777" w:rsidR="00EF4B1B" w:rsidRPr="00F81169" w:rsidRDefault="00EF4B1B" w:rsidP="003E4F8A">
            <w:pPr>
              <w:spacing w:after="0" w:line="360" w:lineRule="auto"/>
              <w:jc w:val="center"/>
              <w:rPr>
                <w:rFonts w:ascii="Times New Roman" w:hAnsi="Times New Roman"/>
                <w:b/>
                <w:bCs/>
                <w:sz w:val="24"/>
                <w:szCs w:val="24"/>
              </w:rPr>
            </w:pPr>
            <w:r w:rsidRPr="00F81169">
              <w:rPr>
                <w:rFonts w:ascii="Times New Roman" w:hAnsi="Times New Roman"/>
                <w:b/>
                <w:bCs/>
                <w:sz w:val="24"/>
                <w:szCs w:val="24"/>
              </w:rPr>
              <w:t>Culture ID</w:t>
            </w:r>
          </w:p>
        </w:tc>
        <w:tc>
          <w:tcPr>
            <w:tcW w:w="2552" w:type="dxa"/>
            <w:tcBorders>
              <w:top w:val="single" w:sz="4" w:space="0" w:color="auto"/>
              <w:bottom w:val="single" w:sz="4" w:space="0" w:color="auto"/>
            </w:tcBorders>
            <w:vAlign w:val="center"/>
          </w:tcPr>
          <w:p w14:paraId="23B09061" w14:textId="77777777" w:rsidR="00EF4B1B" w:rsidRPr="00F81169" w:rsidRDefault="00EF4B1B" w:rsidP="003E4F8A">
            <w:pPr>
              <w:spacing w:after="0" w:line="360" w:lineRule="auto"/>
              <w:jc w:val="center"/>
              <w:rPr>
                <w:rFonts w:ascii="Times New Roman" w:hAnsi="Times New Roman"/>
                <w:b/>
                <w:bCs/>
                <w:sz w:val="24"/>
                <w:szCs w:val="24"/>
              </w:rPr>
            </w:pPr>
            <w:r w:rsidRPr="00F81169">
              <w:rPr>
                <w:rFonts w:ascii="Times New Roman" w:hAnsi="Times New Roman"/>
                <w:b/>
                <w:bCs/>
                <w:sz w:val="24"/>
                <w:szCs w:val="24"/>
              </w:rPr>
              <w:t>Functional Groups</w:t>
            </w:r>
          </w:p>
        </w:tc>
        <w:tc>
          <w:tcPr>
            <w:tcW w:w="1567" w:type="dxa"/>
            <w:tcBorders>
              <w:top w:val="single" w:sz="4" w:space="0" w:color="auto"/>
              <w:bottom w:val="single" w:sz="4" w:space="0" w:color="auto"/>
            </w:tcBorders>
            <w:vAlign w:val="center"/>
          </w:tcPr>
          <w:p w14:paraId="479FA105" w14:textId="77777777" w:rsidR="00EF4B1B" w:rsidRPr="00F81169" w:rsidRDefault="00EF4B1B" w:rsidP="003E4F8A">
            <w:pPr>
              <w:spacing w:after="0" w:line="360" w:lineRule="auto"/>
              <w:jc w:val="center"/>
              <w:rPr>
                <w:rFonts w:ascii="Times New Roman" w:hAnsi="Times New Roman"/>
                <w:b/>
                <w:bCs/>
                <w:sz w:val="24"/>
                <w:szCs w:val="24"/>
              </w:rPr>
            </w:pPr>
            <w:r w:rsidRPr="00F81169">
              <w:rPr>
                <w:rFonts w:ascii="Times New Roman" w:hAnsi="Times New Roman"/>
                <w:b/>
                <w:bCs/>
                <w:sz w:val="24"/>
                <w:szCs w:val="24"/>
              </w:rPr>
              <w:t>With Hg</w:t>
            </w:r>
            <w:r w:rsidRPr="00F81169">
              <w:rPr>
                <w:rFonts w:ascii="Times New Roman" w:hAnsi="Times New Roman"/>
                <w:b/>
                <w:bCs/>
                <w:sz w:val="24"/>
                <w:szCs w:val="24"/>
                <w:vertAlign w:val="superscript"/>
              </w:rPr>
              <w:t>2+</w:t>
            </w:r>
          </w:p>
        </w:tc>
        <w:tc>
          <w:tcPr>
            <w:tcW w:w="1867" w:type="dxa"/>
            <w:tcBorders>
              <w:top w:val="single" w:sz="4" w:space="0" w:color="auto"/>
              <w:bottom w:val="single" w:sz="4" w:space="0" w:color="auto"/>
            </w:tcBorders>
            <w:vAlign w:val="center"/>
          </w:tcPr>
          <w:p w14:paraId="51F1171B" w14:textId="77777777" w:rsidR="00EF4B1B" w:rsidRPr="00F81169" w:rsidRDefault="00EF4B1B" w:rsidP="003E4F8A">
            <w:pPr>
              <w:spacing w:after="0" w:line="360" w:lineRule="auto"/>
              <w:jc w:val="center"/>
              <w:rPr>
                <w:rFonts w:ascii="Times New Roman" w:hAnsi="Times New Roman"/>
                <w:b/>
                <w:bCs/>
                <w:sz w:val="24"/>
                <w:szCs w:val="24"/>
              </w:rPr>
            </w:pPr>
            <w:r w:rsidRPr="00F81169">
              <w:rPr>
                <w:rFonts w:ascii="Times New Roman" w:hAnsi="Times New Roman"/>
                <w:b/>
                <w:bCs/>
                <w:sz w:val="24"/>
                <w:szCs w:val="24"/>
              </w:rPr>
              <w:t>Without Hg</w:t>
            </w:r>
            <w:r w:rsidRPr="00F81169">
              <w:rPr>
                <w:rFonts w:ascii="Times New Roman" w:hAnsi="Times New Roman"/>
                <w:b/>
                <w:bCs/>
                <w:sz w:val="24"/>
                <w:szCs w:val="24"/>
                <w:vertAlign w:val="superscript"/>
              </w:rPr>
              <w:t>2+</w:t>
            </w:r>
          </w:p>
        </w:tc>
        <w:tc>
          <w:tcPr>
            <w:tcW w:w="5347" w:type="dxa"/>
            <w:tcBorders>
              <w:top w:val="single" w:sz="4" w:space="0" w:color="auto"/>
              <w:bottom w:val="single" w:sz="4" w:space="0" w:color="auto"/>
            </w:tcBorders>
            <w:vAlign w:val="center"/>
          </w:tcPr>
          <w:p w14:paraId="29103BEE" w14:textId="77777777" w:rsidR="00EF4B1B" w:rsidRPr="00F81169" w:rsidRDefault="00EF4B1B" w:rsidP="003E4F8A">
            <w:pPr>
              <w:spacing w:after="0" w:line="360" w:lineRule="auto"/>
              <w:jc w:val="center"/>
              <w:rPr>
                <w:rFonts w:ascii="Times New Roman" w:hAnsi="Times New Roman"/>
                <w:b/>
                <w:bCs/>
                <w:sz w:val="24"/>
                <w:szCs w:val="24"/>
              </w:rPr>
            </w:pPr>
            <w:r w:rsidRPr="00F81169">
              <w:rPr>
                <w:rFonts w:ascii="Times New Roman" w:hAnsi="Times New Roman"/>
                <w:b/>
                <w:bCs/>
                <w:sz w:val="24"/>
                <w:szCs w:val="24"/>
              </w:rPr>
              <w:t>Remark</w:t>
            </w:r>
          </w:p>
        </w:tc>
      </w:tr>
      <w:tr w:rsidR="00EF4B1B" w:rsidRPr="00F81169" w14:paraId="399ED59B" w14:textId="77777777" w:rsidTr="00730345">
        <w:trPr>
          <w:jc w:val="center"/>
        </w:trPr>
        <w:tc>
          <w:tcPr>
            <w:tcW w:w="1735" w:type="dxa"/>
            <w:vMerge w:val="restart"/>
            <w:tcBorders>
              <w:top w:val="single" w:sz="4" w:space="0" w:color="auto"/>
            </w:tcBorders>
          </w:tcPr>
          <w:p w14:paraId="69D7CE1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NIOT-EQR_J7</w:t>
            </w:r>
          </w:p>
        </w:tc>
        <w:tc>
          <w:tcPr>
            <w:tcW w:w="2552" w:type="dxa"/>
            <w:tcBorders>
              <w:top w:val="single" w:sz="4" w:space="0" w:color="auto"/>
            </w:tcBorders>
          </w:tcPr>
          <w:p w14:paraId="170A723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OH (Alcohol)</w:t>
            </w:r>
          </w:p>
        </w:tc>
        <w:tc>
          <w:tcPr>
            <w:tcW w:w="1567" w:type="dxa"/>
            <w:tcBorders>
              <w:top w:val="single" w:sz="4" w:space="0" w:color="auto"/>
            </w:tcBorders>
          </w:tcPr>
          <w:p w14:paraId="06CC9FB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3234.15</w:t>
            </w:r>
          </w:p>
        </w:tc>
        <w:tc>
          <w:tcPr>
            <w:tcW w:w="1867" w:type="dxa"/>
            <w:tcBorders>
              <w:top w:val="single" w:sz="4" w:space="0" w:color="auto"/>
            </w:tcBorders>
          </w:tcPr>
          <w:p w14:paraId="7318135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5347" w:type="dxa"/>
            <w:tcBorders>
              <w:top w:val="single" w:sz="4" w:space="0" w:color="auto"/>
            </w:tcBorders>
          </w:tcPr>
          <w:p w14:paraId="7DAB8F2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 New Peak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4C8E5CCF" w14:textId="77777777" w:rsidTr="00730345">
        <w:trPr>
          <w:jc w:val="center"/>
        </w:trPr>
        <w:tc>
          <w:tcPr>
            <w:tcW w:w="1735" w:type="dxa"/>
            <w:vMerge/>
          </w:tcPr>
          <w:p w14:paraId="1D757573"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3E2783F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0CFE3D4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2957.58</w:t>
            </w:r>
          </w:p>
        </w:tc>
        <w:tc>
          <w:tcPr>
            <w:tcW w:w="1867" w:type="dxa"/>
          </w:tcPr>
          <w:p w14:paraId="1081762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2991.63</w:t>
            </w:r>
          </w:p>
        </w:tc>
        <w:tc>
          <w:tcPr>
            <w:tcW w:w="5347" w:type="dxa"/>
          </w:tcPr>
          <w:p w14:paraId="519E9A3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P-2, wavelength shift</w:t>
            </w:r>
          </w:p>
        </w:tc>
      </w:tr>
      <w:tr w:rsidR="00EF4B1B" w:rsidRPr="00F81169" w14:paraId="2DB6791D" w14:textId="77777777" w:rsidTr="00730345">
        <w:trPr>
          <w:jc w:val="center"/>
        </w:trPr>
        <w:tc>
          <w:tcPr>
            <w:tcW w:w="1735" w:type="dxa"/>
            <w:vMerge/>
          </w:tcPr>
          <w:p w14:paraId="0C8B599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8F8373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456B188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38984A2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2800.07</w:t>
            </w:r>
          </w:p>
        </w:tc>
        <w:tc>
          <w:tcPr>
            <w:tcW w:w="5347" w:type="dxa"/>
          </w:tcPr>
          <w:p w14:paraId="4560CD7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P-3,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7A59E958" w14:textId="77777777" w:rsidTr="00730345">
        <w:trPr>
          <w:jc w:val="center"/>
        </w:trPr>
        <w:tc>
          <w:tcPr>
            <w:tcW w:w="1735" w:type="dxa"/>
            <w:vMerge/>
          </w:tcPr>
          <w:p w14:paraId="4C511A30"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E66764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=OH (Carboxylic acid)</w:t>
            </w:r>
          </w:p>
        </w:tc>
        <w:tc>
          <w:tcPr>
            <w:tcW w:w="1567" w:type="dxa"/>
          </w:tcPr>
          <w:p w14:paraId="1BD58A7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6A2EDCC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2540.19</w:t>
            </w:r>
          </w:p>
        </w:tc>
        <w:tc>
          <w:tcPr>
            <w:tcW w:w="5347" w:type="dxa"/>
          </w:tcPr>
          <w:p w14:paraId="22D9032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P-4,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49BB73A1" w14:textId="77777777" w:rsidTr="00730345">
        <w:trPr>
          <w:jc w:val="center"/>
        </w:trPr>
        <w:tc>
          <w:tcPr>
            <w:tcW w:w="1735" w:type="dxa"/>
            <w:vMerge/>
          </w:tcPr>
          <w:p w14:paraId="6659C56F"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CF825E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S-H Stretch</w:t>
            </w:r>
          </w:p>
        </w:tc>
        <w:tc>
          <w:tcPr>
            <w:tcW w:w="1567" w:type="dxa"/>
          </w:tcPr>
          <w:p w14:paraId="76D26B4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2383.09</w:t>
            </w:r>
          </w:p>
        </w:tc>
        <w:tc>
          <w:tcPr>
            <w:tcW w:w="1867" w:type="dxa"/>
          </w:tcPr>
          <w:p w14:paraId="016964C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2442.42</w:t>
            </w:r>
          </w:p>
        </w:tc>
        <w:tc>
          <w:tcPr>
            <w:tcW w:w="5347" w:type="dxa"/>
          </w:tcPr>
          <w:p w14:paraId="434BB06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P-5, wavelength shift and Peak decreased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22DF4B3" w14:textId="77777777" w:rsidTr="00730345">
        <w:trPr>
          <w:jc w:val="center"/>
        </w:trPr>
        <w:tc>
          <w:tcPr>
            <w:tcW w:w="1735" w:type="dxa"/>
            <w:vMerge/>
          </w:tcPr>
          <w:p w14:paraId="374FB15E"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75440B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Amide C = O stretch</w:t>
            </w:r>
          </w:p>
        </w:tc>
        <w:tc>
          <w:tcPr>
            <w:tcW w:w="1567" w:type="dxa"/>
          </w:tcPr>
          <w:p w14:paraId="4644411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1626.87</w:t>
            </w:r>
          </w:p>
        </w:tc>
        <w:tc>
          <w:tcPr>
            <w:tcW w:w="1867" w:type="dxa"/>
          </w:tcPr>
          <w:p w14:paraId="4382E70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1618.15</w:t>
            </w:r>
          </w:p>
        </w:tc>
        <w:tc>
          <w:tcPr>
            <w:tcW w:w="5347" w:type="dxa"/>
          </w:tcPr>
          <w:p w14:paraId="0FE6BEA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P-6,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D53D7EB" w14:textId="77777777" w:rsidTr="00730345">
        <w:trPr>
          <w:jc w:val="center"/>
        </w:trPr>
        <w:tc>
          <w:tcPr>
            <w:tcW w:w="1735" w:type="dxa"/>
            <w:vMerge/>
          </w:tcPr>
          <w:p w14:paraId="5811488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A1914A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asymmetric stretch</w:t>
            </w:r>
          </w:p>
        </w:tc>
        <w:tc>
          <w:tcPr>
            <w:tcW w:w="1567" w:type="dxa"/>
          </w:tcPr>
          <w:p w14:paraId="1F3B075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1554.98</w:t>
            </w:r>
          </w:p>
        </w:tc>
        <w:tc>
          <w:tcPr>
            <w:tcW w:w="1867" w:type="dxa"/>
          </w:tcPr>
          <w:p w14:paraId="3694796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1508.70</w:t>
            </w:r>
          </w:p>
        </w:tc>
        <w:tc>
          <w:tcPr>
            <w:tcW w:w="5347" w:type="dxa"/>
          </w:tcPr>
          <w:p w14:paraId="790343F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P-7,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09E5E34" w14:textId="77777777" w:rsidTr="00730345">
        <w:trPr>
          <w:jc w:val="center"/>
        </w:trPr>
        <w:tc>
          <w:tcPr>
            <w:tcW w:w="1735" w:type="dxa"/>
            <w:vMerge/>
          </w:tcPr>
          <w:p w14:paraId="648EFCDB"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C87370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C=C Stretch</w:t>
            </w:r>
          </w:p>
        </w:tc>
        <w:tc>
          <w:tcPr>
            <w:tcW w:w="1567" w:type="dxa"/>
          </w:tcPr>
          <w:p w14:paraId="4A56B65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1447.71</w:t>
            </w:r>
          </w:p>
        </w:tc>
        <w:tc>
          <w:tcPr>
            <w:tcW w:w="1867" w:type="dxa"/>
          </w:tcPr>
          <w:p w14:paraId="7B9F488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1459.56</w:t>
            </w:r>
          </w:p>
        </w:tc>
        <w:tc>
          <w:tcPr>
            <w:tcW w:w="5347" w:type="dxa"/>
          </w:tcPr>
          <w:p w14:paraId="28AD6F9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P-8, wavelength shift and Peak height and area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329F2900" w14:textId="77777777" w:rsidTr="00730345">
        <w:trPr>
          <w:jc w:val="center"/>
        </w:trPr>
        <w:tc>
          <w:tcPr>
            <w:tcW w:w="1735" w:type="dxa"/>
            <w:vMerge/>
          </w:tcPr>
          <w:p w14:paraId="7690B7C5"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8E6FA5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Amine (C-N)</w:t>
            </w:r>
          </w:p>
        </w:tc>
        <w:tc>
          <w:tcPr>
            <w:tcW w:w="1567" w:type="dxa"/>
          </w:tcPr>
          <w:p w14:paraId="401E226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1251.22</w:t>
            </w:r>
          </w:p>
        </w:tc>
        <w:tc>
          <w:tcPr>
            <w:tcW w:w="1867" w:type="dxa"/>
          </w:tcPr>
          <w:p w14:paraId="5F1BE5D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1248.82</w:t>
            </w:r>
          </w:p>
        </w:tc>
        <w:tc>
          <w:tcPr>
            <w:tcW w:w="5347" w:type="dxa"/>
          </w:tcPr>
          <w:p w14:paraId="4C4C9FE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P-9,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9B18096" w14:textId="77777777" w:rsidTr="00730345">
        <w:trPr>
          <w:jc w:val="center"/>
        </w:trPr>
        <w:tc>
          <w:tcPr>
            <w:tcW w:w="1735" w:type="dxa"/>
            <w:vMerge/>
          </w:tcPr>
          <w:p w14:paraId="1EF4B4CD"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CC8E11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3170B15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1201. 08</w:t>
            </w:r>
          </w:p>
        </w:tc>
        <w:tc>
          <w:tcPr>
            <w:tcW w:w="1867" w:type="dxa"/>
          </w:tcPr>
          <w:p w14:paraId="4B4FF2A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1209.93</w:t>
            </w:r>
          </w:p>
        </w:tc>
        <w:tc>
          <w:tcPr>
            <w:tcW w:w="5347" w:type="dxa"/>
          </w:tcPr>
          <w:p w14:paraId="551BE1C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P-10,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4E146CE" w14:textId="77777777" w:rsidTr="00730345">
        <w:trPr>
          <w:jc w:val="center"/>
        </w:trPr>
        <w:tc>
          <w:tcPr>
            <w:tcW w:w="1735" w:type="dxa"/>
            <w:vMerge/>
          </w:tcPr>
          <w:p w14:paraId="199EC68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7B33AA5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w:t>
            </w:r>
            <w:r w:rsidRPr="00F81169">
              <w:rPr>
                <w:rFonts w:ascii="Times New Roman" w:eastAsia="MTSY" w:hAnsi="Times New Roman"/>
                <w:sz w:val="24"/>
                <w:szCs w:val="24"/>
              </w:rPr>
              <w:t>=</w:t>
            </w:r>
            <w:r w:rsidRPr="00F81169">
              <w:rPr>
                <w:rFonts w:ascii="Times New Roman" w:hAnsi="Times New Roman"/>
                <w:sz w:val="24"/>
                <w:szCs w:val="24"/>
              </w:rPr>
              <w:t>O stretch</w:t>
            </w:r>
          </w:p>
        </w:tc>
        <w:tc>
          <w:tcPr>
            <w:tcW w:w="1567" w:type="dxa"/>
          </w:tcPr>
          <w:p w14:paraId="081AE8B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1111.48</w:t>
            </w:r>
          </w:p>
        </w:tc>
        <w:tc>
          <w:tcPr>
            <w:tcW w:w="1867" w:type="dxa"/>
          </w:tcPr>
          <w:p w14:paraId="0B5F240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1129.19</w:t>
            </w:r>
          </w:p>
        </w:tc>
        <w:tc>
          <w:tcPr>
            <w:tcW w:w="5347" w:type="dxa"/>
          </w:tcPr>
          <w:p w14:paraId="5BF5EF1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P-11,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A25D5ED" w14:textId="77777777" w:rsidTr="00730345">
        <w:trPr>
          <w:jc w:val="center"/>
        </w:trPr>
        <w:tc>
          <w:tcPr>
            <w:tcW w:w="1735" w:type="dxa"/>
            <w:vMerge/>
          </w:tcPr>
          <w:p w14:paraId="5166085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25A60E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C-O Stretch </w:t>
            </w:r>
          </w:p>
        </w:tc>
        <w:tc>
          <w:tcPr>
            <w:tcW w:w="1567" w:type="dxa"/>
          </w:tcPr>
          <w:p w14:paraId="70441DF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1043.82</w:t>
            </w:r>
          </w:p>
        </w:tc>
        <w:tc>
          <w:tcPr>
            <w:tcW w:w="1867" w:type="dxa"/>
          </w:tcPr>
          <w:p w14:paraId="003F42D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1064.44</w:t>
            </w:r>
          </w:p>
        </w:tc>
        <w:tc>
          <w:tcPr>
            <w:tcW w:w="5347" w:type="dxa"/>
          </w:tcPr>
          <w:p w14:paraId="15F4C49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P-12,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4C60BEF" w14:textId="77777777" w:rsidTr="00730345">
        <w:trPr>
          <w:jc w:val="center"/>
        </w:trPr>
        <w:tc>
          <w:tcPr>
            <w:tcW w:w="1735" w:type="dxa"/>
            <w:vMerge/>
          </w:tcPr>
          <w:p w14:paraId="488CD8D8"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E67AA2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49F7E2F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45CB62D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992.06</w:t>
            </w:r>
          </w:p>
        </w:tc>
        <w:tc>
          <w:tcPr>
            <w:tcW w:w="5347" w:type="dxa"/>
          </w:tcPr>
          <w:p w14:paraId="269CB48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P-13,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1AFB15BD" w14:textId="77777777" w:rsidTr="00730345">
        <w:trPr>
          <w:jc w:val="center"/>
        </w:trPr>
        <w:tc>
          <w:tcPr>
            <w:tcW w:w="1735" w:type="dxa"/>
            <w:vMerge/>
          </w:tcPr>
          <w:p w14:paraId="1CC4C3D1"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4398E34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Aliphatic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5B54A13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58B8B2A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922.45</w:t>
            </w:r>
          </w:p>
        </w:tc>
        <w:tc>
          <w:tcPr>
            <w:tcW w:w="5347" w:type="dxa"/>
          </w:tcPr>
          <w:p w14:paraId="40ABD44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P-14,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442772A6" w14:textId="77777777" w:rsidTr="00730345">
        <w:trPr>
          <w:jc w:val="center"/>
        </w:trPr>
        <w:tc>
          <w:tcPr>
            <w:tcW w:w="1735" w:type="dxa"/>
            <w:vMerge/>
          </w:tcPr>
          <w:p w14:paraId="2D7DAFC1"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49CC4C8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w:t>
            </w:r>
          </w:p>
        </w:tc>
        <w:tc>
          <w:tcPr>
            <w:tcW w:w="1567" w:type="dxa"/>
          </w:tcPr>
          <w:p w14:paraId="3DA02FC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846.29</w:t>
            </w:r>
          </w:p>
        </w:tc>
        <w:tc>
          <w:tcPr>
            <w:tcW w:w="1867" w:type="dxa"/>
          </w:tcPr>
          <w:p w14:paraId="4555DE9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852.07</w:t>
            </w:r>
          </w:p>
        </w:tc>
        <w:tc>
          <w:tcPr>
            <w:tcW w:w="5347" w:type="dxa"/>
          </w:tcPr>
          <w:p w14:paraId="0A4996B6" w14:textId="77777777" w:rsidR="00EF4B1B" w:rsidRPr="00F81169" w:rsidRDefault="00EF4B1B" w:rsidP="003E4F8A">
            <w:pPr>
              <w:spacing w:line="360" w:lineRule="auto"/>
              <w:rPr>
                <w:rFonts w:ascii="Times New Roman" w:hAnsi="Times New Roman"/>
                <w:sz w:val="24"/>
                <w:szCs w:val="24"/>
              </w:rPr>
            </w:pPr>
            <w:r w:rsidRPr="00F81169">
              <w:rPr>
                <w:rFonts w:ascii="Times New Roman" w:hAnsi="Times New Roman"/>
                <w:sz w:val="24"/>
                <w:szCs w:val="24"/>
              </w:rPr>
              <w:t xml:space="preserve">P-15, wavelength shift and Peak negligible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B77ABE5" w14:textId="77777777" w:rsidTr="00730345">
        <w:trPr>
          <w:jc w:val="center"/>
        </w:trPr>
        <w:tc>
          <w:tcPr>
            <w:tcW w:w="1735" w:type="dxa"/>
            <w:vMerge w:val="restart"/>
          </w:tcPr>
          <w:p w14:paraId="38661C6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lastRenderedPageBreak/>
              <w:t>NIOT-EQR_J248</w:t>
            </w:r>
          </w:p>
        </w:tc>
        <w:tc>
          <w:tcPr>
            <w:tcW w:w="2552" w:type="dxa"/>
          </w:tcPr>
          <w:p w14:paraId="405D5E6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58FCA42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2923.88</w:t>
            </w:r>
          </w:p>
        </w:tc>
        <w:tc>
          <w:tcPr>
            <w:tcW w:w="1867" w:type="dxa"/>
          </w:tcPr>
          <w:p w14:paraId="6F33936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2917.24</w:t>
            </w:r>
          </w:p>
        </w:tc>
        <w:tc>
          <w:tcPr>
            <w:tcW w:w="5347" w:type="dxa"/>
          </w:tcPr>
          <w:p w14:paraId="28AC0CE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 Peak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880B2C1" w14:textId="77777777" w:rsidTr="00730345">
        <w:trPr>
          <w:jc w:val="center"/>
        </w:trPr>
        <w:tc>
          <w:tcPr>
            <w:tcW w:w="1735" w:type="dxa"/>
            <w:vMerge/>
          </w:tcPr>
          <w:p w14:paraId="690A4FF3"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4BA9FC83"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5349024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2814.42</w:t>
            </w:r>
          </w:p>
        </w:tc>
        <w:tc>
          <w:tcPr>
            <w:tcW w:w="1867" w:type="dxa"/>
          </w:tcPr>
          <w:p w14:paraId="32E8818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2829.07</w:t>
            </w:r>
          </w:p>
        </w:tc>
        <w:tc>
          <w:tcPr>
            <w:tcW w:w="5347" w:type="dxa"/>
          </w:tcPr>
          <w:p w14:paraId="1CBF0DC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P-2,</w:t>
            </w:r>
          </w:p>
        </w:tc>
      </w:tr>
      <w:tr w:rsidR="00EF4B1B" w:rsidRPr="00F81169" w14:paraId="6D2F0874" w14:textId="77777777" w:rsidTr="00730345">
        <w:trPr>
          <w:jc w:val="center"/>
        </w:trPr>
        <w:tc>
          <w:tcPr>
            <w:tcW w:w="1735" w:type="dxa"/>
            <w:vMerge/>
          </w:tcPr>
          <w:p w14:paraId="2C56950B"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0A0954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S-H Stretch</w:t>
            </w:r>
          </w:p>
        </w:tc>
        <w:tc>
          <w:tcPr>
            <w:tcW w:w="1567" w:type="dxa"/>
          </w:tcPr>
          <w:p w14:paraId="7B8C575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2304.55</w:t>
            </w:r>
          </w:p>
        </w:tc>
        <w:tc>
          <w:tcPr>
            <w:tcW w:w="1867" w:type="dxa"/>
          </w:tcPr>
          <w:p w14:paraId="51FF1FB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2246.72</w:t>
            </w:r>
          </w:p>
        </w:tc>
        <w:tc>
          <w:tcPr>
            <w:tcW w:w="5347" w:type="dxa"/>
          </w:tcPr>
          <w:p w14:paraId="437150A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P-3, Peak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5D0D5DF4" w14:textId="77777777" w:rsidTr="00730345">
        <w:trPr>
          <w:jc w:val="center"/>
        </w:trPr>
        <w:tc>
          <w:tcPr>
            <w:tcW w:w="1735" w:type="dxa"/>
            <w:vMerge/>
          </w:tcPr>
          <w:p w14:paraId="40642D6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E2F55A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Amide C = O stretch</w:t>
            </w:r>
          </w:p>
        </w:tc>
        <w:tc>
          <w:tcPr>
            <w:tcW w:w="1567" w:type="dxa"/>
          </w:tcPr>
          <w:p w14:paraId="58F51A0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1736.53</w:t>
            </w:r>
          </w:p>
        </w:tc>
        <w:tc>
          <w:tcPr>
            <w:tcW w:w="1867" w:type="dxa"/>
          </w:tcPr>
          <w:p w14:paraId="4DF4EAF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5347" w:type="dxa"/>
          </w:tcPr>
          <w:p w14:paraId="47E5FC5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P-4, New Peak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5D26D69C" w14:textId="77777777" w:rsidTr="00730345">
        <w:trPr>
          <w:jc w:val="center"/>
        </w:trPr>
        <w:tc>
          <w:tcPr>
            <w:tcW w:w="1735" w:type="dxa"/>
            <w:vMerge/>
          </w:tcPr>
          <w:p w14:paraId="64DA5220"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68D727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asymmetric stretch</w:t>
            </w:r>
          </w:p>
        </w:tc>
        <w:tc>
          <w:tcPr>
            <w:tcW w:w="1567" w:type="dxa"/>
          </w:tcPr>
          <w:p w14:paraId="1B6CF4B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1602.80</w:t>
            </w:r>
          </w:p>
        </w:tc>
        <w:tc>
          <w:tcPr>
            <w:tcW w:w="1867" w:type="dxa"/>
          </w:tcPr>
          <w:p w14:paraId="3DF577E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1598.59</w:t>
            </w:r>
          </w:p>
        </w:tc>
        <w:tc>
          <w:tcPr>
            <w:tcW w:w="5347" w:type="dxa"/>
          </w:tcPr>
          <w:p w14:paraId="0D06E90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P-5, Peak decreased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4D21E00A" w14:textId="77777777" w:rsidTr="00730345">
        <w:trPr>
          <w:jc w:val="center"/>
        </w:trPr>
        <w:tc>
          <w:tcPr>
            <w:tcW w:w="1735" w:type="dxa"/>
            <w:vMerge/>
          </w:tcPr>
          <w:p w14:paraId="3603FE6E"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244A10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asymmetric stretch</w:t>
            </w:r>
          </w:p>
        </w:tc>
        <w:tc>
          <w:tcPr>
            <w:tcW w:w="1567" w:type="dxa"/>
          </w:tcPr>
          <w:p w14:paraId="2DE3101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1523.59</w:t>
            </w:r>
          </w:p>
        </w:tc>
        <w:tc>
          <w:tcPr>
            <w:tcW w:w="1867" w:type="dxa"/>
          </w:tcPr>
          <w:p w14:paraId="7AED2E2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1512.17</w:t>
            </w:r>
          </w:p>
        </w:tc>
        <w:tc>
          <w:tcPr>
            <w:tcW w:w="5347" w:type="dxa"/>
          </w:tcPr>
          <w:p w14:paraId="78115CC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P-6, Peak decreased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3DFCE290" w14:textId="77777777" w:rsidTr="00730345">
        <w:trPr>
          <w:jc w:val="center"/>
        </w:trPr>
        <w:tc>
          <w:tcPr>
            <w:tcW w:w="1735" w:type="dxa"/>
            <w:vMerge/>
          </w:tcPr>
          <w:p w14:paraId="279CC90F"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44DA0DB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C=C Stretch</w:t>
            </w:r>
          </w:p>
        </w:tc>
        <w:tc>
          <w:tcPr>
            <w:tcW w:w="1567" w:type="dxa"/>
          </w:tcPr>
          <w:p w14:paraId="7C4D8B2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1439.04</w:t>
            </w:r>
          </w:p>
        </w:tc>
        <w:tc>
          <w:tcPr>
            <w:tcW w:w="1867" w:type="dxa"/>
          </w:tcPr>
          <w:p w14:paraId="45DF8D2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1412.68</w:t>
            </w:r>
          </w:p>
        </w:tc>
        <w:tc>
          <w:tcPr>
            <w:tcW w:w="5347" w:type="dxa"/>
          </w:tcPr>
          <w:p w14:paraId="2C36663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P-7, Peak decreased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F762A4C" w14:textId="77777777" w:rsidTr="00730345">
        <w:trPr>
          <w:jc w:val="center"/>
        </w:trPr>
        <w:tc>
          <w:tcPr>
            <w:tcW w:w="1735" w:type="dxa"/>
            <w:vMerge/>
          </w:tcPr>
          <w:p w14:paraId="298C9531"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1443B5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symmetric stretch</w:t>
            </w:r>
          </w:p>
        </w:tc>
        <w:tc>
          <w:tcPr>
            <w:tcW w:w="1567" w:type="dxa"/>
          </w:tcPr>
          <w:p w14:paraId="01A5377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3A4DDFA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1368.77</w:t>
            </w:r>
          </w:p>
        </w:tc>
        <w:tc>
          <w:tcPr>
            <w:tcW w:w="5347" w:type="dxa"/>
          </w:tcPr>
          <w:p w14:paraId="588989B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P-8,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98092D4" w14:textId="77777777" w:rsidTr="00730345">
        <w:trPr>
          <w:jc w:val="center"/>
        </w:trPr>
        <w:tc>
          <w:tcPr>
            <w:tcW w:w="1735" w:type="dxa"/>
            <w:vMerge/>
          </w:tcPr>
          <w:p w14:paraId="63416B2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FB8337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Amine (C-N)</w:t>
            </w:r>
          </w:p>
        </w:tc>
        <w:tc>
          <w:tcPr>
            <w:tcW w:w="1567" w:type="dxa"/>
          </w:tcPr>
          <w:p w14:paraId="389C6CC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6406A9E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1233.03</w:t>
            </w:r>
          </w:p>
        </w:tc>
        <w:tc>
          <w:tcPr>
            <w:tcW w:w="5347" w:type="dxa"/>
          </w:tcPr>
          <w:p w14:paraId="6EB0A39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P-9,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64005E7" w14:textId="77777777" w:rsidTr="00730345">
        <w:trPr>
          <w:jc w:val="center"/>
        </w:trPr>
        <w:tc>
          <w:tcPr>
            <w:tcW w:w="1735" w:type="dxa"/>
            <w:vMerge/>
          </w:tcPr>
          <w:p w14:paraId="248D80B2"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638EF08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C-O Stretch</w:t>
            </w:r>
          </w:p>
        </w:tc>
        <w:tc>
          <w:tcPr>
            <w:tcW w:w="1567" w:type="dxa"/>
          </w:tcPr>
          <w:p w14:paraId="7DAF1A6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4195B33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1069.50</w:t>
            </w:r>
          </w:p>
        </w:tc>
        <w:tc>
          <w:tcPr>
            <w:tcW w:w="5347" w:type="dxa"/>
          </w:tcPr>
          <w:p w14:paraId="270858B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P-10,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B4C89F3" w14:textId="77777777" w:rsidTr="00730345">
        <w:trPr>
          <w:jc w:val="center"/>
        </w:trPr>
        <w:tc>
          <w:tcPr>
            <w:tcW w:w="1735" w:type="dxa"/>
            <w:vMerge/>
          </w:tcPr>
          <w:p w14:paraId="612F22D7"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68588D9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283C9A8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967.0629</w:t>
            </w:r>
          </w:p>
        </w:tc>
        <w:tc>
          <w:tcPr>
            <w:tcW w:w="1867" w:type="dxa"/>
          </w:tcPr>
          <w:p w14:paraId="3800B0C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921.19</w:t>
            </w:r>
          </w:p>
        </w:tc>
        <w:tc>
          <w:tcPr>
            <w:tcW w:w="5347" w:type="dxa"/>
          </w:tcPr>
          <w:p w14:paraId="0D8B125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P-11, Peak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70449212" w14:textId="77777777" w:rsidTr="00730345">
        <w:trPr>
          <w:jc w:val="center"/>
        </w:trPr>
        <w:tc>
          <w:tcPr>
            <w:tcW w:w="1735" w:type="dxa"/>
            <w:vMerge/>
          </w:tcPr>
          <w:p w14:paraId="3254F509"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049383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 (C-Cl)</w:t>
            </w:r>
          </w:p>
        </w:tc>
        <w:tc>
          <w:tcPr>
            <w:tcW w:w="1567" w:type="dxa"/>
          </w:tcPr>
          <w:p w14:paraId="13FF00B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38CBE2D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827.61</w:t>
            </w:r>
          </w:p>
        </w:tc>
        <w:tc>
          <w:tcPr>
            <w:tcW w:w="5347" w:type="dxa"/>
          </w:tcPr>
          <w:p w14:paraId="00CA69A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P-12,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8DC962E" w14:textId="77777777" w:rsidTr="00730345">
        <w:trPr>
          <w:jc w:val="center"/>
        </w:trPr>
        <w:tc>
          <w:tcPr>
            <w:tcW w:w="1735" w:type="dxa"/>
            <w:vMerge/>
          </w:tcPr>
          <w:p w14:paraId="11A4AB4A"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754BE05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 (C-Cl)</w:t>
            </w:r>
          </w:p>
        </w:tc>
        <w:tc>
          <w:tcPr>
            <w:tcW w:w="1567" w:type="dxa"/>
          </w:tcPr>
          <w:p w14:paraId="7AEB4F9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305A0F6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763.70</w:t>
            </w:r>
          </w:p>
        </w:tc>
        <w:tc>
          <w:tcPr>
            <w:tcW w:w="5347" w:type="dxa"/>
          </w:tcPr>
          <w:p w14:paraId="0A0CD1E3"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P-13,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75A0155A" w14:textId="77777777" w:rsidTr="00730345">
        <w:trPr>
          <w:jc w:val="center"/>
        </w:trPr>
        <w:tc>
          <w:tcPr>
            <w:tcW w:w="1735" w:type="dxa"/>
            <w:vMerge/>
          </w:tcPr>
          <w:p w14:paraId="317A3CB3"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39777EA3"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 (C-Cl)</w:t>
            </w:r>
          </w:p>
        </w:tc>
        <w:tc>
          <w:tcPr>
            <w:tcW w:w="1567" w:type="dxa"/>
          </w:tcPr>
          <w:p w14:paraId="3842045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748.1596</w:t>
            </w:r>
          </w:p>
        </w:tc>
        <w:tc>
          <w:tcPr>
            <w:tcW w:w="1867" w:type="dxa"/>
          </w:tcPr>
          <w:p w14:paraId="57AE32C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721.47</w:t>
            </w:r>
          </w:p>
        </w:tc>
        <w:tc>
          <w:tcPr>
            <w:tcW w:w="5347" w:type="dxa"/>
          </w:tcPr>
          <w:p w14:paraId="50DE278C" w14:textId="77777777" w:rsidR="00EF4B1B" w:rsidRPr="00F81169" w:rsidRDefault="00EF4B1B" w:rsidP="003E4F8A">
            <w:pPr>
              <w:spacing w:line="360" w:lineRule="auto"/>
              <w:rPr>
                <w:rFonts w:ascii="Times New Roman" w:hAnsi="Times New Roman"/>
                <w:sz w:val="24"/>
                <w:szCs w:val="24"/>
              </w:rPr>
            </w:pPr>
            <w:r w:rsidRPr="00F81169">
              <w:rPr>
                <w:rFonts w:ascii="Times New Roman" w:hAnsi="Times New Roman"/>
                <w:sz w:val="24"/>
                <w:szCs w:val="24"/>
              </w:rPr>
              <w:t xml:space="preserve">P-14, Peak increased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1D44149B" w14:textId="77777777" w:rsidTr="00730345">
        <w:trPr>
          <w:jc w:val="center"/>
        </w:trPr>
        <w:tc>
          <w:tcPr>
            <w:tcW w:w="1735" w:type="dxa"/>
            <w:vMerge w:val="restart"/>
          </w:tcPr>
          <w:p w14:paraId="1960025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NIOT-EQR_J251</w:t>
            </w:r>
          </w:p>
        </w:tc>
        <w:tc>
          <w:tcPr>
            <w:tcW w:w="2552" w:type="dxa"/>
          </w:tcPr>
          <w:p w14:paraId="134601E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7FC37C9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2994.94</w:t>
            </w:r>
          </w:p>
        </w:tc>
        <w:tc>
          <w:tcPr>
            <w:tcW w:w="1867" w:type="dxa"/>
          </w:tcPr>
          <w:p w14:paraId="098EA05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5347" w:type="dxa"/>
          </w:tcPr>
          <w:p w14:paraId="3FAAF9F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 New Peak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1AAD62A9" w14:textId="77777777" w:rsidTr="00730345">
        <w:trPr>
          <w:jc w:val="center"/>
        </w:trPr>
        <w:tc>
          <w:tcPr>
            <w:tcW w:w="1735" w:type="dxa"/>
            <w:vMerge/>
          </w:tcPr>
          <w:p w14:paraId="57D747AA"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78E517E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=OH (Carboxylic acid)</w:t>
            </w:r>
          </w:p>
        </w:tc>
        <w:tc>
          <w:tcPr>
            <w:tcW w:w="1567" w:type="dxa"/>
          </w:tcPr>
          <w:p w14:paraId="07D3D0C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63FCB7C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2733.19</w:t>
            </w:r>
          </w:p>
        </w:tc>
        <w:tc>
          <w:tcPr>
            <w:tcW w:w="5347" w:type="dxa"/>
          </w:tcPr>
          <w:p w14:paraId="71245A6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P-2,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386949D3" w14:textId="77777777" w:rsidTr="00730345">
        <w:trPr>
          <w:jc w:val="center"/>
        </w:trPr>
        <w:tc>
          <w:tcPr>
            <w:tcW w:w="1735" w:type="dxa"/>
            <w:vMerge/>
          </w:tcPr>
          <w:p w14:paraId="08AEB242"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30F93EA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=OH (Carboxylic acid)</w:t>
            </w:r>
          </w:p>
        </w:tc>
        <w:tc>
          <w:tcPr>
            <w:tcW w:w="1567" w:type="dxa"/>
          </w:tcPr>
          <w:p w14:paraId="64E6759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783A46F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2613.26</w:t>
            </w:r>
          </w:p>
        </w:tc>
        <w:tc>
          <w:tcPr>
            <w:tcW w:w="5347" w:type="dxa"/>
          </w:tcPr>
          <w:p w14:paraId="6EC28B5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P-3,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DEF653F" w14:textId="77777777" w:rsidTr="00730345">
        <w:trPr>
          <w:jc w:val="center"/>
        </w:trPr>
        <w:tc>
          <w:tcPr>
            <w:tcW w:w="1735" w:type="dxa"/>
            <w:vMerge/>
          </w:tcPr>
          <w:p w14:paraId="3A41F1CE"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EE630A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S-H Stretch</w:t>
            </w:r>
          </w:p>
        </w:tc>
        <w:tc>
          <w:tcPr>
            <w:tcW w:w="1567" w:type="dxa"/>
          </w:tcPr>
          <w:p w14:paraId="2FE413D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2341.34</w:t>
            </w:r>
          </w:p>
        </w:tc>
        <w:tc>
          <w:tcPr>
            <w:tcW w:w="1867" w:type="dxa"/>
          </w:tcPr>
          <w:p w14:paraId="5BDABF6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5347" w:type="dxa"/>
          </w:tcPr>
          <w:p w14:paraId="71EEB700" w14:textId="77777777" w:rsidR="00EF4B1B" w:rsidRPr="00F81169" w:rsidRDefault="00EF4B1B" w:rsidP="003E4F8A">
            <w:pPr>
              <w:tabs>
                <w:tab w:val="center" w:pos="1314"/>
              </w:tabs>
              <w:spacing w:after="0" w:line="360" w:lineRule="auto"/>
              <w:rPr>
                <w:rFonts w:ascii="Times New Roman" w:hAnsi="Times New Roman"/>
                <w:sz w:val="24"/>
                <w:szCs w:val="24"/>
              </w:rPr>
            </w:pPr>
            <w:r w:rsidRPr="00F81169">
              <w:rPr>
                <w:rFonts w:ascii="Times New Roman" w:hAnsi="Times New Roman"/>
                <w:sz w:val="24"/>
                <w:szCs w:val="24"/>
              </w:rPr>
              <w:t xml:space="preserve">P-4, New Peak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701C040" w14:textId="77777777" w:rsidTr="00730345">
        <w:trPr>
          <w:jc w:val="center"/>
        </w:trPr>
        <w:tc>
          <w:tcPr>
            <w:tcW w:w="1735" w:type="dxa"/>
            <w:vMerge/>
          </w:tcPr>
          <w:p w14:paraId="140C119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E0C3A8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Amide C = O stretch</w:t>
            </w:r>
          </w:p>
        </w:tc>
        <w:tc>
          <w:tcPr>
            <w:tcW w:w="1567" w:type="dxa"/>
          </w:tcPr>
          <w:p w14:paraId="262F2BD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1641.71</w:t>
            </w:r>
          </w:p>
        </w:tc>
        <w:tc>
          <w:tcPr>
            <w:tcW w:w="1867" w:type="dxa"/>
          </w:tcPr>
          <w:p w14:paraId="7AB25B5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1653.01</w:t>
            </w:r>
          </w:p>
        </w:tc>
        <w:tc>
          <w:tcPr>
            <w:tcW w:w="5347" w:type="dxa"/>
          </w:tcPr>
          <w:p w14:paraId="27669F8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P-5, Wavelength shift</w:t>
            </w:r>
          </w:p>
        </w:tc>
      </w:tr>
      <w:tr w:rsidR="00EF4B1B" w:rsidRPr="00F81169" w14:paraId="406A7CE2" w14:textId="77777777" w:rsidTr="00730345">
        <w:trPr>
          <w:jc w:val="center"/>
        </w:trPr>
        <w:tc>
          <w:tcPr>
            <w:tcW w:w="1735" w:type="dxa"/>
            <w:vMerge/>
          </w:tcPr>
          <w:p w14:paraId="09392D6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7190375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asymmetric stretch</w:t>
            </w:r>
          </w:p>
        </w:tc>
        <w:tc>
          <w:tcPr>
            <w:tcW w:w="1567" w:type="dxa"/>
          </w:tcPr>
          <w:p w14:paraId="44A8CE4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1546.29</w:t>
            </w:r>
          </w:p>
        </w:tc>
        <w:tc>
          <w:tcPr>
            <w:tcW w:w="1867" w:type="dxa"/>
          </w:tcPr>
          <w:p w14:paraId="1AFECF1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1563.58</w:t>
            </w:r>
          </w:p>
        </w:tc>
        <w:tc>
          <w:tcPr>
            <w:tcW w:w="5347" w:type="dxa"/>
          </w:tcPr>
          <w:p w14:paraId="3C5C6A6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P-6, Peak area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5E76022" w14:textId="77777777" w:rsidTr="00730345">
        <w:trPr>
          <w:jc w:val="center"/>
        </w:trPr>
        <w:tc>
          <w:tcPr>
            <w:tcW w:w="1735" w:type="dxa"/>
            <w:vMerge/>
          </w:tcPr>
          <w:p w14:paraId="5045BBE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E47341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symmetric stretch</w:t>
            </w:r>
          </w:p>
        </w:tc>
        <w:tc>
          <w:tcPr>
            <w:tcW w:w="1567" w:type="dxa"/>
          </w:tcPr>
          <w:p w14:paraId="2CA50FC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1398.29</w:t>
            </w:r>
          </w:p>
        </w:tc>
        <w:tc>
          <w:tcPr>
            <w:tcW w:w="1867" w:type="dxa"/>
          </w:tcPr>
          <w:p w14:paraId="535BD19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1456.58</w:t>
            </w:r>
          </w:p>
        </w:tc>
        <w:tc>
          <w:tcPr>
            <w:tcW w:w="5347" w:type="dxa"/>
          </w:tcPr>
          <w:p w14:paraId="048538F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P-7, Wavelength shift</w:t>
            </w:r>
          </w:p>
        </w:tc>
      </w:tr>
      <w:tr w:rsidR="00EF4B1B" w:rsidRPr="00F81169" w14:paraId="5DD23B3C" w14:textId="77777777" w:rsidTr="00730345">
        <w:trPr>
          <w:jc w:val="center"/>
        </w:trPr>
        <w:tc>
          <w:tcPr>
            <w:tcW w:w="1735" w:type="dxa"/>
            <w:vMerge/>
          </w:tcPr>
          <w:p w14:paraId="185FAA42"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2913586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Amine (C-N)</w:t>
            </w:r>
          </w:p>
        </w:tc>
        <w:tc>
          <w:tcPr>
            <w:tcW w:w="1567" w:type="dxa"/>
          </w:tcPr>
          <w:p w14:paraId="66334A9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1248.61</w:t>
            </w:r>
          </w:p>
        </w:tc>
        <w:tc>
          <w:tcPr>
            <w:tcW w:w="1867" w:type="dxa"/>
          </w:tcPr>
          <w:p w14:paraId="58C2A27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1222.61</w:t>
            </w:r>
          </w:p>
        </w:tc>
        <w:tc>
          <w:tcPr>
            <w:tcW w:w="5347" w:type="dxa"/>
          </w:tcPr>
          <w:p w14:paraId="3DE0380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P-8, Peak height increased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778D3953" w14:textId="77777777" w:rsidTr="00730345">
        <w:trPr>
          <w:jc w:val="center"/>
        </w:trPr>
        <w:tc>
          <w:tcPr>
            <w:tcW w:w="1735" w:type="dxa"/>
            <w:vMerge/>
          </w:tcPr>
          <w:p w14:paraId="65374CB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586826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P=O</w:t>
            </w:r>
          </w:p>
        </w:tc>
        <w:tc>
          <w:tcPr>
            <w:tcW w:w="1567" w:type="dxa"/>
          </w:tcPr>
          <w:p w14:paraId="6445DAF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1134.18</w:t>
            </w:r>
          </w:p>
        </w:tc>
        <w:tc>
          <w:tcPr>
            <w:tcW w:w="1867" w:type="dxa"/>
          </w:tcPr>
          <w:p w14:paraId="66EF553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1105.97</w:t>
            </w:r>
          </w:p>
        </w:tc>
        <w:tc>
          <w:tcPr>
            <w:tcW w:w="5347" w:type="dxa"/>
          </w:tcPr>
          <w:p w14:paraId="06A4B3A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P-9, Peak height increased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484AEBA0" w14:textId="77777777" w:rsidTr="00730345">
        <w:trPr>
          <w:jc w:val="center"/>
        </w:trPr>
        <w:tc>
          <w:tcPr>
            <w:tcW w:w="1735" w:type="dxa"/>
            <w:vMerge/>
          </w:tcPr>
          <w:p w14:paraId="7FDD2AAC"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62BAFCB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3A7D2E61"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964.26</w:t>
            </w:r>
          </w:p>
        </w:tc>
        <w:tc>
          <w:tcPr>
            <w:tcW w:w="1867" w:type="dxa"/>
          </w:tcPr>
          <w:p w14:paraId="6F69006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961.03</w:t>
            </w:r>
          </w:p>
        </w:tc>
        <w:tc>
          <w:tcPr>
            <w:tcW w:w="5347" w:type="dxa"/>
          </w:tcPr>
          <w:p w14:paraId="2A42307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P-10, Peak height increased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7F3E26DF" w14:textId="77777777" w:rsidTr="00730345">
        <w:trPr>
          <w:jc w:val="center"/>
        </w:trPr>
        <w:tc>
          <w:tcPr>
            <w:tcW w:w="1735" w:type="dxa"/>
            <w:vMerge/>
          </w:tcPr>
          <w:p w14:paraId="7D3E2626"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44A758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Aromatic phosphates (P</w:t>
            </w:r>
            <w:r w:rsidRPr="00F81169">
              <w:rPr>
                <w:rFonts w:ascii="Times New Roman" w:eastAsia="Malgun Gothic" w:hAnsi="Times New Roman"/>
                <w:sz w:val="24"/>
                <w:szCs w:val="24"/>
              </w:rPr>
              <w:t>-</w:t>
            </w:r>
            <w:r w:rsidRPr="00F81169">
              <w:rPr>
                <w:rFonts w:ascii="Times New Roman" w:hAnsi="Times New Roman"/>
                <w:sz w:val="24"/>
                <w:szCs w:val="24"/>
              </w:rPr>
              <w:t>O</w:t>
            </w:r>
            <w:r w:rsidRPr="00F81169">
              <w:rPr>
                <w:rFonts w:ascii="Times New Roman" w:eastAsia="Malgun Gothic" w:hAnsi="Times New Roman"/>
                <w:sz w:val="24"/>
                <w:szCs w:val="24"/>
              </w:rPr>
              <w:t>-</w:t>
            </w:r>
            <w:r w:rsidRPr="00F81169">
              <w:rPr>
                <w:rFonts w:ascii="Times New Roman" w:hAnsi="Times New Roman"/>
                <w:sz w:val="24"/>
                <w:szCs w:val="24"/>
              </w:rPr>
              <w:t>C stretch)</w:t>
            </w:r>
          </w:p>
        </w:tc>
        <w:tc>
          <w:tcPr>
            <w:tcW w:w="1567" w:type="dxa"/>
          </w:tcPr>
          <w:p w14:paraId="478B309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903.97</w:t>
            </w:r>
          </w:p>
        </w:tc>
        <w:tc>
          <w:tcPr>
            <w:tcW w:w="1867" w:type="dxa"/>
          </w:tcPr>
          <w:p w14:paraId="41D37F9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918.48</w:t>
            </w:r>
          </w:p>
        </w:tc>
        <w:tc>
          <w:tcPr>
            <w:tcW w:w="5347" w:type="dxa"/>
          </w:tcPr>
          <w:p w14:paraId="69D3D92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P-11 Peak height increased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5204CDE6" w14:textId="77777777" w:rsidTr="00730345">
        <w:trPr>
          <w:jc w:val="center"/>
        </w:trPr>
        <w:tc>
          <w:tcPr>
            <w:tcW w:w="1735" w:type="dxa"/>
            <w:vMerge/>
          </w:tcPr>
          <w:p w14:paraId="0E662F5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13255C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w:t>
            </w:r>
          </w:p>
        </w:tc>
        <w:tc>
          <w:tcPr>
            <w:tcW w:w="1567" w:type="dxa"/>
          </w:tcPr>
          <w:p w14:paraId="03125A5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722160C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751.51</w:t>
            </w:r>
          </w:p>
        </w:tc>
        <w:tc>
          <w:tcPr>
            <w:tcW w:w="5347" w:type="dxa"/>
          </w:tcPr>
          <w:p w14:paraId="058B7499" w14:textId="77777777" w:rsidR="00EF4B1B" w:rsidRPr="00F81169" w:rsidRDefault="00EF4B1B" w:rsidP="003E4F8A">
            <w:pPr>
              <w:spacing w:line="360" w:lineRule="auto"/>
              <w:rPr>
                <w:rFonts w:ascii="Times New Roman" w:hAnsi="Times New Roman"/>
                <w:sz w:val="24"/>
                <w:szCs w:val="24"/>
              </w:rPr>
            </w:pPr>
            <w:r w:rsidRPr="00F81169">
              <w:rPr>
                <w:rFonts w:ascii="Times New Roman" w:hAnsi="Times New Roman"/>
                <w:sz w:val="24"/>
                <w:szCs w:val="24"/>
              </w:rPr>
              <w:t xml:space="preserve">P-12,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1EC208F0" w14:textId="77777777" w:rsidTr="00730345">
        <w:trPr>
          <w:jc w:val="center"/>
        </w:trPr>
        <w:tc>
          <w:tcPr>
            <w:tcW w:w="1735" w:type="dxa"/>
            <w:vMerge w:val="restart"/>
          </w:tcPr>
          <w:p w14:paraId="1D5BD2D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NIOT-EQR_J258</w:t>
            </w:r>
          </w:p>
        </w:tc>
        <w:tc>
          <w:tcPr>
            <w:tcW w:w="2552" w:type="dxa"/>
          </w:tcPr>
          <w:p w14:paraId="66B527B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Alkane C-H</w:t>
            </w:r>
          </w:p>
        </w:tc>
        <w:tc>
          <w:tcPr>
            <w:tcW w:w="1567" w:type="dxa"/>
          </w:tcPr>
          <w:p w14:paraId="4EC2C4D2"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absent</w:t>
            </w:r>
          </w:p>
        </w:tc>
        <w:tc>
          <w:tcPr>
            <w:tcW w:w="1867" w:type="dxa"/>
          </w:tcPr>
          <w:p w14:paraId="21057E7D"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3017.95</w:t>
            </w:r>
          </w:p>
        </w:tc>
        <w:tc>
          <w:tcPr>
            <w:tcW w:w="5347" w:type="dxa"/>
          </w:tcPr>
          <w:p w14:paraId="6AD23ED9"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P-1, New Peak without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0F8BAAB6" w14:textId="77777777" w:rsidTr="00730345">
        <w:trPr>
          <w:jc w:val="center"/>
        </w:trPr>
        <w:tc>
          <w:tcPr>
            <w:tcW w:w="1735" w:type="dxa"/>
            <w:vMerge/>
          </w:tcPr>
          <w:p w14:paraId="14DDADA4"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175B26E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Amide C = O stretch</w:t>
            </w:r>
          </w:p>
        </w:tc>
        <w:tc>
          <w:tcPr>
            <w:tcW w:w="1567" w:type="dxa"/>
          </w:tcPr>
          <w:p w14:paraId="1EEF1EF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1692.13</w:t>
            </w:r>
          </w:p>
        </w:tc>
        <w:tc>
          <w:tcPr>
            <w:tcW w:w="1867" w:type="dxa"/>
          </w:tcPr>
          <w:p w14:paraId="5684B1E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1718.86</w:t>
            </w:r>
          </w:p>
        </w:tc>
        <w:tc>
          <w:tcPr>
            <w:tcW w:w="5347" w:type="dxa"/>
          </w:tcPr>
          <w:p w14:paraId="3BAA4E53"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P-2, Peak height, and peak area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6A015E23" w14:textId="77777777" w:rsidTr="00730345">
        <w:trPr>
          <w:jc w:val="center"/>
        </w:trPr>
        <w:tc>
          <w:tcPr>
            <w:tcW w:w="1735" w:type="dxa"/>
            <w:vMerge/>
          </w:tcPr>
          <w:p w14:paraId="7C20B273"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D6AD7AC"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asymmetric stretch</w:t>
            </w:r>
          </w:p>
        </w:tc>
        <w:tc>
          <w:tcPr>
            <w:tcW w:w="1567" w:type="dxa"/>
          </w:tcPr>
          <w:p w14:paraId="56E0988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1597.90</w:t>
            </w:r>
          </w:p>
        </w:tc>
        <w:tc>
          <w:tcPr>
            <w:tcW w:w="1867" w:type="dxa"/>
          </w:tcPr>
          <w:p w14:paraId="01496CD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1594.03</w:t>
            </w:r>
          </w:p>
        </w:tc>
        <w:tc>
          <w:tcPr>
            <w:tcW w:w="5347" w:type="dxa"/>
          </w:tcPr>
          <w:p w14:paraId="78E0FAC5"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 xml:space="preserve">P-3, Peak height increased with </w:t>
            </w:r>
            <w:r w:rsidRPr="00F81169">
              <w:rPr>
                <w:rFonts w:ascii="Times New Roman" w:hAnsi="Times New Roman"/>
                <w:bCs/>
                <w:sz w:val="24"/>
                <w:szCs w:val="24"/>
              </w:rPr>
              <w:t>Hg</w:t>
            </w:r>
            <w:r w:rsidRPr="00F81169">
              <w:rPr>
                <w:rFonts w:ascii="Times New Roman" w:hAnsi="Times New Roman"/>
                <w:bCs/>
                <w:sz w:val="24"/>
                <w:szCs w:val="24"/>
                <w:vertAlign w:val="superscript"/>
              </w:rPr>
              <w:t>2+</w:t>
            </w:r>
          </w:p>
        </w:tc>
      </w:tr>
      <w:tr w:rsidR="00EF4B1B" w:rsidRPr="00F81169" w14:paraId="217B0F60" w14:textId="77777777" w:rsidTr="00730345">
        <w:trPr>
          <w:jc w:val="center"/>
        </w:trPr>
        <w:tc>
          <w:tcPr>
            <w:tcW w:w="1735" w:type="dxa"/>
            <w:vMerge/>
          </w:tcPr>
          <w:p w14:paraId="518552C9"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02C5BC5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N–O symmetric stretch</w:t>
            </w:r>
          </w:p>
        </w:tc>
        <w:tc>
          <w:tcPr>
            <w:tcW w:w="1567" w:type="dxa"/>
          </w:tcPr>
          <w:p w14:paraId="76D72ED8"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1366.57</w:t>
            </w:r>
          </w:p>
        </w:tc>
        <w:tc>
          <w:tcPr>
            <w:tcW w:w="1867" w:type="dxa"/>
          </w:tcPr>
          <w:p w14:paraId="382CFB20"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1358.84</w:t>
            </w:r>
          </w:p>
        </w:tc>
        <w:tc>
          <w:tcPr>
            <w:tcW w:w="5347" w:type="dxa"/>
          </w:tcPr>
          <w:p w14:paraId="30AABF56"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P-4, Wavelength shift</w:t>
            </w:r>
          </w:p>
        </w:tc>
      </w:tr>
      <w:tr w:rsidR="00EF4B1B" w:rsidRPr="00F81169" w14:paraId="2ABFD7DB" w14:textId="77777777" w:rsidTr="00730345">
        <w:trPr>
          <w:jc w:val="center"/>
        </w:trPr>
        <w:tc>
          <w:tcPr>
            <w:tcW w:w="1735" w:type="dxa"/>
            <w:vMerge/>
          </w:tcPr>
          <w:p w14:paraId="09099425"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4F8500B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Amine (C-N)</w:t>
            </w:r>
          </w:p>
        </w:tc>
        <w:tc>
          <w:tcPr>
            <w:tcW w:w="1567" w:type="dxa"/>
          </w:tcPr>
          <w:p w14:paraId="3C7A66C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1273.25</w:t>
            </w:r>
          </w:p>
        </w:tc>
        <w:tc>
          <w:tcPr>
            <w:tcW w:w="1867" w:type="dxa"/>
          </w:tcPr>
          <w:p w14:paraId="3EC6578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1206.39</w:t>
            </w:r>
          </w:p>
        </w:tc>
        <w:tc>
          <w:tcPr>
            <w:tcW w:w="5347" w:type="dxa"/>
          </w:tcPr>
          <w:p w14:paraId="5A19CC4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P-5, Wavelength shift</w:t>
            </w:r>
          </w:p>
        </w:tc>
      </w:tr>
      <w:tr w:rsidR="00EF4B1B" w:rsidRPr="00F81169" w14:paraId="03AD790D" w14:textId="77777777" w:rsidTr="00730345">
        <w:trPr>
          <w:jc w:val="center"/>
        </w:trPr>
        <w:tc>
          <w:tcPr>
            <w:tcW w:w="1735" w:type="dxa"/>
            <w:vMerge/>
          </w:tcPr>
          <w:p w14:paraId="1CC8A847"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8EC7CB7"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P=O</w:t>
            </w:r>
          </w:p>
        </w:tc>
        <w:tc>
          <w:tcPr>
            <w:tcW w:w="1567" w:type="dxa"/>
          </w:tcPr>
          <w:p w14:paraId="037958EB"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1087.95</w:t>
            </w:r>
          </w:p>
        </w:tc>
        <w:tc>
          <w:tcPr>
            <w:tcW w:w="1867" w:type="dxa"/>
          </w:tcPr>
          <w:p w14:paraId="6154DA1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1053.23</w:t>
            </w:r>
          </w:p>
        </w:tc>
        <w:tc>
          <w:tcPr>
            <w:tcW w:w="5347" w:type="dxa"/>
          </w:tcPr>
          <w:p w14:paraId="0F3F1FA3"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P-6, Wavelength shift</w:t>
            </w:r>
          </w:p>
        </w:tc>
      </w:tr>
      <w:tr w:rsidR="00EF4B1B" w:rsidRPr="00F81169" w14:paraId="45D08C0D" w14:textId="77777777" w:rsidTr="00730345">
        <w:trPr>
          <w:jc w:val="center"/>
        </w:trPr>
        <w:tc>
          <w:tcPr>
            <w:tcW w:w="1735" w:type="dxa"/>
            <w:vMerge/>
          </w:tcPr>
          <w:p w14:paraId="31098A1E" w14:textId="77777777" w:rsidR="00EF4B1B" w:rsidRPr="00F81169" w:rsidRDefault="00EF4B1B" w:rsidP="003E4F8A">
            <w:pPr>
              <w:spacing w:after="0" w:line="360" w:lineRule="auto"/>
              <w:rPr>
                <w:rFonts w:ascii="Times New Roman" w:hAnsi="Times New Roman"/>
                <w:sz w:val="24"/>
                <w:szCs w:val="24"/>
              </w:rPr>
            </w:pPr>
          </w:p>
        </w:tc>
        <w:tc>
          <w:tcPr>
            <w:tcW w:w="2552" w:type="dxa"/>
          </w:tcPr>
          <w:p w14:paraId="560462AF"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Alkyl halide</w:t>
            </w:r>
          </w:p>
        </w:tc>
        <w:tc>
          <w:tcPr>
            <w:tcW w:w="1567" w:type="dxa"/>
          </w:tcPr>
          <w:p w14:paraId="014ABFDA"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827.96</w:t>
            </w:r>
          </w:p>
        </w:tc>
        <w:tc>
          <w:tcPr>
            <w:tcW w:w="1867" w:type="dxa"/>
          </w:tcPr>
          <w:p w14:paraId="2BAEAD5E"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864.95</w:t>
            </w:r>
          </w:p>
        </w:tc>
        <w:tc>
          <w:tcPr>
            <w:tcW w:w="5347" w:type="dxa"/>
          </w:tcPr>
          <w:p w14:paraId="673DB834" w14:textId="77777777" w:rsidR="00EF4B1B" w:rsidRPr="00F81169" w:rsidRDefault="00EF4B1B" w:rsidP="003E4F8A">
            <w:pPr>
              <w:spacing w:after="0" w:line="360" w:lineRule="auto"/>
              <w:rPr>
                <w:rFonts w:ascii="Times New Roman" w:hAnsi="Times New Roman"/>
                <w:sz w:val="24"/>
                <w:szCs w:val="24"/>
              </w:rPr>
            </w:pPr>
            <w:r w:rsidRPr="00F81169">
              <w:rPr>
                <w:rFonts w:ascii="Times New Roman" w:hAnsi="Times New Roman"/>
                <w:sz w:val="24"/>
                <w:szCs w:val="24"/>
              </w:rPr>
              <w:t>P-7, Wavelength shift</w:t>
            </w:r>
          </w:p>
        </w:tc>
      </w:tr>
    </w:tbl>
    <w:p w14:paraId="5CCB0060" w14:textId="77777777" w:rsidR="00EF4B1B" w:rsidRPr="00F81169" w:rsidRDefault="00EF4B1B" w:rsidP="00EF4B1B">
      <w:pPr>
        <w:rPr>
          <w:rFonts w:ascii="Times New Roman" w:hAnsi="Times New Roman"/>
          <w:sz w:val="24"/>
          <w:szCs w:val="24"/>
        </w:rPr>
      </w:pPr>
    </w:p>
    <w:p w14:paraId="1C19DAD7" w14:textId="77777777" w:rsidR="00AE277D" w:rsidRPr="00F81169" w:rsidRDefault="00AE277D" w:rsidP="00AE277D">
      <w:pPr>
        <w:tabs>
          <w:tab w:val="left" w:pos="2760"/>
        </w:tabs>
        <w:rPr>
          <w:rFonts w:ascii="Times New Roman" w:hAnsi="Times New Roman"/>
          <w:sz w:val="24"/>
          <w:szCs w:val="24"/>
        </w:rPr>
        <w:sectPr w:rsidR="00AE277D" w:rsidRPr="00F81169" w:rsidSect="00801C31">
          <w:pgSz w:w="16838" w:h="11906" w:orient="landscape"/>
          <w:pgMar w:top="1134" w:right="1440" w:bottom="1134" w:left="1440" w:header="709" w:footer="709" w:gutter="0"/>
          <w:cols w:space="708"/>
          <w:docGrid w:linePitch="360"/>
        </w:sectPr>
      </w:pPr>
      <w:r w:rsidRPr="00F81169">
        <w:rPr>
          <w:rFonts w:ascii="Times New Roman" w:hAnsi="Times New Roman"/>
          <w:sz w:val="24"/>
          <w:szCs w:val="24"/>
        </w:rPr>
        <w:tab/>
      </w:r>
    </w:p>
    <w:p w14:paraId="4C059172" w14:textId="77777777" w:rsidR="00A15DAA" w:rsidRPr="00F81169" w:rsidRDefault="00A15DAA" w:rsidP="00A15DAA">
      <w:pPr>
        <w:tabs>
          <w:tab w:val="left" w:pos="2152"/>
        </w:tabs>
        <w:autoSpaceDE w:val="0"/>
        <w:autoSpaceDN w:val="0"/>
        <w:adjustRightInd w:val="0"/>
        <w:spacing w:line="360" w:lineRule="auto"/>
        <w:jc w:val="both"/>
        <w:rPr>
          <w:rFonts w:ascii="Times New Roman" w:hAnsi="Times New Roman"/>
          <w:i/>
          <w:iCs/>
          <w:sz w:val="24"/>
          <w:szCs w:val="24"/>
        </w:rPr>
      </w:pPr>
      <w:r w:rsidRPr="00F81169">
        <w:rPr>
          <w:rFonts w:ascii="Times New Roman" w:hAnsi="Times New Roman"/>
          <w:i/>
          <w:iCs/>
          <w:sz w:val="24"/>
          <w:szCs w:val="24"/>
        </w:rPr>
        <w:lastRenderedPageBreak/>
        <w:t>GC-MS analysis</w:t>
      </w:r>
      <w:r w:rsidRPr="00F81169">
        <w:rPr>
          <w:rFonts w:ascii="Times New Roman" w:hAnsi="Times New Roman"/>
          <w:i/>
          <w:iCs/>
          <w:sz w:val="24"/>
          <w:szCs w:val="24"/>
        </w:rPr>
        <w:tab/>
      </w:r>
    </w:p>
    <w:p w14:paraId="0CA9AED7" w14:textId="77777777" w:rsidR="00A15DAA" w:rsidRPr="00F81169" w:rsidRDefault="00A15DAA" w:rsidP="00A15DAA">
      <w:pPr>
        <w:spacing w:after="0" w:line="360" w:lineRule="auto"/>
        <w:ind w:firstLine="284"/>
        <w:jc w:val="both"/>
        <w:rPr>
          <w:rFonts w:ascii="Times New Roman" w:hAnsi="Times New Roman"/>
          <w:sz w:val="24"/>
          <w:szCs w:val="24"/>
        </w:rPr>
      </w:pPr>
      <w:r w:rsidRPr="00F81169">
        <w:rPr>
          <w:rFonts w:ascii="Times New Roman" w:hAnsi="Times New Roman"/>
          <w:sz w:val="24"/>
          <w:szCs w:val="24"/>
        </w:rPr>
        <w:t xml:space="preserve">As per our knowledge, this is the first GC-MS based study for the identification of metabolites leading to Hg resistance and/or detoxification in bacterial strains isolated from the ERIO, which might play an important role to understand how metabolic changes take place within the bacterial cells and their role in Hg bioremediation. </w:t>
      </w:r>
    </w:p>
    <w:p w14:paraId="64A51B36" w14:textId="0D0EF36D" w:rsidR="00A15DAA" w:rsidRPr="00F81169" w:rsidRDefault="00A15DAA" w:rsidP="00A15DAA">
      <w:pPr>
        <w:spacing w:after="0" w:line="360" w:lineRule="auto"/>
        <w:ind w:firstLine="284"/>
        <w:jc w:val="both"/>
        <w:rPr>
          <w:rFonts w:ascii="Times New Roman" w:hAnsi="Times New Roman"/>
          <w:sz w:val="24"/>
          <w:szCs w:val="24"/>
        </w:rPr>
      </w:pPr>
      <w:r w:rsidRPr="00F81169">
        <w:rPr>
          <w:rFonts w:ascii="Times New Roman" w:hAnsi="Times New Roman"/>
          <w:sz w:val="24"/>
          <w:szCs w:val="24"/>
        </w:rPr>
        <w:t xml:space="preserve">In the control sample, two compounds viz. Tetracontane, 3,5,24-trimethyl-; and 2-Octadecyl-propane-1,3-diol were present which have been disappeared in Hg treated samples while in the presence of Hg three new compounds were noticed i.e. Oxalic acid, cyclobutyl pentadecyl ester; 1,3-Dioxolane, 4-ethyl-5-octyl-2,2-bis(trifluoromethyl)-, trans-; and Hexadecane, 1-(ethenyloxy)-. In the case of NIOT-EQR_J248, 10 compounds were identified in the control sample whereas 16 metabolites were present with Hg. Total six metabolites namely, 1,2-Benzenedicarboxylic acid, butyl octyl ester; 1,2-Benzenedicarboxylic acid, butyl cyclohexyl ester; cis-13-Octadecenoic acid; 1-Heptacosanol; Valine, N-methyl-N-allyloxycarbonyl-, heptadecyl ester; 1-(Hexahydropyrrolizin-3-ylidene)-3,3-dimethyl-butan-2-one were present in control samples while in presence of Hg, these compounds were not detected. However, eight new compounds </w:t>
      </w:r>
      <w:r w:rsidR="00F275A9" w:rsidRPr="00F81169">
        <w:rPr>
          <w:rFonts w:ascii="Times New Roman" w:hAnsi="Times New Roman"/>
          <w:sz w:val="24"/>
          <w:szCs w:val="24"/>
        </w:rPr>
        <w:t>IOTG</w:t>
      </w:r>
      <w:r w:rsidRPr="00F81169">
        <w:rPr>
          <w:rFonts w:ascii="Times New Roman" w:hAnsi="Times New Roman"/>
          <w:sz w:val="24"/>
          <w:szCs w:val="24"/>
        </w:rPr>
        <w:t>; 17-Pentatriacontene; Cyclooctasiloxane, hexadecamethyl-; Tritetracontane; Phthalic acid, hexyl tridec-2-yn-1-yl ester; Octatriacontyl pentafluoropropionate; trans-13-Octadecenoic acid; and Hexadecane, 1-(ethenyloxy)- were observed in presence of Hg. NIOT-EQR_J251 showed 20 and 22 compounds in the absence and presence of Hg. In absence of Hg, 9 metabolites viz. Benzo[b]dihydropyran, 6-hydroxy-4,4,5,7,8-pentamethyl-; 1-Heptacosanol; Ambucetamide; Oleic acid, eicosyl ester; Docosanoic anhydride; 3-(Pyrrol[1,1,3,3-tetramethyl-3-(undecyloxy)disilo; 1,3-Dioxolane, 4-ethyl-5-octyl-2,2-bis(trifluoromethyl)-, trans-; 9,12,15-Octadecatrienoic acid, 2-phenyl-1,3-dioxan-5-yl ester; and 2-Butenoic acid, 2-methyl-,1,1a,1b,4,4a,5,7a,7b,8 were detected, while in presence of Hg</w:t>
      </w:r>
      <w:r w:rsidR="00DE238C" w:rsidRPr="00F81169">
        <w:rPr>
          <w:rFonts w:ascii="Times New Roman" w:hAnsi="Times New Roman"/>
          <w:sz w:val="24"/>
          <w:szCs w:val="24"/>
        </w:rPr>
        <w:t>,</w:t>
      </w:r>
      <w:r w:rsidRPr="00F81169">
        <w:rPr>
          <w:rFonts w:ascii="Times New Roman" w:hAnsi="Times New Roman"/>
          <w:sz w:val="24"/>
          <w:szCs w:val="24"/>
        </w:rPr>
        <w:t xml:space="preserve"> 13 new compounds </w:t>
      </w:r>
      <w:r w:rsidR="00F275A9" w:rsidRPr="00F81169">
        <w:rPr>
          <w:rFonts w:ascii="Times New Roman" w:hAnsi="Times New Roman"/>
          <w:sz w:val="24"/>
          <w:szCs w:val="24"/>
        </w:rPr>
        <w:t>IOTG</w:t>
      </w:r>
      <w:r w:rsidRPr="00F81169">
        <w:rPr>
          <w:rFonts w:ascii="Times New Roman" w:hAnsi="Times New Roman"/>
          <w:sz w:val="24"/>
          <w:szCs w:val="24"/>
        </w:rPr>
        <w:t xml:space="preserve">; 7,9-Di-tert-butyl-1-oxaspiro(4,5)deca-6,9-diene-2,8-dione; n-Hexadecanoic acid; L-Proline, N-(2,5-ditrifluoromethylbenzoyl)-, heptadecyl ester; Pentacyclo[19.3.1.1(3,7).1(9, 13).1(15,19)]octacosa; 9-Desoxy-9x-chloroingol 3,7,8,12-tetraacetate; Butyl 9-tetradecenoate; Benzo[1,2-c:4,5-c']dipyrrole-1,3,5,7(2H,6H)-tetrone; Allopregnane-7.alpha.,11.alpha.-diol-3,20-dione; Dipyridamole; Norcodeine di-TMS derivative; 9-Octadecene, 1-[2-(octadecyloxy)ethoxy]; and Octadecanoic acid, 2-(hexadecyloxy)ethyl ester) were observed which were not present in control samples. In both Hg untreated and treated samples, NIOT-EQR_J258 showed 6 and 11 metabolites respectively. Total four metabolites i.e. Phthalic acid, octyl 2-pentyl ester; Hexacosanol, </w:t>
      </w:r>
      <w:r w:rsidRPr="00F81169">
        <w:rPr>
          <w:rFonts w:ascii="Times New Roman" w:hAnsi="Times New Roman"/>
          <w:sz w:val="24"/>
          <w:szCs w:val="24"/>
        </w:rPr>
        <w:lastRenderedPageBreak/>
        <w:t xml:space="preserve">acetate; Prost-13-en-1-oic acid, 9-(methoxyimino); and 9-Hexadecenoic acid, 9-octadecenyl ester were common in both samples. The compounds 2-Butenoic acid, 2-methyl-, 1,1a,1b,4,4a,5,7a,7b,8 and 9-Octadecene, 1-[2-(octadecyloxy)ethoxy], which were present in the untreated samples found to be disappeared in Hg treated sample. However, compounds Isophthalic acid, propyl tridec-2-ynyl ester; Cyclopentane, 1-pentyl-2-propyl-; Oleyl alcohol, trifluoroacetate; 1,3-Dioxolane, 4-ethyl-5-octyl-2,2-bis(trifluoromethyl)-, trans-; 17-Octadecen -1-ol acetate; and Octadecanoic acid, 2-(hexadecyloxy)ethyl ester were detected in Hg treated sample. Further research can be extended to evaluate the importance of </w:t>
      </w:r>
      <w:r w:rsidRPr="00F81169">
        <w:rPr>
          <w:rFonts w:ascii="Times New Roman" w:hAnsi="Times New Roman"/>
          <w:i/>
          <w:sz w:val="24"/>
          <w:szCs w:val="24"/>
        </w:rPr>
        <w:t xml:space="preserve">Halomonas </w:t>
      </w:r>
      <w:r w:rsidRPr="00F81169">
        <w:rPr>
          <w:rFonts w:ascii="Times New Roman" w:hAnsi="Times New Roman"/>
          <w:sz w:val="24"/>
          <w:szCs w:val="24"/>
        </w:rPr>
        <w:t xml:space="preserve">sp. and explore its role in the bioremediation of Hg. </w:t>
      </w:r>
    </w:p>
    <w:p w14:paraId="2D11CDCC" w14:textId="70DC9B7D" w:rsidR="00A15DAA" w:rsidRPr="00F81169" w:rsidRDefault="00A15DAA" w:rsidP="00A15DAA">
      <w:pPr>
        <w:autoSpaceDE w:val="0"/>
        <w:autoSpaceDN w:val="0"/>
        <w:adjustRightInd w:val="0"/>
        <w:spacing w:before="240" w:after="0" w:line="360" w:lineRule="auto"/>
        <w:jc w:val="both"/>
        <w:rPr>
          <w:rFonts w:ascii="Times New Roman" w:hAnsi="Times New Roman"/>
          <w:sz w:val="24"/>
          <w:szCs w:val="24"/>
        </w:rPr>
      </w:pPr>
      <w:r w:rsidRPr="00F81169">
        <w:rPr>
          <w:rFonts w:ascii="Times New Roman" w:hAnsi="Times New Roman"/>
          <w:b/>
          <w:bCs/>
          <w:sz w:val="24"/>
          <w:szCs w:val="24"/>
          <w:lang w:eastAsia="en-IN"/>
        </w:rPr>
        <w:t>Fig. S</w:t>
      </w:r>
      <w:r w:rsidR="00636CA7" w:rsidRPr="00F81169">
        <w:rPr>
          <w:rFonts w:ascii="Times New Roman" w:hAnsi="Times New Roman"/>
          <w:b/>
          <w:bCs/>
          <w:sz w:val="24"/>
          <w:szCs w:val="24"/>
          <w:lang w:eastAsia="en-IN"/>
        </w:rPr>
        <w:t>3</w:t>
      </w:r>
      <w:r w:rsidRPr="00F81169">
        <w:rPr>
          <w:rFonts w:ascii="Times New Roman" w:hAnsi="Times New Roman"/>
          <w:b/>
          <w:bCs/>
          <w:sz w:val="24"/>
          <w:szCs w:val="24"/>
          <w:lang w:eastAsia="en-IN"/>
        </w:rPr>
        <w:t>.</w:t>
      </w:r>
      <w:r w:rsidRPr="00F81169">
        <w:rPr>
          <w:rFonts w:ascii="Times New Roman" w:hAnsi="Times New Roman"/>
          <w:sz w:val="24"/>
          <w:szCs w:val="24"/>
          <w:lang w:eastAsia="en-IN"/>
        </w:rPr>
        <w:t xml:space="preserve"> GC-MS chromatogram of MRB and MMRB strains in presence and absence of 50 </w:t>
      </w:r>
      <w:r w:rsidRPr="00F81169">
        <w:rPr>
          <w:rFonts w:ascii="Times New Roman" w:hAnsi="Times New Roman"/>
          <w:sz w:val="24"/>
          <w:szCs w:val="24"/>
        </w:rPr>
        <w:t>mg/L</w:t>
      </w:r>
      <w:r w:rsidRPr="00F81169">
        <w:rPr>
          <w:rFonts w:ascii="Times New Roman" w:hAnsi="Times New Roman"/>
          <w:sz w:val="24"/>
          <w:szCs w:val="24"/>
          <w:lang w:eastAsia="en-IN"/>
        </w:rPr>
        <w:t xml:space="preserve"> of Hg</w:t>
      </w:r>
      <w:r w:rsidRPr="00F81169">
        <w:rPr>
          <w:rFonts w:ascii="Times New Roman" w:hAnsi="Times New Roman"/>
          <w:sz w:val="24"/>
          <w:szCs w:val="24"/>
          <w:vertAlign w:val="superscript"/>
          <w:lang w:eastAsia="en-IN"/>
        </w:rPr>
        <w:t xml:space="preserve">2+ </w:t>
      </w:r>
      <w:r w:rsidRPr="00F81169">
        <w:rPr>
          <w:rFonts w:ascii="Times New Roman" w:hAnsi="Times New Roman"/>
          <w:sz w:val="24"/>
          <w:szCs w:val="24"/>
          <w:lang w:eastAsia="en-IN"/>
        </w:rPr>
        <w:t>as HgCl</w:t>
      </w:r>
      <w:r w:rsidRPr="00F81169">
        <w:rPr>
          <w:rFonts w:ascii="Times New Roman" w:hAnsi="Times New Roman"/>
          <w:sz w:val="24"/>
          <w:szCs w:val="24"/>
          <w:vertAlign w:val="subscript"/>
          <w:lang w:eastAsia="en-IN"/>
        </w:rPr>
        <w:t>2</w:t>
      </w:r>
      <w:r w:rsidRPr="00F81169">
        <w:rPr>
          <w:rFonts w:ascii="Times New Roman" w:hAnsi="Times New Roman"/>
          <w:sz w:val="24"/>
          <w:szCs w:val="24"/>
          <w:lang w:eastAsia="en-IN"/>
        </w:rPr>
        <w:t xml:space="preserve">, </w:t>
      </w:r>
      <w:bookmarkStart w:id="6" w:name="_Hlk45971176"/>
      <w:r w:rsidRPr="00F81169">
        <w:rPr>
          <w:rFonts w:ascii="Times New Roman" w:hAnsi="Times New Roman"/>
          <w:sz w:val="24"/>
          <w:szCs w:val="24"/>
          <w:lang w:eastAsia="en-IN"/>
        </w:rPr>
        <w:t xml:space="preserve">(a and b) </w:t>
      </w:r>
      <w:r w:rsidRPr="00F81169">
        <w:rPr>
          <w:rFonts w:ascii="Times New Roman" w:hAnsi="Times New Roman"/>
          <w:sz w:val="24"/>
          <w:szCs w:val="24"/>
        </w:rPr>
        <w:t>NIOT-EQR_J7, (c and d) NIOT-EQR_J248, (e and f) NIOT-EQR_J251 and (g and h) NIOT-EQR_J258</w:t>
      </w:r>
      <w:bookmarkEnd w:id="6"/>
      <w:r w:rsidRPr="00F81169">
        <w:rPr>
          <w:rFonts w:ascii="Times New Roman" w:hAnsi="Times New Roman"/>
          <w:sz w:val="24"/>
          <w:szCs w:val="24"/>
        </w:rPr>
        <w:t xml:space="preserve"> without and with Hg, </w:t>
      </w:r>
      <w:r w:rsidRPr="00F81169">
        <w:rPr>
          <w:rFonts w:ascii="Times New Roman" w:hAnsi="Times New Roman"/>
          <w:sz w:val="24"/>
          <w:szCs w:val="24"/>
          <w:shd w:val="clear" w:color="auto" w:fill="FFFFFF"/>
        </w:rPr>
        <w:t>respectively</w:t>
      </w:r>
      <w:r w:rsidRPr="00F81169">
        <w:rPr>
          <w:rFonts w:ascii="Times New Roman" w:hAnsi="Times New Roman"/>
          <w:sz w:val="24"/>
          <w:szCs w:val="24"/>
          <w:lang w:eastAsia="en-IN"/>
        </w:rPr>
        <w:t>.</w:t>
      </w:r>
      <w:r w:rsidRPr="00F81169">
        <w:rPr>
          <w:rFonts w:ascii="Times New Roman" w:hAnsi="Times New Roman"/>
          <w:sz w:val="24"/>
          <w:szCs w:val="24"/>
        </w:rPr>
        <w:t xml:space="preserve"> </w:t>
      </w:r>
    </w:p>
    <w:p w14:paraId="25860CD9" w14:textId="77777777" w:rsidR="00A15DAA" w:rsidRPr="00F81169" w:rsidRDefault="00A15DAA" w:rsidP="00A15DAA">
      <w:pPr>
        <w:autoSpaceDE w:val="0"/>
        <w:autoSpaceDN w:val="0"/>
        <w:adjustRightInd w:val="0"/>
        <w:spacing w:line="360" w:lineRule="auto"/>
        <w:jc w:val="center"/>
        <w:rPr>
          <w:rFonts w:ascii="Times New Roman" w:hAnsi="Times New Roman"/>
          <w:noProof/>
          <w:sz w:val="24"/>
          <w:szCs w:val="24"/>
        </w:rPr>
      </w:pPr>
      <w:r w:rsidRPr="00F81169">
        <w:rPr>
          <w:rFonts w:ascii="Times New Roman" w:hAnsi="Times New Roman"/>
          <w:noProof/>
          <w:sz w:val="24"/>
          <w:szCs w:val="24"/>
          <w:lang w:val="en-PH" w:eastAsia="en-PH"/>
        </w:rPr>
        <w:drawing>
          <wp:inline distT="0" distB="0" distL="0" distR="0" wp14:anchorId="449FAF0B" wp14:editId="3D0B080C">
            <wp:extent cx="5760000" cy="3924000"/>
            <wp:effectExtent l="0" t="0" r="0" b="63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924000"/>
                    </a:xfrm>
                    <a:prstGeom prst="rect">
                      <a:avLst/>
                    </a:prstGeom>
                    <a:noFill/>
                    <a:ln>
                      <a:noFill/>
                    </a:ln>
                  </pic:spPr>
                </pic:pic>
              </a:graphicData>
            </a:graphic>
          </wp:inline>
        </w:drawing>
      </w:r>
    </w:p>
    <w:p w14:paraId="22A79C67" w14:textId="03564D85" w:rsidR="00A15DAA" w:rsidRPr="00F81169" w:rsidRDefault="00A15DAA" w:rsidP="00DA1F03">
      <w:pPr>
        <w:spacing w:after="0"/>
        <w:jc w:val="center"/>
        <w:rPr>
          <w:rFonts w:ascii="Times New Roman" w:hAnsi="Times New Roman"/>
          <w:noProof/>
          <w:sz w:val="24"/>
          <w:szCs w:val="24"/>
          <w:lang w:eastAsia="en-IN"/>
        </w:rPr>
      </w:pPr>
      <w:r w:rsidRPr="00F81169">
        <w:rPr>
          <w:rFonts w:ascii="Times New Roman" w:hAnsi="Times New Roman"/>
          <w:noProof/>
          <w:sz w:val="24"/>
          <w:szCs w:val="24"/>
          <w:lang w:val="en-PH" w:eastAsia="en-PH"/>
        </w:rPr>
        <w:lastRenderedPageBreak/>
        <w:drawing>
          <wp:inline distT="0" distB="0" distL="0" distR="0" wp14:anchorId="6B408009" wp14:editId="3C0012BA">
            <wp:extent cx="5778000" cy="3924000"/>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000" cy="3924000"/>
                    </a:xfrm>
                    <a:prstGeom prst="rect">
                      <a:avLst/>
                    </a:prstGeom>
                    <a:noFill/>
                    <a:ln>
                      <a:noFill/>
                    </a:ln>
                  </pic:spPr>
                </pic:pic>
              </a:graphicData>
            </a:graphic>
          </wp:inline>
        </w:drawing>
      </w:r>
    </w:p>
    <w:p w14:paraId="78971702" w14:textId="3F1DBC71" w:rsidR="00A15DAA" w:rsidRPr="00F81169" w:rsidRDefault="00DA1F03" w:rsidP="006047BB">
      <w:pPr>
        <w:tabs>
          <w:tab w:val="left" w:pos="5196"/>
        </w:tabs>
        <w:rPr>
          <w:rFonts w:ascii="Times New Roman" w:hAnsi="Times New Roman"/>
          <w:sz w:val="24"/>
          <w:szCs w:val="24"/>
        </w:rPr>
      </w:pPr>
      <w:r w:rsidRPr="00F81169">
        <w:rPr>
          <w:rFonts w:ascii="Times New Roman" w:hAnsi="Times New Roman"/>
          <w:sz w:val="24"/>
          <w:szCs w:val="24"/>
        </w:rPr>
        <w:tab/>
      </w:r>
      <w:r w:rsidR="00A15DAA" w:rsidRPr="00F81169">
        <w:rPr>
          <w:rFonts w:ascii="Times New Roman" w:hAnsi="Times New Roman"/>
          <w:noProof/>
          <w:sz w:val="24"/>
          <w:szCs w:val="24"/>
          <w:lang w:val="en-PH" w:eastAsia="en-PH"/>
        </w:rPr>
        <w:drawing>
          <wp:inline distT="0" distB="0" distL="0" distR="0" wp14:anchorId="6190ACA8" wp14:editId="0177C92F">
            <wp:extent cx="5770800" cy="3934800"/>
            <wp:effectExtent l="0" t="0" r="1905" b="889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800" cy="3934800"/>
                    </a:xfrm>
                    <a:prstGeom prst="rect">
                      <a:avLst/>
                    </a:prstGeom>
                    <a:noFill/>
                    <a:ln>
                      <a:noFill/>
                    </a:ln>
                  </pic:spPr>
                </pic:pic>
              </a:graphicData>
            </a:graphic>
          </wp:inline>
        </w:drawing>
      </w:r>
      <w:r w:rsidR="00A15DAA" w:rsidRPr="00F81169">
        <w:rPr>
          <w:rFonts w:ascii="Times New Roman" w:hAnsi="Times New Roman"/>
          <w:noProof/>
          <w:sz w:val="24"/>
          <w:szCs w:val="24"/>
          <w:lang w:val="en-PH" w:eastAsia="en-PH"/>
        </w:rPr>
        <w:lastRenderedPageBreak/>
        <w:drawing>
          <wp:inline distT="0" distB="0" distL="0" distR="0" wp14:anchorId="5AA6547C" wp14:editId="3A03F91B">
            <wp:extent cx="5756906" cy="4318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06" cy="4318000"/>
                    </a:xfrm>
                    <a:prstGeom prst="rect">
                      <a:avLst/>
                    </a:prstGeom>
                    <a:noFill/>
                    <a:ln>
                      <a:noFill/>
                    </a:ln>
                  </pic:spPr>
                </pic:pic>
              </a:graphicData>
            </a:graphic>
          </wp:inline>
        </w:drawing>
      </w:r>
      <w:r w:rsidR="00A15DAA" w:rsidRPr="00F81169">
        <w:rPr>
          <w:rFonts w:ascii="Times New Roman" w:hAnsi="Times New Roman"/>
          <w:noProof/>
          <w:sz w:val="24"/>
          <w:szCs w:val="24"/>
          <w:lang w:val="en-PH" w:eastAsia="en-PH"/>
        </w:rPr>
        <w:drawing>
          <wp:inline distT="0" distB="0" distL="0" distR="0" wp14:anchorId="45785567" wp14:editId="34712D08">
            <wp:extent cx="5731510" cy="4298950"/>
            <wp:effectExtent l="0" t="0" r="254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A15DAA" w:rsidRPr="00F81169">
        <w:rPr>
          <w:rFonts w:ascii="Times New Roman" w:hAnsi="Times New Roman"/>
          <w:noProof/>
          <w:sz w:val="24"/>
          <w:szCs w:val="24"/>
          <w:lang w:val="en-PH" w:eastAsia="en-PH"/>
        </w:rPr>
        <w:lastRenderedPageBreak/>
        <w:drawing>
          <wp:inline distT="0" distB="0" distL="0" distR="0" wp14:anchorId="74D952DC" wp14:editId="73604DB8">
            <wp:extent cx="5770800" cy="3924000"/>
            <wp:effectExtent l="0" t="0" r="1905" b="63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800" cy="3924000"/>
                    </a:xfrm>
                    <a:prstGeom prst="rect">
                      <a:avLst/>
                    </a:prstGeom>
                    <a:noFill/>
                    <a:ln>
                      <a:noFill/>
                    </a:ln>
                  </pic:spPr>
                </pic:pic>
              </a:graphicData>
            </a:graphic>
          </wp:inline>
        </w:drawing>
      </w:r>
      <w:r w:rsidR="00A15DAA" w:rsidRPr="00F81169">
        <w:rPr>
          <w:rFonts w:ascii="Times New Roman" w:hAnsi="Times New Roman"/>
          <w:noProof/>
          <w:sz w:val="24"/>
          <w:szCs w:val="24"/>
          <w:lang w:val="en-PH" w:eastAsia="en-PH"/>
        </w:rPr>
        <w:drawing>
          <wp:inline distT="0" distB="0" distL="0" distR="0" wp14:anchorId="2BD4368B" wp14:editId="73C1FD7A">
            <wp:extent cx="5770800" cy="3924000"/>
            <wp:effectExtent l="0" t="0" r="1905" b="63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800" cy="3924000"/>
                    </a:xfrm>
                    <a:prstGeom prst="rect">
                      <a:avLst/>
                    </a:prstGeom>
                    <a:noFill/>
                    <a:ln>
                      <a:noFill/>
                    </a:ln>
                  </pic:spPr>
                </pic:pic>
              </a:graphicData>
            </a:graphic>
          </wp:inline>
        </w:drawing>
      </w:r>
      <w:r w:rsidR="00A15DAA" w:rsidRPr="00F81169">
        <w:rPr>
          <w:rFonts w:ascii="Times New Roman" w:hAnsi="Times New Roman"/>
          <w:noProof/>
          <w:sz w:val="24"/>
          <w:szCs w:val="24"/>
          <w:lang w:val="en-PH" w:eastAsia="en-PH"/>
        </w:rPr>
        <w:lastRenderedPageBreak/>
        <w:drawing>
          <wp:inline distT="0" distB="0" distL="0" distR="0" wp14:anchorId="53590B6D" wp14:editId="1A182ED0">
            <wp:extent cx="5867400" cy="440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267" cy="4401525"/>
                    </a:xfrm>
                    <a:prstGeom prst="rect">
                      <a:avLst/>
                    </a:prstGeom>
                    <a:noFill/>
                    <a:ln>
                      <a:noFill/>
                    </a:ln>
                  </pic:spPr>
                </pic:pic>
              </a:graphicData>
            </a:graphic>
          </wp:inline>
        </w:drawing>
      </w:r>
    </w:p>
    <w:p w14:paraId="7315143B" w14:textId="77777777" w:rsidR="006047BB" w:rsidRPr="00F81169" w:rsidRDefault="006047BB" w:rsidP="006047BB">
      <w:pPr>
        <w:spacing w:line="360" w:lineRule="auto"/>
        <w:jc w:val="both"/>
        <w:rPr>
          <w:rFonts w:ascii="Times New Roman" w:hAnsi="Times New Roman"/>
          <w:b/>
          <w:bCs/>
          <w:noProof/>
          <w:sz w:val="24"/>
          <w:szCs w:val="24"/>
        </w:rPr>
        <w:sectPr w:rsidR="006047BB" w:rsidRPr="00F81169" w:rsidSect="00801C31">
          <w:pgSz w:w="11906" w:h="16838"/>
          <w:pgMar w:top="1440" w:right="1440" w:bottom="1440" w:left="1440" w:header="708" w:footer="708" w:gutter="0"/>
          <w:cols w:space="708"/>
          <w:docGrid w:linePitch="360"/>
        </w:sectPr>
      </w:pPr>
    </w:p>
    <w:p w14:paraId="64523502" w14:textId="4D87E6A1" w:rsidR="0056468E" w:rsidRPr="00F81169" w:rsidRDefault="0056468E" w:rsidP="00C45068">
      <w:pPr>
        <w:spacing w:line="360" w:lineRule="auto"/>
        <w:jc w:val="both"/>
        <w:rPr>
          <w:rFonts w:ascii="Times New Roman" w:hAnsi="Times New Roman"/>
          <w:i/>
          <w:iCs/>
          <w:sz w:val="24"/>
          <w:szCs w:val="24"/>
        </w:rPr>
      </w:pPr>
      <w:r w:rsidRPr="00F81169">
        <w:rPr>
          <w:rFonts w:ascii="Times New Roman" w:hAnsi="Times New Roman"/>
          <w:i/>
          <w:iCs/>
          <w:sz w:val="24"/>
          <w:szCs w:val="24"/>
        </w:rPr>
        <w:lastRenderedPageBreak/>
        <w:t>Molecular Docking</w:t>
      </w:r>
    </w:p>
    <w:p w14:paraId="67650380" w14:textId="0F180ECB" w:rsidR="00C80BBB" w:rsidRPr="00F81169" w:rsidRDefault="0056468E" w:rsidP="00C80BBB">
      <w:pPr>
        <w:spacing w:after="0" w:line="360" w:lineRule="auto"/>
        <w:ind w:firstLine="284"/>
        <w:jc w:val="both"/>
        <w:rPr>
          <w:rFonts w:ascii="Times New Roman" w:hAnsi="Times New Roman"/>
          <w:sz w:val="24"/>
          <w:szCs w:val="24"/>
        </w:rPr>
      </w:pPr>
      <w:r w:rsidRPr="00F81169">
        <w:rPr>
          <w:rFonts w:ascii="Times New Roman" w:hAnsi="Times New Roman"/>
          <w:sz w:val="24"/>
          <w:szCs w:val="24"/>
        </w:rPr>
        <w:t>In presence of Hg</w:t>
      </w:r>
      <w:r w:rsidRPr="00F81169">
        <w:rPr>
          <w:rFonts w:ascii="Times New Roman" w:hAnsi="Times New Roman"/>
          <w:sz w:val="24"/>
          <w:szCs w:val="24"/>
          <w:vertAlign w:val="superscript"/>
        </w:rPr>
        <w:t>2+</w:t>
      </w:r>
      <w:r w:rsidRPr="00F81169">
        <w:rPr>
          <w:rFonts w:ascii="Times New Roman" w:hAnsi="Times New Roman"/>
          <w:sz w:val="24"/>
          <w:szCs w:val="24"/>
        </w:rPr>
        <w:t xml:space="preserve">, a total of 30 new compounds were detected. The Swiss-ADME server predicted that the obtained bioactive compounds may target the number of proteins. The SwissTargetPrediction server revealed that 26.7% of enzymes, 20-20% of Family A G protein-coupled receptor and Lyase, 13.3% of protease, and 6.7% of each Hydrolase, Kinase, cytochrome P450 may be targeted as receptors including the GST enzyme by the compound </w:t>
      </w:r>
      <w:r w:rsidR="00F275A9" w:rsidRPr="00F81169">
        <w:rPr>
          <w:rFonts w:ascii="Times New Roman" w:hAnsi="Times New Roman"/>
          <w:sz w:val="24"/>
          <w:szCs w:val="24"/>
        </w:rPr>
        <w:t xml:space="preserve">IOTG </w:t>
      </w:r>
      <w:r w:rsidRPr="00F81169">
        <w:rPr>
          <w:rFonts w:ascii="Times New Roman" w:hAnsi="Times New Roman"/>
          <w:sz w:val="24"/>
          <w:szCs w:val="24"/>
        </w:rPr>
        <w:t xml:space="preserve">(Fig. S4). </w:t>
      </w:r>
    </w:p>
    <w:p w14:paraId="65EF6E4D" w14:textId="55B5A29C" w:rsidR="00C80BBB" w:rsidRPr="00F81169" w:rsidRDefault="00C80BBB" w:rsidP="00C80BBB">
      <w:pPr>
        <w:spacing w:line="360" w:lineRule="auto"/>
        <w:ind w:firstLine="284"/>
        <w:jc w:val="both"/>
        <w:rPr>
          <w:rFonts w:ascii="Times New Roman" w:hAnsi="Times New Roman"/>
          <w:sz w:val="24"/>
          <w:szCs w:val="24"/>
        </w:rPr>
      </w:pPr>
      <w:r w:rsidRPr="00F81169">
        <w:rPr>
          <w:rFonts w:ascii="Times New Roman" w:hAnsi="Times New Roman"/>
          <w:sz w:val="24"/>
          <w:szCs w:val="24"/>
        </w:rPr>
        <w:t xml:space="preserve">The bioactive compounds that passed the initial screening were only selected for docking study. The probable binding site in GST was identified. The GST has only one A chain. A binding sphere was prepared and coordinates X = 115.83, Y= 24.22, and Z = -0.80 were assigned. The ADV software showed 9 rotatable bonds in the compound </w:t>
      </w:r>
      <w:r w:rsidR="00F275A9" w:rsidRPr="00F81169">
        <w:rPr>
          <w:rFonts w:ascii="Times New Roman" w:hAnsi="Times New Roman"/>
          <w:sz w:val="24"/>
          <w:szCs w:val="24"/>
        </w:rPr>
        <w:t>IOTG</w:t>
      </w:r>
      <w:r w:rsidRPr="00F81169">
        <w:rPr>
          <w:rFonts w:ascii="Times New Roman" w:hAnsi="Times New Roman"/>
          <w:sz w:val="24"/>
          <w:szCs w:val="24"/>
        </w:rPr>
        <w:t xml:space="preserve"> and the binding affinity at different positions. Further, BIOVA Discovery Studio Visualizer Tool 21.1.0.0 was used to see the best interaction position between protein and ligand. The best-</w:t>
      </w:r>
      <w:bookmarkStart w:id="7" w:name="_GoBack"/>
      <w:bookmarkEnd w:id="7"/>
      <w:r w:rsidRPr="00F81169">
        <w:rPr>
          <w:rFonts w:ascii="Times New Roman" w:hAnsi="Times New Roman"/>
          <w:sz w:val="24"/>
          <w:szCs w:val="24"/>
        </w:rPr>
        <w:t xml:space="preserve">scored ligand </w:t>
      </w:r>
      <w:r w:rsidR="00F275A9" w:rsidRPr="00F81169">
        <w:rPr>
          <w:rFonts w:ascii="Times New Roman" w:hAnsi="Times New Roman"/>
          <w:sz w:val="24"/>
          <w:szCs w:val="24"/>
        </w:rPr>
        <w:t xml:space="preserve">IOTG </w:t>
      </w:r>
      <w:r w:rsidRPr="00F81169">
        <w:rPr>
          <w:rFonts w:ascii="Times New Roman" w:hAnsi="Times New Roman"/>
          <w:sz w:val="24"/>
          <w:szCs w:val="24"/>
        </w:rPr>
        <w:t xml:space="preserve">stabilized with GST was within the binding sphere by forming four hydrogen bonds with Glu66, Ser67 (2 nos.), Arg68; four hydrophobic bonds with Val111, Tyr107 (2 nos.), Phe115 and their bond length were 3.03, 1.98, 2.64, 2.89, 4.29, 5.49, 5.47 and 5.11 A˚, respectively. The ligand also showed five van der Waals interactions with Pro12, Pro13, Ile54, Pro55, Leu103 (Table S5 and Fig S5). </w:t>
      </w:r>
    </w:p>
    <w:p w14:paraId="30608785" w14:textId="789D60ED" w:rsidR="003372F1" w:rsidRPr="00F81169" w:rsidRDefault="003372F1" w:rsidP="00C45068">
      <w:pPr>
        <w:spacing w:line="360" w:lineRule="auto"/>
        <w:jc w:val="both"/>
        <w:rPr>
          <w:rFonts w:ascii="Times New Roman" w:hAnsi="Times New Roman"/>
          <w:sz w:val="24"/>
          <w:szCs w:val="24"/>
        </w:rPr>
      </w:pPr>
      <w:r w:rsidRPr="00F81169">
        <w:rPr>
          <w:rFonts w:ascii="Times New Roman" w:hAnsi="Times New Roman"/>
          <w:b/>
          <w:bCs/>
          <w:sz w:val="24"/>
          <w:szCs w:val="24"/>
        </w:rPr>
        <w:t xml:space="preserve">Table </w:t>
      </w:r>
      <w:r w:rsidR="006470ED" w:rsidRPr="00F81169">
        <w:rPr>
          <w:rFonts w:ascii="Times New Roman" w:hAnsi="Times New Roman"/>
          <w:b/>
          <w:bCs/>
          <w:sz w:val="24"/>
          <w:szCs w:val="24"/>
        </w:rPr>
        <w:t>S5</w:t>
      </w:r>
      <w:r w:rsidRPr="00F81169">
        <w:rPr>
          <w:rFonts w:ascii="Times New Roman" w:hAnsi="Times New Roman"/>
          <w:sz w:val="24"/>
          <w:szCs w:val="24"/>
        </w:rPr>
        <w:t xml:space="preserve"> The physicochemical properties of </w:t>
      </w:r>
      <w:r w:rsidR="00F900AE" w:rsidRPr="00F81169">
        <w:rPr>
          <w:rFonts w:ascii="Times New Roman" w:hAnsi="Times New Roman"/>
          <w:sz w:val="24"/>
          <w:szCs w:val="24"/>
        </w:rPr>
        <w:t xml:space="preserve">the </w:t>
      </w:r>
      <w:r w:rsidRPr="00F81169">
        <w:rPr>
          <w:rFonts w:ascii="Times New Roman" w:hAnsi="Times New Roman"/>
          <w:sz w:val="24"/>
          <w:szCs w:val="24"/>
        </w:rPr>
        <w:t xml:space="preserve">selected compound as </w:t>
      </w:r>
      <w:r w:rsidR="00F900AE" w:rsidRPr="00F81169">
        <w:rPr>
          <w:rFonts w:ascii="Times New Roman" w:hAnsi="Times New Roman"/>
          <w:sz w:val="24"/>
          <w:szCs w:val="24"/>
        </w:rPr>
        <w:t xml:space="preserve">a </w:t>
      </w:r>
      <w:r w:rsidRPr="00F81169">
        <w:rPr>
          <w:rFonts w:ascii="Times New Roman" w:hAnsi="Times New Roman"/>
          <w:sz w:val="24"/>
          <w:szCs w:val="24"/>
        </w:rPr>
        <w:t>ligand (</w:t>
      </w:r>
      <w:r w:rsidR="00F275A9" w:rsidRPr="00F81169">
        <w:rPr>
          <w:rFonts w:ascii="Times New Roman" w:hAnsi="Times New Roman"/>
          <w:sz w:val="24"/>
          <w:szCs w:val="24"/>
        </w:rPr>
        <w:t>IOTG</w:t>
      </w:r>
      <w:r w:rsidRPr="00F81169">
        <w:rPr>
          <w:rFonts w:ascii="Times New Roman" w:hAnsi="Times New Roman"/>
          <w:sz w:val="24"/>
          <w:szCs w:val="24"/>
        </w:rPr>
        <w:t xml:space="preserve">) and its interactions with </w:t>
      </w:r>
      <w:r w:rsidR="00F900AE" w:rsidRPr="00F81169">
        <w:rPr>
          <w:rFonts w:ascii="Times New Roman" w:hAnsi="Times New Roman"/>
          <w:sz w:val="24"/>
          <w:szCs w:val="24"/>
        </w:rPr>
        <w:t xml:space="preserve">the </w:t>
      </w:r>
      <w:r w:rsidRPr="00F81169">
        <w:rPr>
          <w:rFonts w:ascii="Times New Roman" w:hAnsi="Times New Roman"/>
          <w:sz w:val="24"/>
          <w:szCs w:val="24"/>
        </w:rPr>
        <w:t xml:space="preserve">receptor (GST) </w:t>
      </w:r>
    </w:p>
    <w:tbl>
      <w:tblPr>
        <w:tblStyle w:val="TableGrid"/>
        <w:tblW w:w="51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1839"/>
        <w:gridCol w:w="1700"/>
        <w:gridCol w:w="980"/>
        <w:gridCol w:w="1537"/>
        <w:gridCol w:w="1837"/>
      </w:tblGrid>
      <w:tr w:rsidR="003372F1" w:rsidRPr="00F81169" w14:paraId="4BD89A70" w14:textId="77777777" w:rsidTr="00C80BBB">
        <w:trPr>
          <w:jc w:val="center"/>
        </w:trPr>
        <w:tc>
          <w:tcPr>
            <w:tcW w:w="5000" w:type="pct"/>
            <w:gridSpan w:val="6"/>
            <w:tcBorders>
              <w:top w:val="single" w:sz="4" w:space="0" w:color="auto"/>
              <w:bottom w:val="single" w:sz="4" w:space="0" w:color="auto"/>
            </w:tcBorders>
          </w:tcPr>
          <w:p w14:paraId="023BD149" w14:textId="77777777" w:rsidR="003372F1" w:rsidRPr="00F81169" w:rsidRDefault="003372F1" w:rsidP="00C45068">
            <w:pPr>
              <w:tabs>
                <w:tab w:val="left" w:pos="2628"/>
              </w:tabs>
              <w:spacing w:line="360" w:lineRule="auto"/>
              <w:rPr>
                <w:rFonts w:ascii="Times New Roman" w:hAnsi="Times New Roman"/>
                <w:sz w:val="24"/>
                <w:szCs w:val="24"/>
                <w:lang w:eastAsia="en-IN"/>
              </w:rPr>
            </w:pPr>
            <w:r w:rsidRPr="00F81169">
              <w:rPr>
                <w:rFonts w:ascii="Times New Roman" w:hAnsi="Times New Roman"/>
                <w:b/>
                <w:bCs/>
                <w:sz w:val="24"/>
                <w:szCs w:val="24"/>
              </w:rPr>
              <w:t>Physicochemical Properties</w:t>
            </w:r>
          </w:p>
        </w:tc>
      </w:tr>
      <w:tr w:rsidR="003372F1" w:rsidRPr="00F81169" w14:paraId="024C1BEB" w14:textId="77777777" w:rsidTr="00C80BBB">
        <w:trPr>
          <w:jc w:val="center"/>
        </w:trPr>
        <w:tc>
          <w:tcPr>
            <w:tcW w:w="892" w:type="pct"/>
            <w:tcBorders>
              <w:top w:val="single" w:sz="4" w:space="0" w:color="auto"/>
              <w:bottom w:val="single" w:sz="4" w:space="0" w:color="auto"/>
            </w:tcBorders>
            <w:vAlign w:val="center"/>
          </w:tcPr>
          <w:p w14:paraId="4FA98804"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Formula</w:t>
            </w:r>
          </w:p>
        </w:tc>
        <w:tc>
          <w:tcPr>
            <w:tcW w:w="957" w:type="pct"/>
            <w:tcBorders>
              <w:top w:val="single" w:sz="4" w:space="0" w:color="auto"/>
              <w:bottom w:val="single" w:sz="4" w:space="0" w:color="auto"/>
            </w:tcBorders>
            <w:vAlign w:val="center"/>
          </w:tcPr>
          <w:p w14:paraId="35D3DD51"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MW (g/mol)</w:t>
            </w:r>
          </w:p>
        </w:tc>
        <w:tc>
          <w:tcPr>
            <w:tcW w:w="885" w:type="pct"/>
            <w:tcBorders>
              <w:top w:val="single" w:sz="4" w:space="0" w:color="auto"/>
              <w:bottom w:val="single" w:sz="4" w:space="0" w:color="auto"/>
            </w:tcBorders>
            <w:vAlign w:val="center"/>
          </w:tcPr>
          <w:p w14:paraId="1BDE3A6E"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NRB</w:t>
            </w:r>
          </w:p>
        </w:tc>
        <w:tc>
          <w:tcPr>
            <w:tcW w:w="510" w:type="pct"/>
            <w:tcBorders>
              <w:top w:val="single" w:sz="4" w:space="0" w:color="auto"/>
              <w:bottom w:val="single" w:sz="4" w:space="0" w:color="auto"/>
            </w:tcBorders>
            <w:vAlign w:val="center"/>
          </w:tcPr>
          <w:p w14:paraId="377444CF"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NHBA</w:t>
            </w:r>
          </w:p>
        </w:tc>
        <w:tc>
          <w:tcPr>
            <w:tcW w:w="800" w:type="pct"/>
            <w:tcBorders>
              <w:top w:val="single" w:sz="4" w:space="0" w:color="auto"/>
              <w:bottom w:val="single" w:sz="4" w:space="0" w:color="auto"/>
            </w:tcBorders>
            <w:vAlign w:val="center"/>
          </w:tcPr>
          <w:p w14:paraId="0280918B"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NHBD</w:t>
            </w:r>
          </w:p>
        </w:tc>
        <w:tc>
          <w:tcPr>
            <w:tcW w:w="956" w:type="pct"/>
            <w:tcBorders>
              <w:top w:val="single" w:sz="4" w:space="0" w:color="auto"/>
              <w:bottom w:val="single" w:sz="4" w:space="0" w:color="auto"/>
            </w:tcBorders>
            <w:vAlign w:val="center"/>
          </w:tcPr>
          <w:p w14:paraId="195C3AE5"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LogP</w:t>
            </w:r>
          </w:p>
        </w:tc>
      </w:tr>
      <w:tr w:rsidR="003372F1" w:rsidRPr="00F81169" w14:paraId="50BACCC0" w14:textId="77777777" w:rsidTr="00C80BBB">
        <w:trPr>
          <w:jc w:val="center"/>
        </w:trPr>
        <w:tc>
          <w:tcPr>
            <w:tcW w:w="892" w:type="pct"/>
            <w:tcBorders>
              <w:top w:val="single" w:sz="4" w:space="0" w:color="auto"/>
              <w:bottom w:val="single" w:sz="4" w:space="0" w:color="auto"/>
            </w:tcBorders>
            <w:vAlign w:val="center"/>
          </w:tcPr>
          <w:p w14:paraId="3CD7BDBE"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C</w:t>
            </w:r>
            <w:r w:rsidRPr="00F81169">
              <w:rPr>
                <w:rFonts w:ascii="Times New Roman" w:hAnsi="Times New Roman"/>
                <w:sz w:val="24"/>
                <w:szCs w:val="24"/>
                <w:vertAlign w:val="subscript"/>
              </w:rPr>
              <w:t>10</w:t>
            </w:r>
            <w:r w:rsidRPr="00F81169">
              <w:rPr>
                <w:rFonts w:ascii="Times New Roman" w:hAnsi="Times New Roman"/>
                <w:sz w:val="24"/>
                <w:szCs w:val="24"/>
              </w:rPr>
              <w:t>H</w:t>
            </w:r>
            <w:r w:rsidRPr="00F81169">
              <w:rPr>
                <w:rFonts w:ascii="Times New Roman" w:hAnsi="Times New Roman"/>
                <w:sz w:val="24"/>
                <w:szCs w:val="24"/>
                <w:vertAlign w:val="subscript"/>
              </w:rPr>
              <w:t>20</w:t>
            </w:r>
            <w:r w:rsidRPr="00F81169">
              <w:rPr>
                <w:rFonts w:ascii="Times New Roman" w:hAnsi="Times New Roman"/>
                <w:sz w:val="24"/>
                <w:szCs w:val="24"/>
              </w:rPr>
              <w:t>O</w:t>
            </w:r>
            <w:r w:rsidRPr="00F81169">
              <w:rPr>
                <w:rFonts w:ascii="Times New Roman" w:hAnsi="Times New Roman"/>
                <w:sz w:val="24"/>
                <w:szCs w:val="24"/>
                <w:vertAlign w:val="subscript"/>
              </w:rPr>
              <w:t>2</w:t>
            </w:r>
            <w:r w:rsidRPr="00F81169">
              <w:rPr>
                <w:rFonts w:ascii="Times New Roman" w:hAnsi="Times New Roman"/>
                <w:sz w:val="24"/>
                <w:szCs w:val="24"/>
              </w:rPr>
              <w:t>S</w:t>
            </w:r>
          </w:p>
        </w:tc>
        <w:tc>
          <w:tcPr>
            <w:tcW w:w="957" w:type="pct"/>
            <w:tcBorders>
              <w:top w:val="single" w:sz="4" w:space="0" w:color="auto"/>
              <w:bottom w:val="single" w:sz="4" w:space="0" w:color="auto"/>
            </w:tcBorders>
            <w:vAlign w:val="center"/>
          </w:tcPr>
          <w:p w14:paraId="3B9704C8"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204.33</w:t>
            </w:r>
          </w:p>
        </w:tc>
        <w:tc>
          <w:tcPr>
            <w:tcW w:w="885" w:type="pct"/>
            <w:tcBorders>
              <w:top w:val="single" w:sz="4" w:space="0" w:color="auto"/>
              <w:bottom w:val="single" w:sz="4" w:space="0" w:color="auto"/>
            </w:tcBorders>
            <w:vAlign w:val="center"/>
          </w:tcPr>
          <w:p w14:paraId="2B9F4692"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8</w:t>
            </w:r>
          </w:p>
        </w:tc>
        <w:tc>
          <w:tcPr>
            <w:tcW w:w="510" w:type="pct"/>
            <w:tcBorders>
              <w:top w:val="single" w:sz="4" w:space="0" w:color="auto"/>
              <w:bottom w:val="single" w:sz="4" w:space="0" w:color="auto"/>
            </w:tcBorders>
            <w:vAlign w:val="center"/>
          </w:tcPr>
          <w:p w14:paraId="186327AF"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2</w:t>
            </w:r>
          </w:p>
        </w:tc>
        <w:tc>
          <w:tcPr>
            <w:tcW w:w="800" w:type="pct"/>
            <w:tcBorders>
              <w:top w:val="single" w:sz="4" w:space="0" w:color="auto"/>
              <w:bottom w:val="single" w:sz="4" w:space="0" w:color="auto"/>
            </w:tcBorders>
            <w:vAlign w:val="center"/>
          </w:tcPr>
          <w:p w14:paraId="2EF6137B"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Nil</w:t>
            </w:r>
          </w:p>
        </w:tc>
        <w:tc>
          <w:tcPr>
            <w:tcW w:w="956" w:type="pct"/>
            <w:tcBorders>
              <w:top w:val="single" w:sz="4" w:space="0" w:color="auto"/>
              <w:bottom w:val="single" w:sz="4" w:space="0" w:color="auto"/>
            </w:tcBorders>
            <w:vAlign w:val="center"/>
          </w:tcPr>
          <w:p w14:paraId="31562449"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2.91</w:t>
            </w:r>
          </w:p>
        </w:tc>
      </w:tr>
      <w:tr w:rsidR="003372F1" w:rsidRPr="00F81169" w14:paraId="26B7DACE" w14:textId="77777777" w:rsidTr="00C80BBB">
        <w:trPr>
          <w:jc w:val="center"/>
        </w:trPr>
        <w:tc>
          <w:tcPr>
            <w:tcW w:w="5000" w:type="pct"/>
            <w:gridSpan w:val="6"/>
            <w:tcBorders>
              <w:top w:val="single" w:sz="4" w:space="0" w:color="auto"/>
              <w:bottom w:val="single" w:sz="4" w:space="0" w:color="auto"/>
            </w:tcBorders>
          </w:tcPr>
          <w:p w14:paraId="294DBF7D" w14:textId="77777777" w:rsidR="003372F1" w:rsidRPr="00F81169" w:rsidRDefault="003372F1" w:rsidP="00C45068">
            <w:pPr>
              <w:tabs>
                <w:tab w:val="left" w:pos="2628"/>
              </w:tabs>
              <w:spacing w:line="360" w:lineRule="auto"/>
              <w:rPr>
                <w:rFonts w:ascii="Times New Roman" w:hAnsi="Times New Roman"/>
                <w:sz w:val="24"/>
                <w:szCs w:val="24"/>
                <w:lang w:eastAsia="en-IN"/>
              </w:rPr>
            </w:pPr>
            <w:r w:rsidRPr="00F81169">
              <w:rPr>
                <w:rFonts w:ascii="Times New Roman" w:hAnsi="Times New Roman"/>
                <w:b/>
                <w:bCs/>
                <w:sz w:val="24"/>
                <w:szCs w:val="24"/>
              </w:rPr>
              <w:t>Binding affinity of ligands with GST and intermolecular interaction</w:t>
            </w:r>
          </w:p>
        </w:tc>
      </w:tr>
      <w:tr w:rsidR="003372F1" w:rsidRPr="00F81169" w14:paraId="5E4FF529" w14:textId="77777777" w:rsidTr="00C80BBB">
        <w:trPr>
          <w:jc w:val="center"/>
        </w:trPr>
        <w:tc>
          <w:tcPr>
            <w:tcW w:w="892" w:type="pct"/>
            <w:vMerge w:val="restart"/>
            <w:tcBorders>
              <w:top w:val="single" w:sz="4" w:space="0" w:color="auto"/>
              <w:bottom w:val="single" w:sz="4" w:space="0" w:color="auto"/>
            </w:tcBorders>
            <w:vAlign w:val="center"/>
          </w:tcPr>
          <w:p w14:paraId="7651D3BE"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BA (Kcal/mol)</w:t>
            </w:r>
          </w:p>
        </w:tc>
        <w:tc>
          <w:tcPr>
            <w:tcW w:w="4108" w:type="pct"/>
            <w:gridSpan w:val="5"/>
            <w:tcBorders>
              <w:top w:val="single" w:sz="4" w:space="0" w:color="auto"/>
              <w:bottom w:val="single" w:sz="4" w:space="0" w:color="auto"/>
            </w:tcBorders>
            <w:vAlign w:val="center"/>
          </w:tcPr>
          <w:p w14:paraId="3C352818"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Interaction with Amino Acid</w:t>
            </w:r>
          </w:p>
        </w:tc>
      </w:tr>
      <w:tr w:rsidR="003372F1" w:rsidRPr="00F81169" w14:paraId="3DE91902" w14:textId="77777777" w:rsidTr="00C80BBB">
        <w:trPr>
          <w:jc w:val="center"/>
        </w:trPr>
        <w:tc>
          <w:tcPr>
            <w:tcW w:w="892" w:type="pct"/>
            <w:vMerge/>
            <w:tcBorders>
              <w:top w:val="single" w:sz="4" w:space="0" w:color="auto"/>
              <w:bottom w:val="single" w:sz="4" w:space="0" w:color="auto"/>
            </w:tcBorders>
            <w:vAlign w:val="center"/>
          </w:tcPr>
          <w:p w14:paraId="3C7D1AEF" w14:textId="77777777" w:rsidR="003372F1" w:rsidRPr="00F81169" w:rsidRDefault="003372F1" w:rsidP="00C45068">
            <w:pPr>
              <w:tabs>
                <w:tab w:val="left" w:pos="2628"/>
              </w:tabs>
              <w:spacing w:line="360" w:lineRule="auto"/>
              <w:jc w:val="center"/>
              <w:rPr>
                <w:rFonts w:ascii="Times New Roman" w:hAnsi="Times New Roman"/>
                <w:sz w:val="24"/>
                <w:szCs w:val="24"/>
              </w:rPr>
            </w:pPr>
          </w:p>
        </w:tc>
        <w:tc>
          <w:tcPr>
            <w:tcW w:w="957" w:type="pct"/>
            <w:tcBorders>
              <w:top w:val="single" w:sz="4" w:space="0" w:color="auto"/>
              <w:bottom w:val="single" w:sz="4" w:space="0" w:color="auto"/>
            </w:tcBorders>
            <w:vAlign w:val="center"/>
          </w:tcPr>
          <w:p w14:paraId="267F1206"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Conventional Hydrogen Bond</w:t>
            </w:r>
          </w:p>
        </w:tc>
        <w:tc>
          <w:tcPr>
            <w:tcW w:w="885" w:type="pct"/>
            <w:tcBorders>
              <w:top w:val="single" w:sz="4" w:space="0" w:color="auto"/>
              <w:bottom w:val="single" w:sz="4" w:space="0" w:color="auto"/>
            </w:tcBorders>
            <w:vAlign w:val="center"/>
          </w:tcPr>
          <w:p w14:paraId="73E349CB"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Van der waals</w:t>
            </w:r>
          </w:p>
        </w:tc>
        <w:tc>
          <w:tcPr>
            <w:tcW w:w="510" w:type="pct"/>
            <w:tcBorders>
              <w:top w:val="single" w:sz="4" w:space="0" w:color="auto"/>
              <w:bottom w:val="single" w:sz="4" w:space="0" w:color="auto"/>
            </w:tcBorders>
            <w:vAlign w:val="center"/>
          </w:tcPr>
          <w:p w14:paraId="7192D3E0" w14:textId="77777777" w:rsidR="003372F1" w:rsidRPr="00F81169" w:rsidRDefault="003372F1" w:rsidP="00C45068">
            <w:pPr>
              <w:spacing w:line="360" w:lineRule="auto"/>
              <w:jc w:val="center"/>
              <w:rPr>
                <w:rFonts w:ascii="Times New Roman" w:hAnsi="Times New Roman"/>
                <w:sz w:val="24"/>
                <w:szCs w:val="24"/>
              </w:rPr>
            </w:pPr>
            <w:r w:rsidRPr="00F81169">
              <w:rPr>
                <w:rFonts w:ascii="Times New Roman" w:hAnsi="Times New Roman"/>
                <w:sz w:val="24"/>
                <w:szCs w:val="24"/>
              </w:rPr>
              <w:t>Alkyl</w:t>
            </w:r>
          </w:p>
          <w:p w14:paraId="28D71E34"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p>
        </w:tc>
        <w:tc>
          <w:tcPr>
            <w:tcW w:w="800" w:type="pct"/>
            <w:tcBorders>
              <w:top w:val="single" w:sz="4" w:space="0" w:color="auto"/>
              <w:bottom w:val="single" w:sz="4" w:space="0" w:color="auto"/>
            </w:tcBorders>
            <w:vAlign w:val="center"/>
          </w:tcPr>
          <w:p w14:paraId="5FAE8509"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Unfavourable donar-donar</w:t>
            </w:r>
          </w:p>
        </w:tc>
        <w:tc>
          <w:tcPr>
            <w:tcW w:w="956" w:type="pct"/>
            <w:tcBorders>
              <w:top w:val="single" w:sz="4" w:space="0" w:color="auto"/>
              <w:bottom w:val="single" w:sz="4" w:space="0" w:color="auto"/>
            </w:tcBorders>
            <w:vAlign w:val="center"/>
          </w:tcPr>
          <w:p w14:paraId="4532836F"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Binding Site</w:t>
            </w:r>
          </w:p>
        </w:tc>
      </w:tr>
      <w:tr w:rsidR="003372F1" w:rsidRPr="00F81169" w14:paraId="08BF65DB" w14:textId="77777777" w:rsidTr="00C80BBB">
        <w:trPr>
          <w:jc w:val="center"/>
        </w:trPr>
        <w:tc>
          <w:tcPr>
            <w:tcW w:w="892" w:type="pct"/>
            <w:tcBorders>
              <w:top w:val="single" w:sz="4" w:space="0" w:color="auto"/>
              <w:bottom w:val="single" w:sz="4" w:space="0" w:color="auto"/>
            </w:tcBorders>
            <w:vAlign w:val="center"/>
          </w:tcPr>
          <w:p w14:paraId="327139D8" w14:textId="77777777" w:rsidR="003372F1" w:rsidRPr="00F81169" w:rsidRDefault="003372F1" w:rsidP="00C45068">
            <w:pPr>
              <w:tabs>
                <w:tab w:val="left" w:pos="2628"/>
              </w:tabs>
              <w:spacing w:line="360" w:lineRule="auto"/>
              <w:jc w:val="center"/>
              <w:rPr>
                <w:rFonts w:ascii="Times New Roman" w:hAnsi="Times New Roman"/>
                <w:sz w:val="24"/>
                <w:szCs w:val="24"/>
              </w:rPr>
            </w:pPr>
            <w:r w:rsidRPr="00F81169">
              <w:rPr>
                <w:rFonts w:ascii="Times New Roman" w:hAnsi="Times New Roman"/>
                <w:sz w:val="24"/>
                <w:szCs w:val="24"/>
              </w:rPr>
              <w:t>- 3.8</w:t>
            </w:r>
          </w:p>
        </w:tc>
        <w:tc>
          <w:tcPr>
            <w:tcW w:w="957" w:type="pct"/>
            <w:tcBorders>
              <w:top w:val="single" w:sz="4" w:space="0" w:color="auto"/>
              <w:bottom w:val="single" w:sz="4" w:space="0" w:color="auto"/>
            </w:tcBorders>
            <w:vAlign w:val="center"/>
          </w:tcPr>
          <w:p w14:paraId="3CC4DE53"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Four Nos.</w:t>
            </w:r>
          </w:p>
        </w:tc>
        <w:tc>
          <w:tcPr>
            <w:tcW w:w="885" w:type="pct"/>
            <w:tcBorders>
              <w:top w:val="single" w:sz="4" w:space="0" w:color="auto"/>
              <w:bottom w:val="single" w:sz="4" w:space="0" w:color="auto"/>
            </w:tcBorders>
            <w:vAlign w:val="center"/>
          </w:tcPr>
          <w:p w14:paraId="6791DB3C"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Five Nos.</w:t>
            </w:r>
          </w:p>
        </w:tc>
        <w:tc>
          <w:tcPr>
            <w:tcW w:w="510" w:type="pct"/>
            <w:tcBorders>
              <w:top w:val="single" w:sz="4" w:space="0" w:color="auto"/>
              <w:bottom w:val="single" w:sz="4" w:space="0" w:color="auto"/>
            </w:tcBorders>
            <w:vAlign w:val="center"/>
          </w:tcPr>
          <w:p w14:paraId="619478C4"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Four Nos.</w:t>
            </w:r>
          </w:p>
        </w:tc>
        <w:tc>
          <w:tcPr>
            <w:tcW w:w="800" w:type="pct"/>
            <w:tcBorders>
              <w:top w:val="single" w:sz="4" w:space="0" w:color="auto"/>
              <w:bottom w:val="single" w:sz="4" w:space="0" w:color="auto"/>
            </w:tcBorders>
            <w:vAlign w:val="center"/>
          </w:tcPr>
          <w:p w14:paraId="17E9ED98"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One No.</w:t>
            </w:r>
          </w:p>
        </w:tc>
        <w:tc>
          <w:tcPr>
            <w:tcW w:w="956" w:type="pct"/>
            <w:tcBorders>
              <w:top w:val="single" w:sz="4" w:space="0" w:color="auto"/>
              <w:bottom w:val="single" w:sz="4" w:space="0" w:color="auto"/>
            </w:tcBorders>
            <w:vAlign w:val="center"/>
          </w:tcPr>
          <w:p w14:paraId="044C9366" w14:textId="77777777" w:rsidR="003372F1" w:rsidRPr="00F81169" w:rsidRDefault="003372F1" w:rsidP="00C45068">
            <w:pPr>
              <w:tabs>
                <w:tab w:val="left" w:pos="2628"/>
              </w:tabs>
              <w:spacing w:line="360" w:lineRule="auto"/>
              <w:jc w:val="center"/>
              <w:rPr>
                <w:rFonts w:ascii="Times New Roman" w:hAnsi="Times New Roman"/>
                <w:sz w:val="24"/>
                <w:szCs w:val="24"/>
                <w:lang w:eastAsia="en-IN"/>
              </w:rPr>
            </w:pPr>
            <w:r w:rsidRPr="00F81169">
              <w:rPr>
                <w:rFonts w:ascii="Times New Roman" w:hAnsi="Times New Roman"/>
                <w:sz w:val="24"/>
                <w:szCs w:val="24"/>
              </w:rPr>
              <w:t>D2 nominal site and M1 (G-site)</w:t>
            </w:r>
          </w:p>
        </w:tc>
      </w:tr>
    </w:tbl>
    <w:p w14:paraId="31B34612" w14:textId="77777777" w:rsidR="003372F1" w:rsidRPr="00F81169" w:rsidRDefault="003372F1" w:rsidP="00C80BBB">
      <w:pPr>
        <w:spacing w:before="240" w:line="360" w:lineRule="auto"/>
        <w:jc w:val="both"/>
        <w:rPr>
          <w:rFonts w:ascii="Times New Roman" w:hAnsi="Times New Roman"/>
          <w:sz w:val="24"/>
          <w:szCs w:val="24"/>
        </w:rPr>
      </w:pPr>
      <w:r w:rsidRPr="00F81169">
        <w:rPr>
          <w:rFonts w:ascii="Times New Roman" w:hAnsi="Times New Roman"/>
          <w:sz w:val="24"/>
          <w:szCs w:val="24"/>
        </w:rPr>
        <w:t xml:space="preserve">MW - Molecular weight; NRB - Num. rotatable bonds; NHBA - Num. H-bond acceptors; NHBD - Num. H-bond donors; Log P – Average Prediction of octanol/water partition coefficient; BA – Binding affinity </w:t>
      </w:r>
    </w:p>
    <w:p w14:paraId="61498183" w14:textId="5F46D75F" w:rsidR="00B97D0D" w:rsidRPr="00F81169" w:rsidRDefault="00B97D0D" w:rsidP="00B97D0D">
      <w:pPr>
        <w:autoSpaceDE w:val="0"/>
        <w:autoSpaceDN w:val="0"/>
        <w:adjustRightInd w:val="0"/>
        <w:spacing w:after="0" w:line="360" w:lineRule="auto"/>
        <w:jc w:val="both"/>
        <w:rPr>
          <w:rFonts w:ascii="Times New Roman" w:hAnsi="Times New Roman"/>
          <w:sz w:val="24"/>
          <w:szCs w:val="24"/>
        </w:rPr>
      </w:pPr>
      <w:r w:rsidRPr="00F81169">
        <w:rPr>
          <w:rFonts w:ascii="Times New Roman" w:hAnsi="Times New Roman"/>
          <w:b/>
          <w:bCs/>
          <w:sz w:val="24"/>
          <w:szCs w:val="24"/>
        </w:rPr>
        <w:lastRenderedPageBreak/>
        <w:t>Fig. S</w:t>
      </w:r>
      <w:r w:rsidR="00636CA7" w:rsidRPr="00F81169">
        <w:rPr>
          <w:rFonts w:ascii="Times New Roman" w:hAnsi="Times New Roman"/>
          <w:b/>
          <w:bCs/>
          <w:sz w:val="24"/>
          <w:szCs w:val="24"/>
        </w:rPr>
        <w:t>4</w:t>
      </w:r>
      <w:r w:rsidRPr="00F81169">
        <w:rPr>
          <w:rFonts w:ascii="Times New Roman" w:hAnsi="Times New Roman"/>
          <w:sz w:val="24"/>
          <w:szCs w:val="24"/>
        </w:rPr>
        <w:t xml:space="preserve"> Swiss Target class prediction for compound </w:t>
      </w:r>
      <w:r w:rsidR="00F275A9" w:rsidRPr="00F81169">
        <w:rPr>
          <w:rFonts w:ascii="Times New Roman" w:hAnsi="Times New Roman"/>
          <w:sz w:val="24"/>
          <w:szCs w:val="24"/>
        </w:rPr>
        <w:t>IOTG</w:t>
      </w:r>
    </w:p>
    <w:p w14:paraId="6C554B94" w14:textId="1E90F45B" w:rsidR="00B97D0D" w:rsidRPr="00F81169" w:rsidRDefault="003A1A9F" w:rsidP="008D2562">
      <w:pPr>
        <w:autoSpaceDE w:val="0"/>
        <w:autoSpaceDN w:val="0"/>
        <w:adjustRightInd w:val="0"/>
        <w:spacing w:after="0" w:line="360" w:lineRule="auto"/>
        <w:jc w:val="center"/>
      </w:pPr>
      <w:r w:rsidRPr="00F81169">
        <w:rPr>
          <w:noProof/>
          <w:lang w:val="en-PH" w:eastAsia="en-PH"/>
        </w:rPr>
        <w:drawing>
          <wp:inline distT="0" distB="0" distL="0" distR="0" wp14:anchorId="13C71688" wp14:editId="4D1DAD5E">
            <wp:extent cx="4365477" cy="2115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13" cy="2116643"/>
                    </a:xfrm>
                    <a:prstGeom prst="rect">
                      <a:avLst/>
                    </a:prstGeom>
                    <a:noFill/>
                    <a:ln>
                      <a:noFill/>
                    </a:ln>
                  </pic:spPr>
                </pic:pic>
              </a:graphicData>
            </a:graphic>
          </wp:inline>
        </w:drawing>
      </w:r>
    </w:p>
    <w:p w14:paraId="7427C874" w14:textId="34875521" w:rsidR="00A26AAC" w:rsidRPr="00F81169" w:rsidRDefault="00A26AAC" w:rsidP="008D2562">
      <w:pPr>
        <w:spacing w:after="0" w:line="360" w:lineRule="auto"/>
        <w:jc w:val="both"/>
        <w:rPr>
          <w:rFonts w:ascii="Times New Roman" w:hAnsi="Times New Roman"/>
          <w:sz w:val="24"/>
          <w:szCs w:val="24"/>
        </w:rPr>
      </w:pPr>
      <w:r w:rsidRPr="00F81169">
        <w:rPr>
          <w:rFonts w:ascii="Times New Roman" w:hAnsi="Times New Roman"/>
          <w:b/>
          <w:bCs/>
          <w:sz w:val="24"/>
          <w:szCs w:val="24"/>
        </w:rPr>
        <w:t>Fig. S5</w:t>
      </w:r>
      <w:r w:rsidRPr="00F81169">
        <w:rPr>
          <w:rFonts w:ascii="Times New Roman" w:hAnsi="Times New Roman"/>
          <w:sz w:val="24"/>
          <w:szCs w:val="24"/>
        </w:rPr>
        <w:t xml:space="preserve"> The interaction between the GST protein and </w:t>
      </w:r>
      <w:r w:rsidR="00F275A9" w:rsidRPr="00F81169">
        <w:rPr>
          <w:rFonts w:ascii="Times New Roman" w:hAnsi="Times New Roman"/>
          <w:sz w:val="24"/>
          <w:szCs w:val="24"/>
        </w:rPr>
        <w:t>IOTG</w:t>
      </w:r>
      <w:r w:rsidRPr="00F81169">
        <w:rPr>
          <w:rFonts w:ascii="Times New Roman" w:hAnsi="Times New Roman"/>
          <w:sz w:val="24"/>
          <w:szCs w:val="24"/>
        </w:rPr>
        <w:t xml:space="preserve">, where (A) and (B) are the 3D and 2D diagrams of ligand-protein interaction which show the protein surface, ligand structure, and the interacting residues and atoms. </w:t>
      </w:r>
    </w:p>
    <w:p w14:paraId="41C48171" w14:textId="77777777" w:rsidR="00A26AAC" w:rsidRPr="00F81169" w:rsidRDefault="00A26AAC" w:rsidP="00A26AAC">
      <w:pPr>
        <w:spacing w:line="360" w:lineRule="auto"/>
        <w:jc w:val="center"/>
        <w:rPr>
          <w:rFonts w:ascii="Times New Roman" w:hAnsi="Times New Roman"/>
          <w:sz w:val="24"/>
          <w:szCs w:val="24"/>
          <w:lang w:eastAsia="en-IN"/>
        </w:rPr>
      </w:pPr>
      <w:r w:rsidRPr="00F81169">
        <w:rPr>
          <w:noProof/>
          <w:lang w:val="en-PH" w:eastAsia="en-PH"/>
        </w:rPr>
        <w:drawing>
          <wp:inline distT="0" distB="0" distL="0" distR="0" wp14:anchorId="2AA6AC1C" wp14:editId="4A849E06">
            <wp:extent cx="4419087" cy="54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087" cy="5400000"/>
                    </a:xfrm>
                    <a:prstGeom prst="rect">
                      <a:avLst/>
                    </a:prstGeom>
                    <a:noFill/>
                    <a:ln>
                      <a:noFill/>
                    </a:ln>
                  </pic:spPr>
                </pic:pic>
              </a:graphicData>
            </a:graphic>
          </wp:inline>
        </w:drawing>
      </w:r>
    </w:p>
    <w:p w14:paraId="2399AD86" w14:textId="1BBB0BE0" w:rsidR="00384EAC" w:rsidRPr="00F81169" w:rsidRDefault="00384EAC" w:rsidP="00384EAC">
      <w:pPr>
        <w:spacing w:line="360" w:lineRule="auto"/>
        <w:jc w:val="both"/>
        <w:rPr>
          <w:rFonts w:ascii="Times New Roman" w:hAnsi="Times New Roman"/>
          <w:i/>
          <w:iCs/>
          <w:sz w:val="24"/>
          <w:szCs w:val="24"/>
        </w:rPr>
      </w:pPr>
      <w:r w:rsidRPr="00F81169">
        <w:rPr>
          <w:rFonts w:ascii="Times New Roman" w:hAnsi="Times New Roman"/>
          <w:i/>
          <w:iCs/>
          <w:sz w:val="24"/>
          <w:szCs w:val="24"/>
        </w:rPr>
        <w:lastRenderedPageBreak/>
        <w:t>Metabolic pathway</w:t>
      </w:r>
      <w:r w:rsidR="009F4160" w:rsidRPr="009F4160">
        <w:rPr>
          <w:rFonts w:ascii="Times New Roman" w:hAnsi="Times New Roman"/>
          <w:i/>
          <w:iCs/>
          <w:sz w:val="24"/>
          <w:szCs w:val="24"/>
        </w:rPr>
        <w:t xml:space="preserve"> </w:t>
      </w:r>
      <w:r w:rsidR="009F4160" w:rsidRPr="009F4160">
        <w:rPr>
          <w:rFonts w:ascii="Times New Roman" w:eastAsiaTheme="minorHAnsi" w:hAnsi="Times New Roman"/>
          <w:i/>
          <w:iCs/>
          <w:sz w:val="24"/>
          <w:szCs w:val="24"/>
          <w:lang w:bidi="hi-IN"/>
        </w:rPr>
        <w:t>hypothesization</w:t>
      </w:r>
    </w:p>
    <w:p w14:paraId="06AFCACE" w14:textId="6BB224DC" w:rsidR="00384EAC" w:rsidRPr="00F81169" w:rsidRDefault="00A153FC" w:rsidP="00384EAC">
      <w:pPr>
        <w:autoSpaceDE w:val="0"/>
        <w:autoSpaceDN w:val="0"/>
        <w:adjustRightInd w:val="0"/>
        <w:spacing w:after="0" w:line="360" w:lineRule="auto"/>
        <w:ind w:firstLine="284"/>
        <w:jc w:val="both"/>
        <w:rPr>
          <w:rFonts w:ascii="Times New Roman" w:hAnsi="Times New Roman"/>
          <w:sz w:val="24"/>
          <w:szCs w:val="24"/>
        </w:rPr>
      </w:pPr>
      <w:r w:rsidRPr="00F81169">
        <w:rPr>
          <w:rFonts w:ascii="Times New Roman" w:hAnsi="Times New Roman"/>
          <w:sz w:val="24"/>
          <w:szCs w:val="24"/>
        </w:rPr>
        <w:t xml:space="preserve">In this study, we </w:t>
      </w:r>
      <w:r w:rsidR="00F21EC8" w:rsidRPr="00F21EC8">
        <w:rPr>
          <w:rFonts w:ascii="Times New Roman" w:hAnsi="Times New Roman"/>
          <w:sz w:val="24"/>
          <w:szCs w:val="24"/>
        </w:rPr>
        <w:t>hypothesized</w:t>
      </w:r>
      <w:r w:rsidRPr="00F81169">
        <w:rPr>
          <w:rFonts w:ascii="Times New Roman" w:hAnsi="Times New Roman"/>
          <w:sz w:val="24"/>
          <w:szCs w:val="24"/>
        </w:rPr>
        <w:t xml:space="preserve"> that various noteworthy intracellular adaptive responses were employed against Hg(II) stress which</w:t>
      </w:r>
      <w:r w:rsidR="00F21EC8">
        <w:rPr>
          <w:rFonts w:ascii="Times New Roman" w:hAnsi="Times New Roman"/>
          <w:sz w:val="24"/>
          <w:szCs w:val="24"/>
        </w:rPr>
        <w:t xml:space="preserve"> may</w:t>
      </w:r>
      <w:r w:rsidRPr="00F81169">
        <w:rPr>
          <w:rFonts w:ascii="Times New Roman" w:hAnsi="Times New Roman"/>
          <w:sz w:val="24"/>
          <w:szCs w:val="24"/>
        </w:rPr>
        <w:t xml:space="preserve"> includes </w:t>
      </w:r>
      <w:r w:rsidRPr="00F81169">
        <w:rPr>
          <w:rFonts w:ascii="Times New Roman" w:hAnsi="Times New Roman"/>
          <w:i/>
          <w:iCs/>
          <w:sz w:val="24"/>
          <w:szCs w:val="24"/>
        </w:rPr>
        <w:t>mer</w:t>
      </w:r>
      <w:r w:rsidRPr="00F81169">
        <w:rPr>
          <w:rFonts w:ascii="Times New Roman" w:hAnsi="Times New Roman"/>
          <w:sz w:val="24"/>
          <w:szCs w:val="24"/>
        </w:rPr>
        <w:t xml:space="preserve">-mediated detoxification systems, sulfur assimilation metabolism, glutathione metabolism, cysteine and methionine metabolism, and oxidative stress defence and damage repair metabolism (Fig. S6). </w:t>
      </w:r>
      <w:r w:rsidR="00384EAC" w:rsidRPr="00F81169">
        <w:rPr>
          <w:rFonts w:ascii="Times New Roman" w:hAnsi="Times New Roman"/>
          <w:sz w:val="24"/>
          <w:szCs w:val="24"/>
        </w:rPr>
        <w:t xml:space="preserve">KEGG enrichment analyses revealed that glutathione, nitrogen, sulfur, cysteine and methionine metabolisms processes are involved in the biosynthesis of thiol compounds. Sulfur metabolism was enriched significantly in presence of inorganic mercury and plays a vital role in heavy metal resistance in living organisms </w:t>
      </w:r>
      <w:r w:rsidR="00384EAC" w:rsidRPr="00F81169">
        <w:rPr>
          <w:rFonts w:ascii="Times New Roman" w:hAnsi="Times New Roman"/>
          <w:color w:val="4472C4" w:themeColor="accent1"/>
          <w:sz w:val="24"/>
          <w:szCs w:val="24"/>
        </w:rPr>
        <w:t>(Zagorchev et al. 2013; Chang et al. 2020; Chang et al. 2021)</w:t>
      </w:r>
      <w:r w:rsidR="00384EAC" w:rsidRPr="00F81169">
        <w:rPr>
          <w:rFonts w:ascii="Times New Roman" w:hAnsi="Times New Roman"/>
          <w:sz w:val="24"/>
          <w:szCs w:val="24"/>
        </w:rPr>
        <w:t>. In the sulfur metabolism, the gene/s such as Sulfate adenylyltransferase (</w:t>
      </w:r>
      <w:r w:rsidR="00384EAC" w:rsidRPr="00F81169">
        <w:rPr>
          <w:rFonts w:ascii="Times New Roman" w:hAnsi="Times New Roman"/>
          <w:i/>
          <w:iCs/>
          <w:sz w:val="24"/>
          <w:szCs w:val="24"/>
        </w:rPr>
        <w:t>Sat</w:t>
      </w:r>
      <w:r w:rsidR="00384EAC" w:rsidRPr="00F81169">
        <w:rPr>
          <w:rFonts w:ascii="Times New Roman" w:hAnsi="Times New Roman"/>
          <w:sz w:val="24"/>
          <w:szCs w:val="24"/>
        </w:rPr>
        <w:t>), Adenylyl-sulfate kinase (</w:t>
      </w:r>
      <w:r w:rsidR="00384EAC" w:rsidRPr="00F81169">
        <w:rPr>
          <w:rFonts w:ascii="Times New Roman" w:hAnsi="Times New Roman"/>
          <w:i/>
          <w:iCs/>
          <w:sz w:val="24"/>
          <w:szCs w:val="24"/>
        </w:rPr>
        <w:t>cysC</w:t>
      </w:r>
      <w:r w:rsidR="00384EAC" w:rsidRPr="00F81169">
        <w:rPr>
          <w:rFonts w:ascii="Times New Roman" w:hAnsi="Times New Roman"/>
          <w:sz w:val="24"/>
          <w:szCs w:val="24"/>
        </w:rPr>
        <w:t>), Phosphoadenosine 5'-phosphosulfate reductase (</w:t>
      </w:r>
      <w:r w:rsidR="00384EAC" w:rsidRPr="00F81169">
        <w:rPr>
          <w:rFonts w:ascii="Times New Roman" w:hAnsi="Times New Roman"/>
          <w:i/>
          <w:iCs/>
          <w:sz w:val="24"/>
          <w:szCs w:val="24"/>
        </w:rPr>
        <w:t>cysH</w:t>
      </w:r>
      <w:r w:rsidR="00384EAC" w:rsidRPr="00F81169">
        <w:rPr>
          <w:rFonts w:ascii="Times New Roman" w:hAnsi="Times New Roman"/>
          <w:sz w:val="24"/>
          <w:szCs w:val="24"/>
        </w:rPr>
        <w:t>), Sulfite reductase (</w:t>
      </w:r>
      <w:r w:rsidR="00384EAC" w:rsidRPr="00F81169">
        <w:rPr>
          <w:rFonts w:ascii="Times New Roman" w:hAnsi="Times New Roman"/>
          <w:i/>
          <w:iCs/>
          <w:sz w:val="24"/>
          <w:szCs w:val="24"/>
        </w:rPr>
        <w:t>cysJI</w:t>
      </w:r>
      <w:r w:rsidR="00384EAC" w:rsidRPr="00F81169">
        <w:rPr>
          <w:rFonts w:ascii="Times New Roman" w:hAnsi="Times New Roman"/>
          <w:sz w:val="24"/>
          <w:szCs w:val="24"/>
        </w:rPr>
        <w:t>), Cysteine synthase (</w:t>
      </w:r>
      <w:r w:rsidR="00384EAC" w:rsidRPr="00F81169">
        <w:rPr>
          <w:rFonts w:ascii="Times New Roman" w:hAnsi="Times New Roman"/>
          <w:i/>
          <w:iCs/>
          <w:sz w:val="24"/>
          <w:szCs w:val="24"/>
        </w:rPr>
        <w:t>cysK</w:t>
      </w:r>
      <w:r w:rsidR="00384EAC" w:rsidRPr="00F81169">
        <w:rPr>
          <w:rFonts w:ascii="Times New Roman" w:hAnsi="Times New Roman"/>
          <w:sz w:val="24"/>
          <w:szCs w:val="24"/>
        </w:rPr>
        <w:t>), sulfate permease (</w:t>
      </w:r>
      <w:r w:rsidR="00384EAC" w:rsidRPr="00F81169">
        <w:rPr>
          <w:rFonts w:ascii="Times New Roman" w:hAnsi="Times New Roman"/>
          <w:i/>
          <w:iCs/>
          <w:sz w:val="24"/>
          <w:szCs w:val="24"/>
        </w:rPr>
        <w:t>SulP</w:t>
      </w:r>
      <w:r w:rsidR="00384EAC" w:rsidRPr="00F81169">
        <w:rPr>
          <w:rFonts w:ascii="Times New Roman" w:hAnsi="Times New Roman"/>
          <w:sz w:val="24"/>
          <w:szCs w:val="24"/>
        </w:rPr>
        <w:t>) and sulfate transporters system (</w:t>
      </w:r>
      <w:r w:rsidR="00384EAC" w:rsidRPr="00F81169">
        <w:rPr>
          <w:rFonts w:ascii="Times New Roman" w:hAnsi="Times New Roman"/>
          <w:i/>
          <w:iCs/>
          <w:sz w:val="24"/>
          <w:szCs w:val="24"/>
        </w:rPr>
        <w:t>CysPUWA</w:t>
      </w:r>
      <w:r w:rsidR="00384EAC" w:rsidRPr="00F81169">
        <w:rPr>
          <w:rFonts w:ascii="Times New Roman" w:hAnsi="Times New Roman"/>
          <w:sz w:val="24"/>
          <w:szCs w:val="24"/>
        </w:rPr>
        <w:t>), encoded for the sulfate transportation into the cytoplasm were expressed in the presence of Hg</w:t>
      </w:r>
      <w:r w:rsidR="00384EAC" w:rsidRPr="00F81169">
        <w:rPr>
          <w:rFonts w:ascii="Times New Roman" w:hAnsi="Times New Roman"/>
          <w:sz w:val="24"/>
          <w:szCs w:val="24"/>
          <w:vertAlign w:val="superscript"/>
        </w:rPr>
        <w:t xml:space="preserve">2+ </w:t>
      </w:r>
      <w:r w:rsidR="00384EAC" w:rsidRPr="00F81169">
        <w:rPr>
          <w:rFonts w:ascii="Times New Roman" w:hAnsi="Times New Roman"/>
          <w:color w:val="4472C4" w:themeColor="accent1"/>
          <w:sz w:val="24"/>
          <w:szCs w:val="24"/>
        </w:rPr>
        <w:t>(Chang et al. 2020)</w:t>
      </w:r>
      <w:r w:rsidR="00384EAC" w:rsidRPr="00F81169">
        <w:rPr>
          <w:rFonts w:ascii="Times New Roman" w:hAnsi="Times New Roman"/>
          <w:sz w:val="24"/>
          <w:szCs w:val="24"/>
        </w:rPr>
        <w:t>. The production of sulfite for cysteine synthesis is the result of the up-regulation of gene/s responsible for triggering the sulfate assimilation pathway. The cysteine amino acid plays a crucial role in the synthesis of thiol compounds (protein and LMW thiols) by serving sulfur donors, which may contribute to the detoxification of heavy metals in microorganisms</w:t>
      </w:r>
      <w:r w:rsidR="00F21EC8">
        <w:rPr>
          <w:rFonts w:ascii="Times New Roman" w:hAnsi="Times New Roman"/>
          <w:sz w:val="24"/>
          <w:szCs w:val="24"/>
        </w:rPr>
        <w:t xml:space="preserve"> </w:t>
      </w:r>
      <w:r w:rsidR="00384EAC" w:rsidRPr="00F81169">
        <w:rPr>
          <w:rFonts w:ascii="Times New Roman" w:hAnsi="Times New Roman"/>
          <w:color w:val="4472C4" w:themeColor="accent1"/>
          <w:sz w:val="24"/>
          <w:szCs w:val="24"/>
        </w:rPr>
        <w:t>(Zagorchev et al. 2013; Huang et al. 2019; Chang et al. 2021)</w:t>
      </w:r>
      <w:r w:rsidR="00384EAC" w:rsidRPr="00F81169">
        <w:rPr>
          <w:rFonts w:ascii="Times New Roman" w:hAnsi="Times New Roman"/>
          <w:sz w:val="24"/>
          <w:szCs w:val="24"/>
        </w:rPr>
        <w:t>. Additionally, gene/s that code for the biosynthesis of L-homocysteine and L-methionine was also induced in presence of Hg</w:t>
      </w:r>
      <w:r w:rsidR="00384EAC" w:rsidRPr="00F81169">
        <w:rPr>
          <w:rFonts w:ascii="Times New Roman" w:hAnsi="Times New Roman"/>
          <w:sz w:val="24"/>
          <w:szCs w:val="24"/>
          <w:vertAlign w:val="superscript"/>
        </w:rPr>
        <w:t xml:space="preserve">2+ </w:t>
      </w:r>
      <w:r w:rsidR="00384EAC" w:rsidRPr="00F81169">
        <w:rPr>
          <w:rFonts w:ascii="Times New Roman" w:hAnsi="Times New Roman"/>
          <w:sz w:val="24"/>
          <w:szCs w:val="24"/>
        </w:rPr>
        <w:t>and contributed to resistance towards Hg</w:t>
      </w:r>
      <w:r w:rsidR="00384EAC" w:rsidRPr="00F81169">
        <w:rPr>
          <w:rFonts w:ascii="Times New Roman" w:hAnsi="Times New Roman"/>
          <w:sz w:val="24"/>
          <w:szCs w:val="24"/>
          <w:vertAlign w:val="superscript"/>
        </w:rPr>
        <w:t>2+</w:t>
      </w:r>
      <w:r w:rsidR="00384EAC" w:rsidRPr="00F81169">
        <w:rPr>
          <w:rFonts w:ascii="Times New Roman" w:hAnsi="Times New Roman"/>
          <w:sz w:val="24"/>
          <w:szCs w:val="24"/>
        </w:rPr>
        <w:t xml:space="preserve">. A similar phenomenon in bacteria was also studied by </w:t>
      </w:r>
      <w:r w:rsidR="00384EAC" w:rsidRPr="00F81169">
        <w:rPr>
          <w:rFonts w:ascii="Times New Roman" w:hAnsi="Times New Roman"/>
          <w:color w:val="4472C4" w:themeColor="accent1"/>
          <w:sz w:val="24"/>
          <w:szCs w:val="24"/>
        </w:rPr>
        <w:t>Norambuena et al. 2018</w:t>
      </w:r>
      <w:r w:rsidR="00384EAC" w:rsidRPr="00F81169">
        <w:rPr>
          <w:rFonts w:ascii="Times New Roman" w:hAnsi="Times New Roman"/>
          <w:sz w:val="24"/>
          <w:szCs w:val="24"/>
        </w:rPr>
        <w:t xml:space="preserve">. </w:t>
      </w:r>
    </w:p>
    <w:p w14:paraId="0E7404FF" w14:textId="5D5CBE6B" w:rsidR="00CF70CA" w:rsidRPr="00F81169" w:rsidRDefault="00CF70CA" w:rsidP="00CF70CA">
      <w:pPr>
        <w:spacing w:after="0" w:line="360" w:lineRule="auto"/>
        <w:ind w:firstLine="284"/>
        <w:jc w:val="both"/>
        <w:rPr>
          <w:rFonts w:ascii="Times New Roman" w:hAnsi="Times New Roman"/>
          <w:sz w:val="24"/>
          <w:szCs w:val="24"/>
        </w:rPr>
      </w:pPr>
      <w:r w:rsidRPr="00F81169">
        <w:rPr>
          <w:rFonts w:ascii="Times New Roman" w:hAnsi="Times New Roman"/>
          <w:sz w:val="24"/>
          <w:szCs w:val="24"/>
        </w:rPr>
        <w:t>The gene/s such as GSR and gpx encoded for GSH metabolism were also expressed. In GSH metabolism, the genes encode for gamma-glutamyl transferase (</w:t>
      </w:r>
      <w:r w:rsidRPr="00F81169">
        <w:rPr>
          <w:rFonts w:ascii="Times New Roman" w:hAnsi="Times New Roman"/>
          <w:i/>
          <w:iCs/>
          <w:sz w:val="24"/>
          <w:szCs w:val="24"/>
        </w:rPr>
        <w:t>GGT</w:t>
      </w:r>
      <w:r w:rsidRPr="00F81169">
        <w:rPr>
          <w:rFonts w:ascii="Times New Roman" w:hAnsi="Times New Roman"/>
          <w:sz w:val="24"/>
          <w:szCs w:val="24"/>
        </w:rPr>
        <w:t>),</w:t>
      </w:r>
      <w:r w:rsidRPr="00F81169">
        <w:rPr>
          <w:rFonts w:ascii="Arial" w:hAnsi="Arial" w:cs="Arial"/>
          <w:sz w:val="21"/>
          <w:szCs w:val="21"/>
          <w:shd w:val="clear" w:color="auto" w:fill="FFFFFF"/>
        </w:rPr>
        <w:t> </w:t>
      </w:r>
      <w:r w:rsidRPr="00F81169">
        <w:rPr>
          <w:rFonts w:ascii="Times New Roman" w:hAnsi="Times New Roman"/>
          <w:sz w:val="24"/>
          <w:szCs w:val="24"/>
        </w:rPr>
        <w:t xml:space="preserve">play a key role in maintaining the homeostasis of GSH via disintegrating the extracellular GSH and providing cysteine for GSH synthesis intracellularly </w:t>
      </w:r>
      <w:r w:rsidRPr="00F81169">
        <w:rPr>
          <w:rFonts w:ascii="Times New Roman" w:hAnsi="Times New Roman"/>
          <w:color w:val="4472C4" w:themeColor="accent1"/>
          <w:sz w:val="24"/>
          <w:szCs w:val="24"/>
        </w:rPr>
        <w:t>(Forman et al. 2009; Chang et al. 2021)</w:t>
      </w:r>
      <w:r w:rsidRPr="00F81169">
        <w:rPr>
          <w:rFonts w:ascii="Times New Roman" w:hAnsi="Times New Roman"/>
          <w:sz w:val="24"/>
          <w:szCs w:val="24"/>
        </w:rPr>
        <w:t xml:space="preserve">. Mercury toxicity has been related to reactive oxygen species (ROS) production, which causes the damage of cells and the reduction of cellular redox buffers </w:t>
      </w:r>
      <w:r w:rsidRPr="00F81169">
        <w:rPr>
          <w:rFonts w:ascii="Times New Roman" w:hAnsi="Times New Roman"/>
          <w:color w:val="4472C4" w:themeColor="accent1"/>
          <w:sz w:val="24"/>
          <w:szCs w:val="24"/>
        </w:rPr>
        <w:t>(Chang et al. 2020)</w:t>
      </w:r>
      <w:r w:rsidRPr="00F81169">
        <w:rPr>
          <w:rFonts w:ascii="Times New Roman" w:hAnsi="Times New Roman"/>
          <w:sz w:val="24"/>
          <w:szCs w:val="24"/>
        </w:rPr>
        <w:t xml:space="preserve">.  </w:t>
      </w:r>
      <w:r w:rsidRPr="00F81169">
        <w:rPr>
          <w:rFonts w:ascii="Times New Roman" w:hAnsi="Times New Roman"/>
          <w:color w:val="4472C4" w:themeColor="accent1"/>
          <w:sz w:val="24"/>
          <w:szCs w:val="24"/>
        </w:rPr>
        <w:t xml:space="preserve">Chang et al. 2020 and 2021 </w:t>
      </w:r>
      <w:r w:rsidRPr="00F81169">
        <w:rPr>
          <w:rFonts w:ascii="Times New Roman" w:hAnsi="Times New Roman"/>
          <w:sz w:val="24"/>
          <w:szCs w:val="24"/>
        </w:rPr>
        <w:t>reported that in the presence of Hg</w:t>
      </w:r>
      <w:r w:rsidRPr="00F81169">
        <w:rPr>
          <w:rFonts w:ascii="Times New Roman" w:hAnsi="Times New Roman"/>
          <w:sz w:val="24"/>
          <w:szCs w:val="24"/>
          <w:vertAlign w:val="superscript"/>
        </w:rPr>
        <w:t>2+</w:t>
      </w:r>
      <w:r w:rsidRPr="00F81169">
        <w:rPr>
          <w:rFonts w:ascii="Times New Roman" w:hAnsi="Times New Roman"/>
          <w:sz w:val="24"/>
          <w:szCs w:val="24"/>
        </w:rPr>
        <w:t>, genes such as Superoxide dismutase [Cu-Zn] (</w:t>
      </w:r>
      <w:r w:rsidRPr="00F81169">
        <w:rPr>
          <w:rFonts w:ascii="Times New Roman" w:hAnsi="Times New Roman"/>
          <w:i/>
          <w:iCs/>
          <w:sz w:val="24"/>
          <w:szCs w:val="24"/>
        </w:rPr>
        <w:t>sodC</w:t>
      </w:r>
      <w:r w:rsidRPr="00F81169">
        <w:rPr>
          <w:rFonts w:ascii="Times New Roman" w:hAnsi="Times New Roman"/>
          <w:sz w:val="24"/>
          <w:szCs w:val="24"/>
        </w:rPr>
        <w:t>), Superoxide dismutase 1 chaperone (</w:t>
      </w:r>
      <w:r w:rsidRPr="00F81169">
        <w:rPr>
          <w:rFonts w:ascii="Times New Roman" w:hAnsi="Times New Roman"/>
          <w:i/>
          <w:iCs/>
          <w:sz w:val="24"/>
          <w:szCs w:val="24"/>
        </w:rPr>
        <w:t>CCS1</w:t>
      </w:r>
      <w:r w:rsidRPr="00F81169">
        <w:rPr>
          <w:rFonts w:ascii="Times New Roman" w:hAnsi="Times New Roman"/>
          <w:sz w:val="24"/>
          <w:szCs w:val="24"/>
        </w:rPr>
        <w:t>), catalase 1 (</w:t>
      </w:r>
      <w:r w:rsidRPr="00F81169">
        <w:rPr>
          <w:rFonts w:ascii="Times New Roman" w:hAnsi="Times New Roman"/>
          <w:i/>
          <w:iCs/>
          <w:sz w:val="24"/>
          <w:szCs w:val="24"/>
        </w:rPr>
        <w:t>cat1</w:t>
      </w:r>
      <w:r w:rsidRPr="00F81169">
        <w:rPr>
          <w:rFonts w:ascii="Times New Roman" w:hAnsi="Times New Roman"/>
          <w:sz w:val="24"/>
          <w:szCs w:val="24"/>
        </w:rPr>
        <w:t>), catalase-peroxidase (</w:t>
      </w:r>
      <w:r w:rsidRPr="00F81169">
        <w:rPr>
          <w:rFonts w:ascii="Times New Roman" w:hAnsi="Times New Roman"/>
          <w:i/>
          <w:iCs/>
          <w:sz w:val="24"/>
          <w:szCs w:val="24"/>
        </w:rPr>
        <w:t>katA</w:t>
      </w:r>
      <w:r w:rsidRPr="00F81169">
        <w:rPr>
          <w:rFonts w:ascii="Times New Roman" w:hAnsi="Times New Roman"/>
          <w:sz w:val="24"/>
          <w:szCs w:val="24"/>
        </w:rPr>
        <w:t xml:space="preserve">) are up-regulated and involved in ROS oxidative defence and damage repair. The </w:t>
      </w:r>
      <w:r w:rsidRPr="00F81169">
        <w:rPr>
          <w:rFonts w:ascii="Times New Roman" w:hAnsi="Times New Roman"/>
          <w:i/>
          <w:iCs/>
          <w:sz w:val="24"/>
          <w:szCs w:val="24"/>
        </w:rPr>
        <w:t>sod</w:t>
      </w:r>
      <w:r w:rsidRPr="00F81169">
        <w:rPr>
          <w:rFonts w:ascii="Times New Roman" w:hAnsi="Times New Roman"/>
          <w:sz w:val="24"/>
          <w:szCs w:val="24"/>
        </w:rPr>
        <w:t xml:space="preserve"> enzymes defend mitochondria from oxidative stresses </w:t>
      </w:r>
      <w:r w:rsidRPr="00F81169">
        <w:rPr>
          <w:rFonts w:ascii="Times New Roman" w:hAnsi="Times New Roman"/>
          <w:color w:val="4472C4" w:themeColor="accent1"/>
          <w:sz w:val="24"/>
          <w:szCs w:val="24"/>
        </w:rPr>
        <w:t>(Reddi et al. 2009, Chang et al. 2021)</w:t>
      </w:r>
      <w:r w:rsidRPr="00F81169">
        <w:rPr>
          <w:rFonts w:ascii="Times New Roman" w:hAnsi="Times New Roman"/>
          <w:sz w:val="24"/>
          <w:szCs w:val="24"/>
        </w:rPr>
        <w:t xml:space="preserve">. </w:t>
      </w:r>
    </w:p>
    <w:p w14:paraId="0CEC3F90" w14:textId="174E7905" w:rsidR="009E2778" w:rsidRPr="00F81169" w:rsidRDefault="009E2778" w:rsidP="009E2778">
      <w:pPr>
        <w:spacing w:line="360" w:lineRule="auto"/>
        <w:jc w:val="both"/>
        <w:rPr>
          <w:rFonts w:ascii="Times New Roman" w:hAnsi="Times New Roman"/>
          <w:sz w:val="24"/>
          <w:szCs w:val="24"/>
        </w:rPr>
      </w:pPr>
      <w:r w:rsidRPr="00F81169">
        <w:rPr>
          <w:rFonts w:ascii="Times New Roman" w:hAnsi="Times New Roman"/>
          <w:b/>
          <w:bCs/>
          <w:sz w:val="24"/>
          <w:szCs w:val="24"/>
        </w:rPr>
        <w:lastRenderedPageBreak/>
        <w:t>Fig. S6</w:t>
      </w:r>
      <w:r w:rsidRPr="00F81169">
        <w:rPr>
          <w:rFonts w:ascii="Times New Roman" w:hAnsi="Times New Roman"/>
          <w:sz w:val="24"/>
          <w:szCs w:val="24"/>
        </w:rPr>
        <w:t xml:space="preserve"> </w:t>
      </w:r>
      <w:r w:rsidR="005B23A7">
        <w:rPr>
          <w:rFonts w:ascii="Times New Roman" w:hAnsi="Times New Roman"/>
          <w:sz w:val="24"/>
          <w:szCs w:val="24"/>
        </w:rPr>
        <w:t>Hypothesized</w:t>
      </w:r>
      <w:r w:rsidRPr="00F81169">
        <w:rPr>
          <w:rFonts w:ascii="Times New Roman" w:hAnsi="Times New Roman"/>
          <w:sz w:val="24"/>
          <w:szCs w:val="24"/>
        </w:rPr>
        <w:t xml:space="preserve"> pathway based on </w:t>
      </w:r>
      <w:r w:rsidRPr="00F81169">
        <w:rPr>
          <w:rFonts w:ascii="Times New Roman" w:hAnsi="Times New Roman"/>
          <w:i/>
          <w:iCs/>
          <w:sz w:val="24"/>
          <w:szCs w:val="24"/>
        </w:rPr>
        <w:t>merA</w:t>
      </w:r>
      <w:r w:rsidRPr="00F81169">
        <w:rPr>
          <w:rFonts w:ascii="Times New Roman" w:hAnsi="Times New Roman"/>
          <w:sz w:val="24"/>
          <w:szCs w:val="24"/>
        </w:rPr>
        <w:t xml:space="preserve"> gene amplification and the GC-MS metabolic profile for the resistance and detoxification response mechanisms of </w:t>
      </w:r>
      <w:r w:rsidRPr="00F81169">
        <w:rPr>
          <w:rFonts w:ascii="Times New Roman" w:hAnsi="Times New Roman"/>
          <w:i/>
          <w:iCs/>
          <w:sz w:val="24"/>
          <w:szCs w:val="24"/>
        </w:rPr>
        <w:t>Halomonas</w:t>
      </w:r>
      <w:r w:rsidRPr="00F81169">
        <w:rPr>
          <w:rFonts w:ascii="Times New Roman" w:hAnsi="Times New Roman"/>
          <w:sz w:val="24"/>
          <w:szCs w:val="24"/>
        </w:rPr>
        <w:t xml:space="preserve"> sp. (NIOT-EQR_J248 and NIOT-EQR_J251) to Hg</w:t>
      </w:r>
      <w:r w:rsidRPr="00F81169">
        <w:rPr>
          <w:rFonts w:ascii="Times New Roman" w:hAnsi="Times New Roman"/>
          <w:sz w:val="24"/>
          <w:szCs w:val="24"/>
          <w:vertAlign w:val="superscript"/>
        </w:rPr>
        <w:t>2+</w:t>
      </w:r>
      <w:r w:rsidRPr="00F81169">
        <w:rPr>
          <w:rFonts w:ascii="Times New Roman" w:hAnsi="Times New Roman"/>
          <w:sz w:val="24"/>
          <w:szCs w:val="24"/>
        </w:rPr>
        <w:t xml:space="preserve"> exposure. (A and B) represents that mercury is uptaken by an active process (</w:t>
      </w:r>
      <w:r w:rsidRPr="00F81169">
        <w:rPr>
          <w:rFonts w:ascii="Times New Roman" w:hAnsi="Times New Roman"/>
          <w:i/>
          <w:iCs/>
          <w:sz w:val="24"/>
          <w:szCs w:val="24"/>
        </w:rPr>
        <w:t>mer</w:t>
      </w:r>
      <w:r w:rsidRPr="00F81169">
        <w:rPr>
          <w:rFonts w:ascii="Times New Roman" w:hAnsi="Times New Roman"/>
          <w:sz w:val="24"/>
          <w:szCs w:val="24"/>
        </w:rPr>
        <w:t xml:space="preserve"> transport), whereas (C) represents that mercury is uptaken by a passive process. GST and </w:t>
      </w:r>
      <w:r w:rsidR="00F275A9" w:rsidRPr="00F81169">
        <w:rPr>
          <w:rFonts w:ascii="Times New Roman" w:hAnsi="Times New Roman"/>
          <w:sz w:val="24"/>
          <w:szCs w:val="24"/>
        </w:rPr>
        <w:t xml:space="preserve">IOTG </w:t>
      </w:r>
      <w:r w:rsidRPr="00F81169">
        <w:rPr>
          <w:rFonts w:ascii="Times New Roman" w:hAnsi="Times New Roman"/>
          <w:sz w:val="24"/>
          <w:szCs w:val="24"/>
        </w:rPr>
        <w:t>are indicated to play a crucial role in Hg detoxification by combined Mer and GST mechanisms. AP represents the alternative pathway (two-way reaction) between L-Homocysteine and L- Methionine.</w:t>
      </w:r>
    </w:p>
    <w:p w14:paraId="5E4F2132" w14:textId="77777777" w:rsidR="009E2778" w:rsidRPr="00F81169" w:rsidRDefault="009E2778" w:rsidP="00CD1F04">
      <w:pPr>
        <w:autoSpaceDE w:val="0"/>
        <w:autoSpaceDN w:val="0"/>
        <w:adjustRightInd w:val="0"/>
        <w:spacing w:after="0" w:line="360" w:lineRule="auto"/>
        <w:ind w:firstLine="284"/>
        <w:jc w:val="center"/>
        <w:rPr>
          <w:rFonts w:ascii="Times New Roman" w:hAnsi="Times New Roman"/>
          <w:sz w:val="24"/>
          <w:szCs w:val="24"/>
        </w:rPr>
      </w:pPr>
      <w:r w:rsidRPr="00F81169">
        <w:rPr>
          <w:noProof/>
          <w:lang w:val="en-PH" w:eastAsia="en-PH"/>
        </w:rPr>
        <w:drawing>
          <wp:inline distT="0" distB="0" distL="0" distR="0" wp14:anchorId="1CB9699C" wp14:editId="10155579">
            <wp:extent cx="5731510" cy="36753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675380"/>
                    </a:xfrm>
                    <a:prstGeom prst="rect">
                      <a:avLst/>
                    </a:prstGeom>
                    <a:noFill/>
                    <a:ln>
                      <a:noFill/>
                    </a:ln>
                  </pic:spPr>
                </pic:pic>
              </a:graphicData>
            </a:graphic>
          </wp:inline>
        </w:drawing>
      </w:r>
    </w:p>
    <w:p w14:paraId="5B9641CE" w14:textId="77777777" w:rsidR="009E2778" w:rsidRPr="00F81169" w:rsidRDefault="009E2778" w:rsidP="00384EAC">
      <w:pPr>
        <w:autoSpaceDE w:val="0"/>
        <w:autoSpaceDN w:val="0"/>
        <w:adjustRightInd w:val="0"/>
        <w:spacing w:after="0" w:line="360" w:lineRule="auto"/>
        <w:ind w:firstLine="284"/>
        <w:jc w:val="both"/>
        <w:rPr>
          <w:rFonts w:ascii="Times New Roman" w:hAnsi="Times New Roman"/>
          <w:sz w:val="24"/>
          <w:szCs w:val="24"/>
        </w:rPr>
      </w:pPr>
    </w:p>
    <w:p w14:paraId="309DC8C7" w14:textId="13F367BC" w:rsidR="00384EAC" w:rsidRPr="00F81169" w:rsidRDefault="00384EAC" w:rsidP="00384EAC">
      <w:pPr>
        <w:spacing w:line="360" w:lineRule="auto"/>
        <w:ind w:firstLine="284"/>
        <w:jc w:val="both"/>
        <w:rPr>
          <w:rFonts w:ascii="Times New Roman" w:hAnsi="Times New Roman"/>
          <w:sz w:val="24"/>
          <w:szCs w:val="24"/>
        </w:rPr>
      </w:pPr>
    </w:p>
    <w:p w14:paraId="1D3029F0" w14:textId="45A34F78" w:rsidR="00C929EE" w:rsidRPr="00F81169" w:rsidRDefault="00C929EE" w:rsidP="00EF4B1B">
      <w:pPr>
        <w:autoSpaceDE w:val="0"/>
        <w:autoSpaceDN w:val="0"/>
        <w:adjustRightInd w:val="0"/>
        <w:spacing w:after="0" w:line="360" w:lineRule="auto"/>
        <w:jc w:val="both"/>
      </w:pPr>
    </w:p>
    <w:p w14:paraId="252C8E0E" w14:textId="12501935" w:rsidR="00C929EE" w:rsidRPr="00F81169" w:rsidRDefault="00C929EE" w:rsidP="00EF4B1B">
      <w:pPr>
        <w:autoSpaceDE w:val="0"/>
        <w:autoSpaceDN w:val="0"/>
        <w:adjustRightInd w:val="0"/>
        <w:spacing w:after="0" w:line="360" w:lineRule="auto"/>
        <w:jc w:val="both"/>
      </w:pPr>
    </w:p>
    <w:p w14:paraId="25E3D382" w14:textId="2F1822F1" w:rsidR="00C929EE" w:rsidRPr="00F81169" w:rsidRDefault="00C929EE" w:rsidP="00EF4B1B">
      <w:pPr>
        <w:autoSpaceDE w:val="0"/>
        <w:autoSpaceDN w:val="0"/>
        <w:adjustRightInd w:val="0"/>
        <w:spacing w:after="0" w:line="360" w:lineRule="auto"/>
        <w:jc w:val="both"/>
      </w:pPr>
    </w:p>
    <w:p w14:paraId="4C0150A4" w14:textId="14532199" w:rsidR="00C929EE" w:rsidRPr="00F81169" w:rsidRDefault="00C929EE" w:rsidP="00EF4B1B">
      <w:pPr>
        <w:autoSpaceDE w:val="0"/>
        <w:autoSpaceDN w:val="0"/>
        <w:adjustRightInd w:val="0"/>
        <w:spacing w:after="0" w:line="360" w:lineRule="auto"/>
        <w:jc w:val="both"/>
      </w:pPr>
    </w:p>
    <w:p w14:paraId="543C9956" w14:textId="4994D5C9" w:rsidR="00C929EE" w:rsidRPr="00F81169" w:rsidRDefault="00C929EE" w:rsidP="00EF4B1B">
      <w:pPr>
        <w:autoSpaceDE w:val="0"/>
        <w:autoSpaceDN w:val="0"/>
        <w:adjustRightInd w:val="0"/>
        <w:spacing w:after="0" w:line="360" w:lineRule="auto"/>
        <w:jc w:val="both"/>
      </w:pPr>
    </w:p>
    <w:p w14:paraId="6DDA6971" w14:textId="21FC1C84" w:rsidR="00C929EE" w:rsidRPr="00F81169" w:rsidRDefault="00C929EE" w:rsidP="00EF4B1B">
      <w:pPr>
        <w:autoSpaceDE w:val="0"/>
        <w:autoSpaceDN w:val="0"/>
        <w:adjustRightInd w:val="0"/>
        <w:spacing w:after="0" w:line="360" w:lineRule="auto"/>
        <w:jc w:val="both"/>
      </w:pPr>
    </w:p>
    <w:p w14:paraId="5FB0234B" w14:textId="77777777" w:rsidR="00CD1F04" w:rsidRPr="00F81169" w:rsidRDefault="00CD1F04" w:rsidP="00592EBE">
      <w:pPr>
        <w:spacing w:line="360" w:lineRule="auto"/>
        <w:jc w:val="both"/>
        <w:rPr>
          <w:rFonts w:ascii="Times New Roman" w:hAnsi="Times New Roman"/>
          <w:b/>
          <w:bCs/>
          <w:sz w:val="24"/>
          <w:szCs w:val="24"/>
        </w:rPr>
      </w:pPr>
    </w:p>
    <w:p w14:paraId="35882B82" w14:textId="77777777" w:rsidR="00CD1F04" w:rsidRPr="00F81169" w:rsidRDefault="00CD1F04" w:rsidP="00592EBE">
      <w:pPr>
        <w:spacing w:line="360" w:lineRule="auto"/>
        <w:jc w:val="both"/>
        <w:rPr>
          <w:rFonts w:ascii="Times New Roman" w:hAnsi="Times New Roman"/>
          <w:b/>
          <w:bCs/>
          <w:sz w:val="24"/>
          <w:szCs w:val="24"/>
        </w:rPr>
      </w:pPr>
    </w:p>
    <w:p w14:paraId="3C6B4A36" w14:textId="77777777" w:rsidR="00CD1F04" w:rsidRPr="00F81169" w:rsidRDefault="00CD1F04" w:rsidP="00592EBE">
      <w:pPr>
        <w:spacing w:line="360" w:lineRule="auto"/>
        <w:jc w:val="both"/>
        <w:rPr>
          <w:rFonts w:ascii="Times New Roman" w:hAnsi="Times New Roman"/>
          <w:b/>
          <w:bCs/>
          <w:sz w:val="24"/>
          <w:szCs w:val="24"/>
        </w:rPr>
      </w:pPr>
    </w:p>
    <w:p w14:paraId="1FFD335E" w14:textId="5DEF3258" w:rsidR="00592EBE" w:rsidRPr="00F81169" w:rsidRDefault="00592EBE" w:rsidP="00592EBE">
      <w:pPr>
        <w:spacing w:line="360" w:lineRule="auto"/>
        <w:jc w:val="both"/>
        <w:rPr>
          <w:rFonts w:ascii="Times New Roman" w:hAnsi="Times New Roman"/>
          <w:b/>
          <w:bCs/>
          <w:sz w:val="24"/>
          <w:szCs w:val="24"/>
        </w:rPr>
      </w:pPr>
      <w:r w:rsidRPr="00F81169">
        <w:rPr>
          <w:rFonts w:ascii="Times New Roman" w:hAnsi="Times New Roman"/>
          <w:b/>
          <w:bCs/>
          <w:sz w:val="24"/>
          <w:szCs w:val="24"/>
        </w:rPr>
        <w:lastRenderedPageBreak/>
        <w:t>References</w:t>
      </w:r>
    </w:p>
    <w:p w14:paraId="61BB93FB"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Chang J, Shi Y, Si G, Yang Q, Dong J, Chen J (2020) The bioremediation potentials and mercury(II)-resistant mechanisms of a novel fungus </w:t>
      </w:r>
      <w:r w:rsidRPr="00F81169">
        <w:rPr>
          <w:rFonts w:ascii="Times New Roman" w:hAnsi="Times New Roman"/>
          <w:i/>
          <w:iCs/>
          <w:sz w:val="24"/>
          <w:szCs w:val="24"/>
        </w:rPr>
        <w:t>Penicillium</w:t>
      </w:r>
      <w:r w:rsidRPr="00F81169">
        <w:rPr>
          <w:rFonts w:ascii="Times New Roman" w:hAnsi="Times New Roman"/>
          <w:sz w:val="24"/>
          <w:szCs w:val="24"/>
        </w:rPr>
        <w:t xml:space="preserve"> spp. DC-F11 isolated from contaminated soil. J Hazard Mater. 5;396:122638. doi: 10.1016/j.jhazmat.2020.122638. Epub 2020 Apr 7. PMID: 32361297.</w:t>
      </w:r>
    </w:p>
    <w:p w14:paraId="7428DC12"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Chang J, Si G, Dong J, Yang Q, Shi Y, Chen Y, Zhou K, Chen J (2021) Transcriptomic analyses reveal the pathways associated with the volatilization and resistance of mercury(II) in the fungus </w:t>
      </w:r>
      <w:r w:rsidRPr="00F81169">
        <w:rPr>
          <w:rFonts w:ascii="Times New Roman" w:hAnsi="Times New Roman"/>
          <w:i/>
          <w:iCs/>
          <w:sz w:val="24"/>
          <w:szCs w:val="24"/>
        </w:rPr>
        <w:t>Lecythophora</w:t>
      </w:r>
      <w:r w:rsidRPr="00F81169">
        <w:rPr>
          <w:rFonts w:ascii="Times New Roman" w:hAnsi="Times New Roman"/>
          <w:sz w:val="24"/>
          <w:szCs w:val="24"/>
        </w:rPr>
        <w:t xml:space="preserve"> sp. DC-F1. Sci Total Environ. 15;752:142172. doi: 10.1016/j.scitotenv.2020.142172. Epub 2020 Sep 2. PMID: 33207499.</w:t>
      </w:r>
    </w:p>
    <w:p w14:paraId="5E8FA136" w14:textId="77777777" w:rsidR="00EB622B" w:rsidRPr="00F81169" w:rsidRDefault="00EB622B" w:rsidP="00EB622B">
      <w:pPr>
        <w:tabs>
          <w:tab w:val="left" w:pos="709"/>
        </w:tabs>
        <w:autoSpaceDE w:val="0"/>
        <w:autoSpaceDN w:val="0"/>
        <w:adjustRightInd w:val="0"/>
        <w:spacing w:after="0" w:line="360" w:lineRule="auto"/>
        <w:ind w:left="426" w:hanging="426"/>
        <w:jc w:val="both"/>
        <w:rPr>
          <w:rFonts w:ascii="Times New Roman" w:hAnsi="Times New Roman"/>
          <w:sz w:val="24"/>
          <w:szCs w:val="24"/>
        </w:rPr>
      </w:pPr>
      <w:r w:rsidRPr="00F81169">
        <w:rPr>
          <w:rFonts w:ascii="Times New Roman" w:hAnsi="Times New Roman"/>
          <w:sz w:val="24"/>
          <w:szCs w:val="24"/>
        </w:rPr>
        <w:t>Clinical and Laboratory Standards Institute (CLSI 2013). Performance standards for antimicrobial susceptibility testing, 23</w:t>
      </w:r>
      <w:r w:rsidRPr="00F81169">
        <w:rPr>
          <w:rFonts w:ascii="Times New Roman" w:hAnsi="Times New Roman"/>
          <w:sz w:val="24"/>
          <w:szCs w:val="24"/>
          <w:vertAlign w:val="superscript"/>
        </w:rPr>
        <w:t>th</w:t>
      </w:r>
      <w:r w:rsidRPr="00F81169">
        <w:rPr>
          <w:rFonts w:ascii="Times New Roman" w:hAnsi="Times New Roman"/>
          <w:sz w:val="24"/>
          <w:szCs w:val="24"/>
        </w:rPr>
        <w:t xml:space="preserve"> informational supplement M100-S23. CLSI, Wayne.</w:t>
      </w:r>
    </w:p>
    <w:p w14:paraId="47288C6D" w14:textId="77777777" w:rsidR="00EB622B" w:rsidRPr="00F81169" w:rsidRDefault="00EB622B" w:rsidP="00EB622B">
      <w:pPr>
        <w:tabs>
          <w:tab w:val="left" w:pos="709"/>
          <w:tab w:val="left" w:pos="5573"/>
        </w:tabs>
        <w:autoSpaceDE w:val="0"/>
        <w:autoSpaceDN w:val="0"/>
        <w:adjustRightInd w:val="0"/>
        <w:spacing w:after="0" w:line="360" w:lineRule="auto"/>
        <w:ind w:left="426" w:hanging="426"/>
        <w:jc w:val="both"/>
        <w:rPr>
          <w:rFonts w:ascii="Times New Roman" w:hAnsi="Times New Roman"/>
          <w:sz w:val="24"/>
          <w:szCs w:val="24"/>
        </w:rPr>
      </w:pPr>
      <w:r w:rsidRPr="00F81169">
        <w:rPr>
          <w:rFonts w:ascii="Times New Roman" w:hAnsi="Times New Roman"/>
          <w:sz w:val="24"/>
          <w:szCs w:val="24"/>
        </w:rPr>
        <w:t>Felsenstein J (1985) Confidence limits on phylogenies: an approach using the bootstrap. Evol. 39, 783–791.</w:t>
      </w:r>
    </w:p>
    <w:p w14:paraId="79A01C71"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Forman HJ, Zhang H, Rinna A (2009) Glutathione: overview of its protective roles, measurement, and biosynthesis. Mol. Asp. Med. 30, 1–12.</w:t>
      </w:r>
    </w:p>
    <w:p w14:paraId="0E701C01" w14:textId="77777777" w:rsidR="00EB622B" w:rsidRPr="00F81169" w:rsidRDefault="00EB622B" w:rsidP="00EB622B">
      <w:pPr>
        <w:autoSpaceDE w:val="0"/>
        <w:autoSpaceDN w:val="0"/>
        <w:adjustRightInd w:val="0"/>
        <w:spacing w:after="0" w:line="360" w:lineRule="auto"/>
        <w:ind w:left="426" w:hanging="426"/>
        <w:jc w:val="both"/>
        <w:rPr>
          <w:rFonts w:ascii="Times New Roman" w:hAnsi="Times New Roman"/>
          <w:sz w:val="24"/>
          <w:szCs w:val="24"/>
        </w:rPr>
      </w:pPr>
      <w:r w:rsidRPr="00F81169">
        <w:rPr>
          <w:rFonts w:ascii="Times New Roman" w:hAnsi="Times New Roman"/>
          <w:sz w:val="24"/>
          <w:szCs w:val="24"/>
        </w:rPr>
        <w:t>Hassen A, Saidi N, Cherif M, Boudabous A (1998) Resistance of environmental bacteria to heavy metals. Bioresour. Technol. 64:7–15.</w:t>
      </w:r>
    </w:p>
    <w:p w14:paraId="7DEF1D10" w14:textId="77777777" w:rsidR="00EB622B" w:rsidRPr="00F81169" w:rsidRDefault="00EB622B" w:rsidP="00EB622B">
      <w:pPr>
        <w:autoSpaceDE w:val="0"/>
        <w:autoSpaceDN w:val="0"/>
        <w:adjustRightInd w:val="0"/>
        <w:spacing w:after="0" w:line="360" w:lineRule="auto"/>
        <w:ind w:left="426" w:hanging="426"/>
        <w:jc w:val="both"/>
        <w:rPr>
          <w:rFonts w:ascii="Times New Roman" w:hAnsi="Times New Roman"/>
          <w:sz w:val="24"/>
          <w:szCs w:val="24"/>
        </w:rPr>
      </w:pPr>
      <w:r w:rsidRPr="00F81169">
        <w:rPr>
          <w:rFonts w:ascii="Times New Roman" w:hAnsi="Times New Roman"/>
          <w:sz w:val="24"/>
          <w:szCs w:val="24"/>
        </w:rPr>
        <w:t>https://www.3ds.com/products-services/BIOVIA/products/molecular- modelling simulation / BIOVIA-discovery-studio/visualization. (n.d.).</w:t>
      </w:r>
    </w:p>
    <w:p w14:paraId="593AF2AF"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Huang N, Mao J, Zhao Y, Hu M, Wang X (2019) Multiple transcriptional mechanisms collectively mediate copper resistance in </w:t>
      </w:r>
      <w:r w:rsidRPr="00F81169">
        <w:rPr>
          <w:rFonts w:ascii="Times New Roman" w:hAnsi="Times New Roman"/>
          <w:i/>
          <w:iCs/>
          <w:sz w:val="24"/>
          <w:szCs w:val="24"/>
        </w:rPr>
        <w:t>Cupriavidus gilardii</w:t>
      </w:r>
      <w:r w:rsidRPr="00F81169">
        <w:rPr>
          <w:rFonts w:ascii="Times New Roman" w:hAnsi="Times New Roman"/>
          <w:sz w:val="24"/>
          <w:szCs w:val="24"/>
        </w:rPr>
        <w:t xml:space="preserve"> CR3. Environ. Sci. Technol. 53, 4609–4618.</w:t>
      </w:r>
    </w:p>
    <w:p w14:paraId="457D17CA"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Kumar S, Stecher G, Li M, Knyaz C, Tamura K (2018) MEGA X: Molecular Evolutionary Genetics Analysis across computing platforms. Mol. Biol. Evol. 35, 1547-1549.</w:t>
      </w:r>
    </w:p>
    <w:p w14:paraId="6B066FA8" w14:textId="77777777" w:rsidR="00EB622B" w:rsidRPr="00F81169" w:rsidRDefault="00EB622B" w:rsidP="00EB622B">
      <w:pPr>
        <w:shd w:val="clear" w:color="auto" w:fill="FFFFFF"/>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Lee S, Glickmann E, Cooksey A (2001) Chromosomal locus for cadmium resistance in </w:t>
      </w:r>
      <w:r w:rsidRPr="00F81169">
        <w:rPr>
          <w:rFonts w:ascii="Times New Roman" w:hAnsi="Times New Roman"/>
          <w:i/>
          <w:sz w:val="24"/>
          <w:szCs w:val="24"/>
        </w:rPr>
        <w:t>Pseudomonas putida</w:t>
      </w:r>
      <w:r w:rsidRPr="00F81169">
        <w:rPr>
          <w:rFonts w:ascii="Times New Roman" w:hAnsi="Times New Roman"/>
          <w:sz w:val="24"/>
          <w:szCs w:val="24"/>
        </w:rPr>
        <w:t xml:space="preserve"> consisting of cadmium transporting ATPase and a MerR family response regulator. Appl. Environ.Microbiol. 67:1437-1444. </w:t>
      </w:r>
    </w:p>
    <w:p w14:paraId="70F6609C" w14:textId="77777777" w:rsidR="00EB622B" w:rsidRPr="00F81169" w:rsidRDefault="00EB622B" w:rsidP="00EB622B">
      <w:pPr>
        <w:tabs>
          <w:tab w:val="left" w:pos="709"/>
        </w:tabs>
        <w:autoSpaceDE w:val="0"/>
        <w:autoSpaceDN w:val="0"/>
        <w:adjustRightInd w:val="0"/>
        <w:spacing w:after="0" w:line="360" w:lineRule="auto"/>
        <w:ind w:left="426" w:hanging="426"/>
        <w:jc w:val="both"/>
        <w:rPr>
          <w:rFonts w:ascii="Times New Roman" w:hAnsi="Times New Roman"/>
          <w:sz w:val="24"/>
          <w:szCs w:val="24"/>
        </w:rPr>
      </w:pPr>
      <w:r w:rsidRPr="00F81169">
        <w:rPr>
          <w:rStyle w:val="Hyperlink"/>
          <w:rFonts w:ascii="Times New Roman" w:hAnsi="Times New Roman"/>
          <w:color w:val="auto"/>
          <w:sz w:val="24"/>
          <w:szCs w:val="24"/>
          <w:u w:val="none"/>
        </w:rPr>
        <w:t xml:space="preserve">National Library of Medicine, compound summary - </w:t>
      </w:r>
      <w:r w:rsidRPr="00F81169">
        <w:rPr>
          <w:rFonts w:ascii="Times New Roman" w:hAnsi="Times New Roman"/>
          <w:sz w:val="24"/>
          <w:szCs w:val="24"/>
        </w:rPr>
        <w:t>Isooctyl thioglycolate. http://pubchem.n</w:t>
      </w:r>
      <w:r w:rsidRPr="00F81169">
        <w:rPr>
          <w:rStyle w:val="Hyperlink"/>
          <w:rFonts w:ascii="Times New Roman" w:hAnsi="Times New Roman"/>
          <w:color w:val="auto"/>
          <w:sz w:val="24"/>
          <w:szCs w:val="24"/>
          <w:u w:val="none"/>
        </w:rPr>
        <w:t xml:space="preserve"> cbi.nlm.nih.gov/compound/isooctyl-thioglycolate</w:t>
      </w:r>
    </w:p>
    <w:p w14:paraId="36E5461F"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Norambuena J, Wang Y, Hanson T, Boyd JM, Barkay T (2018) Low-molecular-weight thiols and thioredoxins are important players in Hg(II) resistance in </w:t>
      </w:r>
      <w:r w:rsidRPr="00F81169">
        <w:rPr>
          <w:rFonts w:ascii="Times New Roman" w:hAnsi="Times New Roman"/>
          <w:i/>
          <w:iCs/>
          <w:sz w:val="24"/>
          <w:szCs w:val="24"/>
        </w:rPr>
        <w:t>Thermus Thermophilus</w:t>
      </w:r>
      <w:r w:rsidRPr="00F81169">
        <w:rPr>
          <w:rFonts w:ascii="Times New Roman" w:hAnsi="Times New Roman"/>
          <w:sz w:val="24"/>
          <w:szCs w:val="24"/>
        </w:rPr>
        <w:t xml:space="preserve"> HB27. Appl. Environ. Microbiol. 84 e01931-17.</w:t>
      </w:r>
    </w:p>
    <w:p w14:paraId="14BFDA12" w14:textId="77777777" w:rsidR="00EB622B" w:rsidRPr="00F81169"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lastRenderedPageBreak/>
        <w:t xml:space="preserve">Online SMILES Translator and Structure File Generator tool available at </w:t>
      </w:r>
      <w:hyperlink r:id="rId20" w:history="1">
        <w:r w:rsidRPr="00F81169">
          <w:rPr>
            <w:rStyle w:val="Hyperlink"/>
            <w:rFonts w:ascii="Times New Roman" w:hAnsi="Times New Roman"/>
            <w:color w:val="auto"/>
            <w:sz w:val="24"/>
            <w:szCs w:val="24"/>
          </w:rPr>
          <w:t>https://cactus.nci.nih.gov/translate/</w:t>
        </w:r>
      </w:hyperlink>
    </w:p>
    <w:p w14:paraId="1F1DB0F8" w14:textId="77777777" w:rsidR="00EB622B" w:rsidRPr="00F81169" w:rsidRDefault="00EB622B" w:rsidP="00EB622B">
      <w:pPr>
        <w:rPr>
          <w:rFonts w:ascii="Times New Roman" w:hAnsi="Times New Roman"/>
          <w:sz w:val="24"/>
          <w:szCs w:val="24"/>
        </w:rPr>
      </w:pPr>
      <w:r w:rsidRPr="00F81169">
        <w:rPr>
          <w:rFonts w:ascii="Times New Roman" w:hAnsi="Times New Roman"/>
          <w:sz w:val="24"/>
          <w:szCs w:val="24"/>
        </w:rPr>
        <w:t xml:space="preserve">Protein Data Bank database (PDB) </w:t>
      </w:r>
      <w:hyperlink r:id="rId21" w:history="1">
        <w:r w:rsidRPr="00F81169">
          <w:rPr>
            <w:rStyle w:val="Hyperlink"/>
            <w:rFonts w:ascii="Times New Roman" w:hAnsi="Times New Roman"/>
            <w:sz w:val="24"/>
            <w:szCs w:val="24"/>
          </w:rPr>
          <w:t>https://www.rcsb.org</w:t>
        </w:r>
      </w:hyperlink>
    </w:p>
    <w:p w14:paraId="511AD80F" w14:textId="77777777" w:rsidR="00EB622B" w:rsidRPr="00F81169" w:rsidRDefault="00EB622B" w:rsidP="00EB622B">
      <w:pPr>
        <w:shd w:val="clear" w:color="auto" w:fill="FFFFFF"/>
        <w:spacing w:after="0" w:line="360" w:lineRule="auto"/>
        <w:ind w:left="426" w:hanging="426"/>
        <w:jc w:val="both"/>
        <w:rPr>
          <w:rFonts w:ascii="Times New Roman" w:hAnsi="Times New Roman"/>
          <w:sz w:val="24"/>
          <w:szCs w:val="24"/>
        </w:rPr>
      </w:pPr>
      <w:r w:rsidRPr="00F81169">
        <w:rPr>
          <w:rFonts w:ascii="Times New Roman" w:hAnsi="Times New Roman"/>
          <w:sz w:val="24"/>
          <w:szCs w:val="24"/>
        </w:rPr>
        <w:t>Reddi AR, Jensen LT, Naranuntarat A, Rosenfeld L, Leung E, Shah R, Culotta VC (2009) The overlapping roles of manganese and Cu/Zn SOD in oxidative stress protection. Free Radic. Biol. Med. 46, 154–162.</w:t>
      </w:r>
    </w:p>
    <w:p w14:paraId="0DDF999C" w14:textId="77777777" w:rsidR="00EB622B" w:rsidRPr="00F81169" w:rsidRDefault="00EB622B" w:rsidP="00EB622B">
      <w:pPr>
        <w:tabs>
          <w:tab w:val="left" w:pos="709"/>
        </w:tabs>
        <w:autoSpaceDE w:val="0"/>
        <w:autoSpaceDN w:val="0"/>
        <w:adjustRightInd w:val="0"/>
        <w:spacing w:after="0" w:line="360" w:lineRule="auto"/>
        <w:ind w:left="360" w:hanging="360"/>
        <w:jc w:val="both"/>
        <w:rPr>
          <w:rFonts w:ascii="Times New Roman" w:hAnsi="Times New Roman"/>
          <w:sz w:val="24"/>
          <w:szCs w:val="24"/>
        </w:rPr>
      </w:pPr>
      <w:r w:rsidRPr="00F81169">
        <w:rPr>
          <w:rFonts w:ascii="Times New Roman" w:hAnsi="Times New Roman"/>
          <w:sz w:val="24"/>
          <w:szCs w:val="24"/>
        </w:rPr>
        <w:t>SubhaAnand S, GEOTRACES INDIA cruse report on ORV SagarKanya Cruise No. 312 sampling for Hydrothermal and GEOTRACES stations under GEOTRACES&amp; Hydrothermal Programme from Mauritius, April 27, 2014 to Goa, May 30, 2014.https://www.bodc.ac.uk/resources/inventories/cruise_inventory/reports/sagarkanya_sk312.pdf</w:t>
      </w:r>
    </w:p>
    <w:p w14:paraId="5614A733" w14:textId="77777777" w:rsidR="00EB622B" w:rsidRPr="00F81169" w:rsidRDefault="00EB622B" w:rsidP="00EB622B">
      <w:pPr>
        <w:tabs>
          <w:tab w:val="left" w:pos="709"/>
        </w:tabs>
        <w:autoSpaceDE w:val="0"/>
        <w:autoSpaceDN w:val="0"/>
        <w:adjustRightInd w:val="0"/>
        <w:spacing w:after="0" w:line="360" w:lineRule="auto"/>
        <w:ind w:left="360" w:hanging="360"/>
        <w:jc w:val="both"/>
        <w:rPr>
          <w:rFonts w:ascii="Times New Roman" w:hAnsi="Times New Roman"/>
          <w:sz w:val="24"/>
          <w:szCs w:val="24"/>
        </w:rPr>
      </w:pPr>
      <w:r w:rsidRPr="00F81169">
        <w:rPr>
          <w:rFonts w:ascii="Times New Roman" w:hAnsi="Times New Roman"/>
          <w:sz w:val="24"/>
          <w:szCs w:val="24"/>
        </w:rPr>
        <w:t>Trott O, Olson AJ (2010). AutoDock Vina: improving the speed and accuracy of docking with a new scoring function, efficient optimization, and multithreading. J Comput Chem. 31(2):455-461. doi:10.1002/jcc.21334</w:t>
      </w:r>
    </w:p>
    <w:p w14:paraId="715F2BD6" w14:textId="77777777" w:rsidR="00EB622B" w:rsidRPr="00F81169" w:rsidRDefault="00EB622B" w:rsidP="00EB622B">
      <w:pPr>
        <w:shd w:val="clear" w:color="auto" w:fill="FFFFFF"/>
        <w:spacing w:after="0" w:line="360" w:lineRule="auto"/>
        <w:ind w:left="426" w:hanging="426"/>
        <w:jc w:val="both"/>
        <w:rPr>
          <w:rFonts w:ascii="Times New Roman" w:hAnsi="Times New Roman"/>
          <w:sz w:val="24"/>
          <w:szCs w:val="24"/>
        </w:rPr>
      </w:pPr>
      <w:r w:rsidRPr="00F81169">
        <w:rPr>
          <w:rFonts w:ascii="Times New Roman" w:hAnsi="Times New Roman"/>
          <w:sz w:val="24"/>
          <w:szCs w:val="24"/>
        </w:rPr>
        <w:t xml:space="preserve">Wang Y, Leung PC, Qian PY, Gu JD (2006) Antibiotic resistant and plasmid profile of environment isolates of </w:t>
      </w:r>
      <w:r w:rsidRPr="00F81169">
        <w:rPr>
          <w:rFonts w:ascii="Times New Roman" w:hAnsi="Times New Roman"/>
          <w:i/>
          <w:sz w:val="24"/>
          <w:szCs w:val="24"/>
        </w:rPr>
        <w:t>Vibrio</w:t>
      </w:r>
      <w:r w:rsidRPr="00F81169">
        <w:rPr>
          <w:rFonts w:ascii="Times New Roman" w:hAnsi="Times New Roman"/>
          <w:sz w:val="24"/>
          <w:szCs w:val="24"/>
        </w:rPr>
        <w:t xml:space="preserve"> species from Mai Po Nature Reserve, Hong Kong. Ecotoxicol. 15:371-378.</w:t>
      </w:r>
    </w:p>
    <w:p w14:paraId="6B21A88D" w14:textId="77777777" w:rsidR="00EB622B" w:rsidRPr="001C4780" w:rsidRDefault="00EB622B" w:rsidP="00EB622B">
      <w:pPr>
        <w:spacing w:after="0" w:line="360" w:lineRule="auto"/>
        <w:ind w:left="426" w:hanging="426"/>
        <w:jc w:val="both"/>
        <w:rPr>
          <w:rFonts w:ascii="Times New Roman" w:hAnsi="Times New Roman"/>
          <w:sz w:val="24"/>
          <w:szCs w:val="24"/>
        </w:rPr>
      </w:pPr>
      <w:r w:rsidRPr="00F81169">
        <w:rPr>
          <w:rFonts w:ascii="Times New Roman" w:hAnsi="Times New Roman"/>
          <w:sz w:val="24"/>
          <w:szCs w:val="24"/>
        </w:rPr>
        <w:t>Zagorchev L, Seal CE, Kranner I, Odjakova M (2013) A central role for thiols in plant tolerance to abiotic stress. Int. J. Mol. Sci. 14, 7405–7432.</w:t>
      </w:r>
    </w:p>
    <w:p w14:paraId="32895866" w14:textId="282655F0" w:rsidR="003235AF" w:rsidRPr="008449CD" w:rsidRDefault="003235AF" w:rsidP="00EB622B">
      <w:pPr>
        <w:tabs>
          <w:tab w:val="left" w:pos="709"/>
        </w:tabs>
        <w:autoSpaceDE w:val="0"/>
        <w:autoSpaceDN w:val="0"/>
        <w:adjustRightInd w:val="0"/>
        <w:spacing w:after="0" w:line="360" w:lineRule="auto"/>
        <w:ind w:left="426" w:hanging="426"/>
        <w:jc w:val="both"/>
        <w:rPr>
          <w:rFonts w:ascii="Times New Roman" w:hAnsi="Times New Roman"/>
          <w:sz w:val="24"/>
          <w:szCs w:val="24"/>
        </w:rPr>
      </w:pPr>
    </w:p>
    <w:sectPr w:rsidR="003235AF" w:rsidRPr="008449CD" w:rsidSect="00801C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7CB00" w14:textId="77777777" w:rsidR="002344DE" w:rsidRDefault="002344DE" w:rsidP="00BE3898">
      <w:pPr>
        <w:spacing w:after="0" w:line="240" w:lineRule="auto"/>
      </w:pPr>
      <w:r>
        <w:separator/>
      </w:r>
    </w:p>
  </w:endnote>
  <w:endnote w:type="continuationSeparator" w:id="0">
    <w:p w14:paraId="1A98789D" w14:textId="77777777" w:rsidR="002344DE" w:rsidRDefault="002344DE" w:rsidP="00BE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yriadPro-BoldSemiCn">
    <w:altName w:val="Yu Gothic"/>
    <w:panose1 w:val="00000000000000000000"/>
    <w:charset w:val="80"/>
    <w:family w:val="swiss"/>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000" w:usb1="08070000" w:usb2="00000010" w:usb3="00000000" w:csb0="00020000" w:csb1="00000000"/>
  </w:font>
  <w:font w:name="MTSY">
    <w:altName w:val="Malgun Gothic"/>
    <w:charset w:val="81"/>
    <w:family w:val="auto"/>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627478"/>
      <w:docPartObj>
        <w:docPartGallery w:val="Page Numbers (Bottom of Page)"/>
        <w:docPartUnique/>
      </w:docPartObj>
    </w:sdtPr>
    <w:sdtEndPr>
      <w:rPr>
        <w:noProof/>
      </w:rPr>
    </w:sdtEndPr>
    <w:sdtContent>
      <w:p w14:paraId="1495FDE0" w14:textId="01395A87" w:rsidR="004F36C2" w:rsidRDefault="004F36C2">
        <w:pPr>
          <w:pStyle w:val="Footer"/>
          <w:jc w:val="right"/>
        </w:pPr>
        <w:r>
          <w:fldChar w:fldCharType="begin"/>
        </w:r>
        <w:r>
          <w:instrText xml:space="preserve"> PAGE   \* MERGEFORMAT </w:instrText>
        </w:r>
        <w:r>
          <w:fldChar w:fldCharType="separate"/>
        </w:r>
        <w:r w:rsidR="00801C31">
          <w:rPr>
            <w:noProof/>
          </w:rPr>
          <w:t>18</w:t>
        </w:r>
        <w:r>
          <w:rPr>
            <w:noProof/>
          </w:rPr>
          <w:fldChar w:fldCharType="end"/>
        </w:r>
      </w:p>
    </w:sdtContent>
  </w:sdt>
  <w:p w14:paraId="36B07DAD" w14:textId="77777777" w:rsidR="004F36C2" w:rsidRDefault="004F3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D1B56" w14:textId="77777777" w:rsidR="002344DE" w:rsidRDefault="002344DE" w:rsidP="00BE3898">
      <w:pPr>
        <w:spacing w:after="0" w:line="240" w:lineRule="auto"/>
      </w:pPr>
      <w:r>
        <w:separator/>
      </w:r>
    </w:p>
  </w:footnote>
  <w:footnote w:type="continuationSeparator" w:id="0">
    <w:p w14:paraId="697237E2" w14:textId="77777777" w:rsidR="002344DE" w:rsidRDefault="002344DE" w:rsidP="00BE38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UwsDQwMTIxNbA0NLRQ0lEKTi0uzszPAykwM6gFAPx3JBQtAAAA"/>
  </w:docVars>
  <w:rsids>
    <w:rsidRoot w:val="006F202B"/>
    <w:rsid w:val="000041C4"/>
    <w:rsid w:val="00014810"/>
    <w:rsid w:val="0001651F"/>
    <w:rsid w:val="000344F8"/>
    <w:rsid w:val="00045D35"/>
    <w:rsid w:val="00045E69"/>
    <w:rsid w:val="00066B1E"/>
    <w:rsid w:val="000A294B"/>
    <w:rsid w:val="000C129E"/>
    <w:rsid w:val="000C334A"/>
    <w:rsid w:val="000D638C"/>
    <w:rsid w:val="000F0E88"/>
    <w:rsid w:val="00105562"/>
    <w:rsid w:val="00143034"/>
    <w:rsid w:val="00146B20"/>
    <w:rsid w:val="001A7855"/>
    <w:rsid w:val="001B31C5"/>
    <w:rsid w:val="001B42DD"/>
    <w:rsid w:val="001C232A"/>
    <w:rsid w:val="001D2CEA"/>
    <w:rsid w:val="001E5056"/>
    <w:rsid w:val="001F095B"/>
    <w:rsid w:val="001F4089"/>
    <w:rsid w:val="00200E93"/>
    <w:rsid w:val="0020270E"/>
    <w:rsid w:val="00204588"/>
    <w:rsid w:val="002337E8"/>
    <w:rsid w:val="002344DE"/>
    <w:rsid w:val="002569FA"/>
    <w:rsid w:val="00260109"/>
    <w:rsid w:val="002744D9"/>
    <w:rsid w:val="002C63B4"/>
    <w:rsid w:val="002C7A53"/>
    <w:rsid w:val="002D4156"/>
    <w:rsid w:val="002D78C6"/>
    <w:rsid w:val="002E321D"/>
    <w:rsid w:val="002F351C"/>
    <w:rsid w:val="00306CA2"/>
    <w:rsid w:val="003235AF"/>
    <w:rsid w:val="00333AAE"/>
    <w:rsid w:val="003372F1"/>
    <w:rsid w:val="00346F7E"/>
    <w:rsid w:val="00371CC4"/>
    <w:rsid w:val="00384EAC"/>
    <w:rsid w:val="003A1A9F"/>
    <w:rsid w:val="003B105A"/>
    <w:rsid w:val="003B297B"/>
    <w:rsid w:val="003B5F2C"/>
    <w:rsid w:val="003D19A6"/>
    <w:rsid w:val="003D6361"/>
    <w:rsid w:val="003E4F8A"/>
    <w:rsid w:val="0041665E"/>
    <w:rsid w:val="00421D0C"/>
    <w:rsid w:val="004226AA"/>
    <w:rsid w:val="004343AF"/>
    <w:rsid w:val="00437D85"/>
    <w:rsid w:val="00464D4F"/>
    <w:rsid w:val="00470954"/>
    <w:rsid w:val="004924F7"/>
    <w:rsid w:val="004946D2"/>
    <w:rsid w:val="00494CA3"/>
    <w:rsid w:val="004A0182"/>
    <w:rsid w:val="004A1522"/>
    <w:rsid w:val="004A2624"/>
    <w:rsid w:val="004C0597"/>
    <w:rsid w:val="004C2E7F"/>
    <w:rsid w:val="004F36C2"/>
    <w:rsid w:val="004F3ECB"/>
    <w:rsid w:val="004F5D55"/>
    <w:rsid w:val="005365D7"/>
    <w:rsid w:val="0054701A"/>
    <w:rsid w:val="00551A36"/>
    <w:rsid w:val="00552725"/>
    <w:rsid w:val="005545C7"/>
    <w:rsid w:val="0056468E"/>
    <w:rsid w:val="00564C90"/>
    <w:rsid w:val="00564D0E"/>
    <w:rsid w:val="00573364"/>
    <w:rsid w:val="00592EBE"/>
    <w:rsid w:val="0059524E"/>
    <w:rsid w:val="005A1C59"/>
    <w:rsid w:val="005B23A7"/>
    <w:rsid w:val="005B2506"/>
    <w:rsid w:val="005B3A6A"/>
    <w:rsid w:val="005D0F96"/>
    <w:rsid w:val="005E5F6F"/>
    <w:rsid w:val="005E6AAF"/>
    <w:rsid w:val="005F6A02"/>
    <w:rsid w:val="006047BB"/>
    <w:rsid w:val="006077AE"/>
    <w:rsid w:val="0061136B"/>
    <w:rsid w:val="00614698"/>
    <w:rsid w:val="00636CA7"/>
    <w:rsid w:val="006470ED"/>
    <w:rsid w:val="00660A02"/>
    <w:rsid w:val="00683FB1"/>
    <w:rsid w:val="00684ADB"/>
    <w:rsid w:val="006A696A"/>
    <w:rsid w:val="006C2786"/>
    <w:rsid w:val="006D5951"/>
    <w:rsid w:val="006F202B"/>
    <w:rsid w:val="006F6280"/>
    <w:rsid w:val="00701170"/>
    <w:rsid w:val="00704B28"/>
    <w:rsid w:val="0071115C"/>
    <w:rsid w:val="00714B9E"/>
    <w:rsid w:val="00742044"/>
    <w:rsid w:val="00752EFB"/>
    <w:rsid w:val="00761494"/>
    <w:rsid w:val="00785E5E"/>
    <w:rsid w:val="007C1B71"/>
    <w:rsid w:val="007D39A6"/>
    <w:rsid w:val="007E0860"/>
    <w:rsid w:val="007E2AA2"/>
    <w:rsid w:val="007F1589"/>
    <w:rsid w:val="007F64AA"/>
    <w:rsid w:val="00801C31"/>
    <w:rsid w:val="0080290F"/>
    <w:rsid w:val="00805656"/>
    <w:rsid w:val="00824467"/>
    <w:rsid w:val="0084355F"/>
    <w:rsid w:val="008551DA"/>
    <w:rsid w:val="00865D8F"/>
    <w:rsid w:val="00867814"/>
    <w:rsid w:val="00880885"/>
    <w:rsid w:val="008A0A45"/>
    <w:rsid w:val="008B5BD1"/>
    <w:rsid w:val="008D2562"/>
    <w:rsid w:val="008D531F"/>
    <w:rsid w:val="008E329E"/>
    <w:rsid w:val="008F3F4C"/>
    <w:rsid w:val="0093669B"/>
    <w:rsid w:val="00937C68"/>
    <w:rsid w:val="0094253C"/>
    <w:rsid w:val="0095108F"/>
    <w:rsid w:val="00967F5F"/>
    <w:rsid w:val="009736D5"/>
    <w:rsid w:val="009803B9"/>
    <w:rsid w:val="0098729A"/>
    <w:rsid w:val="00991158"/>
    <w:rsid w:val="009A4C35"/>
    <w:rsid w:val="009B4904"/>
    <w:rsid w:val="009E2778"/>
    <w:rsid w:val="009F4160"/>
    <w:rsid w:val="00A00A82"/>
    <w:rsid w:val="00A153FC"/>
    <w:rsid w:val="00A15DAA"/>
    <w:rsid w:val="00A15F88"/>
    <w:rsid w:val="00A23252"/>
    <w:rsid w:val="00A243E4"/>
    <w:rsid w:val="00A26AAC"/>
    <w:rsid w:val="00A4020D"/>
    <w:rsid w:val="00A446ED"/>
    <w:rsid w:val="00A46377"/>
    <w:rsid w:val="00A478E0"/>
    <w:rsid w:val="00A479F6"/>
    <w:rsid w:val="00A5025C"/>
    <w:rsid w:val="00A511D8"/>
    <w:rsid w:val="00A53227"/>
    <w:rsid w:val="00A54CF1"/>
    <w:rsid w:val="00A873D0"/>
    <w:rsid w:val="00A96E0A"/>
    <w:rsid w:val="00AA072F"/>
    <w:rsid w:val="00AB3ACE"/>
    <w:rsid w:val="00AC477D"/>
    <w:rsid w:val="00AE277D"/>
    <w:rsid w:val="00B150AF"/>
    <w:rsid w:val="00B156D5"/>
    <w:rsid w:val="00B25717"/>
    <w:rsid w:val="00B309C3"/>
    <w:rsid w:val="00B463D4"/>
    <w:rsid w:val="00B536C4"/>
    <w:rsid w:val="00B674EA"/>
    <w:rsid w:val="00B74249"/>
    <w:rsid w:val="00B74A4B"/>
    <w:rsid w:val="00B7753A"/>
    <w:rsid w:val="00B83C97"/>
    <w:rsid w:val="00B873EF"/>
    <w:rsid w:val="00B87644"/>
    <w:rsid w:val="00B97D0D"/>
    <w:rsid w:val="00BB1CEA"/>
    <w:rsid w:val="00BB1D71"/>
    <w:rsid w:val="00BD2A1C"/>
    <w:rsid w:val="00BE3898"/>
    <w:rsid w:val="00BE4008"/>
    <w:rsid w:val="00BF45C3"/>
    <w:rsid w:val="00C03A81"/>
    <w:rsid w:val="00C154E1"/>
    <w:rsid w:val="00C16057"/>
    <w:rsid w:val="00C224F8"/>
    <w:rsid w:val="00C45068"/>
    <w:rsid w:val="00C47663"/>
    <w:rsid w:val="00C5763F"/>
    <w:rsid w:val="00C804DC"/>
    <w:rsid w:val="00C80BBB"/>
    <w:rsid w:val="00C816D2"/>
    <w:rsid w:val="00C83C9F"/>
    <w:rsid w:val="00C91B56"/>
    <w:rsid w:val="00C929EE"/>
    <w:rsid w:val="00CB2776"/>
    <w:rsid w:val="00CD1F04"/>
    <w:rsid w:val="00CF70CA"/>
    <w:rsid w:val="00D06C90"/>
    <w:rsid w:val="00D10536"/>
    <w:rsid w:val="00D1393A"/>
    <w:rsid w:val="00D23E2C"/>
    <w:rsid w:val="00D23E62"/>
    <w:rsid w:val="00D6432F"/>
    <w:rsid w:val="00D82E45"/>
    <w:rsid w:val="00DA1F03"/>
    <w:rsid w:val="00DA6524"/>
    <w:rsid w:val="00DB3BEA"/>
    <w:rsid w:val="00DC728C"/>
    <w:rsid w:val="00DD12E6"/>
    <w:rsid w:val="00DD18C2"/>
    <w:rsid w:val="00DD1EED"/>
    <w:rsid w:val="00DE238C"/>
    <w:rsid w:val="00E011E0"/>
    <w:rsid w:val="00E01CD8"/>
    <w:rsid w:val="00E20895"/>
    <w:rsid w:val="00E22ACA"/>
    <w:rsid w:val="00E235B9"/>
    <w:rsid w:val="00E30F53"/>
    <w:rsid w:val="00E60893"/>
    <w:rsid w:val="00E71979"/>
    <w:rsid w:val="00EA4A10"/>
    <w:rsid w:val="00EB622B"/>
    <w:rsid w:val="00EB6ED7"/>
    <w:rsid w:val="00EE07E1"/>
    <w:rsid w:val="00EE1240"/>
    <w:rsid w:val="00EF0C2C"/>
    <w:rsid w:val="00EF4B1B"/>
    <w:rsid w:val="00F2043C"/>
    <w:rsid w:val="00F21EC8"/>
    <w:rsid w:val="00F275A9"/>
    <w:rsid w:val="00F32081"/>
    <w:rsid w:val="00F52288"/>
    <w:rsid w:val="00F61753"/>
    <w:rsid w:val="00F81169"/>
    <w:rsid w:val="00F82B51"/>
    <w:rsid w:val="00F900AE"/>
    <w:rsid w:val="00FC3064"/>
    <w:rsid w:val="00FC62D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CC8A"/>
  <w15:docId w15:val="{F71FDA4D-1CE4-45AF-963F-5B710087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B1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B1B"/>
    <w:pPr>
      <w:ind w:left="720"/>
      <w:contextualSpacing/>
    </w:pPr>
  </w:style>
  <w:style w:type="paragraph" w:customStyle="1" w:styleId="Default">
    <w:name w:val="Default"/>
    <w:rsid w:val="00EF4B1B"/>
    <w:pPr>
      <w:autoSpaceDE w:val="0"/>
      <w:autoSpaceDN w:val="0"/>
      <w:adjustRightInd w:val="0"/>
      <w:spacing w:after="0" w:line="240" w:lineRule="auto"/>
    </w:pPr>
    <w:rPr>
      <w:rFonts w:ascii="Univers" w:eastAsia="Calibri" w:hAnsi="Univers" w:cs="Univers"/>
      <w:color w:val="000000"/>
      <w:sz w:val="24"/>
      <w:szCs w:val="24"/>
    </w:rPr>
  </w:style>
  <w:style w:type="character" w:styleId="LineNumber">
    <w:name w:val="line number"/>
    <w:basedOn w:val="DefaultParagraphFont"/>
    <w:uiPriority w:val="99"/>
    <w:semiHidden/>
    <w:unhideWhenUsed/>
    <w:rsid w:val="00EF4B1B"/>
  </w:style>
  <w:style w:type="paragraph" w:styleId="BalloonText">
    <w:name w:val="Balloon Text"/>
    <w:basedOn w:val="Normal"/>
    <w:link w:val="BalloonTextChar"/>
    <w:uiPriority w:val="99"/>
    <w:semiHidden/>
    <w:unhideWhenUsed/>
    <w:rsid w:val="0046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D4F"/>
    <w:rPr>
      <w:rFonts w:ascii="Tahoma" w:eastAsia="Calibri" w:hAnsi="Tahoma" w:cs="Tahoma"/>
      <w:sz w:val="16"/>
      <w:szCs w:val="16"/>
    </w:rPr>
  </w:style>
  <w:style w:type="paragraph" w:styleId="Header">
    <w:name w:val="header"/>
    <w:basedOn w:val="Normal"/>
    <w:link w:val="HeaderChar"/>
    <w:uiPriority w:val="99"/>
    <w:unhideWhenUsed/>
    <w:rsid w:val="00BE38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898"/>
    <w:rPr>
      <w:rFonts w:ascii="Calibri" w:eastAsia="Calibri" w:hAnsi="Calibri" w:cs="Times New Roman"/>
    </w:rPr>
  </w:style>
  <w:style w:type="paragraph" w:styleId="Footer">
    <w:name w:val="footer"/>
    <w:basedOn w:val="Normal"/>
    <w:link w:val="FooterChar"/>
    <w:uiPriority w:val="99"/>
    <w:unhideWhenUsed/>
    <w:rsid w:val="00BE38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898"/>
    <w:rPr>
      <w:rFonts w:ascii="Calibri" w:eastAsia="Calibri" w:hAnsi="Calibri" w:cs="Times New Roman"/>
    </w:rPr>
  </w:style>
  <w:style w:type="table" w:styleId="TableGrid">
    <w:name w:val="Table Grid"/>
    <w:basedOn w:val="TableNormal"/>
    <w:uiPriority w:val="39"/>
    <w:rsid w:val="006C27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929EE"/>
    <w:rPr>
      <w:color w:val="0563C1"/>
      <w:u w:val="single"/>
    </w:rPr>
  </w:style>
  <w:style w:type="character" w:customStyle="1" w:styleId="ref-journal">
    <w:name w:val="ref-journal"/>
    <w:basedOn w:val="DefaultParagraphFont"/>
    <w:rsid w:val="00592EBE"/>
  </w:style>
  <w:style w:type="character" w:customStyle="1" w:styleId="ref-vol">
    <w:name w:val="ref-vol"/>
    <w:basedOn w:val="DefaultParagraphFont"/>
    <w:rsid w:val="00592EBE"/>
  </w:style>
  <w:style w:type="character" w:customStyle="1" w:styleId="UnresolvedMention">
    <w:name w:val="Unresolved Mention"/>
    <w:basedOn w:val="DefaultParagraphFont"/>
    <w:uiPriority w:val="99"/>
    <w:semiHidden/>
    <w:unhideWhenUsed/>
    <w:rsid w:val="00704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tiff"/><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hyperlink" Target="https://www.rcsb.org" TargetMode="External"/><Relationship Id="rId7" Type="http://schemas.openxmlformats.org/officeDocument/2006/relationships/image" Target="media/image2.png"/><Relationship Id="rId12" Type="http://schemas.openxmlformats.org/officeDocument/2006/relationships/image" Target="media/image6.tif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s://cactus.nci.nih.gov/translate/"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23</Pages>
  <Words>4657</Words>
  <Characters>26547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Gajendra Joshi</dc:creator>
  <cp:keywords/>
  <dc:description/>
  <cp:lastModifiedBy>Kristine Crizelle Devillena</cp:lastModifiedBy>
  <cp:revision>86</cp:revision>
  <cp:lastPrinted>2022-01-17T10:19:00Z</cp:lastPrinted>
  <dcterms:created xsi:type="dcterms:W3CDTF">2022-03-03T05:23:00Z</dcterms:created>
  <dcterms:modified xsi:type="dcterms:W3CDTF">2022-10-21T11:09:00Z</dcterms:modified>
</cp:coreProperties>
</file>