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43FF5" w14:textId="4603F811" w:rsidR="00644487" w:rsidRPr="00644487" w:rsidRDefault="00644487" w:rsidP="00A859C9">
      <w:pPr>
        <w:spacing w:line="360" w:lineRule="auto"/>
        <w:rPr>
          <w:rFonts w:ascii="Times New Roman" w:eastAsia="Arial Unicode MS" w:hAnsi="Times New Roman" w:cs="Times New Roman"/>
          <w:b/>
          <w:bCs/>
          <w:sz w:val="24"/>
          <w:szCs w:val="24"/>
          <w:u w:color="000000"/>
          <w:lang w:val="en-GB"/>
        </w:rPr>
      </w:pPr>
      <w:r>
        <w:rPr>
          <w:rFonts w:ascii="Times New Roman" w:eastAsia="Arial Unicode MS" w:hAnsi="Times New Roman" w:cs="Times New Roman"/>
          <w:b/>
          <w:bCs/>
          <w:sz w:val="24"/>
          <w:szCs w:val="24"/>
          <w:u w:color="000000"/>
          <w:lang w:val="en-GB"/>
        </w:rPr>
        <w:t>Supplementary data</w:t>
      </w:r>
    </w:p>
    <w:p w14:paraId="1FB68BB1" w14:textId="77777777" w:rsidR="00984B1F" w:rsidRDefault="00984B1F" w:rsidP="00984B1F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013DC">
        <w:rPr>
          <w:rFonts w:ascii="Times New Roman" w:hAnsi="Times New Roman" w:cs="Times New Roman"/>
          <w:b/>
          <w:bCs/>
          <w:sz w:val="24"/>
          <w:szCs w:val="24"/>
        </w:rPr>
        <w:t xml:space="preserve">Functional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analysis </w:t>
      </w:r>
      <w:r w:rsidRPr="001013DC">
        <w:rPr>
          <w:rFonts w:ascii="Times New Roman" w:hAnsi="Times New Roman" w:cs="Times New Roman"/>
          <w:b/>
          <w:bCs/>
          <w:sz w:val="24"/>
          <w:szCs w:val="24"/>
        </w:rPr>
        <w:t>of soybean cyst nematode-inducible synthetic promoters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and their regulation by </w:t>
      </w:r>
      <w:r w:rsidRPr="001013DC">
        <w:rPr>
          <w:rFonts w:ascii="Times New Roman" w:hAnsi="Times New Roman" w:cs="Times New Roman"/>
          <w:b/>
          <w:bCs/>
          <w:sz w:val="24"/>
          <w:szCs w:val="24"/>
        </w:rPr>
        <w:t xml:space="preserve">biotic and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1013DC">
        <w:rPr>
          <w:rFonts w:ascii="Times New Roman" w:hAnsi="Times New Roman" w:cs="Times New Roman"/>
          <w:b/>
          <w:bCs/>
          <w:sz w:val="24"/>
          <w:szCs w:val="24"/>
        </w:rPr>
        <w:t xml:space="preserve">biotic </w:t>
      </w:r>
      <w:r>
        <w:rPr>
          <w:rFonts w:ascii="Times New Roman" w:hAnsi="Times New Roman" w:cs="Times New Roman"/>
          <w:b/>
          <w:bCs/>
          <w:sz w:val="24"/>
          <w:szCs w:val="24"/>
        </w:rPr>
        <w:t>stimuli in transgenic soybean (</w:t>
      </w:r>
      <w:r w:rsidRPr="00FB3FB7">
        <w:rPr>
          <w:rFonts w:ascii="Times New Roman" w:hAnsi="Times New Roman" w:cs="Times New Roman"/>
          <w:b/>
          <w:bCs/>
          <w:i/>
          <w:sz w:val="24"/>
          <w:szCs w:val="24"/>
        </w:rPr>
        <w:t>Glycine max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</w:p>
    <w:p w14:paraId="7ECBEB22" w14:textId="77777777" w:rsidR="00984B1F" w:rsidRDefault="00984B1F" w:rsidP="00984B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07445">
        <w:rPr>
          <w:rFonts w:ascii="Times New Roman" w:hAnsi="Times New Roman" w:cs="Times New Roman"/>
          <w:sz w:val="24"/>
          <w:szCs w:val="24"/>
        </w:rPr>
        <w:t>Mst Shamira Sultana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607445">
        <w:rPr>
          <w:rFonts w:ascii="Times New Roman" w:hAnsi="Times New Roman" w:cs="Times New Roman"/>
          <w:sz w:val="24"/>
          <w:szCs w:val="24"/>
        </w:rPr>
        <w:t>, Mitra Mazarei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607445">
        <w:rPr>
          <w:rFonts w:ascii="Times New Roman" w:hAnsi="Times New Roman" w:cs="Times New Roman"/>
          <w:sz w:val="24"/>
          <w:szCs w:val="24"/>
        </w:rPr>
        <w:t xml:space="preserve">, </w:t>
      </w:r>
      <w:bookmarkStart w:id="0" w:name="_Hlk73626382"/>
      <w:r w:rsidRPr="00607445">
        <w:rPr>
          <w:rFonts w:ascii="Times New Roman" w:hAnsi="Times New Roman" w:cs="Times New Roman"/>
          <w:sz w:val="24"/>
          <w:szCs w:val="24"/>
        </w:rPr>
        <w:t>Reginald J. Millwood</w:t>
      </w:r>
      <w:bookmarkEnd w:id="0"/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07445">
        <w:rPr>
          <w:rFonts w:ascii="Times New Roman" w:hAnsi="Times New Roman" w:cs="Times New Roman"/>
          <w:sz w:val="24"/>
          <w:szCs w:val="24"/>
        </w:rPr>
        <w:t xml:space="preserve">, </w:t>
      </w:r>
      <w:r w:rsidRPr="0050489C">
        <w:rPr>
          <w:rFonts w:ascii="Times New Roman" w:hAnsi="Times New Roman" w:cs="Times New Roman"/>
          <w:sz w:val="24"/>
          <w:szCs w:val="24"/>
        </w:rPr>
        <w:t>Wusheng Liu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07445">
        <w:rPr>
          <w:rFonts w:ascii="Times New Roman" w:hAnsi="Times New Roman" w:cs="Times New Roman"/>
          <w:sz w:val="24"/>
          <w:szCs w:val="24"/>
        </w:rPr>
        <w:t>Tarek Hewezi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159C0">
        <w:rPr>
          <w:rFonts w:ascii="Times New Roman" w:hAnsi="Times New Roman" w:cs="Times New Roman"/>
          <w:sz w:val="24"/>
          <w:szCs w:val="24"/>
        </w:rPr>
        <w:t>C. Neal Stewart Jr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D915A6">
        <w:rPr>
          <w:rFonts w:ascii="Times New Roman" w:hAnsi="Times New Roman" w:cs="Times New Roman"/>
          <w:sz w:val="24"/>
          <w:szCs w:val="24"/>
          <w:vertAlign w:val="superscript"/>
        </w:rPr>
        <w:t>*</w:t>
      </w:r>
    </w:p>
    <w:p w14:paraId="19830EF1" w14:textId="77777777" w:rsidR="00644487" w:rsidRDefault="00644487" w:rsidP="0064448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7184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71848">
        <w:rPr>
          <w:rFonts w:ascii="Times New Roman" w:hAnsi="Times New Roman" w:cs="Times New Roman"/>
          <w:sz w:val="24"/>
          <w:szCs w:val="24"/>
        </w:rPr>
        <w:t xml:space="preserve">Department of Plant Sciences, University of Tennessee, Knoxville, </w:t>
      </w:r>
      <w:r>
        <w:rPr>
          <w:rFonts w:ascii="Times New Roman" w:hAnsi="Times New Roman" w:cs="Times New Roman"/>
          <w:sz w:val="24"/>
          <w:szCs w:val="24"/>
        </w:rPr>
        <w:t>Tennessee</w:t>
      </w:r>
      <w:r w:rsidRPr="00071848">
        <w:rPr>
          <w:rFonts w:ascii="Times New Roman" w:hAnsi="Times New Roman" w:cs="Times New Roman"/>
          <w:sz w:val="24"/>
          <w:szCs w:val="24"/>
        </w:rPr>
        <w:t>, USA</w:t>
      </w:r>
    </w:p>
    <w:p w14:paraId="53E10346" w14:textId="77777777" w:rsidR="00644487" w:rsidRDefault="00644487" w:rsidP="0064448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C46F58">
        <w:rPr>
          <w:rFonts w:ascii="Times New Roman" w:hAnsi="Times New Roman" w:cs="Times New Roman"/>
          <w:sz w:val="24"/>
          <w:szCs w:val="24"/>
        </w:rPr>
        <w:t xml:space="preserve">Center for Agricultural Synthetic Biology, University of Tennessee, Knoxville, </w:t>
      </w:r>
      <w:r>
        <w:rPr>
          <w:rFonts w:ascii="Times New Roman" w:hAnsi="Times New Roman" w:cs="Times New Roman"/>
          <w:sz w:val="24"/>
          <w:szCs w:val="24"/>
        </w:rPr>
        <w:t>Tennessee</w:t>
      </w:r>
      <w:r w:rsidRPr="00C46F58">
        <w:rPr>
          <w:rFonts w:ascii="Times New Roman" w:hAnsi="Times New Roman" w:cs="Times New Roman"/>
          <w:sz w:val="24"/>
          <w:szCs w:val="24"/>
        </w:rPr>
        <w:t>, USA</w:t>
      </w:r>
    </w:p>
    <w:p w14:paraId="7A477875" w14:textId="2B5988C3" w:rsidR="00644487" w:rsidRDefault="00644487" w:rsidP="0064448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C46F58">
        <w:rPr>
          <w:rFonts w:ascii="Times New Roman" w:hAnsi="Times New Roman" w:cs="Times New Roman"/>
          <w:sz w:val="24"/>
          <w:szCs w:val="24"/>
        </w:rPr>
        <w:t>Department of Horticultural Science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46F58">
        <w:rPr>
          <w:rFonts w:ascii="Times New Roman" w:hAnsi="Times New Roman" w:cs="Times New Roman"/>
          <w:sz w:val="24"/>
          <w:szCs w:val="24"/>
        </w:rPr>
        <w:t>North Carolina State University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46F58">
        <w:rPr>
          <w:rFonts w:ascii="Times New Roman" w:hAnsi="Times New Roman" w:cs="Times New Roman"/>
          <w:sz w:val="24"/>
          <w:szCs w:val="24"/>
        </w:rPr>
        <w:t>Raleigh, North Carolina</w:t>
      </w:r>
      <w:r>
        <w:rPr>
          <w:rFonts w:ascii="Times New Roman" w:hAnsi="Times New Roman" w:cs="Times New Roman"/>
          <w:sz w:val="24"/>
          <w:szCs w:val="24"/>
        </w:rPr>
        <w:t>, USA</w:t>
      </w:r>
    </w:p>
    <w:p w14:paraId="318859BC" w14:textId="77777777" w:rsidR="00984B1F" w:rsidRDefault="00984B1F" w:rsidP="00984B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915A6">
        <w:rPr>
          <w:rFonts w:ascii="Times New Roman" w:hAnsi="Times New Roman" w:cs="Times New Roman"/>
          <w:sz w:val="24"/>
          <w:szCs w:val="24"/>
        </w:rPr>
        <w:t xml:space="preserve">* </w:t>
      </w:r>
      <w:r w:rsidRPr="00071848">
        <w:rPr>
          <w:rFonts w:ascii="Times New Roman" w:hAnsi="Times New Roman" w:cs="Times New Roman"/>
          <w:sz w:val="24"/>
          <w:szCs w:val="24"/>
        </w:rPr>
        <w:t>Corresponding author: C. Neal Stewart Jr.</w:t>
      </w:r>
      <w:r w:rsidRPr="00017068">
        <w:rPr>
          <w:rFonts w:ascii="Times New Roman" w:hAnsi="Times New Roman" w:cs="Times New Roman"/>
          <w:sz w:val="24"/>
          <w:szCs w:val="24"/>
        </w:rPr>
        <w:t xml:space="preserve"> </w:t>
      </w:r>
      <w:r w:rsidRPr="00B57E9C">
        <w:rPr>
          <w:rFonts w:ascii="Times New Roman" w:hAnsi="Times New Roman" w:cs="Times New Roman"/>
          <w:sz w:val="24"/>
          <w:szCs w:val="24"/>
        </w:rPr>
        <w:t xml:space="preserve">Tel: 865-974-6487; Email: </w:t>
      </w:r>
      <w:hyperlink r:id="rId6" w:history="1">
        <w:r w:rsidRPr="00B57E9C">
          <w:rPr>
            <w:rStyle w:val="Hyperlink"/>
            <w:rFonts w:ascii="Times New Roman" w:hAnsi="Times New Roman" w:cs="Times New Roman"/>
            <w:sz w:val="24"/>
            <w:szCs w:val="24"/>
          </w:rPr>
          <w:t>nealstewart@utk.edu</w:t>
        </w:r>
      </w:hyperlink>
      <w:r w:rsidRPr="00B57E9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ECA78B" w14:textId="77777777" w:rsidR="00644487" w:rsidRDefault="00644487" w:rsidP="000068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533429" w14:textId="1CC7FB35" w:rsidR="00A859C9" w:rsidRDefault="00A859C9">
      <w:pPr>
        <w:rPr>
          <w:rFonts w:ascii="Times New Roman" w:hAnsi="Times New Roman" w:cs="Times New Roman"/>
          <w:sz w:val="24"/>
          <w:szCs w:val="24"/>
        </w:rPr>
      </w:pPr>
    </w:p>
    <w:p w14:paraId="78E139C3" w14:textId="77777777" w:rsidR="001D16CF" w:rsidRDefault="001D16C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6AB7AB2" w14:textId="5F6D52EC" w:rsidR="00784B62" w:rsidRPr="00965F66" w:rsidRDefault="00784B62">
      <w:pPr>
        <w:rPr>
          <w:rFonts w:ascii="Times New Roman" w:hAnsi="Times New Roman" w:cs="Times New Roman"/>
          <w:sz w:val="24"/>
          <w:szCs w:val="24"/>
        </w:rPr>
      </w:pPr>
      <w:r w:rsidRPr="00784B62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(S1): </w:t>
      </w:r>
      <w:r w:rsidRPr="00965F66">
        <w:rPr>
          <w:rFonts w:ascii="Times New Roman" w:hAnsi="Times New Roman" w:cs="Times New Roman"/>
          <w:sz w:val="24"/>
          <w:szCs w:val="24"/>
        </w:rPr>
        <w:t>Core motifs within the two selected synthetic promoters.</w:t>
      </w:r>
    </w:p>
    <w:p w14:paraId="00130D1E" w14:textId="7A5D8C7E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pPr w:leftFromText="180" w:rightFromText="180" w:horzAnchor="margin" w:tblpY="559"/>
        <w:tblW w:w="0" w:type="auto"/>
        <w:tblLook w:val="04A0" w:firstRow="1" w:lastRow="0" w:firstColumn="1" w:lastColumn="0" w:noHBand="0" w:noVBand="1"/>
      </w:tblPr>
      <w:tblGrid>
        <w:gridCol w:w="1744"/>
        <w:gridCol w:w="4101"/>
        <w:gridCol w:w="2357"/>
      </w:tblGrid>
      <w:tr w:rsidR="00784B62" w:rsidRPr="008C30F3" w14:paraId="549B629C" w14:textId="77777777" w:rsidTr="00BD60EF">
        <w:trPr>
          <w:trHeight w:val="494"/>
        </w:trPr>
        <w:tc>
          <w:tcPr>
            <w:tcW w:w="1744" w:type="dxa"/>
          </w:tcPr>
          <w:p w14:paraId="639D8188" w14:textId="77777777" w:rsidR="00784B62" w:rsidRPr="002F2DDA" w:rsidRDefault="00784B62" w:rsidP="00BD60E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F2D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Promoter</w:t>
            </w:r>
          </w:p>
        </w:tc>
        <w:tc>
          <w:tcPr>
            <w:tcW w:w="4101" w:type="dxa"/>
          </w:tcPr>
          <w:p w14:paraId="2C7F23B6" w14:textId="200A80F6" w:rsidR="00784B62" w:rsidRPr="002F2DDA" w:rsidRDefault="00347D7D" w:rsidP="000C3D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Tetramerized </w:t>
            </w:r>
            <w:r w:rsidRPr="00D56C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moti</w:t>
            </w:r>
            <w:r w:rsidR="00D56C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</w:t>
            </w:r>
            <w:r w:rsidR="00784B62" w:rsidRPr="002F2D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equence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2357" w:type="dxa"/>
          </w:tcPr>
          <w:p w14:paraId="2489C6C6" w14:textId="4C9EA964" w:rsidR="00784B62" w:rsidRPr="002F2DDA" w:rsidRDefault="00784B62" w:rsidP="00BD60E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F2D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Core motif</w:t>
            </w:r>
            <w:r w:rsidR="00347D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</w:tr>
      <w:tr w:rsidR="00784B62" w:rsidRPr="008C30F3" w14:paraId="24116E08" w14:textId="77777777" w:rsidTr="00BD60EF">
        <w:trPr>
          <w:trHeight w:val="303"/>
        </w:trPr>
        <w:tc>
          <w:tcPr>
            <w:tcW w:w="1744" w:type="dxa"/>
            <w:vMerge w:val="restart"/>
          </w:tcPr>
          <w:p w14:paraId="6822DBDA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30F3">
              <w:rPr>
                <w:rFonts w:ascii="Times New Roman" w:hAnsi="Times New Roman" w:cs="Times New Roman"/>
                <w:sz w:val="24"/>
                <w:szCs w:val="24"/>
              </w:rPr>
              <w:t>4×M1.1</w:t>
            </w:r>
          </w:p>
        </w:tc>
        <w:tc>
          <w:tcPr>
            <w:tcW w:w="4101" w:type="dxa"/>
            <w:vMerge w:val="restart"/>
          </w:tcPr>
          <w:p w14:paraId="1C592A97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2178">
              <w:rPr>
                <w:rFonts w:ascii="Times New Roman" w:hAnsi="Times New Roman" w:cs="Times New Roman"/>
                <w:sz w:val="24"/>
                <w:szCs w:val="24"/>
              </w:rPr>
              <w:t>TAAAAT</w:t>
            </w:r>
            <w:r w:rsidRPr="00C46ABF">
              <w:rPr>
                <w:rFonts w:ascii="Times New Roman" w:hAnsi="Times New Roman" w:cs="Times New Roman"/>
                <w:sz w:val="24"/>
                <w:szCs w:val="24"/>
              </w:rPr>
              <w:t>AAAGTTCT</w:t>
            </w:r>
            <w:r w:rsidRPr="00C46A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TTAATT</w:t>
            </w:r>
          </w:p>
        </w:tc>
        <w:tc>
          <w:tcPr>
            <w:tcW w:w="2357" w:type="dxa"/>
          </w:tcPr>
          <w:p w14:paraId="23C3A804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2178">
              <w:rPr>
                <w:rFonts w:ascii="Times New Roman" w:hAnsi="Times New Roman" w:cs="Times New Roman"/>
                <w:sz w:val="24"/>
                <w:szCs w:val="24"/>
              </w:rPr>
              <w:t>TAAAA</w:t>
            </w:r>
          </w:p>
        </w:tc>
      </w:tr>
      <w:tr w:rsidR="00784B62" w:rsidRPr="008C30F3" w14:paraId="1CE03B9E" w14:textId="77777777" w:rsidTr="00BD60EF">
        <w:trPr>
          <w:trHeight w:val="303"/>
        </w:trPr>
        <w:tc>
          <w:tcPr>
            <w:tcW w:w="1744" w:type="dxa"/>
            <w:vMerge/>
          </w:tcPr>
          <w:p w14:paraId="4BB6F4CF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44DA831D" w14:textId="77777777" w:rsidR="00784B62" w:rsidRPr="00094C11" w:rsidRDefault="00784B62" w:rsidP="00BD60EF">
            <w:pPr>
              <w:jc w:val="center"/>
              <w:rPr>
                <w:rFonts w:ascii="Times New Roman" w:hAnsi="Times New Roman" w:cs="Times New Roman"/>
                <w:color w:val="ED7D31" w:themeColor="accent2"/>
                <w:sz w:val="24"/>
                <w:szCs w:val="24"/>
              </w:rPr>
            </w:pPr>
          </w:p>
        </w:tc>
        <w:tc>
          <w:tcPr>
            <w:tcW w:w="2357" w:type="dxa"/>
          </w:tcPr>
          <w:p w14:paraId="0DE4C82E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2178">
              <w:rPr>
                <w:rFonts w:ascii="Times New Roman" w:hAnsi="Times New Roman" w:cs="Times New Roman"/>
                <w:sz w:val="24"/>
                <w:szCs w:val="24"/>
              </w:rPr>
              <w:t>TAAAGT</w:t>
            </w:r>
          </w:p>
        </w:tc>
      </w:tr>
      <w:tr w:rsidR="00784B62" w:rsidRPr="008C30F3" w14:paraId="76E8B460" w14:textId="77777777" w:rsidTr="00BD60EF">
        <w:trPr>
          <w:trHeight w:val="320"/>
        </w:trPr>
        <w:tc>
          <w:tcPr>
            <w:tcW w:w="1744" w:type="dxa"/>
            <w:vMerge/>
          </w:tcPr>
          <w:p w14:paraId="615BEAFF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1E53273C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7714E02A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30F3">
              <w:rPr>
                <w:rFonts w:ascii="Times New Roman" w:hAnsi="Times New Roman" w:cs="Times New Roman"/>
                <w:sz w:val="24"/>
                <w:szCs w:val="24"/>
              </w:rPr>
              <w:t>TCTTTA</w:t>
            </w:r>
          </w:p>
        </w:tc>
      </w:tr>
      <w:tr w:rsidR="00784B62" w:rsidRPr="008C30F3" w14:paraId="14A7EB65" w14:textId="77777777" w:rsidTr="00BD60EF">
        <w:trPr>
          <w:trHeight w:val="320"/>
        </w:trPr>
        <w:tc>
          <w:tcPr>
            <w:tcW w:w="1744" w:type="dxa"/>
            <w:vMerge/>
          </w:tcPr>
          <w:p w14:paraId="585CB04C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76E44353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2DF7C0B0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30F3">
              <w:rPr>
                <w:rFonts w:ascii="Times New Roman" w:hAnsi="Times New Roman" w:cs="Times New Roman"/>
                <w:sz w:val="24"/>
                <w:szCs w:val="24"/>
              </w:rPr>
              <w:t>TTAATT</w:t>
            </w:r>
          </w:p>
        </w:tc>
      </w:tr>
      <w:tr w:rsidR="00784B62" w:rsidRPr="008C30F3" w14:paraId="5EB4C450" w14:textId="77777777" w:rsidTr="00BD60EF">
        <w:trPr>
          <w:trHeight w:val="303"/>
        </w:trPr>
        <w:tc>
          <w:tcPr>
            <w:tcW w:w="1744" w:type="dxa"/>
            <w:vMerge w:val="restart"/>
          </w:tcPr>
          <w:p w14:paraId="08FE31CD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EC0">
              <w:rPr>
                <w:rFonts w:ascii="Times New Roman" w:hAnsi="Times New Roman" w:cs="Times New Roman"/>
                <w:sz w:val="24"/>
                <w:szCs w:val="24"/>
              </w:rPr>
              <w:t>4×M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4101" w:type="dxa"/>
            <w:vMerge w:val="restart"/>
          </w:tcPr>
          <w:p w14:paraId="1AC92A1D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ABF">
              <w:rPr>
                <w:rFonts w:ascii="Times New Roman" w:hAnsi="Times New Roman" w:cs="Times New Roman"/>
                <w:sz w:val="24"/>
                <w:szCs w:val="24"/>
              </w:rPr>
              <w:t>ATA</w:t>
            </w:r>
            <w:r w:rsidRPr="00C46A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TAATTAAGT</w:t>
            </w:r>
          </w:p>
        </w:tc>
        <w:tc>
          <w:tcPr>
            <w:tcW w:w="2357" w:type="dxa"/>
          </w:tcPr>
          <w:p w14:paraId="32616D8F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EC0">
              <w:rPr>
                <w:rFonts w:ascii="Times New Roman" w:hAnsi="Times New Roman" w:cs="Times New Roman"/>
                <w:sz w:val="24"/>
                <w:szCs w:val="24"/>
              </w:rPr>
              <w:t>ATATAA</w:t>
            </w:r>
          </w:p>
        </w:tc>
      </w:tr>
      <w:tr w:rsidR="00784B62" w:rsidRPr="008C30F3" w14:paraId="4FF16965" w14:textId="77777777" w:rsidTr="00BD60EF">
        <w:trPr>
          <w:trHeight w:val="320"/>
        </w:trPr>
        <w:tc>
          <w:tcPr>
            <w:tcW w:w="1744" w:type="dxa"/>
            <w:vMerge/>
          </w:tcPr>
          <w:p w14:paraId="57DC2833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33FEFF06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588A627E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EC0">
              <w:rPr>
                <w:rFonts w:ascii="Times New Roman" w:hAnsi="Times New Roman" w:cs="Times New Roman"/>
                <w:sz w:val="24"/>
                <w:szCs w:val="24"/>
              </w:rPr>
              <w:t>TAATTA</w:t>
            </w:r>
          </w:p>
        </w:tc>
      </w:tr>
      <w:tr w:rsidR="00784B62" w:rsidRPr="008C30F3" w14:paraId="0DCE583D" w14:textId="77777777" w:rsidTr="00BD60EF">
        <w:trPr>
          <w:trHeight w:val="320"/>
        </w:trPr>
        <w:tc>
          <w:tcPr>
            <w:tcW w:w="1744" w:type="dxa"/>
            <w:vMerge/>
          </w:tcPr>
          <w:p w14:paraId="7B651790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7045E147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43E04546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EC0">
              <w:rPr>
                <w:rFonts w:ascii="Times New Roman" w:hAnsi="Times New Roman" w:cs="Times New Roman"/>
                <w:sz w:val="24"/>
                <w:szCs w:val="24"/>
              </w:rPr>
              <w:t>ATTAAGT</w:t>
            </w:r>
          </w:p>
        </w:tc>
      </w:tr>
      <w:tr w:rsidR="00784B62" w:rsidRPr="008C30F3" w14:paraId="0A772912" w14:textId="77777777" w:rsidTr="00BD60EF">
        <w:trPr>
          <w:trHeight w:val="320"/>
        </w:trPr>
        <w:tc>
          <w:tcPr>
            <w:tcW w:w="1744" w:type="dxa"/>
            <w:vMerge/>
          </w:tcPr>
          <w:p w14:paraId="401BCC6A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1" w:type="dxa"/>
            <w:vMerge/>
          </w:tcPr>
          <w:p w14:paraId="057DD774" w14:textId="77777777" w:rsidR="00784B62" w:rsidRPr="008C30F3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47BF218E" w14:textId="77777777" w:rsidR="00784B62" w:rsidRPr="008D6EC0" w:rsidRDefault="00784B62" w:rsidP="00BD60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AAGT</w:t>
            </w:r>
          </w:p>
        </w:tc>
      </w:tr>
    </w:tbl>
    <w:p w14:paraId="71E3A625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0B02E92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7E24B7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5575883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E75CC19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4B1A22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3BD9AB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EA2C5B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C83B8C3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784330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ED938F6" w14:textId="77777777" w:rsidR="00784B62" w:rsidRDefault="00784B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7881D5D" w14:textId="6030C1FA" w:rsidR="00A859C9" w:rsidRDefault="00A859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Pr="003621FB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bCs/>
          <w:sz w:val="24"/>
          <w:szCs w:val="24"/>
        </w:rPr>
        <w:t>(S</w:t>
      </w:r>
      <w:r w:rsidR="00784B62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3621FB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List of primers used in PCR and qRT-PCR.</w:t>
      </w:r>
    </w:p>
    <w:p w14:paraId="507ACDAB" w14:textId="77777777" w:rsidR="00C04A14" w:rsidRPr="00A859C9" w:rsidRDefault="00C04A14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3510"/>
        <w:gridCol w:w="3955"/>
      </w:tblGrid>
      <w:tr w:rsidR="00A859C9" w14:paraId="452B5DA6" w14:textId="77777777" w:rsidTr="00D56C4A">
        <w:trPr>
          <w:trHeight w:val="512"/>
        </w:trPr>
        <w:tc>
          <w:tcPr>
            <w:tcW w:w="1885" w:type="dxa"/>
          </w:tcPr>
          <w:p w14:paraId="2E560334" w14:textId="77777777" w:rsidR="00A859C9" w:rsidRDefault="00A859C9" w:rsidP="005E42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Gene</w:t>
            </w:r>
          </w:p>
        </w:tc>
        <w:tc>
          <w:tcPr>
            <w:tcW w:w="3510" w:type="dxa"/>
          </w:tcPr>
          <w:p w14:paraId="34C5B4EA" w14:textId="77777777" w:rsidR="00A859C9" w:rsidRDefault="00A859C9" w:rsidP="005E42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Forward primer</w:t>
            </w:r>
          </w:p>
        </w:tc>
        <w:tc>
          <w:tcPr>
            <w:tcW w:w="3955" w:type="dxa"/>
          </w:tcPr>
          <w:p w14:paraId="1FBA3260" w14:textId="77777777" w:rsidR="00A859C9" w:rsidRDefault="00A859C9" w:rsidP="005E42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Reverse primer</w:t>
            </w:r>
          </w:p>
        </w:tc>
      </w:tr>
      <w:tr w:rsidR="00A859C9" w14:paraId="4770FF74" w14:textId="77777777" w:rsidTr="00D56C4A">
        <w:trPr>
          <w:trHeight w:val="350"/>
        </w:trPr>
        <w:tc>
          <w:tcPr>
            <w:tcW w:w="1885" w:type="dxa"/>
          </w:tcPr>
          <w:p w14:paraId="2BB47BCD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118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Gus</w:t>
            </w:r>
          </w:p>
        </w:tc>
        <w:tc>
          <w:tcPr>
            <w:tcW w:w="3510" w:type="dxa"/>
          </w:tcPr>
          <w:p w14:paraId="45FE40CA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1867">
              <w:rPr>
                <w:rFonts w:ascii="Times New Roman" w:hAnsi="Times New Roman" w:cs="Times New Roman"/>
                <w:sz w:val="20"/>
                <w:szCs w:val="20"/>
              </w:rPr>
              <w:t>CGACTGGGCAGATGAACATG</w:t>
            </w:r>
          </w:p>
        </w:tc>
        <w:tc>
          <w:tcPr>
            <w:tcW w:w="3955" w:type="dxa"/>
          </w:tcPr>
          <w:p w14:paraId="46084CA4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GTTCAGGCACAGCACATCAA</w:t>
            </w:r>
          </w:p>
        </w:tc>
      </w:tr>
      <w:tr w:rsidR="00A859C9" w14:paraId="67B727FA" w14:textId="77777777" w:rsidTr="00D56C4A">
        <w:trPr>
          <w:trHeight w:val="350"/>
        </w:trPr>
        <w:tc>
          <w:tcPr>
            <w:tcW w:w="1885" w:type="dxa"/>
          </w:tcPr>
          <w:p w14:paraId="5504D0BE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118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Bar</w:t>
            </w:r>
          </w:p>
        </w:tc>
        <w:tc>
          <w:tcPr>
            <w:tcW w:w="3510" w:type="dxa"/>
          </w:tcPr>
          <w:p w14:paraId="34C8ED6E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GAAGTCCAGCTGCCAGAAAC</w:t>
            </w:r>
          </w:p>
        </w:tc>
        <w:tc>
          <w:tcPr>
            <w:tcW w:w="3955" w:type="dxa"/>
          </w:tcPr>
          <w:p w14:paraId="1B4957BA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AAGCACGGTCAACTTCCGTA</w:t>
            </w:r>
          </w:p>
        </w:tc>
      </w:tr>
      <w:tr w:rsidR="00A859C9" w14:paraId="4F03959B" w14:textId="77777777" w:rsidTr="00D56C4A">
        <w:trPr>
          <w:trHeight w:val="350"/>
        </w:trPr>
        <w:tc>
          <w:tcPr>
            <w:tcW w:w="1885" w:type="dxa"/>
          </w:tcPr>
          <w:p w14:paraId="78857E81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118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chvA</w:t>
            </w:r>
          </w:p>
        </w:tc>
        <w:tc>
          <w:tcPr>
            <w:tcW w:w="3510" w:type="dxa"/>
          </w:tcPr>
          <w:p w14:paraId="34530F27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CGAAACGCTGTTCGGCCTGTGG</w:t>
            </w:r>
          </w:p>
        </w:tc>
        <w:tc>
          <w:tcPr>
            <w:tcW w:w="3955" w:type="dxa"/>
          </w:tcPr>
          <w:p w14:paraId="71792168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GTTCAGCAGGCCGGCATCCTGG</w:t>
            </w:r>
          </w:p>
        </w:tc>
      </w:tr>
      <w:tr w:rsidR="00A859C9" w14:paraId="7E78C4C0" w14:textId="77777777" w:rsidTr="00D56C4A">
        <w:trPr>
          <w:trHeight w:val="350"/>
        </w:trPr>
        <w:tc>
          <w:tcPr>
            <w:tcW w:w="1885" w:type="dxa"/>
          </w:tcPr>
          <w:p w14:paraId="578F3AD7" w14:textId="77777777" w:rsidR="00A859C9" w:rsidRPr="00002DFC" w:rsidRDefault="00A859C9" w:rsidP="005E42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8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Gus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(qRT-PCR)</w:t>
            </w:r>
          </w:p>
        </w:tc>
        <w:tc>
          <w:tcPr>
            <w:tcW w:w="3510" w:type="dxa"/>
          </w:tcPr>
          <w:p w14:paraId="2CD13AA6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CTGCATCGGCGAACTGATC</w:t>
            </w:r>
          </w:p>
        </w:tc>
        <w:tc>
          <w:tcPr>
            <w:tcW w:w="3955" w:type="dxa"/>
          </w:tcPr>
          <w:p w14:paraId="71C3C566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GTCCTGTAGAAACCCCAACC</w:t>
            </w:r>
          </w:p>
        </w:tc>
      </w:tr>
      <w:tr w:rsidR="00A859C9" w14:paraId="1A06E371" w14:textId="77777777" w:rsidTr="00D56C4A">
        <w:trPr>
          <w:trHeight w:val="350"/>
        </w:trPr>
        <w:tc>
          <w:tcPr>
            <w:tcW w:w="1885" w:type="dxa"/>
          </w:tcPr>
          <w:p w14:paraId="7A20ECC3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118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GmUBI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10" w:type="dxa"/>
          </w:tcPr>
          <w:p w14:paraId="5C27EE26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GTGTAATGTTGGATGTGTTCCC</w:t>
            </w:r>
          </w:p>
        </w:tc>
        <w:tc>
          <w:tcPr>
            <w:tcW w:w="3955" w:type="dxa"/>
          </w:tcPr>
          <w:p w14:paraId="02E804A5" w14:textId="77777777" w:rsidR="00A859C9" w:rsidRPr="00511867" w:rsidRDefault="00A859C9" w:rsidP="005E4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4CFB">
              <w:rPr>
                <w:rFonts w:ascii="Times New Roman" w:hAnsi="Times New Roman" w:cs="Times New Roman"/>
                <w:sz w:val="20"/>
                <w:szCs w:val="20"/>
              </w:rPr>
              <w:t>ACACAATTGAGTTCAACACAAACCG</w:t>
            </w:r>
          </w:p>
        </w:tc>
      </w:tr>
    </w:tbl>
    <w:p w14:paraId="274A92E4" w14:textId="77777777" w:rsidR="00155124" w:rsidRPr="00A859C9" w:rsidRDefault="00155124">
      <w:pPr>
        <w:rPr>
          <w:rFonts w:ascii="Times New Roman" w:hAnsi="Times New Roman" w:cs="Times New Roman"/>
          <w:sz w:val="24"/>
          <w:szCs w:val="24"/>
        </w:rPr>
      </w:pPr>
    </w:p>
    <w:p w14:paraId="71BDD0A8" w14:textId="77777777" w:rsidR="001D16CF" w:rsidRDefault="001D16CF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6D95F6AC" w14:textId="7371D9CF" w:rsidR="00A859C9" w:rsidRDefault="001551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B4B14BF" wp14:editId="5C700321">
            <wp:extent cx="5017135" cy="28778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3AFD18" w14:textId="77777777" w:rsidR="00155124" w:rsidRPr="00A859C9" w:rsidRDefault="00155124">
      <w:pPr>
        <w:rPr>
          <w:rFonts w:ascii="Times New Roman" w:hAnsi="Times New Roman" w:cs="Times New Roman"/>
          <w:sz w:val="24"/>
          <w:szCs w:val="24"/>
        </w:rPr>
      </w:pPr>
    </w:p>
    <w:p w14:paraId="19F8A334" w14:textId="4921A52D" w:rsidR="00155124" w:rsidRDefault="00155124" w:rsidP="00C04A14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765DD4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765DD4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S1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):</w:t>
      </w:r>
      <w:r w:rsidRPr="00765DD4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765DD4">
        <w:rPr>
          <w:rFonts w:ascii="Times New Roman" w:hAnsi="Times New Roman" w:cs="Times New Roman"/>
          <w:sz w:val="24"/>
          <w:szCs w:val="24"/>
        </w:rPr>
        <w:t xml:space="preserve">Schematic </w:t>
      </w:r>
      <w:r>
        <w:rPr>
          <w:rFonts w:ascii="Times New Roman" w:hAnsi="Times New Roman" w:cs="Times New Roman"/>
          <w:sz w:val="24"/>
          <w:szCs w:val="24"/>
        </w:rPr>
        <w:t xml:space="preserve">diagrams </w:t>
      </w:r>
      <w:r w:rsidRPr="00765DD4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>promoter-GUS constructs</w:t>
      </w:r>
      <w:r w:rsidRPr="00765DD4">
        <w:rPr>
          <w:rFonts w:ascii="Times New Roman" w:hAnsi="Times New Roman" w:cs="Times New Roman"/>
          <w:sz w:val="24"/>
          <w:szCs w:val="24"/>
        </w:rPr>
        <w:t xml:space="preserve">. Left border (LB) and right border (RB) flanking the T-DNA insert are represented by black vertically elongated rectangles. 35SCaMV, 35S </w:t>
      </w:r>
      <w:r w:rsidRPr="00765DD4">
        <w:rPr>
          <w:rFonts w:ascii="Times New Roman" w:hAnsi="Times New Roman" w:cs="Times New Roman"/>
          <w:i/>
          <w:iCs/>
          <w:sz w:val="24"/>
          <w:szCs w:val="24"/>
        </w:rPr>
        <w:t xml:space="preserve">Cauliflower mosaic virus </w:t>
      </w:r>
      <w:r w:rsidRPr="00765DD4">
        <w:rPr>
          <w:rFonts w:ascii="Times New Roman" w:hAnsi="Times New Roman" w:cs="Times New Roman"/>
          <w:sz w:val="24"/>
          <w:szCs w:val="24"/>
        </w:rPr>
        <w:t xml:space="preserve">promoter; </w:t>
      </w:r>
      <w:r>
        <w:rPr>
          <w:rFonts w:ascii="Times New Roman" w:hAnsi="Times New Roman" w:cs="Times New Roman"/>
          <w:sz w:val="24"/>
          <w:szCs w:val="24"/>
        </w:rPr>
        <w:t xml:space="preserve">-4635S, minimal </w:t>
      </w:r>
      <w:r w:rsidRPr="00765DD4">
        <w:rPr>
          <w:rFonts w:ascii="Times New Roman" w:hAnsi="Times New Roman" w:cs="Times New Roman"/>
          <w:sz w:val="24"/>
          <w:szCs w:val="24"/>
        </w:rPr>
        <w:t>35SCaMV</w:t>
      </w:r>
      <w:r>
        <w:rPr>
          <w:rFonts w:ascii="Times New Roman" w:hAnsi="Times New Roman" w:cs="Times New Roman"/>
          <w:sz w:val="24"/>
          <w:szCs w:val="24"/>
        </w:rPr>
        <w:t xml:space="preserve"> promoter; </w:t>
      </w:r>
      <w:r w:rsidRPr="00D871EF">
        <w:rPr>
          <w:rFonts w:ascii="Times New Roman" w:hAnsi="Times New Roman" w:cs="Times New Roman"/>
          <w:sz w:val="24"/>
          <w:szCs w:val="24"/>
        </w:rPr>
        <w:t>4</w:t>
      </w:r>
      <w:r w:rsidR="00CF691C">
        <w:rPr>
          <w:rFonts w:ascii="Times New Roman" w:hAnsi="Times New Roman" w:cs="Times New Roman"/>
          <w:sz w:val="24"/>
          <w:szCs w:val="24"/>
        </w:rPr>
        <w:t>×</w:t>
      </w:r>
      <w:r>
        <w:rPr>
          <w:rFonts w:ascii="Times New Roman" w:hAnsi="Times New Roman" w:cs="Times New Roman"/>
          <w:sz w:val="24"/>
          <w:szCs w:val="24"/>
        </w:rPr>
        <w:t>1.1 and 4</w:t>
      </w:r>
      <w:r w:rsidR="00CF691C">
        <w:rPr>
          <w:rFonts w:ascii="Times New Roman" w:hAnsi="Times New Roman" w:cs="Times New Roman"/>
          <w:sz w:val="24"/>
          <w:szCs w:val="24"/>
        </w:rPr>
        <w:t>×</w:t>
      </w:r>
      <w:r>
        <w:rPr>
          <w:rFonts w:ascii="Times New Roman" w:hAnsi="Times New Roman" w:cs="Times New Roman"/>
          <w:sz w:val="24"/>
          <w:szCs w:val="24"/>
        </w:rPr>
        <w:t xml:space="preserve">2.3, four repeats of the corresponding </w:t>
      </w:r>
      <w:r w:rsidRPr="00D871EF">
        <w:rPr>
          <w:rFonts w:ascii="Times New Roman" w:hAnsi="Times New Roman" w:cs="Times New Roman"/>
          <w:sz w:val="24"/>
          <w:szCs w:val="24"/>
        </w:rPr>
        <w:t>core motif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D871EF">
        <w:rPr>
          <w:rFonts w:ascii="Times New Roman" w:hAnsi="Times New Roman" w:cs="Times New Roman"/>
          <w:sz w:val="24"/>
          <w:szCs w:val="24"/>
        </w:rPr>
        <w:t xml:space="preserve"> </w:t>
      </w:r>
      <w:r w:rsidRPr="00765DD4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os-</w:t>
      </w:r>
      <w:r w:rsidRPr="00765DD4">
        <w:rPr>
          <w:rFonts w:ascii="Times New Roman" w:hAnsi="Times New Roman" w:cs="Times New Roman"/>
          <w:sz w:val="24"/>
          <w:szCs w:val="24"/>
        </w:rPr>
        <w:t xml:space="preserve">T, nopaline synthase terminator; </w:t>
      </w:r>
      <w:r>
        <w:rPr>
          <w:rFonts w:ascii="Times New Roman" w:hAnsi="Times New Roman" w:cs="Times New Roman"/>
          <w:sz w:val="24"/>
          <w:szCs w:val="24"/>
        </w:rPr>
        <w:t xml:space="preserve">Bar, bialaphos resistance </w:t>
      </w:r>
      <w:r w:rsidRPr="00765DD4">
        <w:rPr>
          <w:rFonts w:ascii="Times New Roman" w:hAnsi="Times New Roman" w:cs="Times New Roman"/>
          <w:sz w:val="24"/>
          <w:szCs w:val="24"/>
        </w:rPr>
        <w:t>gene</w:t>
      </w:r>
      <w:r>
        <w:rPr>
          <w:rFonts w:ascii="Times New Roman" w:hAnsi="Times New Roman" w:cs="Times New Roman"/>
          <w:sz w:val="24"/>
          <w:szCs w:val="24"/>
        </w:rPr>
        <w:t xml:space="preserve">; GUS, reporter gene. </w:t>
      </w:r>
    </w:p>
    <w:p w14:paraId="0117D27D" w14:textId="09F2C301" w:rsidR="00A859C9" w:rsidRPr="00A859C9" w:rsidRDefault="00A859C9" w:rsidP="00C04A14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295C545F" w14:textId="77777777" w:rsidR="0085086E" w:rsidRDefault="0085086E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412FBCAE" w14:textId="23F2816F" w:rsidR="00A859C9" w:rsidRPr="00A859C9" w:rsidRDefault="00FE5F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A57689" wp14:editId="091A9498">
            <wp:extent cx="5975462" cy="43304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006" cy="4346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CB784" w14:textId="5BC9361E" w:rsidR="00A859C9" w:rsidRPr="00A859C9" w:rsidRDefault="00A859C9">
      <w:pPr>
        <w:rPr>
          <w:rFonts w:ascii="Times New Roman" w:hAnsi="Times New Roman" w:cs="Times New Roman"/>
          <w:sz w:val="24"/>
          <w:szCs w:val="24"/>
        </w:rPr>
      </w:pPr>
    </w:p>
    <w:p w14:paraId="6250AA43" w14:textId="04014AB7" w:rsidR="00FE5F27" w:rsidRDefault="00FE5F27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2):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Molecular characterization of transgenic soybean plants</w:t>
      </w:r>
      <w:r w:rsidRPr="0071690F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containing </w:t>
      </w:r>
      <w:r>
        <w:rPr>
          <w:rFonts w:ascii="Times New Roman" w:hAnsi="Times New Roman" w:cs="Times New Roman"/>
          <w:sz w:val="24"/>
          <w:szCs w:val="24"/>
        </w:rPr>
        <w:t>promoter-GUS constructs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PCR analysis of genomic DNA extracted from leaves </w:t>
      </w:r>
      <w:r w:rsidRPr="002A61F7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>of 3-week-old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plants. Lanes 1-3 are transgenic soybean lines L1, L2, and L3 containing </w:t>
      </w:r>
      <w:r w:rsidRPr="001013DC">
        <w:rPr>
          <w:rFonts w:ascii="Times New Roman" w:hAnsi="Times New Roman" w:cs="Times New Roman"/>
          <w:sz w:val="24"/>
          <w:szCs w:val="24"/>
        </w:rPr>
        <w:t>4×M1.1</w:t>
      </w:r>
      <w:r>
        <w:rPr>
          <w:rFonts w:ascii="Times New Roman" w:hAnsi="Times New Roman" w:cs="Times New Roman"/>
          <w:sz w:val="24"/>
          <w:szCs w:val="24"/>
        </w:rPr>
        <w:t xml:space="preserve"> promoter construct. Lanes 4-6 are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transgenic soybean lines L1, L2, and L3 containing </w:t>
      </w:r>
      <w:r w:rsidRPr="001013DC">
        <w:rPr>
          <w:rFonts w:ascii="Times New Roman" w:hAnsi="Times New Roman" w:cs="Times New Roman"/>
          <w:sz w:val="24"/>
          <w:szCs w:val="24"/>
        </w:rPr>
        <w:t>4×M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1013D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3 promoter construct. Lane N is non-transgenic wild-type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soybean</w:t>
      </w:r>
      <w:r>
        <w:rPr>
          <w:rFonts w:ascii="Times New Roman" w:hAnsi="Times New Roman" w:cs="Times New Roman"/>
          <w:sz w:val="24"/>
          <w:szCs w:val="24"/>
        </w:rPr>
        <w:t xml:space="preserve">. Lane P is 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positive control template </w:t>
      </w:r>
      <w:r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vector 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>plasmid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The expected amplified DNA band size indicate presence </w:t>
      </w:r>
      <w:r w:rsidRPr="0062353A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of </w:t>
      </w:r>
      <w:r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(</w:t>
      </w:r>
      <w:r w:rsidR="00233FCB"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A</w:t>
      </w:r>
      <w:r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)</w:t>
      </w:r>
      <w:r w:rsidRPr="0062353A">
        <w:rPr>
          <w:rFonts w:ascii="Times New Roman" w:eastAsia="Calibri" w:hAnsi="Times New Roman" w:cs="Times New Roman"/>
          <w:bCs/>
          <w:color w:val="000000"/>
          <w:kern w:val="24"/>
          <w:sz w:val="24"/>
          <w:szCs w:val="24"/>
        </w:rPr>
        <w:t xml:space="preserve"> </w:t>
      </w:r>
      <w:r w:rsidRPr="0062353A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>GUS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 gene (</w:t>
      </w:r>
      <w:r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385 </w:t>
      </w:r>
      <w:r w:rsidRPr="009A397C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bp) </w:t>
      </w:r>
      <w:r w:rsidRPr="008A7B40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and </w:t>
      </w:r>
      <w:r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(</w:t>
      </w:r>
      <w:r w:rsidR="00233FCB"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B</w:t>
      </w:r>
      <w:r w:rsidRPr="00233FCB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</w:rPr>
        <w:t>)</w:t>
      </w:r>
      <w:r w:rsidRPr="008A7B40">
        <w:rPr>
          <w:rFonts w:ascii="Times New Roman" w:eastAsia="Calibri" w:hAnsi="Times New Roman" w:cs="Times New Roman"/>
          <w:bCs/>
          <w:color w:val="000000"/>
          <w:kern w:val="24"/>
          <w:sz w:val="24"/>
          <w:szCs w:val="24"/>
        </w:rPr>
        <w:t xml:space="preserve"> Bar gene (412 bp)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r w:rsidRPr="00895F8A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 xml:space="preserve">chvA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gene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C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was used as a control for the </w:t>
      </w:r>
      <w:r w:rsidRPr="005E26CA">
        <w:rPr>
          <w:rFonts w:ascii="Times New Roman" w:eastAsiaTheme="minorEastAsia" w:hAnsi="Times New Roman" w:cs="Times New Roman"/>
          <w:i/>
          <w:color w:val="000000" w:themeColor="text1"/>
          <w:kern w:val="24"/>
          <w:sz w:val="24"/>
          <w:szCs w:val="24"/>
        </w:rPr>
        <w:t>Agrobacterium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contamination. No amplification was observed in transgenic lines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C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. M, DNA marker.</w:t>
      </w:r>
    </w:p>
    <w:p w14:paraId="43E617D9" w14:textId="77777777" w:rsidR="0085086E" w:rsidRDefault="0085086E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512DFDC8" w14:textId="691EBB81" w:rsidR="00A859C9" w:rsidRDefault="005135FA" w:rsidP="00FE5F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0990BD" wp14:editId="02C163DC">
            <wp:extent cx="5928852" cy="1934976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260" cy="1961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8EB19A" w14:textId="77777777" w:rsidR="00FE5F27" w:rsidRDefault="00FE5F27" w:rsidP="00FE5F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C64670" w14:textId="1E848819" w:rsidR="00FE5F27" w:rsidRDefault="00FE5F27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3):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GUS activity in leaves and roots of 3-week-old T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vertAlign w:val="subscript"/>
        </w:rPr>
        <w:t>3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transgenic soybean containing the individual promoter-GUS </w:t>
      </w:r>
      <w:r w:rsidRPr="00BF62F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construct subjected to mock (untreated control) and 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salicylic acid (SA) (100 µM</w:t>
      </w:r>
      <w:r w:rsidRPr="009479F2">
        <w:rPr>
          <w:rFonts w:ascii="Times New Roman" w:hAnsi="Times New Roman" w:cs="Times New Roman"/>
          <w:sz w:val="24"/>
          <w:szCs w:val="24"/>
        </w:rPr>
        <w:t xml:space="preserve">) </w:t>
      </w:r>
      <w:r w:rsidRPr="009479F2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>at two time points of 6 h and 24 h after treatment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9C15B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</w:t>
      </w:r>
      <w:r w:rsidR="001C746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9C15B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plants. </w:t>
      </w:r>
      <w:r w:rsidR="00B7743D" w:rsidRPr="00B7743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B7743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B7743D" w:rsidRPr="00B7743D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B7743D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9C15B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</w:t>
      </w:r>
      <w:r w:rsidRPr="0018666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ive levels of transcripts were normalized to soybean ubiquitin gene (</w:t>
      </w:r>
      <w:r w:rsidRPr="003B479D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3B479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582001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1836F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 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(Min) </w:t>
      </w:r>
      <w:r w:rsidRPr="001836F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35S promoter-GUS constructs. Bars represent mean values of six biological replicates</w:t>
      </w:r>
      <w:r w:rsidR="009139D5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1836F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Statistical analysis by a two-sample paired t-test (</w:t>
      </w:r>
      <w:r w:rsidRPr="001836F6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 xml:space="preserve">P </w:t>
      </w:r>
      <w:r w:rsidRPr="001836F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&lt;0.05) indicated no significant differences between treated and untreated plants.</w:t>
      </w:r>
    </w:p>
    <w:p w14:paraId="5D99D23C" w14:textId="77777777" w:rsidR="003001A2" w:rsidRDefault="003001A2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2B99207F" w14:textId="70B92549" w:rsidR="00565777" w:rsidRDefault="008F55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E59F17" wp14:editId="37C83808">
            <wp:extent cx="5948516" cy="19829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92" cy="2008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215053" w14:textId="3E2C60F2" w:rsidR="00565777" w:rsidRDefault="00565777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4):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GUS activity in leaves and roots of 3-week-old T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vertAlign w:val="subscript"/>
        </w:rPr>
        <w:t>3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transgenic soybean containing the individual promoter-GUS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construct subjected to mock (untreated control) </w:t>
      </w:r>
      <w:r w:rsidRPr="00A4768B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and methyl jasmonate (MeJA) (100 µM</w:t>
      </w:r>
      <w:r w:rsidRPr="00A4768B">
        <w:rPr>
          <w:rFonts w:ascii="Times New Roman" w:hAnsi="Times New Roman" w:cs="Times New Roman"/>
          <w:sz w:val="24"/>
          <w:szCs w:val="24"/>
        </w:rPr>
        <w:t xml:space="preserve">) </w:t>
      </w:r>
      <w:r w:rsidRPr="00A4768B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>at</w:t>
      </w:r>
      <w:r w:rsidRPr="009479F2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 xml:space="preserve"> two time points of 6 h and 24 h after treatment</w:t>
      </w:r>
      <w:r w:rsidRPr="001836F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 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B7743D" w:rsidRPr="00B7743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B7743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B7743D" w:rsidRPr="00B7743D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B7743D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1D285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</w:t>
      </w:r>
      <w:r w:rsidRPr="00743FFA">
        <w:rPr>
          <w:rFonts w:ascii="Times New Roman" w:hAnsi="Times New Roman" w:cs="Times New Roman"/>
          <w:sz w:val="24"/>
          <w:szCs w:val="24"/>
        </w:rPr>
        <w:t>Statistical significance (</w:t>
      </w:r>
      <w:r w:rsidRPr="00743FFA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743FFA">
        <w:rPr>
          <w:rFonts w:ascii="Times New Roman" w:hAnsi="Times New Roman" w:cs="Times New Roman"/>
          <w:sz w:val="24"/>
          <w:szCs w:val="24"/>
        </w:rPr>
        <w:t xml:space="preserve">&lt; 0.05) </w:t>
      </w:r>
      <w:r>
        <w:rPr>
          <w:rFonts w:ascii="Times New Roman" w:hAnsi="Times New Roman" w:cs="Times New Roman"/>
          <w:sz w:val="24"/>
          <w:szCs w:val="24"/>
        </w:rPr>
        <w:t xml:space="preserve">was </w:t>
      </w:r>
      <w:r w:rsidRPr="00743FFA">
        <w:rPr>
          <w:rFonts w:ascii="Times New Roman" w:hAnsi="Times New Roman" w:cs="Times New Roman"/>
          <w:sz w:val="24"/>
          <w:szCs w:val="24"/>
        </w:rPr>
        <w:t xml:space="preserve">determined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by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two-sample paired t-test</w:t>
      </w:r>
      <w:r w:rsidRPr="00743FF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Bars with a</w:t>
      </w:r>
      <w:r w:rsidRPr="00743FFA">
        <w:rPr>
          <w:rFonts w:ascii="Times New Roman" w:hAnsi="Times New Roman" w:cs="Times New Roman"/>
          <w:sz w:val="24"/>
          <w:szCs w:val="24"/>
        </w:rPr>
        <w:t>sterisk (*) indicate significant difference compared to untreated control plants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.</w:t>
      </w:r>
    </w:p>
    <w:p w14:paraId="0FC8C79E" w14:textId="77777777" w:rsidR="008E3D00" w:rsidRDefault="008E3D00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45990F2B" w14:textId="471BBC51" w:rsidR="00565777" w:rsidRDefault="00F730E3" w:rsidP="0056577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CF2651" wp14:editId="1195186B">
            <wp:extent cx="5928852" cy="1895839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205" cy="1920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740DDB" w14:textId="4793EEDA" w:rsidR="00565777" w:rsidRDefault="00565777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5)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. 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GUS activity in leaves and roots of 3-week-old T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vertAlign w:val="subscript"/>
        </w:rPr>
        <w:t>3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transgenic soybean containing the individual promoter-GUS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construct subjected to mock (untreated control) </w:t>
      </w:r>
      <w:r w:rsidRPr="00D4138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and abscisic acid (ABA) (100 µM</w:t>
      </w:r>
      <w:r w:rsidRPr="00D41384">
        <w:rPr>
          <w:rFonts w:ascii="Times New Roman" w:hAnsi="Times New Roman" w:cs="Times New Roman"/>
          <w:sz w:val="24"/>
          <w:szCs w:val="24"/>
        </w:rPr>
        <w:t xml:space="preserve">) </w:t>
      </w:r>
      <w:r w:rsidRPr="00D41384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>at</w:t>
      </w:r>
      <w:r w:rsidRPr="009479F2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 xml:space="preserve"> two time points of 6 h and 24 h after treatment</w:t>
      </w:r>
      <w:r w:rsidRPr="009479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 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B7743D" w:rsidRPr="00B7743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B7743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B7743D" w:rsidRPr="00B7743D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B7743D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).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3C624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</w:t>
      </w:r>
      <w:r w:rsidRPr="00743FFA">
        <w:rPr>
          <w:rFonts w:ascii="Times New Roman" w:hAnsi="Times New Roman" w:cs="Times New Roman"/>
          <w:sz w:val="24"/>
          <w:szCs w:val="24"/>
        </w:rPr>
        <w:t>Statistical significance (</w:t>
      </w:r>
      <w:r w:rsidRPr="00743FFA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743FFA">
        <w:rPr>
          <w:rFonts w:ascii="Times New Roman" w:hAnsi="Times New Roman" w:cs="Times New Roman"/>
          <w:sz w:val="24"/>
          <w:szCs w:val="24"/>
        </w:rPr>
        <w:t xml:space="preserve">&lt; 0.05) </w:t>
      </w:r>
      <w:r>
        <w:rPr>
          <w:rFonts w:ascii="Times New Roman" w:hAnsi="Times New Roman" w:cs="Times New Roman"/>
          <w:sz w:val="24"/>
          <w:szCs w:val="24"/>
        </w:rPr>
        <w:t xml:space="preserve">was </w:t>
      </w:r>
      <w:r w:rsidRPr="00743FFA">
        <w:rPr>
          <w:rFonts w:ascii="Times New Roman" w:hAnsi="Times New Roman" w:cs="Times New Roman"/>
          <w:sz w:val="24"/>
          <w:szCs w:val="24"/>
        </w:rPr>
        <w:t xml:space="preserve">determined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by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two-sample paired t-test</w:t>
      </w:r>
      <w:r w:rsidRPr="00743FF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Bars with a</w:t>
      </w:r>
      <w:r w:rsidRPr="00743FFA">
        <w:rPr>
          <w:rFonts w:ascii="Times New Roman" w:hAnsi="Times New Roman" w:cs="Times New Roman"/>
          <w:sz w:val="24"/>
          <w:szCs w:val="24"/>
        </w:rPr>
        <w:t>sterisk (*) indicate significant difference compared to untreated control plants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.</w:t>
      </w:r>
    </w:p>
    <w:p w14:paraId="54DD822C" w14:textId="77777777" w:rsidR="003D04BF" w:rsidRDefault="003D04BF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64A68012" w14:textId="462D59DE" w:rsidR="00565777" w:rsidRDefault="00565777" w:rsidP="003F19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0C4AC6" wp14:editId="6ED87ED2">
            <wp:extent cx="5049078" cy="569495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089" cy="574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50C2E5" w14:textId="673A0658" w:rsidR="00565777" w:rsidRDefault="00565777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 w:rsidR="00130FC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6</w:t>
      </w:r>
      <w:r w:rsidR="00130FCF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):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27015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GUS activity in leaves and roots of transgenic soybean containing </w:t>
      </w:r>
      <w:r w:rsidRPr="00D44D1F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individual</w:t>
      </w:r>
      <w:r w:rsidRPr="00D9749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promoter-GUS construct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untreated or treated</w:t>
      </w:r>
      <w:r w:rsidRPr="00D9749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with </w:t>
      </w:r>
      <w:r w:rsidRPr="00C82F5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fall armyworm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(</w:t>
      </w:r>
      <w:r w:rsidRPr="001013DC">
        <w:rPr>
          <w:rFonts w:ascii="Times New Roman" w:hAnsi="Times New Roman" w:cs="Times New Roman"/>
          <w:i/>
          <w:iCs/>
          <w:sz w:val="24"/>
          <w:szCs w:val="24"/>
        </w:rPr>
        <w:t>Spodoptera frugiperda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) </w:t>
      </w:r>
      <w:r w:rsidRPr="00C82F5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larvae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at 24, 48, and 72 h after larval infestation.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 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B7743D" w:rsidRPr="00B7743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B7743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).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="00B7743D" w:rsidRPr="00B7743D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B7743D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3D4F6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Statistical analysis by a two-sample paired t-test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 xml:space="preserve">P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&lt;0.05) indicated no significant differences between treated and untreated plants.</w:t>
      </w:r>
    </w:p>
    <w:p w14:paraId="54518470" w14:textId="5AD04D8E" w:rsidR="00565777" w:rsidRDefault="00130FCF" w:rsidP="003F19D7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4"/>
          <w:szCs w:val="24"/>
        </w:rPr>
        <w:lastRenderedPageBreak/>
        <w:drawing>
          <wp:inline distT="0" distB="0" distL="0" distR="0" wp14:anchorId="551D5855" wp14:editId="605BB133">
            <wp:extent cx="4814455" cy="5477380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16" cy="5524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3C3122" w14:textId="14359216" w:rsidR="00130FCF" w:rsidRDefault="00130FCF" w:rsidP="00565777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</w:p>
    <w:p w14:paraId="4213A70C" w14:textId="007A7210" w:rsidR="00130FCF" w:rsidRDefault="00130FCF" w:rsidP="00C04A14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7): </w:t>
      </w:r>
      <w:r w:rsidRPr="0027015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GUS activity in leaves and roots of transgenic soybean containing </w:t>
      </w:r>
      <w:r w:rsidRPr="00D44D1F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individual</w:t>
      </w:r>
      <w:r w:rsidRPr="00D9749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promoter-GUS construct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treated with </w:t>
      </w:r>
      <w:r w:rsidRPr="00833C91">
        <w:rPr>
          <w:rFonts w:ascii="Times New Roman" w:eastAsia="Calibri" w:hAnsi="Times New Roman"/>
          <w:color w:val="000000" w:themeColor="text1"/>
          <w:kern w:val="24"/>
          <w:sz w:val="24"/>
          <w:szCs w:val="24"/>
        </w:rPr>
        <w:t>10 mM MgCl</w:t>
      </w:r>
      <w:r w:rsidRPr="00833C91">
        <w:rPr>
          <w:rFonts w:ascii="Times New Roman" w:eastAsia="Calibri" w:hAnsi="Times New Roman"/>
          <w:color w:val="000000" w:themeColor="text1"/>
          <w:kern w:val="24"/>
          <w:position w:val="-6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(mock control) or </w:t>
      </w:r>
      <w:r w:rsidRPr="00130FCF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ps</w:t>
      </w:r>
      <w:r w:rsidRPr="00833C91">
        <w:rPr>
          <w:rFonts w:ascii="Times New Roman" w:eastAsia="Calibri" w:hAnsi="Times New Roman"/>
          <w:i/>
          <w:iCs/>
          <w:color w:val="000000" w:themeColor="text1"/>
          <w:kern w:val="24"/>
          <w:sz w:val="24"/>
          <w:szCs w:val="24"/>
        </w:rPr>
        <w:t xml:space="preserve">eudomonas syringe </w:t>
      </w:r>
      <w:r w:rsidRPr="00833C91">
        <w:rPr>
          <w:rFonts w:ascii="Times New Roman" w:eastAsia="Calibri" w:hAnsi="Times New Roman"/>
          <w:color w:val="000000" w:themeColor="text1"/>
          <w:kern w:val="24"/>
          <w:sz w:val="24"/>
          <w:szCs w:val="24"/>
        </w:rPr>
        <w:t xml:space="preserve">pv. </w:t>
      </w:r>
      <w:r w:rsidRPr="00833C91">
        <w:rPr>
          <w:rFonts w:ascii="Times New Roman" w:eastAsia="Calibri" w:hAnsi="Times New Roman"/>
          <w:i/>
          <w:iCs/>
          <w:color w:val="000000" w:themeColor="text1"/>
          <w:kern w:val="24"/>
          <w:sz w:val="24"/>
          <w:szCs w:val="24"/>
        </w:rPr>
        <w:t>glycinea</w:t>
      </w:r>
      <w:r w:rsidRPr="00C82F5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at 24, 48, and 72 h after treatment.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</w:t>
      </w:r>
      <w:r w:rsidR="001C746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B7743D" w:rsidRPr="00215B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15B91" w:rsidRPr="00215B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B, C</w:t>
      </w:r>
      <w:r w:rsidR="00B7743D" w:rsidRPr="00215B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="00B7743D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215B91" w:rsidRPr="00215B91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215B91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233FCB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EE11D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</w:t>
      </w:r>
      <w:r w:rsidRPr="00743FFA">
        <w:rPr>
          <w:rFonts w:ascii="Times New Roman" w:hAnsi="Times New Roman" w:cs="Times New Roman"/>
          <w:sz w:val="24"/>
          <w:szCs w:val="24"/>
        </w:rPr>
        <w:t>Statistical significance (</w:t>
      </w:r>
      <w:r w:rsidRPr="00743FFA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743FFA">
        <w:rPr>
          <w:rFonts w:ascii="Times New Roman" w:hAnsi="Times New Roman" w:cs="Times New Roman"/>
          <w:sz w:val="24"/>
          <w:szCs w:val="24"/>
        </w:rPr>
        <w:t xml:space="preserve">&lt; 0.05) </w:t>
      </w:r>
      <w:r>
        <w:rPr>
          <w:rFonts w:ascii="Times New Roman" w:hAnsi="Times New Roman" w:cs="Times New Roman"/>
          <w:sz w:val="24"/>
          <w:szCs w:val="24"/>
        </w:rPr>
        <w:t xml:space="preserve">was </w:t>
      </w:r>
      <w:r w:rsidRPr="00743FFA">
        <w:rPr>
          <w:rFonts w:ascii="Times New Roman" w:hAnsi="Times New Roman" w:cs="Times New Roman"/>
          <w:sz w:val="24"/>
          <w:szCs w:val="24"/>
        </w:rPr>
        <w:t xml:space="preserve">determined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by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743FF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two-sample paired t-test</w:t>
      </w:r>
      <w:r w:rsidRPr="00743FF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Bars with a</w:t>
      </w:r>
      <w:r w:rsidRPr="00743FFA">
        <w:rPr>
          <w:rFonts w:ascii="Times New Roman" w:hAnsi="Times New Roman" w:cs="Times New Roman"/>
          <w:sz w:val="24"/>
          <w:szCs w:val="24"/>
        </w:rPr>
        <w:t>sterisk (*) indicate significant difference compared to untreated control plants.</w:t>
      </w:r>
    </w:p>
    <w:p w14:paraId="34872B1E" w14:textId="3DBBD5EC" w:rsidR="00130FCF" w:rsidRPr="00BF62FD" w:rsidRDefault="00130FCF" w:rsidP="003F19D7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4"/>
          <w:szCs w:val="24"/>
        </w:rPr>
        <w:lastRenderedPageBreak/>
        <w:drawing>
          <wp:inline distT="0" distB="0" distL="0" distR="0" wp14:anchorId="1F7495B5" wp14:editId="3E4588E2">
            <wp:extent cx="5112689" cy="587476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808" cy="5915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B38D9E" w14:textId="4C961B22" w:rsidR="00130FCF" w:rsidRPr="00BF62FD" w:rsidRDefault="00130FCF" w:rsidP="00C04A14">
      <w:pPr>
        <w:spacing w:after="0" w:line="276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8): </w:t>
      </w:r>
      <w:r w:rsidRPr="0027015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GUS activity in leaves and roots of transgenic soybean containing </w:t>
      </w:r>
      <w:r w:rsidRPr="00D44D1F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individual</w:t>
      </w:r>
      <w:r w:rsidRPr="00D9749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promoter-GUS construct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treated with </w:t>
      </w:r>
      <w:r w:rsidRPr="00833C91">
        <w:rPr>
          <w:rFonts w:ascii="Times New Roman" w:eastAsia="Calibri" w:hAnsi="Times New Roman"/>
          <w:color w:val="000000" w:themeColor="text1"/>
          <w:kern w:val="24"/>
          <w:sz w:val="24"/>
          <w:szCs w:val="24"/>
        </w:rPr>
        <w:t>10 mM MgCl</w:t>
      </w:r>
      <w:r w:rsidRPr="00833C91">
        <w:rPr>
          <w:rFonts w:ascii="Times New Roman" w:eastAsia="Calibri" w:hAnsi="Times New Roman"/>
          <w:color w:val="000000" w:themeColor="text1"/>
          <w:kern w:val="24"/>
          <w:position w:val="-6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(mock control) or </w:t>
      </w:r>
      <w:r w:rsidRPr="00EE0D4F">
        <w:rPr>
          <w:rFonts w:ascii="Times New Roman" w:eastAsia="Calibri" w:hAnsi="Times New Roman"/>
          <w:i/>
          <w:iCs/>
          <w:color w:val="000000" w:themeColor="text1"/>
          <w:kern w:val="24"/>
          <w:sz w:val="24"/>
          <w:szCs w:val="24"/>
        </w:rPr>
        <w:t xml:space="preserve">Pseudomonas syringe </w:t>
      </w:r>
      <w:r w:rsidRPr="00EE0D4F">
        <w:rPr>
          <w:rFonts w:ascii="Times New Roman" w:eastAsia="Calibri" w:hAnsi="Times New Roman"/>
          <w:color w:val="000000" w:themeColor="text1"/>
          <w:kern w:val="24"/>
          <w:sz w:val="24"/>
          <w:szCs w:val="24"/>
        </w:rPr>
        <w:t xml:space="preserve">pv. </w:t>
      </w:r>
      <w:r w:rsidRPr="00EE0D4F">
        <w:rPr>
          <w:rFonts w:ascii="Times New Roman" w:eastAsia="Calibri" w:hAnsi="Times New Roman"/>
          <w:i/>
          <w:iCs/>
          <w:color w:val="000000" w:themeColor="text1"/>
          <w:kern w:val="24"/>
          <w:sz w:val="24"/>
          <w:szCs w:val="24"/>
        </w:rPr>
        <w:t>tomato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at 24, 48, and 72 h after treatment. 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233FCB"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233FC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</w:t>
      </w:r>
      <w:r w:rsidR="00220BC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215B91" w:rsidRPr="00215B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215B91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215B91" w:rsidRPr="00215B91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215B91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233FCB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E1081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Statistical analysis by a two-sample paired t-test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 xml:space="preserve">P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&lt;0.05) indicated no significant differences between treated and untreated plants.</w:t>
      </w:r>
    </w:p>
    <w:p w14:paraId="06FC57B9" w14:textId="7F186D05" w:rsidR="00130FCF" w:rsidRPr="00BF62FD" w:rsidRDefault="00130FCF" w:rsidP="00BB4DEB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4"/>
          <w:szCs w:val="24"/>
        </w:rPr>
        <w:lastRenderedPageBreak/>
        <w:drawing>
          <wp:inline distT="0" distB="0" distL="0" distR="0" wp14:anchorId="38E03AEB" wp14:editId="6E6C26ED">
            <wp:extent cx="4898003" cy="569374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945" cy="5755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21A53" w14:textId="77777777" w:rsidR="00130FCF" w:rsidRDefault="00130FCF" w:rsidP="00565777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</w:p>
    <w:p w14:paraId="339841D5" w14:textId="143E108F" w:rsidR="00565777" w:rsidRDefault="00130FCF" w:rsidP="00130FCF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Supplementary Figure 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Pr="009479F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9</w:t>
      </w:r>
      <w:r w:rsidR="00C04A14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):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270150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GUS activity in leaves and roots of transgenic soybean containing </w:t>
      </w:r>
      <w:r w:rsidRPr="00D44D1F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individual</w:t>
      </w:r>
      <w:r w:rsidRPr="00D97493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promoter-GUS construct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treated with </w:t>
      </w:r>
      <w:r w:rsidRPr="00833C91">
        <w:rPr>
          <w:rFonts w:ascii="Times New Roman" w:eastAsia="Calibri" w:hAnsi="Times New Roman"/>
          <w:color w:val="000000" w:themeColor="text1"/>
          <w:kern w:val="24"/>
          <w:sz w:val="24"/>
          <w:szCs w:val="24"/>
        </w:rPr>
        <w:t>10 mM MgCl</w:t>
      </w:r>
      <w:r w:rsidRPr="00833C91">
        <w:rPr>
          <w:rFonts w:ascii="Times New Roman" w:eastAsia="Calibri" w:hAnsi="Times New Roman"/>
          <w:color w:val="000000" w:themeColor="text1"/>
          <w:kern w:val="24"/>
          <w:position w:val="-6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(mock control) or </w:t>
      </w:r>
      <w:r w:rsidRPr="00521815">
        <w:rPr>
          <w:rFonts w:ascii="Times New Roman" w:eastAsia="Calibri" w:hAnsi="Times New Roman"/>
          <w:i/>
          <w:iCs/>
          <w:color w:val="000000" w:themeColor="text1"/>
          <w:kern w:val="24"/>
          <w:sz w:val="24"/>
          <w:szCs w:val="24"/>
        </w:rPr>
        <w:t>Pseudomonas marginalis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at 24, 48, and 72 h after treatment. </w:t>
      </w:r>
      <w:r w:rsidRPr="00AB314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</w:t>
      </w:r>
      <w:r w:rsidR="00AB314A" w:rsidRPr="00AB314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A</w:t>
      </w:r>
      <w:r w:rsidRPr="00AB314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)</w:t>
      </w:r>
      <w:r w:rsidRPr="009479F2">
        <w:rPr>
          <w:rFonts w:ascii="Times New Roman" w:eastAsiaTheme="min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Histochemical staining for GUS activity in transgenic soybean plants.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="00215B91" w:rsidRPr="00215B9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(B, C)</w:t>
      </w:r>
      <w:r w:rsidR="00215B91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Fluorometric assay for GUS activity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AB314A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B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AB314A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C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3B479D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="00215B91" w:rsidRPr="00215B91">
        <w:rPr>
          <w:rFonts w:ascii="Times New Roman" w:hAnsi="Times New Roman" w:cs="Times New Roman"/>
          <w:b/>
          <w:bCs/>
          <w:color w:val="231F20"/>
          <w:sz w:val="24"/>
          <w:szCs w:val="24"/>
        </w:rPr>
        <w:t>(D, E)</w:t>
      </w:r>
      <w:r w:rsidR="00215B91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  <w:r w:rsidRPr="009479F2">
        <w:rPr>
          <w:rFonts w:ascii="Times New Roman" w:hAnsi="Times New Roman" w:cs="Times New Roman"/>
          <w:color w:val="231F20"/>
          <w:sz w:val="24"/>
          <w:szCs w:val="24"/>
        </w:rPr>
        <w:t>Quantitative real-time RT-PCR (qRT-PCR)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 analysis for GUS expression in 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leaf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AB314A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D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 and root 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(</w:t>
      </w:r>
      <w:r w:rsidR="00AB314A"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E</w:t>
      </w:r>
      <w:r w:rsidRPr="00AB314A">
        <w:rPr>
          <w:rFonts w:ascii="Times New Roman" w:hAnsi="Times New Roman" w:cs="Times New Roman"/>
          <w:b/>
          <w:bCs/>
          <w:color w:val="231F20"/>
          <w:sz w:val="24"/>
          <w:szCs w:val="24"/>
        </w:rPr>
        <w:t>)</w:t>
      </w:r>
      <w:r w:rsidRPr="009C15B0">
        <w:rPr>
          <w:rFonts w:ascii="Times New Roman" w:hAnsi="Times New Roman" w:cs="Times New Roman"/>
          <w:color w:val="231F20"/>
          <w:sz w:val="24"/>
          <w:szCs w:val="24"/>
        </w:rPr>
        <w:t xml:space="preserve">.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The relative levels of transcripts were normalized to soybean ubiquitin gene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>GmUBI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3). Three independent transgenic lines (L1, L2, and L3) were used for </w:t>
      </w:r>
      <w:r w:rsidRPr="007E0258">
        <w:rPr>
          <w:rFonts w:ascii="Times New Roman" w:hAnsi="Times New Roman" w:cs="Times New Roman"/>
          <w:sz w:val="24"/>
          <w:szCs w:val="24"/>
        </w:rPr>
        <w:t>4×M1.1 and 4×M2.3 promoter-GUS constructs. One transgenic line (L1) was used for 35S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and minimal</w:t>
      </w:r>
      <w:r w:rsidR="000B5E6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(Min)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35S promoter-GUS constructs. Bars represent mean values of six biological replicates</w:t>
      </w:r>
      <w:r w:rsidR="00B731F4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(plants)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± standard error. Statistical analysis by a two-sample paired t-test (</w:t>
      </w:r>
      <w:r w:rsidRPr="007E0258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  <w:sz w:val="24"/>
          <w:szCs w:val="24"/>
        </w:rPr>
        <w:t xml:space="preserve">P </w:t>
      </w:r>
      <w:r w:rsidRPr="007E02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>&lt;0.05) indicated no significant differences between treated and untreated plants.</w:t>
      </w:r>
    </w:p>
    <w:sectPr w:rsidR="00565777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36694A" w14:textId="77777777" w:rsidR="003A23B5" w:rsidRDefault="003A23B5" w:rsidP="007A082B">
      <w:pPr>
        <w:spacing w:after="0" w:line="240" w:lineRule="auto"/>
      </w:pPr>
      <w:r>
        <w:separator/>
      </w:r>
    </w:p>
  </w:endnote>
  <w:endnote w:type="continuationSeparator" w:id="0">
    <w:p w14:paraId="35BFF204" w14:textId="77777777" w:rsidR="003A23B5" w:rsidRDefault="003A23B5" w:rsidP="007A08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988766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0F4DE1" w14:textId="0662DB5E" w:rsidR="007A082B" w:rsidRDefault="007A082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47D7D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14:paraId="3F92F688" w14:textId="77777777" w:rsidR="007A082B" w:rsidRDefault="007A082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3677C9" w14:textId="77777777" w:rsidR="003A23B5" w:rsidRDefault="003A23B5" w:rsidP="007A082B">
      <w:pPr>
        <w:spacing w:after="0" w:line="240" w:lineRule="auto"/>
      </w:pPr>
      <w:r>
        <w:separator/>
      </w:r>
    </w:p>
  </w:footnote>
  <w:footnote w:type="continuationSeparator" w:id="0">
    <w:p w14:paraId="0DB51B9B" w14:textId="77777777" w:rsidR="003A23B5" w:rsidRDefault="003A23B5" w:rsidP="007A08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0592"/>
    <w:rsid w:val="00006865"/>
    <w:rsid w:val="00044512"/>
    <w:rsid w:val="000546A3"/>
    <w:rsid w:val="000B5E64"/>
    <w:rsid w:val="000C3D0B"/>
    <w:rsid w:val="00100777"/>
    <w:rsid w:val="00130FCF"/>
    <w:rsid w:val="00155124"/>
    <w:rsid w:val="001811F8"/>
    <w:rsid w:val="0018766D"/>
    <w:rsid w:val="001C7467"/>
    <w:rsid w:val="001D16CF"/>
    <w:rsid w:val="001D2856"/>
    <w:rsid w:val="001E353D"/>
    <w:rsid w:val="00215B91"/>
    <w:rsid w:val="00220BC0"/>
    <w:rsid w:val="00233FCB"/>
    <w:rsid w:val="002554B9"/>
    <w:rsid w:val="003001A2"/>
    <w:rsid w:val="00347D7D"/>
    <w:rsid w:val="003A23B5"/>
    <w:rsid w:val="003C6246"/>
    <w:rsid w:val="003D04BF"/>
    <w:rsid w:val="003D4F62"/>
    <w:rsid w:val="003F19D7"/>
    <w:rsid w:val="004276A7"/>
    <w:rsid w:val="00457A9E"/>
    <w:rsid w:val="00490592"/>
    <w:rsid w:val="005135FA"/>
    <w:rsid w:val="00513B7C"/>
    <w:rsid w:val="00540975"/>
    <w:rsid w:val="00565777"/>
    <w:rsid w:val="00644487"/>
    <w:rsid w:val="00696531"/>
    <w:rsid w:val="006B7BCC"/>
    <w:rsid w:val="00744FEE"/>
    <w:rsid w:val="00784B62"/>
    <w:rsid w:val="00785F80"/>
    <w:rsid w:val="0079364B"/>
    <w:rsid w:val="007A082B"/>
    <w:rsid w:val="007B7E29"/>
    <w:rsid w:val="007D0990"/>
    <w:rsid w:val="0085086E"/>
    <w:rsid w:val="008E3D00"/>
    <w:rsid w:val="008F5599"/>
    <w:rsid w:val="009139D5"/>
    <w:rsid w:val="00965F66"/>
    <w:rsid w:val="00970098"/>
    <w:rsid w:val="00984B1F"/>
    <w:rsid w:val="009D3B53"/>
    <w:rsid w:val="00A859C9"/>
    <w:rsid w:val="00AB314A"/>
    <w:rsid w:val="00B731F4"/>
    <w:rsid w:val="00B7743D"/>
    <w:rsid w:val="00BB0199"/>
    <w:rsid w:val="00BB4DEB"/>
    <w:rsid w:val="00C04A14"/>
    <w:rsid w:val="00C9270D"/>
    <w:rsid w:val="00CE5ED8"/>
    <w:rsid w:val="00CF691C"/>
    <w:rsid w:val="00D56C4A"/>
    <w:rsid w:val="00D56C79"/>
    <w:rsid w:val="00D936D9"/>
    <w:rsid w:val="00DA0360"/>
    <w:rsid w:val="00DB6FB3"/>
    <w:rsid w:val="00DF589F"/>
    <w:rsid w:val="00E10813"/>
    <w:rsid w:val="00EE11DA"/>
    <w:rsid w:val="00EE431E"/>
    <w:rsid w:val="00F730E3"/>
    <w:rsid w:val="00FB46F6"/>
    <w:rsid w:val="00FB54D9"/>
    <w:rsid w:val="00FD57FA"/>
    <w:rsid w:val="00FE31D9"/>
    <w:rsid w:val="00FE5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F72F2"/>
  <w15:chartTrackingRefBased/>
  <w15:docId w15:val="{50B35E81-15C1-4408-A0EC-0AAB1D044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59C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859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A08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082B"/>
  </w:style>
  <w:style w:type="paragraph" w:styleId="Footer">
    <w:name w:val="footer"/>
    <w:basedOn w:val="Normal"/>
    <w:link w:val="FooterChar"/>
    <w:uiPriority w:val="99"/>
    <w:unhideWhenUsed/>
    <w:rsid w:val="007A08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082B"/>
  </w:style>
  <w:style w:type="character" w:styleId="Hyperlink">
    <w:name w:val="Hyperlink"/>
    <w:basedOn w:val="DefaultParagraphFont"/>
    <w:uiPriority w:val="99"/>
    <w:unhideWhenUsed/>
    <w:rsid w:val="00006865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44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487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4448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448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448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5E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5ED8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D56C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nealstewart@utk.edu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1441</Words>
  <Characters>8218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Mst Shamira Sultana</dc:creator>
  <cp:keywords/>
  <dc:description/>
  <cp:lastModifiedBy>Mst Shamira Sultana</cp:lastModifiedBy>
  <cp:revision>6</cp:revision>
  <dcterms:created xsi:type="dcterms:W3CDTF">2022-08-15T13:52:00Z</dcterms:created>
  <dcterms:modified xsi:type="dcterms:W3CDTF">2022-08-25T11:06:00Z</dcterms:modified>
</cp:coreProperties>
</file>