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CF7E" w14:textId="15FE66CB" w:rsidR="00CA562C" w:rsidRPr="00A73868" w:rsidRDefault="00C55432">
      <w:pPr>
        <w:rPr>
          <w:rFonts w:ascii="Times New Roman" w:hAnsi="Times New Roman" w:cs="Times New Roman"/>
          <w:b/>
          <w:bCs/>
        </w:rPr>
      </w:pPr>
      <w:r w:rsidRPr="00A73868">
        <w:rPr>
          <w:rFonts w:ascii="Times New Roman" w:hAnsi="Times New Roman" w:cs="Times New Roman"/>
          <w:b/>
          <w:bCs/>
        </w:rPr>
        <w:t>Supplementary:</w:t>
      </w:r>
    </w:p>
    <w:p w14:paraId="5BBA35D6" w14:textId="11B04682" w:rsidR="00C55432" w:rsidRPr="00A73868" w:rsidRDefault="00C55432"/>
    <w:p w14:paraId="51B602F3" w14:textId="77777777" w:rsidR="00554D6C" w:rsidRPr="00A73868" w:rsidRDefault="00554D6C" w:rsidP="00554D6C">
      <w:pPr>
        <w:spacing w:line="360" w:lineRule="auto"/>
        <w:jc w:val="both"/>
        <w:rPr>
          <w:rFonts w:ascii="Times New Roman" w:hAnsi="Times New Roman" w:cs="Times New Roman"/>
          <w:b/>
        </w:rPr>
      </w:pPr>
      <w:r w:rsidRPr="00A73868">
        <w:rPr>
          <w:rFonts w:ascii="Times New Roman" w:hAnsi="Times New Roman" w:cs="Times New Roman"/>
          <w:b/>
        </w:rPr>
        <w:t xml:space="preserve">A comprehensive Phytochemical, biological, and toxicological studies of roots and aerial parts of </w:t>
      </w:r>
      <w:r w:rsidRPr="00A73868">
        <w:rPr>
          <w:rFonts w:ascii="Times New Roman" w:hAnsi="Times New Roman" w:cs="Times New Roman"/>
          <w:b/>
          <w:i/>
        </w:rPr>
        <w:t xml:space="preserve">Crotalaria </w:t>
      </w:r>
      <w:proofErr w:type="spellStart"/>
      <w:r w:rsidRPr="00A73868">
        <w:rPr>
          <w:rFonts w:ascii="Times New Roman" w:hAnsi="Times New Roman" w:cs="Times New Roman"/>
          <w:b/>
          <w:i/>
        </w:rPr>
        <w:t>burhia</w:t>
      </w:r>
      <w:proofErr w:type="spellEnd"/>
      <w:r w:rsidRPr="00A73868">
        <w:rPr>
          <w:rFonts w:ascii="Times New Roman" w:hAnsi="Times New Roman" w:cs="Times New Roman"/>
          <w:b/>
        </w:rPr>
        <w:t xml:space="preserve"> Buch.-Ham: An important medicinal plant</w:t>
      </w:r>
    </w:p>
    <w:p w14:paraId="4E9C02D6" w14:textId="19A4B635" w:rsidR="00554D6C" w:rsidRPr="00A73868" w:rsidRDefault="00554D6C" w:rsidP="00554D6C">
      <w:pPr>
        <w:autoSpaceDE w:val="0"/>
        <w:autoSpaceDN w:val="0"/>
        <w:adjustRightInd w:val="0"/>
        <w:jc w:val="both"/>
        <w:rPr>
          <w:rFonts w:ascii="Times New Roman" w:hAnsi="Times New Roman" w:cs="Times New Roman"/>
          <w:bCs/>
        </w:rPr>
      </w:pPr>
      <w:proofErr w:type="spellStart"/>
      <w:r w:rsidRPr="00A73868">
        <w:rPr>
          <w:rFonts w:ascii="Times New Roman" w:hAnsi="Times New Roman" w:cs="Times New Roman"/>
          <w:bCs/>
        </w:rPr>
        <w:t>Sirajudheen</w:t>
      </w:r>
      <w:proofErr w:type="spellEnd"/>
      <w:r w:rsidRPr="00A73868">
        <w:rPr>
          <w:rFonts w:ascii="Times New Roman" w:hAnsi="Times New Roman" w:cs="Times New Roman"/>
          <w:bCs/>
        </w:rPr>
        <w:t xml:space="preserve"> Anwar</w:t>
      </w:r>
      <w:r w:rsidRPr="00A73868">
        <w:rPr>
          <w:rFonts w:ascii="Times New Roman" w:hAnsi="Times New Roman" w:cs="Times New Roman"/>
          <w:bCs/>
          <w:vertAlign w:val="superscript"/>
        </w:rPr>
        <w:t>1</w:t>
      </w:r>
      <w:r w:rsidRPr="00A73868">
        <w:rPr>
          <w:rFonts w:ascii="Times New Roman" w:hAnsi="Times New Roman" w:cs="Times New Roman"/>
          <w:bCs/>
        </w:rPr>
        <w:t xml:space="preserve">*, </w:t>
      </w:r>
      <w:r w:rsidR="009D3FF3" w:rsidRPr="00A73868">
        <w:rPr>
          <w:rFonts w:ascii="Times New Roman" w:hAnsi="Times New Roman" w:cs="Times New Roman"/>
          <w:bCs/>
        </w:rPr>
        <w:t xml:space="preserve">Muhammad </w:t>
      </w:r>
      <w:r w:rsidRPr="00A73868">
        <w:rPr>
          <w:rFonts w:ascii="Times New Roman" w:hAnsi="Times New Roman" w:cs="Times New Roman"/>
          <w:bCs/>
        </w:rPr>
        <w:t>Faisal Nadeem</w:t>
      </w:r>
      <w:r w:rsidRPr="00A73868">
        <w:rPr>
          <w:rFonts w:ascii="Times New Roman" w:hAnsi="Times New Roman" w:cs="Times New Roman"/>
          <w:bCs/>
          <w:vertAlign w:val="superscript"/>
        </w:rPr>
        <w:t>2</w:t>
      </w:r>
      <w:r w:rsidRPr="00A73868">
        <w:rPr>
          <w:rFonts w:ascii="Times New Roman" w:hAnsi="Times New Roman" w:cs="Times New Roman"/>
          <w:bCs/>
        </w:rPr>
        <w:t>, Irfan Pervaiz</w:t>
      </w:r>
      <w:r w:rsidRPr="00A73868">
        <w:rPr>
          <w:rFonts w:ascii="Times New Roman" w:hAnsi="Times New Roman" w:cs="Times New Roman"/>
          <w:bCs/>
          <w:vertAlign w:val="superscript"/>
        </w:rPr>
        <w:t>3</w:t>
      </w:r>
      <w:r w:rsidRPr="00A73868">
        <w:rPr>
          <w:rFonts w:ascii="Times New Roman" w:hAnsi="Times New Roman" w:cs="Times New Roman"/>
          <w:bCs/>
        </w:rPr>
        <w:t>, Umair Khurshid</w:t>
      </w:r>
      <w:r w:rsidRPr="00A73868">
        <w:rPr>
          <w:rFonts w:ascii="Times New Roman" w:hAnsi="Times New Roman" w:cs="Times New Roman"/>
          <w:bCs/>
          <w:vertAlign w:val="superscript"/>
        </w:rPr>
        <w:t>4</w:t>
      </w:r>
      <w:r w:rsidRPr="00A73868">
        <w:rPr>
          <w:rFonts w:ascii="Times New Roman" w:hAnsi="Times New Roman" w:cs="Times New Roman"/>
          <w:bCs/>
        </w:rPr>
        <w:t>, Khurram Amir</w:t>
      </w:r>
      <w:r w:rsidRPr="00A73868">
        <w:rPr>
          <w:rFonts w:ascii="Times New Roman" w:hAnsi="Times New Roman" w:cs="Times New Roman"/>
          <w:bCs/>
          <w:vertAlign w:val="superscript"/>
        </w:rPr>
        <w:t>5</w:t>
      </w:r>
      <w:r w:rsidRPr="00A73868">
        <w:rPr>
          <w:rFonts w:ascii="Times New Roman" w:hAnsi="Times New Roman" w:cs="Times New Roman"/>
          <w:bCs/>
        </w:rPr>
        <w:t xml:space="preserve">, Muhammad Haseeb </w:t>
      </w:r>
      <w:proofErr w:type="spellStart"/>
      <w:r w:rsidRPr="00A73868">
        <w:rPr>
          <w:rFonts w:ascii="Times New Roman" w:hAnsi="Times New Roman" w:cs="Times New Roman"/>
          <w:bCs/>
        </w:rPr>
        <w:t>ur</w:t>
      </w:r>
      <w:proofErr w:type="spellEnd"/>
      <w:r w:rsidRPr="00A73868">
        <w:rPr>
          <w:rFonts w:ascii="Times New Roman" w:hAnsi="Times New Roman" w:cs="Times New Roman"/>
          <w:bCs/>
        </w:rPr>
        <w:t xml:space="preserve"> Rehman</w:t>
      </w:r>
      <w:r w:rsidRPr="00A73868">
        <w:rPr>
          <w:rFonts w:ascii="Times New Roman" w:hAnsi="Times New Roman" w:cs="Times New Roman"/>
          <w:bCs/>
          <w:vertAlign w:val="superscript"/>
        </w:rPr>
        <w:t>5,6</w:t>
      </w:r>
      <w:r w:rsidRPr="00A73868">
        <w:rPr>
          <w:rFonts w:ascii="Times New Roman" w:hAnsi="Times New Roman" w:cs="Times New Roman"/>
          <w:bCs/>
        </w:rPr>
        <w:t>, Khaled Almansour</w:t>
      </w:r>
      <w:r w:rsidRPr="00A73868">
        <w:rPr>
          <w:rFonts w:ascii="Times New Roman" w:hAnsi="Times New Roman" w:cs="Times New Roman"/>
          <w:bCs/>
          <w:vertAlign w:val="superscript"/>
        </w:rPr>
        <w:t>7</w:t>
      </w:r>
      <w:r w:rsidRPr="00A73868">
        <w:rPr>
          <w:rFonts w:ascii="Times New Roman" w:hAnsi="Times New Roman" w:cs="Times New Roman"/>
          <w:bCs/>
        </w:rPr>
        <w:t>, Farhan Alshammari</w:t>
      </w:r>
      <w:r w:rsidRPr="00A73868">
        <w:rPr>
          <w:rFonts w:ascii="Times New Roman" w:hAnsi="Times New Roman" w:cs="Times New Roman"/>
          <w:bCs/>
          <w:vertAlign w:val="superscript"/>
        </w:rPr>
        <w:t>7</w:t>
      </w:r>
      <w:r w:rsidRPr="00A73868">
        <w:rPr>
          <w:rFonts w:ascii="Times New Roman" w:hAnsi="Times New Roman" w:cs="Times New Roman"/>
          <w:bCs/>
        </w:rPr>
        <w:t xml:space="preserve">, </w:t>
      </w:r>
      <w:proofErr w:type="spellStart"/>
      <w:r w:rsidRPr="00A73868">
        <w:rPr>
          <w:rFonts w:ascii="Times New Roman" w:hAnsi="Times New Roman" w:cs="Times New Roman"/>
          <w:bCs/>
        </w:rPr>
        <w:t>Mohd</w:t>
      </w:r>
      <w:proofErr w:type="spellEnd"/>
      <w:r w:rsidRPr="00A73868">
        <w:rPr>
          <w:rFonts w:ascii="Times New Roman" w:hAnsi="Times New Roman" w:cs="Times New Roman"/>
          <w:bCs/>
        </w:rPr>
        <w:t xml:space="preserve"> Farooq Shaikh</w:t>
      </w:r>
      <w:r w:rsidRPr="00A73868">
        <w:rPr>
          <w:rFonts w:ascii="Times New Roman" w:hAnsi="Times New Roman" w:cs="Times New Roman"/>
          <w:bCs/>
          <w:vertAlign w:val="superscript"/>
        </w:rPr>
        <w:t>9</w:t>
      </w:r>
      <w:r w:rsidRPr="00A73868">
        <w:rPr>
          <w:rFonts w:ascii="Times New Roman" w:hAnsi="Times New Roman" w:cs="Times New Roman"/>
          <w:bCs/>
        </w:rPr>
        <w:t>, Marcello Locatelli</w:t>
      </w:r>
      <w:r w:rsidRPr="00A73868">
        <w:rPr>
          <w:rFonts w:ascii="Times New Roman" w:hAnsi="Times New Roman" w:cs="Times New Roman"/>
          <w:bCs/>
          <w:vertAlign w:val="superscript"/>
        </w:rPr>
        <w:t>9</w:t>
      </w:r>
      <w:r w:rsidRPr="00A73868">
        <w:rPr>
          <w:rFonts w:ascii="Times New Roman" w:hAnsi="Times New Roman" w:cs="Times New Roman"/>
          <w:bCs/>
        </w:rPr>
        <w:t>, Nafees Ahemad</w:t>
      </w:r>
      <w:r w:rsidRPr="00A73868">
        <w:rPr>
          <w:rFonts w:ascii="Times New Roman" w:hAnsi="Times New Roman" w:cs="Times New Roman"/>
          <w:bCs/>
          <w:vertAlign w:val="superscript"/>
        </w:rPr>
        <w:t>10</w:t>
      </w:r>
      <w:r w:rsidRPr="00A73868">
        <w:rPr>
          <w:rFonts w:ascii="Times New Roman" w:hAnsi="Times New Roman" w:cs="Times New Roman"/>
          <w:bCs/>
        </w:rPr>
        <w:t>, Hammad Saleem</w:t>
      </w:r>
      <w:r w:rsidRPr="00A73868">
        <w:rPr>
          <w:rFonts w:ascii="Times New Roman" w:hAnsi="Times New Roman" w:cs="Times New Roman"/>
          <w:bCs/>
          <w:vertAlign w:val="superscript"/>
        </w:rPr>
        <w:t>2</w:t>
      </w:r>
      <w:r w:rsidRPr="00A73868">
        <w:rPr>
          <w:rFonts w:ascii="Times New Roman" w:hAnsi="Times New Roman" w:cs="Times New Roman"/>
          <w:bCs/>
        </w:rPr>
        <w:t>*</w:t>
      </w:r>
    </w:p>
    <w:p w14:paraId="5225AE6C" w14:textId="77777777" w:rsidR="00554D6C" w:rsidRPr="00A73868" w:rsidRDefault="00554D6C" w:rsidP="00554D6C">
      <w:pPr>
        <w:autoSpaceDE w:val="0"/>
        <w:autoSpaceDN w:val="0"/>
        <w:adjustRightInd w:val="0"/>
        <w:jc w:val="center"/>
        <w:rPr>
          <w:rFonts w:ascii="Times New Roman" w:hAnsi="Times New Roman" w:cs="Times New Roman"/>
          <w:bCs/>
        </w:rPr>
      </w:pPr>
    </w:p>
    <w:p w14:paraId="0AA1478B" w14:textId="77777777" w:rsidR="00554D6C" w:rsidRPr="00A73868" w:rsidRDefault="00554D6C" w:rsidP="00554D6C">
      <w:pPr>
        <w:autoSpaceDE w:val="0"/>
        <w:autoSpaceDN w:val="0"/>
        <w:adjustRightInd w:val="0"/>
        <w:rPr>
          <w:rFonts w:ascii="Times New Roman" w:hAnsi="Times New Roman" w:cs="Times New Roman"/>
          <w:b/>
        </w:rPr>
      </w:pPr>
    </w:p>
    <w:p w14:paraId="68425EF5" w14:textId="77777777" w:rsidR="00554D6C" w:rsidRPr="00A73868" w:rsidRDefault="00554D6C" w:rsidP="00554D6C">
      <w:pPr>
        <w:jc w:val="center"/>
        <w:rPr>
          <w:rFonts w:ascii="Times New Roman" w:hAnsi="Times New Roman" w:cs="Times New Roman"/>
          <w:i/>
          <w:iCs/>
        </w:rPr>
      </w:pPr>
      <w:r w:rsidRPr="00A73868">
        <w:rPr>
          <w:rFonts w:ascii="Times New Roman" w:hAnsi="Times New Roman" w:cs="Times New Roman"/>
          <w:i/>
          <w:iCs/>
          <w:vertAlign w:val="superscript"/>
        </w:rPr>
        <w:t>1</w:t>
      </w:r>
      <w:r w:rsidRPr="00A73868">
        <w:rPr>
          <w:rFonts w:ascii="Times New Roman" w:hAnsi="Times New Roman" w:cs="Times New Roman"/>
          <w:i/>
          <w:iCs/>
        </w:rPr>
        <w:t>Department of Pharmacology and Toxicology, College of Pharmacy, University of Hail, Hail, Saudi Arabia</w:t>
      </w:r>
    </w:p>
    <w:p w14:paraId="5541D770" w14:textId="77777777" w:rsidR="00554D6C" w:rsidRPr="00A73868" w:rsidRDefault="00554D6C" w:rsidP="00554D6C">
      <w:pPr>
        <w:jc w:val="center"/>
        <w:rPr>
          <w:rFonts w:ascii="Times New Roman" w:hAnsi="Times New Roman" w:cs="Times New Roman"/>
          <w:i/>
        </w:rPr>
      </w:pPr>
      <w:r w:rsidRPr="00A73868">
        <w:rPr>
          <w:rFonts w:ascii="Times New Roman" w:eastAsia="Times New Roman" w:hAnsi="Times New Roman" w:cs="Times New Roman"/>
          <w:i/>
          <w:vertAlign w:val="superscript"/>
        </w:rPr>
        <w:t>2</w:t>
      </w:r>
      <w:r w:rsidRPr="00A73868">
        <w:rPr>
          <w:rFonts w:ascii="Times New Roman" w:eastAsia="Times New Roman" w:hAnsi="Times New Roman" w:cs="Times New Roman"/>
          <w:i/>
        </w:rPr>
        <w:t>Institute of Pharmaceutical Sciences (IPS), University of Veterinary &amp; Animal Sciences (UVAS), Lahore, Pakistan</w:t>
      </w:r>
      <w:r w:rsidRPr="00A73868">
        <w:rPr>
          <w:rFonts w:ascii="Times New Roman" w:hAnsi="Times New Roman" w:cs="Times New Roman"/>
          <w:i/>
        </w:rPr>
        <w:t>,</w:t>
      </w:r>
    </w:p>
    <w:p w14:paraId="59F2B5E2" w14:textId="77777777" w:rsidR="00554D6C" w:rsidRPr="00A73868" w:rsidRDefault="00554D6C" w:rsidP="00554D6C">
      <w:pPr>
        <w:spacing w:line="276" w:lineRule="auto"/>
        <w:jc w:val="center"/>
        <w:rPr>
          <w:rFonts w:ascii="Times New Roman" w:hAnsi="Times New Roman" w:cs="Times New Roman"/>
          <w:bCs/>
          <w:i/>
          <w:iCs/>
        </w:rPr>
      </w:pPr>
      <w:r w:rsidRPr="00A73868">
        <w:rPr>
          <w:rFonts w:ascii="Times New Roman" w:hAnsi="Times New Roman" w:cs="Times New Roman"/>
          <w:bCs/>
          <w:i/>
          <w:iCs/>
          <w:vertAlign w:val="superscript"/>
        </w:rPr>
        <w:t>3</w:t>
      </w:r>
      <w:r w:rsidRPr="00A73868">
        <w:rPr>
          <w:rFonts w:ascii="Times New Roman" w:hAnsi="Times New Roman" w:cs="Times New Roman"/>
          <w:bCs/>
          <w:i/>
          <w:iCs/>
        </w:rPr>
        <w:t>Department of Pharmacy, The University of Chenab, Gujrat, Pakistan</w:t>
      </w:r>
    </w:p>
    <w:p w14:paraId="4F3882E8" w14:textId="77777777" w:rsidR="00554D6C" w:rsidRPr="00A73868" w:rsidRDefault="00554D6C" w:rsidP="00554D6C">
      <w:pPr>
        <w:pStyle w:val="ListParagraph"/>
        <w:spacing w:line="240" w:lineRule="auto"/>
        <w:jc w:val="center"/>
        <w:rPr>
          <w:rFonts w:ascii="Times New Roman" w:hAnsi="Times New Roman" w:cs="Times New Roman"/>
          <w:bCs/>
          <w:i/>
          <w:sz w:val="24"/>
          <w:szCs w:val="24"/>
        </w:rPr>
      </w:pPr>
      <w:r w:rsidRPr="00A73868">
        <w:rPr>
          <w:rFonts w:ascii="Times New Roman" w:hAnsi="Times New Roman" w:cs="Times New Roman"/>
          <w:bCs/>
          <w:i/>
          <w:sz w:val="24"/>
          <w:szCs w:val="24"/>
          <w:vertAlign w:val="superscript"/>
        </w:rPr>
        <w:t>4</w:t>
      </w:r>
      <w:r w:rsidRPr="00A73868">
        <w:rPr>
          <w:rFonts w:ascii="Times New Roman" w:hAnsi="Times New Roman" w:cs="Times New Roman"/>
          <w:bCs/>
          <w:i/>
          <w:sz w:val="24"/>
          <w:szCs w:val="24"/>
        </w:rPr>
        <w:t>Department of Pharmaceutical Chemistry, Faculty of Pharmacy, The Islamia University of Bahawalpur, Pakistan</w:t>
      </w:r>
    </w:p>
    <w:p w14:paraId="4602D606" w14:textId="77777777" w:rsidR="00554D6C" w:rsidRPr="00A73868" w:rsidRDefault="00554D6C" w:rsidP="00554D6C">
      <w:pPr>
        <w:pStyle w:val="ListParagraph"/>
        <w:spacing w:line="240" w:lineRule="auto"/>
        <w:jc w:val="center"/>
        <w:rPr>
          <w:rFonts w:ascii="Times New Roman" w:hAnsi="Times New Roman" w:cs="Times New Roman"/>
          <w:bCs/>
          <w:i/>
          <w:sz w:val="24"/>
          <w:szCs w:val="24"/>
        </w:rPr>
      </w:pPr>
      <w:r w:rsidRPr="00A73868">
        <w:rPr>
          <w:rFonts w:ascii="Times New Roman" w:hAnsi="Times New Roman" w:cs="Times New Roman"/>
          <w:bCs/>
          <w:i/>
          <w:sz w:val="24"/>
          <w:szCs w:val="24"/>
          <w:vertAlign w:val="superscript"/>
        </w:rPr>
        <w:t>5</w:t>
      </w:r>
      <w:r w:rsidRPr="00A73868">
        <w:rPr>
          <w:rFonts w:ascii="Times New Roman" w:hAnsi="Times New Roman" w:cs="Times New Roman"/>
          <w:bCs/>
          <w:i/>
          <w:sz w:val="24"/>
          <w:szCs w:val="24"/>
        </w:rPr>
        <w:t>Akhtar Saeed College of Pharmacy, Canal Campus, Lahore Pakistan</w:t>
      </w:r>
    </w:p>
    <w:p w14:paraId="75D9728D" w14:textId="77777777" w:rsidR="00554D6C" w:rsidRPr="00A73868" w:rsidRDefault="00554D6C" w:rsidP="00554D6C">
      <w:pPr>
        <w:pStyle w:val="ListParagraph"/>
        <w:spacing w:line="240" w:lineRule="auto"/>
        <w:jc w:val="center"/>
        <w:rPr>
          <w:rFonts w:ascii="Times New Roman" w:hAnsi="Times New Roman" w:cs="Times New Roman"/>
          <w:bCs/>
          <w:i/>
          <w:sz w:val="24"/>
          <w:szCs w:val="24"/>
        </w:rPr>
      </w:pPr>
      <w:r w:rsidRPr="00A73868">
        <w:rPr>
          <w:rFonts w:ascii="Times New Roman" w:hAnsi="Times New Roman" w:cs="Times New Roman"/>
          <w:bCs/>
          <w:i/>
          <w:sz w:val="24"/>
          <w:szCs w:val="24"/>
          <w:vertAlign w:val="superscript"/>
        </w:rPr>
        <w:t>6</w:t>
      </w:r>
      <w:r w:rsidRPr="00A73868">
        <w:rPr>
          <w:rFonts w:ascii="Times New Roman" w:hAnsi="Times New Roman" w:cs="Times New Roman"/>
          <w:bCs/>
          <w:i/>
          <w:sz w:val="24"/>
          <w:szCs w:val="24"/>
        </w:rPr>
        <w:t>Government College University, Faisalabad, Faisalabad, Pakistan</w:t>
      </w:r>
    </w:p>
    <w:p w14:paraId="320C8B47" w14:textId="77777777" w:rsidR="00554D6C" w:rsidRPr="00A73868" w:rsidRDefault="00554D6C" w:rsidP="00554D6C">
      <w:pPr>
        <w:ind w:left="360"/>
        <w:jc w:val="center"/>
        <w:rPr>
          <w:rFonts w:ascii="Times New Roman" w:hAnsi="Times New Roman" w:cs="Times New Roman"/>
          <w:i/>
          <w:iCs/>
        </w:rPr>
      </w:pPr>
      <w:r w:rsidRPr="00A73868">
        <w:rPr>
          <w:rFonts w:ascii="Times New Roman" w:hAnsi="Times New Roman" w:cs="Times New Roman"/>
          <w:i/>
          <w:iCs/>
          <w:vertAlign w:val="superscript"/>
        </w:rPr>
        <w:t>7</w:t>
      </w:r>
      <w:r w:rsidRPr="00A73868">
        <w:rPr>
          <w:rFonts w:ascii="Times New Roman" w:hAnsi="Times New Roman" w:cs="Times New Roman"/>
          <w:i/>
          <w:iCs/>
        </w:rPr>
        <w:t>Department of Pharmaceutics, College of Pharmacy, University of Hail, Hail, Saudi Arabia.</w:t>
      </w:r>
    </w:p>
    <w:p w14:paraId="2647E69B" w14:textId="77777777" w:rsidR="00554D6C" w:rsidRPr="00A73868" w:rsidRDefault="00554D6C" w:rsidP="00554D6C">
      <w:pPr>
        <w:jc w:val="center"/>
        <w:rPr>
          <w:rFonts w:ascii="Times New Roman" w:hAnsi="Times New Roman" w:cs="Times New Roman"/>
          <w:i/>
          <w:iCs/>
        </w:rPr>
      </w:pPr>
      <w:r w:rsidRPr="00A73868">
        <w:rPr>
          <w:rFonts w:ascii="Times New Roman" w:hAnsi="Times New Roman" w:cs="Times New Roman"/>
          <w:i/>
          <w:iCs/>
          <w:vertAlign w:val="superscript"/>
        </w:rPr>
        <w:t>8</w:t>
      </w:r>
      <w:r w:rsidRPr="00A73868">
        <w:rPr>
          <w:rFonts w:ascii="Times New Roman" w:hAnsi="Times New Roman" w:cs="Times New Roman"/>
          <w:i/>
          <w:iCs/>
        </w:rPr>
        <w:t xml:space="preserve">Neuropharmacology Research Strength, Jeffrey Cheah School of Medicine and Health Sciences, </w:t>
      </w:r>
    </w:p>
    <w:p w14:paraId="2F668A8C" w14:textId="77777777" w:rsidR="00554D6C" w:rsidRPr="00A73868" w:rsidRDefault="00554D6C" w:rsidP="00554D6C">
      <w:pPr>
        <w:jc w:val="center"/>
        <w:rPr>
          <w:rFonts w:ascii="Times New Roman" w:hAnsi="Times New Roman" w:cs="Times New Roman"/>
          <w:bCs/>
          <w:i/>
          <w:iCs/>
          <w:lang w:val="en-GB"/>
        </w:rPr>
      </w:pPr>
      <w:r w:rsidRPr="00A73868">
        <w:rPr>
          <w:rFonts w:ascii="Times New Roman" w:hAnsi="Times New Roman" w:cs="Times New Roman"/>
          <w:bCs/>
          <w:i/>
          <w:iCs/>
          <w:vertAlign w:val="superscript"/>
          <w:lang w:val="en-GB"/>
        </w:rPr>
        <w:t>9</w:t>
      </w:r>
      <w:r w:rsidRPr="00A73868">
        <w:rPr>
          <w:rFonts w:ascii="Times New Roman" w:hAnsi="Times New Roman" w:cs="Times New Roman"/>
          <w:bCs/>
          <w:i/>
          <w:iCs/>
          <w:lang w:val="en-GB"/>
        </w:rPr>
        <w:t xml:space="preserve">Department of Pharmacy, University ‘G. </w:t>
      </w:r>
      <w:proofErr w:type="spellStart"/>
      <w:r w:rsidRPr="00A73868">
        <w:rPr>
          <w:rFonts w:ascii="Times New Roman" w:hAnsi="Times New Roman" w:cs="Times New Roman"/>
          <w:bCs/>
          <w:i/>
          <w:iCs/>
          <w:lang w:val="en-GB"/>
        </w:rPr>
        <w:t>d’Annunzio</w:t>
      </w:r>
      <w:proofErr w:type="spellEnd"/>
      <w:r w:rsidRPr="00A73868">
        <w:rPr>
          <w:rFonts w:ascii="Times New Roman" w:hAnsi="Times New Roman" w:cs="Times New Roman"/>
          <w:bCs/>
          <w:i/>
          <w:iCs/>
          <w:lang w:val="en-GB"/>
        </w:rPr>
        <w:t>” of Chieti-Pescara, 66100, Chieti, Italy</w:t>
      </w:r>
    </w:p>
    <w:p w14:paraId="0BDDE638" w14:textId="77777777" w:rsidR="00554D6C" w:rsidRPr="00A73868" w:rsidRDefault="00554D6C" w:rsidP="00554D6C">
      <w:pPr>
        <w:jc w:val="center"/>
        <w:rPr>
          <w:rFonts w:ascii="Times New Roman" w:hAnsi="Times New Roman" w:cs="Times New Roman"/>
          <w:i/>
          <w:iCs/>
        </w:rPr>
      </w:pPr>
      <w:r w:rsidRPr="00A73868">
        <w:rPr>
          <w:rFonts w:ascii="Times New Roman" w:eastAsia="Times New Roman" w:hAnsi="Times New Roman" w:cs="Times New Roman"/>
          <w:i/>
          <w:iCs/>
          <w:vertAlign w:val="superscript"/>
        </w:rPr>
        <w:t>10</w:t>
      </w:r>
      <w:r w:rsidRPr="00A73868">
        <w:rPr>
          <w:rFonts w:ascii="Times New Roman" w:eastAsia="Times New Roman" w:hAnsi="Times New Roman" w:cs="Times New Roman"/>
          <w:i/>
          <w:iCs/>
        </w:rPr>
        <w:t xml:space="preserve">School of Pharmacy, </w:t>
      </w:r>
      <w:r w:rsidRPr="00A73868">
        <w:rPr>
          <w:rFonts w:ascii="Times New Roman" w:hAnsi="Times New Roman" w:cs="Times New Roman"/>
          <w:i/>
          <w:iCs/>
        </w:rPr>
        <w:t>Monash University Malaysia, Bandar Sunway 47500, Selangor, Malaysia.</w:t>
      </w:r>
    </w:p>
    <w:p w14:paraId="5AD59F26" w14:textId="77777777" w:rsidR="00554D6C" w:rsidRPr="00A73868" w:rsidRDefault="00554D6C" w:rsidP="00554D6C">
      <w:pPr>
        <w:spacing w:line="480" w:lineRule="auto"/>
        <w:jc w:val="both"/>
        <w:rPr>
          <w:rFonts w:ascii="Times New Roman" w:hAnsi="Times New Roman" w:cs="Times New Roman"/>
          <w:b/>
        </w:rPr>
      </w:pPr>
    </w:p>
    <w:p w14:paraId="50476678" w14:textId="77777777" w:rsidR="00554D6C" w:rsidRPr="00A73868" w:rsidRDefault="00554D6C" w:rsidP="00554D6C">
      <w:pPr>
        <w:tabs>
          <w:tab w:val="left" w:pos="3000"/>
        </w:tabs>
        <w:contextualSpacing/>
        <w:jc w:val="both"/>
        <w:rPr>
          <w:rFonts w:asciiTheme="majorBidi" w:hAnsiTheme="majorBidi" w:cstheme="majorBidi"/>
          <w:b/>
          <w:bCs/>
        </w:rPr>
      </w:pPr>
      <w:r w:rsidRPr="00A73868">
        <w:rPr>
          <w:rFonts w:asciiTheme="majorBidi" w:hAnsiTheme="majorBidi" w:cstheme="majorBidi"/>
          <w:b/>
          <w:bCs/>
        </w:rPr>
        <w:t xml:space="preserve">Corresponding author: </w:t>
      </w:r>
      <w:r w:rsidRPr="00A73868">
        <w:rPr>
          <w:rFonts w:asciiTheme="majorBidi" w:hAnsiTheme="majorBidi" w:cstheme="majorBidi"/>
          <w:b/>
          <w:bCs/>
        </w:rPr>
        <w:tab/>
      </w:r>
    </w:p>
    <w:p w14:paraId="5E32F87C" w14:textId="77777777" w:rsidR="00554D6C" w:rsidRPr="00A73868" w:rsidRDefault="00554D6C" w:rsidP="00554D6C">
      <w:pPr>
        <w:tabs>
          <w:tab w:val="left" w:pos="3000"/>
        </w:tabs>
        <w:contextualSpacing/>
        <w:jc w:val="both"/>
        <w:rPr>
          <w:rFonts w:asciiTheme="majorBidi" w:hAnsiTheme="majorBidi" w:cstheme="majorBidi"/>
          <w:b/>
          <w:bCs/>
        </w:rPr>
      </w:pPr>
    </w:p>
    <w:p w14:paraId="6473A6A7" w14:textId="77777777" w:rsidR="00554D6C" w:rsidRPr="00A73868" w:rsidRDefault="00554D6C" w:rsidP="00554D6C">
      <w:pPr>
        <w:tabs>
          <w:tab w:val="left" w:pos="3000"/>
        </w:tabs>
        <w:contextualSpacing/>
        <w:jc w:val="both"/>
        <w:rPr>
          <w:rFonts w:ascii="Times New Roman" w:hAnsi="Times New Roman" w:cs="Times New Roman"/>
          <w:color w:val="000000" w:themeColor="text1"/>
        </w:rPr>
      </w:pPr>
      <w:proofErr w:type="spellStart"/>
      <w:r w:rsidRPr="00A73868">
        <w:rPr>
          <w:rFonts w:ascii="Times New Roman" w:hAnsi="Times New Roman" w:cs="Times New Roman"/>
          <w:color w:val="000000" w:themeColor="text1"/>
        </w:rPr>
        <w:t>Sirajudheen</w:t>
      </w:r>
      <w:proofErr w:type="spellEnd"/>
      <w:r w:rsidRPr="00A73868">
        <w:rPr>
          <w:rFonts w:ascii="Times New Roman" w:hAnsi="Times New Roman" w:cs="Times New Roman"/>
          <w:color w:val="000000" w:themeColor="text1"/>
        </w:rPr>
        <w:t xml:space="preserve"> Anwar (</w:t>
      </w:r>
      <w:hyperlink r:id="rId5" w:history="1">
        <w:r w:rsidRPr="00A73868">
          <w:rPr>
            <w:rStyle w:val="Hyperlink"/>
            <w:rFonts w:ascii="Times New Roman" w:hAnsi="Times New Roman" w:cs="Times New Roman"/>
            <w:color w:val="000000" w:themeColor="text1"/>
          </w:rPr>
          <w:t>si.anwar@uoh.edu.sa</w:t>
        </w:r>
      </w:hyperlink>
      <w:r w:rsidRPr="00A73868">
        <w:rPr>
          <w:rFonts w:ascii="Times New Roman" w:hAnsi="Times New Roman" w:cs="Times New Roman"/>
          <w:color w:val="000000" w:themeColor="text1"/>
        </w:rPr>
        <w:t xml:space="preserve"> ); </w:t>
      </w:r>
    </w:p>
    <w:p w14:paraId="43CD4D4D" w14:textId="77777777" w:rsidR="00554D6C" w:rsidRPr="00A73868" w:rsidRDefault="00554D6C" w:rsidP="00554D6C">
      <w:pPr>
        <w:tabs>
          <w:tab w:val="left" w:pos="3000"/>
        </w:tabs>
        <w:contextualSpacing/>
        <w:jc w:val="both"/>
        <w:rPr>
          <w:rFonts w:ascii="Times New Roman" w:hAnsi="Times New Roman" w:cs="Times New Roman"/>
          <w:color w:val="000000" w:themeColor="text1"/>
        </w:rPr>
      </w:pPr>
      <w:r w:rsidRPr="00A73868">
        <w:rPr>
          <w:rFonts w:ascii="Times New Roman" w:hAnsi="Times New Roman" w:cs="Times New Roman"/>
          <w:color w:val="000000" w:themeColor="text1"/>
        </w:rPr>
        <w:t>Hammad Saleem (hammad.saleem@uvas.edu.pk)</w:t>
      </w:r>
    </w:p>
    <w:p w14:paraId="33A397C9" w14:textId="77777777" w:rsidR="00C55432" w:rsidRPr="00A73868" w:rsidRDefault="00C55432" w:rsidP="00C55432">
      <w:pPr>
        <w:jc w:val="both"/>
        <w:rPr>
          <w:rFonts w:asciiTheme="majorBidi" w:hAnsiTheme="majorBidi" w:cstheme="majorBidi"/>
        </w:rPr>
      </w:pPr>
    </w:p>
    <w:p w14:paraId="2602C865" w14:textId="77777777" w:rsidR="00C55432" w:rsidRPr="00A73868" w:rsidRDefault="00C55432" w:rsidP="00C55432">
      <w:pPr>
        <w:spacing w:line="480" w:lineRule="auto"/>
        <w:jc w:val="both"/>
        <w:rPr>
          <w:rFonts w:ascii="Times New Roman" w:hAnsi="Times New Roman" w:cs="Times New Roman"/>
          <w:b/>
        </w:rPr>
      </w:pPr>
    </w:p>
    <w:p w14:paraId="53CEA461" w14:textId="77777777" w:rsidR="00C55432" w:rsidRPr="00A73868" w:rsidRDefault="00C55432" w:rsidP="00C55432">
      <w:pPr>
        <w:spacing w:line="480" w:lineRule="auto"/>
        <w:jc w:val="both"/>
        <w:rPr>
          <w:rFonts w:ascii="Times New Roman" w:hAnsi="Times New Roman" w:cs="Times New Roman"/>
          <w:b/>
        </w:rPr>
      </w:pPr>
    </w:p>
    <w:p w14:paraId="39850756" w14:textId="77777777" w:rsidR="00C55432" w:rsidRPr="00A73868" w:rsidRDefault="00C55432" w:rsidP="00C55432">
      <w:pPr>
        <w:rPr>
          <w:rFonts w:ascii="Times New Roman" w:hAnsi="Times New Roman" w:cs="Times New Roman"/>
          <w:b/>
        </w:rPr>
      </w:pPr>
      <w:r w:rsidRPr="00A73868">
        <w:rPr>
          <w:rFonts w:ascii="Times New Roman" w:hAnsi="Times New Roman" w:cs="Times New Roman"/>
          <w:b/>
        </w:rPr>
        <w:br w:type="page"/>
      </w:r>
    </w:p>
    <w:p w14:paraId="67843773" w14:textId="77777777" w:rsidR="00CE0A1C" w:rsidRPr="00A73868" w:rsidRDefault="00CE0A1C" w:rsidP="00CE0A1C">
      <w:pPr>
        <w:spacing w:after="120" w:line="360" w:lineRule="auto"/>
        <w:jc w:val="both"/>
        <w:rPr>
          <w:rFonts w:ascii="Times New Roman" w:hAnsi="Times New Roman" w:cs="Times New Roman"/>
          <w:b/>
        </w:rPr>
      </w:pPr>
      <w:r w:rsidRPr="00A73868">
        <w:rPr>
          <w:rFonts w:ascii="Times New Roman" w:hAnsi="Times New Roman" w:cs="Times New Roman"/>
          <w:b/>
        </w:rPr>
        <w:lastRenderedPageBreak/>
        <w:t>Abstract:</w:t>
      </w:r>
    </w:p>
    <w:p w14:paraId="2711C93D" w14:textId="77777777" w:rsidR="0058428A" w:rsidRPr="00A73868" w:rsidRDefault="0058428A" w:rsidP="0058428A">
      <w:pPr>
        <w:spacing w:line="360" w:lineRule="auto"/>
        <w:ind w:firstLine="720"/>
        <w:jc w:val="both"/>
        <w:rPr>
          <w:rFonts w:ascii="Times New Roman" w:eastAsia="Times New Roman" w:hAnsi="Times New Roman" w:cs="Times New Roman"/>
          <w:lang w:val="en-MY" w:eastAsia="en-MY"/>
        </w:rPr>
      </w:pPr>
      <w:r w:rsidRPr="00A73868">
        <w:rPr>
          <w:rFonts w:ascii="Times New Roman" w:eastAsia="Times New Roman" w:hAnsi="Times New Roman" w:cs="Times New Roman"/>
          <w:lang w:val="en-MY" w:eastAsia="en-MY"/>
        </w:rPr>
        <w:t xml:space="preserve">This study was designed to seek the phytochemical analysis, antioxidant, enzyme inhibition, and toxicity potentials of methanol and dichloromethane (DCM) extracts of aerial and root parts of </w:t>
      </w:r>
      <w:r w:rsidRPr="00A73868">
        <w:rPr>
          <w:rFonts w:ascii="Times New Roman" w:hAnsi="Times New Roman" w:cs="Times New Roman"/>
          <w:i/>
        </w:rPr>
        <w:t xml:space="preserve">Crotalaria </w:t>
      </w:r>
      <w:proofErr w:type="spellStart"/>
      <w:r w:rsidRPr="00A73868">
        <w:rPr>
          <w:rFonts w:ascii="Times New Roman" w:hAnsi="Times New Roman" w:cs="Times New Roman"/>
          <w:i/>
        </w:rPr>
        <w:t>burhia</w:t>
      </w:r>
      <w:proofErr w:type="spellEnd"/>
      <w:r w:rsidRPr="00A73868">
        <w:rPr>
          <w:rFonts w:ascii="Times New Roman" w:hAnsi="Times New Roman" w:cs="Times New Roman"/>
        </w:rPr>
        <w:t>.</w:t>
      </w:r>
      <w:r w:rsidRPr="00A73868">
        <w:rPr>
          <w:rFonts w:ascii="Times New Roman" w:eastAsia="Times New Roman" w:hAnsi="Times New Roman" w:cs="Times New Roman"/>
          <w:lang w:val="en-MY" w:eastAsia="en-MY"/>
        </w:rPr>
        <w:t xml:space="preserve"> Total bioactive content, high-performance liquid chromatography-photodiode array detector (HPLC-PDA) polyphenolic quantification, and ultra-high performance liquid chromatography-mass spectrometry (UHPLC-MS) analysis were utilized to evaluate the phytochemical composition. Antioxidant (including 2,2-diphenyl-1-picryl-hydrazyl-hydrate (DPPH), 2,2'-azino-bis(3-ethylbenzothiazoline-6-sulfonic acid (ABTS), ferric reducing antioxidant power assay (FRAP), cupric reducing antioxidant capacity CUPRAC, </w:t>
      </w:r>
      <w:proofErr w:type="spellStart"/>
      <w:r w:rsidRPr="00A73868">
        <w:rPr>
          <w:rFonts w:ascii="Times New Roman" w:eastAsia="Times New Roman" w:hAnsi="Times New Roman" w:cs="Times New Roman"/>
          <w:lang w:val="en-MY" w:eastAsia="en-MY"/>
        </w:rPr>
        <w:t>phosphomolybdenum</w:t>
      </w:r>
      <w:proofErr w:type="spellEnd"/>
      <w:r w:rsidRPr="00A73868">
        <w:rPr>
          <w:rFonts w:ascii="Times New Roman" w:eastAsia="Times New Roman" w:hAnsi="Times New Roman" w:cs="Times New Roman"/>
          <w:lang w:val="en-MY" w:eastAsia="en-MY"/>
        </w:rPr>
        <w:t>, and metal chelation assays) and enzyme inhibition ( against acetylcholinesterase (</w:t>
      </w:r>
      <w:proofErr w:type="spellStart"/>
      <w:r w:rsidRPr="00A73868">
        <w:rPr>
          <w:rFonts w:ascii="Times New Roman" w:eastAsia="Times New Roman" w:hAnsi="Times New Roman" w:cs="Times New Roman"/>
          <w:lang w:val="en-MY" w:eastAsia="en-MY"/>
        </w:rPr>
        <w:t>AChE</w:t>
      </w:r>
      <w:proofErr w:type="spellEnd"/>
      <w:r w:rsidRPr="00A73868">
        <w:rPr>
          <w:rFonts w:ascii="Times New Roman" w:eastAsia="Times New Roman" w:hAnsi="Times New Roman" w:cs="Times New Roman"/>
          <w:lang w:val="en-MY" w:eastAsia="en-MY"/>
        </w:rPr>
        <w:t>), butyrylcholinesterase (</w:t>
      </w:r>
      <w:proofErr w:type="spellStart"/>
      <w:r w:rsidRPr="00A73868">
        <w:rPr>
          <w:rFonts w:ascii="Times New Roman" w:eastAsia="Times New Roman" w:hAnsi="Times New Roman" w:cs="Times New Roman"/>
          <w:lang w:val="en-MY" w:eastAsia="en-MY"/>
        </w:rPr>
        <w:t>BChE</w:t>
      </w:r>
      <w:proofErr w:type="spellEnd"/>
      <w:r w:rsidRPr="00A73868">
        <w:rPr>
          <w:rFonts w:ascii="Times New Roman" w:eastAsia="Times New Roman" w:hAnsi="Times New Roman" w:cs="Times New Roman"/>
          <w:lang w:val="en-MY" w:eastAsia="en-MY"/>
        </w:rPr>
        <w:t xml:space="preserve">), </w:t>
      </w:r>
      <w:r w:rsidRPr="00A73868">
        <w:rPr>
          <w:rFonts w:ascii="Times New Roman" w:hAnsi="Times New Roman" w:cs="Times New Roman"/>
          <w:lang w:val="en-MY"/>
        </w:rPr>
        <w:t>α</w:t>
      </w:r>
      <w:r w:rsidRPr="00A73868">
        <w:rPr>
          <w:rFonts w:ascii="Times New Roman" w:eastAsia="Times New Roman" w:hAnsi="Times New Roman" w:cs="Times New Roman"/>
          <w:lang w:val="en-MY" w:eastAsia="en-MY"/>
        </w:rPr>
        <w:t xml:space="preserve">-glucosidase, </w:t>
      </w:r>
      <w:r w:rsidRPr="00A73868">
        <w:rPr>
          <w:rFonts w:ascii="Times New Roman" w:hAnsi="Times New Roman" w:cs="Times New Roman"/>
          <w:lang w:val="en-MY"/>
        </w:rPr>
        <w:t>α</w:t>
      </w:r>
      <w:r w:rsidRPr="00A73868">
        <w:rPr>
          <w:rFonts w:ascii="Times New Roman" w:eastAsia="Times New Roman" w:hAnsi="Times New Roman" w:cs="Times New Roman"/>
          <w:lang w:val="en-MY" w:eastAsia="en-MY"/>
        </w:rPr>
        <w:t>-amylase, and tyrosinase) assays were carried out for biological evaluation. The cytotoxicity was tested against MCF-7 and MDA-MB-231 breast cell lines. The root-methanol extract contained the highest levels of phenolics (37.69 mg gallic acid equivalent/g extract) and flavonoids (83.0 mg quercetin equivalent/g extract)</w:t>
      </w:r>
      <w:r w:rsidRPr="00A73868">
        <w:rPr>
          <w:rFonts w:ascii="Times New Roman" w:hAnsi="Times New Roman" w:cs="Times New Roman"/>
        </w:rPr>
        <w:t xml:space="preserve"> contents, and was also the most active for DPPH (</w:t>
      </w:r>
      <w:r w:rsidRPr="00A73868">
        <w:rPr>
          <w:rFonts w:ascii="Times New Roman" w:hAnsi="Times New Roman" w:cs="Times New Roman"/>
          <w:color w:val="000000"/>
        </w:rPr>
        <w:t>50.04</w:t>
      </w:r>
      <w:r w:rsidRPr="00A73868">
        <w:t xml:space="preserve"> </w:t>
      </w:r>
      <w:r w:rsidRPr="00A73868">
        <w:rPr>
          <w:rFonts w:ascii="Times New Roman" w:hAnsi="Times New Roman" w:cs="Times New Roman"/>
          <w:color w:val="000000"/>
        </w:rPr>
        <w:t xml:space="preserve">mg </w:t>
      </w:r>
      <w:r w:rsidRPr="00A73868">
        <w:rPr>
          <w:rFonts w:ascii="Times New Roman" w:eastAsia="Times New Roman" w:hAnsi="Times New Roman" w:cs="Times New Roman"/>
          <w:lang w:val="en-MY" w:eastAsia="en-MY"/>
        </w:rPr>
        <w:t>Trolox equivalent</w:t>
      </w:r>
      <w:r w:rsidRPr="00A73868">
        <w:rPr>
          <w:rFonts w:ascii="Times New Roman" w:hAnsi="Times New Roman" w:cs="Times New Roman"/>
          <w:color w:val="000000"/>
        </w:rPr>
        <w:t>/g extract</w:t>
      </w:r>
      <w:r w:rsidRPr="00A73868">
        <w:rPr>
          <w:rFonts w:ascii="Times New Roman" w:hAnsi="Times New Roman" w:cs="Times New Roman"/>
        </w:rPr>
        <w:t>) and CUPRAC (</w:t>
      </w:r>
      <w:r w:rsidRPr="00A73868">
        <w:rPr>
          <w:rFonts w:ascii="Times New Roman" w:hAnsi="Times New Roman" w:cs="Times New Roman"/>
          <w:color w:val="000000"/>
        </w:rPr>
        <w:t>139.96</w:t>
      </w:r>
      <w:r w:rsidRPr="00A73868">
        <w:t xml:space="preserve"> </w:t>
      </w:r>
      <w:r w:rsidRPr="00A73868">
        <w:rPr>
          <w:rFonts w:ascii="Times New Roman" w:hAnsi="Times New Roman" w:cs="Times New Roman"/>
          <w:color w:val="000000"/>
        </w:rPr>
        <w:t xml:space="preserve">mg </w:t>
      </w:r>
      <w:r w:rsidRPr="00A73868">
        <w:rPr>
          <w:rFonts w:ascii="Times New Roman" w:eastAsia="Times New Roman" w:hAnsi="Times New Roman" w:cs="Times New Roman"/>
          <w:lang w:val="en-MY" w:eastAsia="en-MY"/>
        </w:rPr>
        <w:t>Trolox equivalent</w:t>
      </w:r>
      <w:r w:rsidRPr="00A73868">
        <w:rPr>
          <w:rFonts w:ascii="Times New Roman" w:hAnsi="Times New Roman" w:cs="Times New Roman"/>
          <w:color w:val="000000"/>
        </w:rPr>
        <w:t xml:space="preserve"> /g extract</w:t>
      </w:r>
      <w:r w:rsidRPr="00A73868">
        <w:rPr>
          <w:rFonts w:ascii="Times New Roman" w:hAnsi="Times New Roman" w:cs="Times New Roman"/>
        </w:rPr>
        <w:t xml:space="preserve">) antioxidant assays. Likewise, the aerial-methanol extract exhibited maximum activity for ABTS </w:t>
      </w:r>
      <w:r w:rsidRPr="00A73868">
        <w:rPr>
          <w:rFonts w:asciiTheme="majorBidi" w:hAnsiTheme="majorBidi" w:cstheme="majorBidi"/>
        </w:rPr>
        <w:t>(</w:t>
      </w:r>
      <w:r w:rsidRPr="00A73868">
        <w:rPr>
          <w:rFonts w:asciiTheme="majorBidi" w:hAnsiTheme="majorBidi" w:cstheme="majorBidi"/>
          <w:color w:val="000000"/>
        </w:rPr>
        <w:t>94.05</w:t>
      </w:r>
      <w:r w:rsidRPr="00A73868">
        <w:t xml:space="preserve"> </w:t>
      </w:r>
      <w:r w:rsidRPr="00A73868">
        <w:rPr>
          <w:rFonts w:asciiTheme="majorBidi" w:hAnsiTheme="majorBidi" w:cstheme="majorBidi"/>
          <w:color w:val="000000"/>
        </w:rPr>
        <w:t xml:space="preserve">mg </w:t>
      </w:r>
      <w:r w:rsidRPr="00A73868">
        <w:rPr>
          <w:rFonts w:ascii="Times New Roman" w:eastAsia="Times New Roman" w:hAnsi="Times New Roman" w:cs="Times New Roman"/>
          <w:lang w:val="en-MY" w:eastAsia="en-MY"/>
        </w:rPr>
        <w:t>Trolox equivalent</w:t>
      </w:r>
      <w:r w:rsidRPr="00A73868">
        <w:rPr>
          <w:rFonts w:asciiTheme="majorBidi" w:hAnsiTheme="majorBidi" w:cstheme="majorBidi"/>
          <w:color w:val="000000"/>
        </w:rPr>
        <w:t>/g extract</w:t>
      </w:r>
      <w:r w:rsidRPr="00A73868">
        <w:rPr>
          <w:rFonts w:asciiTheme="majorBidi" w:hAnsiTheme="majorBidi" w:cstheme="majorBidi"/>
        </w:rPr>
        <w:t>) and FRAP (</w:t>
      </w:r>
      <w:r w:rsidRPr="00A73868">
        <w:rPr>
          <w:rFonts w:asciiTheme="majorBidi" w:hAnsiTheme="majorBidi" w:cstheme="majorBidi"/>
          <w:color w:val="000000"/>
        </w:rPr>
        <w:t>64.23</w:t>
      </w:r>
      <w:r w:rsidRPr="00A73868">
        <w:t xml:space="preserve"> </w:t>
      </w:r>
      <w:r w:rsidRPr="00A73868">
        <w:rPr>
          <w:rFonts w:asciiTheme="majorBidi" w:hAnsiTheme="majorBidi" w:cstheme="majorBidi"/>
          <w:color w:val="000000"/>
        </w:rPr>
        <w:t xml:space="preserve">mg </w:t>
      </w:r>
      <w:r w:rsidRPr="00A73868">
        <w:rPr>
          <w:rFonts w:ascii="Times New Roman" w:eastAsia="Times New Roman" w:hAnsi="Times New Roman" w:cs="Times New Roman"/>
          <w:lang w:val="en-MY" w:eastAsia="en-MY"/>
        </w:rPr>
        <w:t>Trolox equivalent</w:t>
      </w:r>
      <w:r w:rsidRPr="00A73868">
        <w:rPr>
          <w:rFonts w:asciiTheme="majorBidi" w:hAnsiTheme="majorBidi" w:cstheme="majorBidi"/>
          <w:color w:val="000000"/>
        </w:rPr>
        <w:t>/g extract</w:t>
      </w:r>
      <w:r w:rsidRPr="00A73868">
        <w:rPr>
          <w:rFonts w:asciiTheme="majorBidi" w:hAnsiTheme="majorBidi" w:cstheme="majorBidi"/>
        </w:rPr>
        <w:t>) assays.</w:t>
      </w:r>
      <w:r w:rsidRPr="00A73868">
        <w:rPr>
          <w:rFonts w:ascii="Times New Roman" w:eastAsia="Times New Roman" w:hAnsi="Times New Roman" w:cs="Times New Roman"/>
          <w:lang w:val="en-MY" w:eastAsia="en-MY"/>
        </w:rPr>
        <w:t xml:space="preserve"> </w:t>
      </w:r>
      <w:r w:rsidRPr="00A73868">
        <w:rPr>
          <w:rFonts w:ascii="Times New Roman" w:hAnsi="Times New Roman" w:cs="Times New Roman"/>
        </w:rPr>
        <w:t>The aerial-DCM extract was noted to be a convincing cholinesterase (</w:t>
      </w:r>
      <w:proofErr w:type="spellStart"/>
      <w:r w:rsidRPr="00A73868">
        <w:rPr>
          <w:rFonts w:ascii="Times New Roman" w:hAnsi="Times New Roman" w:cs="Times New Roman"/>
        </w:rPr>
        <w:t>AChE</w:t>
      </w:r>
      <w:proofErr w:type="spellEnd"/>
      <w:r w:rsidRPr="00A73868">
        <w:rPr>
          <w:rFonts w:ascii="Times New Roman" w:hAnsi="Times New Roman" w:cs="Times New Roman"/>
        </w:rPr>
        <w:t xml:space="preserve">; 4.01 and </w:t>
      </w:r>
      <w:proofErr w:type="spellStart"/>
      <w:r w:rsidRPr="00A73868">
        <w:rPr>
          <w:rFonts w:ascii="Times New Roman" w:hAnsi="Times New Roman" w:cs="Times New Roman"/>
        </w:rPr>
        <w:t>BChE</w:t>
      </w:r>
      <w:proofErr w:type="spellEnd"/>
      <w:r w:rsidRPr="00A73868">
        <w:rPr>
          <w:rFonts w:ascii="Times New Roman" w:hAnsi="Times New Roman" w:cs="Times New Roman"/>
        </w:rPr>
        <w:t xml:space="preserve">; 4.28 mg </w:t>
      </w:r>
      <w:r w:rsidRPr="00A73868">
        <w:rPr>
          <w:rFonts w:ascii="Times New Roman" w:eastAsia="Times New Roman" w:hAnsi="Times New Roman" w:cs="Times New Roman"/>
          <w:lang w:val="en-MY" w:eastAsia="en-MY"/>
        </w:rPr>
        <w:t>galantamine equivalent</w:t>
      </w:r>
      <w:r w:rsidRPr="00A73868">
        <w:rPr>
          <w:rFonts w:ascii="Times New Roman" w:hAnsi="Times New Roman" w:cs="Times New Roman"/>
        </w:rPr>
        <w:t xml:space="preserve">/g extract), and α-glucosidase inhibitor (1.92 mmol acarbose equivalent/g extract). All of the extracts exhibited weak to modest toxicity against the tested cell lines. </w:t>
      </w:r>
      <w:r w:rsidRPr="00A73868">
        <w:rPr>
          <w:rFonts w:ascii="Times New Roman" w:eastAsia="Times New Roman" w:hAnsi="Times New Roman" w:cs="Times New Roman"/>
          <w:lang w:val="en-MY" w:eastAsia="en-MY"/>
        </w:rPr>
        <w:t xml:space="preserve">A considerable quantities of gallic acid, catechin, 4-OH benzoic acid, syringic acid, vanillic acid, 3-OH-4-MeO benzaldehyde, epicatechin, </w:t>
      </w:r>
      <w:r w:rsidRPr="00A73868">
        <w:rPr>
          <w:rFonts w:ascii="Times New Roman" w:eastAsia="Times New Roman" w:hAnsi="Times New Roman" w:cs="Times New Roman"/>
          <w:i/>
          <w:iCs/>
          <w:lang w:val="en-MY" w:eastAsia="en-MY"/>
        </w:rPr>
        <w:t>p</w:t>
      </w:r>
      <w:r w:rsidRPr="00A73868">
        <w:rPr>
          <w:rFonts w:ascii="Times New Roman" w:eastAsia="Times New Roman" w:hAnsi="Times New Roman" w:cs="Times New Roman"/>
          <w:lang w:val="en-MY" w:eastAsia="en-MY"/>
        </w:rPr>
        <w:t xml:space="preserve">-coumaric acid, </w:t>
      </w:r>
      <w:proofErr w:type="spellStart"/>
      <w:r w:rsidRPr="00A73868">
        <w:rPr>
          <w:rFonts w:ascii="Times New Roman" w:eastAsia="Times New Roman" w:hAnsi="Times New Roman" w:cs="Times New Roman"/>
          <w:lang w:val="en-MY" w:eastAsia="en-MY"/>
        </w:rPr>
        <w:t>rutin</w:t>
      </w:r>
      <w:proofErr w:type="spellEnd"/>
      <w:r w:rsidRPr="00A73868">
        <w:rPr>
          <w:rFonts w:ascii="Times New Roman" w:eastAsia="Times New Roman" w:hAnsi="Times New Roman" w:cs="Times New Roman"/>
          <w:lang w:val="en-MY" w:eastAsia="en-MY"/>
        </w:rPr>
        <w:t xml:space="preserve">, naringenin, and carvacrol were quantified </w:t>
      </w:r>
      <w:r w:rsidRPr="00A73868">
        <w:rPr>
          <w:rFonts w:ascii="Times New Roman" w:eastAsia="Times New Roman" w:hAnsi="Times New Roman" w:cs="Times New Roman"/>
          <w:i/>
          <w:iCs/>
          <w:lang w:val="en-MY" w:eastAsia="en-MY"/>
        </w:rPr>
        <w:t>via</w:t>
      </w:r>
      <w:r w:rsidRPr="00A73868">
        <w:rPr>
          <w:rFonts w:ascii="Times New Roman" w:eastAsia="Times New Roman" w:hAnsi="Times New Roman" w:cs="Times New Roman"/>
          <w:lang w:val="en-MY" w:eastAsia="en-MY"/>
        </w:rPr>
        <w:t xml:space="preserve"> HPLC-PDA analysis. UHPLC-MS analysis of methanolic extracts from roots and aerial parts revealed the tentative identification of important phytoconstituents such as polyphenols, saponins, flavonoids, and glycoside derivatives. To conclude, </w:t>
      </w:r>
      <w:r w:rsidRPr="00A73868">
        <w:rPr>
          <w:rFonts w:ascii="Times New Roman" w:hAnsi="Times New Roman" w:cs="Times New Roman"/>
          <w:iCs/>
        </w:rPr>
        <w:t>this plant</w:t>
      </w:r>
      <w:r w:rsidRPr="00A73868">
        <w:rPr>
          <w:rFonts w:ascii="Times New Roman" w:hAnsi="Times New Roman" w:cs="Times New Roman"/>
          <w:i/>
        </w:rPr>
        <w:t xml:space="preserve"> </w:t>
      </w:r>
      <w:r w:rsidRPr="00A73868">
        <w:rPr>
          <w:rFonts w:ascii="Times New Roman" w:hAnsi="Times New Roman" w:cs="Times New Roman"/>
        </w:rPr>
        <w:t xml:space="preserve">could be considered a promising source of origin for bioactive compounds with several therapeutic uses. </w:t>
      </w:r>
    </w:p>
    <w:p w14:paraId="5A7499BB" w14:textId="77777777" w:rsidR="00CE0A1C" w:rsidRPr="00A73868" w:rsidRDefault="00CE0A1C" w:rsidP="00CE0A1C">
      <w:pPr>
        <w:spacing w:line="480" w:lineRule="auto"/>
        <w:ind w:firstLine="720"/>
        <w:jc w:val="both"/>
        <w:rPr>
          <w:sz w:val="14"/>
          <w:szCs w:val="14"/>
        </w:rPr>
      </w:pPr>
    </w:p>
    <w:p w14:paraId="463A7EE3" w14:textId="77D981D2" w:rsidR="00CE0A1C" w:rsidRPr="00A73868" w:rsidRDefault="00CE0A1C" w:rsidP="00CE0A1C">
      <w:pPr>
        <w:spacing w:line="480" w:lineRule="auto"/>
        <w:jc w:val="both"/>
        <w:rPr>
          <w:rFonts w:ascii="Times New Roman" w:eastAsia="Times New Roman" w:hAnsi="Times New Roman" w:cs="Times New Roman"/>
          <w:lang w:val="en-MY" w:eastAsia="en-MY"/>
        </w:rPr>
      </w:pPr>
      <w:r w:rsidRPr="00A73868">
        <w:rPr>
          <w:rFonts w:ascii="Times New Roman" w:eastAsia="Times New Roman" w:hAnsi="Times New Roman" w:cs="Times New Roman"/>
          <w:b/>
          <w:lang w:val="en-MY" w:eastAsia="en-MY"/>
        </w:rPr>
        <w:t>Keywords:</w:t>
      </w:r>
      <w:r w:rsidRPr="00A73868">
        <w:rPr>
          <w:rFonts w:ascii="Times New Roman" w:eastAsia="Times New Roman" w:hAnsi="Times New Roman" w:cs="Times New Roman"/>
          <w:lang w:val="en-MY" w:eastAsia="en-MY"/>
        </w:rPr>
        <w:t xml:space="preserve"> </w:t>
      </w:r>
      <w:r w:rsidRPr="00A73868">
        <w:rPr>
          <w:rFonts w:ascii="Times New Roman" w:eastAsia="Times New Roman" w:hAnsi="Times New Roman" w:cs="Times New Roman"/>
          <w:i/>
          <w:lang w:val="en-MY" w:eastAsia="en-MY"/>
        </w:rPr>
        <w:t xml:space="preserve">Crotalaria </w:t>
      </w:r>
      <w:proofErr w:type="spellStart"/>
      <w:r w:rsidRPr="00A73868">
        <w:rPr>
          <w:rFonts w:ascii="Times New Roman" w:eastAsia="Times New Roman" w:hAnsi="Times New Roman" w:cs="Times New Roman"/>
          <w:i/>
          <w:lang w:val="en-MY" w:eastAsia="en-MY"/>
        </w:rPr>
        <w:t>burhia</w:t>
      </w:r>
      <w:proofErr w:type="spellEnd"/>
      <w:r w:rsidRPr="00A73868">
        <w:rPr>
          <w:rFonts w:ascii="Times New Roman" w:eastAsia="Times New Roman" w:hAnsi="Times New Roman" w:cs="Times New Roman"/>
          <w:lang w:val="en-MY" w:eastAsia="en-MY"/>
        </w:rPr>
        <w:t>; secondary metabolites; antioxidants; enzyme inhibition; toxicity</w:t>
      </w:r>
    </w:p>
    <w:p w14:paraId="6E56460E" w14:textId="77777777" w:rsidR="0058428A" w:rsidRPr="00A73868" w:rsidRDefault="0058428A" w:rsidP="00CE0A1C">
      <w:pPr>
        <w:spacing w:line="480" w:lineRule="auto"/>
        <w:jc w:val="both"/>
        <w:rPr>
          <w:rFonts w:ascii="Times New Roman" w:hAnsi="Times New Roman" w:cs="Times New Roman"/>
          <w:b/>
        </w:rPr>
      </w:pPr>
    </w:p>
    <w:p w14:paraId="138F0316" w14:textId="77777777" w:rsidR="00A93969" w:rsidRPr="00A73868" w:rsidRDefault="00A93969" w:rsidP="00C55432">
      <w:pPr>
        <w:rPr>
          <w:rFonts w:ascii="Times New Roman" w:eastAsia="Times New Roman" w:hAnsi="Times New Roman" w:cs="Times New Roman"/>
          <w:lang w:val="en-MY" w:eastAsia="en-MY"/>
        </w:rPr>
      </w:pPr>
    </w:p>
    <w:p w14:paraId="7C799D0E" w14:textId="0D5FFA5B" w:rsidR="00FB02FD" w:rsidRPr="00A73868" w:rsidRDefault="00FB02FD" w:rsidP="00FB02FD">
      <w:pPr>
        <w:pStyle w:val="ListParagraph"/>
        <w:numPr>
          <w:ilvl w:val="0"/>
          <w:numId w:val="1"/>
        </w:numPr>
        <w:tabs>
          <w:tab w:val="left" w:pos="360"/>
        </w:tabs>
        <w:spacing w:line="480" w:lineRule="auto"/>
        <w:jc w:val="both"/>
        <w:textAlignment w:val="center"/>
        <w:outlineLvl w:val="1"/>
        <w:rPr>
          <w:rFonts w:ascii="Times New Roman" w:hAnsi="Times New Roman" w:cs="Times New Roman"/>
          <w:b/>
          <w:i/>
          <w:sz w:val="24"/>
          <w:szCs w:val="24"/>
        </w:rPr>
      </w:pPr>
      <w:r w:rsidRPr="00A73868">
        <w:rPr>
          <w:rFonts w:ascii="Times New Roman" w:hAnsi="Times New Roman" w:cs="Times New Roman"/>
          <w:b/>
          <w:i/>
          <w:sz w:val="24"/>
          <w:szCs w:val="24"/>
        </w:rPr>
        <w:t>Phytochemical Composition</w:t>
      </w:r>
    </w:p>
    <w:p w14:paraId="54998C8B" w14:textId="374AB58E" w:rsidR="00A93969" w:rsidRPr="00A73868" w:rsidRDefault="00A93969" w:rsidP="00FB02FD">
      <w:pPr>
        <w:pStyle w:val="ListParagraph"/>
        <w:numPr>
          <w:ilvl w:val="1"/>
          <w:numId w:val="1"/>
        </w:numPr>
        <w:tabs>
          <w:tab w:val="left" w:pos="360"/>
        </w:tabs>
        <w:spacing w:line="480" w:lineRule="auto"/>
        <w:jc w:val="both"/>
        <w:textAlignment w:val="center"/>
        <w:outlineLvl w:val="1"/>
        <w:rPr>
          <w:rFonts w:ascii="Times New Roman" w:hAnsi="Times New Roman" w:cs="Times New Roman"/>
          <w:bCs/>
          <w:i/>
          <w:sz w:val="24"/>
          <w:szCs w:val="24"/>
        </w:rPr>
      </w:pPr>
      <w:r w:rsidRPr="00A73868">
        <w:rPr>
          <w:rFonts w:ascii="Times New Roman" w:hAnsi="Times New Roman" w:cs="Times New Roman"/>
          <w:bCs/>
          <w:i/>
          <w:sz w:val="24"/>
          <w:szCs w:val="24"/>
        </w:rPr>
        <w:t>Total phenolic and Flavonoid content</w:t>
      </w:r>
    </w:p>
    <w:p w14:paraId="21B18B89" w14:textId="13EDF2F6" w:rsidR="00A93969" w:rsidRPr="00A73868" w:rsidRDefault="00A93969" w:rsidP="00A93969">
      <w:pPr>
        <w:tabs>
          <w:tab w:val="left" w:pos="2325"/>
        </w:tabs>
        <w:spacing w:line="480" w:lineRule="auto"/>
        <w:ind w:firstLine="630"/>
        <w:jc w:val="both"/>
        <w:textAlignment w:val="center"/>
        <w:outlineLvl w:val="1"/>
        <w:rPr>
          <w:rFonts w:ascii="Times New Roman" w:hAnsi="Times New Roman" w:cs="Times New Roman"/>
          <w:color w:val="000000"/>
          <w:shd w:val="clear" w:color="auto" w:fill="FFFFFF"/>
        </w:rPr>
      </w:pPr>
      <w:r w:rsidRPr="00A73868">
        <w:rPr>
          <w:rFonts w:ascii="Times New Roman" w:hAnsi="Times New Roman" w:cs="Times New Roman"/>
        </w:rPr>
        <w:t xml:space="preserve">Total phenolic and flavonoid contents were evaluated in the all crude extract as described previously </w:t>
      </w:r>
      <w:r w:rsidRPr="00A73868">
        <w:rPr>
          <w:rFonts w:ascii="Times New Roman" w:hAnsi="Times New Roman" w:cs="Times New Roman"/>
          <w:color w:val="000000"/>
        </w:rPr>
        <w:fldChar w:fldCharType="begin"/>
      </w:r>
      <w:r w:rsidR="00B043CF" w:rsidRPr="00A73868">
        <w:rPr>
          <w:rFonts w:ascii="Times New Roman" w:hAnsi="Times New Roman" w:cs="Times New Roman"/>
          <w:color w:val="000000"/>
        </w:rPr>
        <w:instrText xml:space="preserve"> ADDIN EN.CITE &lt;EndNote&gt;&lt;Cite&gt;&lt;Author&gt;Bahadori&lt;/Author&gt;&lt;Year&gt;2017&lt;/Year&gt;&lt;RecNum&gt;23&lt;/RecNum&gt;&lt;DisplayText&gt;(Bahadori et al., 2017;Grochowski et al., 2017)&lt;/DisplayText&gt;&lt;record&gt;&lt;rec-number&gt;23&lt;/rec-number&gt;&lt;foreign-keys&gt;&lt;key app="EN" db-id="sztarptsr5se2eee9ea5atft5zrzpzse20ff" timestamp="1554538092"&gt;23&lt;/key&gt;&lt;/foreign-keys&gt;&lt;ref-type name="Journal Article"&gt;17&lt;/ref-type&gt;&lt;contributors&gt;&lt;authors&gt;&lt;author&gt;Bahadori, Mir Babak&lt;/author&gt;&lt;author&gt;Asghari, Behvar&lt;/author&gt;&lt;author&gt;Dinparast, Leila&lt;/author&gt;&lt;author&gt;Zengin, Gokhan&lt;/author&gt;&lt;author&gt;Sarikurkcu, Cengiz&lt;/author&gt;&lt;author&gt;Abbas-Mohammadi, Mahdi&lt;/author&gt;&lt;author&gt;Bahadori, Shahram&lt;/author&gt;&lt;/authors&gt;&lt;/contributors&gt;&lt;titles&gt;&lt;title&gt;Salvia nemorosa L.: A novel source of bioactive agents with functional connections&lt;/title&gt;&lt;secondary-title&gt;LWT&lt;/secondary-title&gt;&lt;/titles&gt;&lt;periodical&gt;&lt;full-title&gt;LWT&lt;/full-title&gt;&lt;/periodical&gt;&lt;pages&gt;42-50&lt;/pages&gt;&lt;volume&gt;75&lt;/volume&gt;&lt;dates&gt;&lt;year&gt;2017&lt;/year&gt;&lt;/dates&gt;&lt;isbn&gt;0023-6438&lt;/isbn&gt;&lt;urls&gt;&lt;/urls&gt;&lt;/record&gt;&lt;/Cite&gt;&lt;Cite&gt;&lt;Author&gt;Grochowski&lt;/Author&gt;&lt;Year&gt;2017&lt;/Year&gt;&lt;RecNum&gt;4237&lt;/RecNum&gt;&lt;record&gt;&lt;rec-number&gt;4237&lt;/rec-number&gt;&lt;foreign-keys&gt;&lt;key app="EN" db-id="9vxp5trrpaa5p7eerx4va5xrprz0faa2peap" timestamp="1556266848"&gt;4237&lt;/key&gt;&lt;/foreign-keys&gt;&lt;ref-type name="Journal Article"&gt;17&lt;/ref-type&gt;&lt;contributors&gt;&lt;authors&gt;&lt;author&gt;Grochowski, Daniel M&lt;/author&gt;&lt;author&gt;Uysal, Sengul&lt;/author&gt;&lt;author&gt;Aktumsek, Abdurrahman&lt;/author&gt;&lt;author&gt;Granica, Sebastian&lt;/author&gt;&lt;author&gt;Zengin, Gokhan&lt;/author&gt;&lt;author&gt;Ceylan, Ramazan&lt;/author&gt;&lt;author&gt;Locatelli, Marcello&lt;/author&gt;&lt;author&gt;Tomczyk, Michał&lt;/author&gt;&lt;/authors&gt;&lt;/contributors&gt;&lt;titles&gt;&lt;title&gt;In vitro enzyme inhibitory properties, antioxidant activities, and phytochemical profile of Potentilla thuringiaca&lt;/title&gt;&lt;secondary-title&gt;Phytochemistry letters&lt;/secondary-title&gt;&lt;/titles&gt;&lt;periodical&gt;&lt;full-title&gt;Phytochemistry Letters&lt;/full-title&gt;&lt;/periodical&gt;&lt;pages&gt;365-372&lt;/pages&gt;&lt;volume&gt;20&lt;/volume&gt;&lt;dates&gt;&lt;year&gt;2017&lt;/year&gt;&lt;/dates&gt;&lt;isbn&gt;1874-3900&lt;/isbn&gt;&lt;urls&gt;&lt;/urls&gt;&lt;/record&gt;&lt;/Cite&gt;&lt;/EndNote&gt;</w:instrText>
      </w:r>
      <w:r w:rsidRPr="00A73868">
        <w:rPr>
          <w:rFonts w:ascii="Times New Roman" w:hAnsi="Times New Roman" w:cs="Times New Roman"/>
          <w:color w:val="000000"/>
        </w:rPr>
        <w:fldChar w:fldCharType="separate"/>
      </w:r>
      <w:r w:rsidR="00B043CF" w:rsidRPr="00A73868">
        <w:rPr>
          <w:rFonts w:ascii="Times New Roman" w:hAnsi="Times New Roman" w:cs="Times New Roman"/>
          <w:noProof/>
          <w:color w:val="000000"/>
        </w:rPr>
        <w:t>(Bahadori et al., 2017;Grochowski et al., 2017)</w:t>
      </w:r>
      <w:r w:rsidRPr="00A73868">
        <w:rPr>
          <w:rFonts w:ascii="Times New Roman" w:hAnsi="Times New Roman" w:cs="Times New Roman"/>
          <w:color w:val="000000"/>
        </w:rPr>
        <w:fldChar w:fldCharType="end"/>
      </w:r>
      <w:r w:rsidRPr="00A73868">
        <w:rPr>
          <w:rFonts w:ascii="Times New Roman" w:hAnsi="Times New Roman" w:cs="Times New Roman"/>
        </w:rPr>
        <w:t xml:space="preserve"> </w:t>
      </w:r>
      <w:r w:rsidRPr="00A73868">
        <w:rPr>
          <w:rFonts w:ascii="Times New Roman" w:hAnsi="Times New Roman" w:cs="Times New Roman"/>
          <w:color w:val="000000"/>
          <w:shd w:val="clear" w:color="auto" w:fill="FFFFFF"/>
        </w:rPr>
        <w:t>by means of a well-known procedure as follow.</w:t>
      </w:r>
    </w:p>
    <w:p w14:paraId="3342D4D9" w14:textId="77777777" w:rsidR="00A93969" w:rsidRPr="00A73868" w:rsidRDefault="00A93969" w:rsidP="00A93969">
      <w:pPr>
        <w:tabs>
          <w:tab w:val="left" w:pos="2325"/>
        </w:tabs>
        <w:spacing w:line="480" w:lineRule="auto"/>
        <w:ind w:firstLine="630"/>
        <w:jc w:val="both"/>
        <w:textAlignment w:val="center"/>
        <w:outlineLvl w:val="1"/>
        <w:rPr>
          <w:rFonts w:ascii="Times New Roman" w:hAnsi="Times New Roman" w:cs="Times New Roman"/>
          <w:color w:val="000000"/>
          <w:shd w:val="clear" w:color="auto" w:fill="FFFFFF"/>
        </w:rPr>
      </w:pPr>
      <w:r w:rsidRPr="00A73868">
        <w:rPr>
          <w:rFonts w:ascii="Times New Roman" w:hAnsi="Times New Roman" w:cs="Times New Roman"/>
          <w:color w:val="000000"/>
          <w:shd w:val="clear" w:color="auto" w:fill="FFFFFF"/>
        </w:rPr>
        <w:t xml:space="preserve"> For the</w:t>
      </w:r>
      <w:r w:rsidRPr="00A73868">
        <w:rPr>
          <w:rFonts w:ascii="Times New Roman" w:hAnsi="Times New Roman" w:cs="Times New Roman"/>
          <w:b/>
          <w:color w:val="000000"/>
          <w:shd w:val="clear" w:color="auto" w:fill="FFFFFF"/>
        </w:rPr>
        <w:t xml:space="preserve"> </w:t>
      </w:r>
      <w:r w:rsidRPr="00A73868">
        <w:rPr>
          <w:rFonts w:ascii="Times New Roman" w:hAnsi="Times New Roman" w:cs="Times New Roman"/>
          <w:bCs/>
          <w:color w:val="000000"/>
          <w:shd w:val="clear" w:color="auto" w:fill="FFFFFF"/>
        </w:rPr>
        <w:t>total phenolic content,</w:t>
      </w:r>
      <w:r w:rsidRPr="00A73868">
        <w:rPr>
          <w:rFonts w:ascii="Times New Roman" w:hAnsi="Times New Roman" w:cs="Times New Roman"/>
          <w:color w:val="000000"/>
          <w:shd w:val="clear" w:color="auto" w:fill="FFFFFF"/>
        </w:rPr>
        <w:t xml:space="preserve"> 0.25 mL of the sample solution (1 mg/mL) was mixed with the diluted (1:9, v/v) </w:t>
      </w:r>
      <w:proofErr w:type="spellStart"/>
      <w:r w:rsidRPr="00A73868">
        <w:rPr>
          <w:rFonts w:ascii="Times New Roman" w:hAnsi="Times New Roman" w:cs="Times New Roman"/>
          <w:color w:val="000000"/>
          <w:shd w:val="clear" w:color="auto" w:fill="FFFFFF"/>
        </w:rPr>
        <w:t>Folin</w:t>
      </w:r>
      <w:proofErr w:type="spellEnd"/>
      <w:r w:rsidRPr="00A73868">
        <w:rPr>
          <w:rFonts w:ascii="Times New Roman" w:hAnsi="Times New Roman" w:cs="Times New Roman"/>
          <w:color w:val="000000"/>
          <w:shd w:val="clear" w:color="auto" w:fill="FFFFFF"/>
        </w:rPr>
        <w:t>–</w:t>
      </w:r>
      <w:proofErr w:type="spellStart"/>
      <w:r w:rsidRPr="00A73868">
        <w:rPr>
          <w:rFonts w:ascii="Times New Roman" w:hAnsi="Times New Roman" w:cs="Times New Roman"/>
          <w:color w:val="000000"/>
          <w:shd w:val="clear" w:color="auto" w:fill="FFFFFF"/>
        </w:rPr>
        <w:t>Ciocalteu</w:t>
      </w:r>
      <w:proofErr w:type="spellEnd"/>
      <w:r w:rsidRPr="00A73868">
        <w:rPr>
          <w:rFonts w:ascii="Times New Roman" w:hAnsi="Times New Roman" w:cs="Times New Roman"/>
          <w:color w:val="000000"/>
          <w:shd w:val="clear" w:color="auto" w:fill="FFFFFF"/>
        </w:rPr>
        <w:t xml:space="preserve"> reagent (1 mL). 0.75 mL of a Na</w:t>
      </w:r>
      <w:r w:rsidRPr="00A73868">
        <w:rPr>
          <w:rFonts w:ascii="Times New Roman" w:hAnsi="Times New Roman" w:cs="Times New Roman"/>
          <w:color w:val="000000"/>
          <w:shd w:val="clear" w:color="auto" w:fill="FFFFFF"/>
          <w:vertAlign w:val="subscript"/>
        </w:rPr>
        <w:t>2</w:t>
      </w:r>
      <w:r w:rsidRPr="00A73868">
        <w:rPr>
          <w:rFonts w:ascii="Times New Roman" w:hAnsi="Times New Roman" w:cs="Times New Roman"/>
          <w:color w:val="000000"/>
          <w:shd w:val="clear" w:color="auto" w:fill="FFFFFF"/>
        </w:rPr>
        <w:t>CO</w:t>
      </w:r>
      <w:r w:rsidRPr="00A73868">
        <w:rPr>
          <w:rFonts w:ascii="Times New Roman" w:hAnsi="Times New Roman" w:cs="Times New Roman"/>
          <w:color w:val="000000"/>
          <w:shd w:val="clear" w:color="auto" w:fill="FFFFFF"/>
          <w:vertAlign w:val="subscript"/>
        </w:rPr>
        <w:t>3</w:t>
      </w:r>
      <w:r w:rsidRPr="00A73868">
        <w:rPr>
          <w:rFonts w:ascii="Times New Roman" w:hAnsi="Times New Roman" w:cs="Times New Roman"/>
          <w:color w:val="000000"/>
          <w:shd w:val="clear" w:color="auto" w:fill="FFFFFF"/>
        </w:rPr>
        <w:t xml:space="preserve"> solution (1%) was added after 3 min and then the sample absorbance was read at 760 nm after 2 h of incubation at room temperature. </w:t>
      </w:r>
    </w:p>
    <w:p w14:paraId="25EC46A6" w14:textId="77777777" w:rsidR="00A93969" w:rsidRPr="00A73868" w:rsidRDefault="00A93969" w:rsidP="00A93969">
      <w:pPr>
        <w:tabs>
          <w:tab w:val="left" w:pos="2325"/>
        </w:tabs>
        <w:spacing w:line="480" w:lineRule="auto"/>
        <w:ind w:firstLine="630"/>
        <w:jc w:val="both"/>
        <w:textAlignment w:val="center"/>
        <w:outlineLvl w:val="1"/>
        <w:rPr>
          <w:rFonts w:ascii="Times New Roman" w:hAnsi="Times New Roman" w:cs="Times New Roman"/>
        </w:rPr>
      </w:pPr>
      <w:r w:rsidRPr="00A73868">
        <w:rPr>
          <w:rFonts w:ascii="Times New Roman" w:hAnsi="Times New Roman" w:cs="Times New Roman"/>
          <w:color w:val="000000"/>
          <w:shd w:val="clear" w:color="auto" w:fill="FFFFFF"/>
        </w:rPr>
        <w:t>For the</w:t>
      </w:r>
      <w:r w:rsidRPr="00A73868">
        <w:rPr>
          <w:rFonts w:ascii="Times New Roman" w:hAnsi="Times New Roman" w:cs="Times New Roman"/>
          <w:b/>
          <w:color w:val="000000"/>
          <w:shd w:val="clear" w:color="auto" w:fill="FFFFFF"/>
        </w:rPr>
        <w:t xml:space="preserve"> </w:t>
      </w:r>
      <w:r w:rsidRPr="00A73868">
        <w:rPr>
          <w:rFonts w:ascii="Times New Roman" w:hAnsi="Times New Roman" w:cs="Times New Roman"/>
          <w:bCs/>
          <w:color w:val="000000"/>
          <w:shd w:val="clear" w:color="auto" w:fill="FFFFFF"/>
        </w:rPr>
        <w:t>total flavonoid content,</w:t>
      </w:r>
      <w:r w:rsidRPr="00A73868">
        <w:rPr>
          <w:rFonts w:ascii="Times New Roman" w:hAnsi="Times New Roman" w:cs="Times New Roman"/>
          <w:color w:val="000000"/>
          <w:shd w:val="clear" w:color="auto" w:fill="FFFFFF"/>
        </w:rPr>
        <w:t xml:space="preserve"> 1 mL of the sample solution (1 mg/mL) was mixed with an equal volume of </w:t>
      </w:r>
      <w:proofErr w:type="spellStart"/>
      <w:r w:rsidRPr="00A73868">
        <w:rPr>
          <w:rFonts w:ascii="Times New Roman" w:hAnsi="Times New Roman" w:cs="Times New Roman"/>
          <w:color w:val="000000"/>
          <w:shd w:val="clear" w:color="auto" w:fill="FFFFFF"/>
        </w:rPr>
        <w:t>aluminium</w:t>
      </w:r>
      <w:proofErr w:type="spellEnd"/>
      <w:r w:rsidRPr="00A73868">
        <w:rPr>
          <w:rFonts w:ascii="Times New Roman" w:hAnsi="Times New Roman" w:cs="Times New Roman"/>
          <w:color w:val="000000"/>
          <w:shd w:val="clear" w:color="auto" w:fill="FFFFFF"/>
        </w:rPr>
        <w:t xml:space="preserve"> chloride (2%) solution in methanol and the absorbance was read at 415 nm after 10 min of incubation at room temperature.</w:t>
      </w:r>
      <w:r w:rsidRPr="00A73868">
        <w:rPr>
          <w:rFonts w:ascii="Times New Roman" w:hAnsi="Times New Roman" w:cs="Times New Roman"/>
        </w:rPr>
        <w:t xml:space="preserve"> The outcomes of total phenolic constituents were reported as equivalents of gallic acid (mg GAE/g extract) while the results of total flavonoid constituents were recorded as equivalents of </w:t>
      </w:r>
      <w:proofErr w:type="spellStart"/>
      <w:r w:rsidRPr="00A73868">
        <w:rPr>
          <w:rFonts w:ascii="Times New Roman" w:hAnsi="Times New Roman" w:cs="Times New Roman"/>
        </w:rPr>
        <w:t>rutin</w:t>
      </w:r>
      <w:proofErr w:type="spellEnd"/>
      <w:r w:rsidRPr="00A73868">
        <w:rPr>
          <w:rFonts w:ascii="Times New Roman" w:hAnsi="Times New Roman" w:cs="Times New Roman"/>
        </w:rPr>
        <w:t xml:space="preserve"> (mg RE/g extract).</w:t>
      </w:r>
    </w:p>
    <w:p w14:paraId="745F2285" w14:textId="3D4AD3A8" w:rsidR="00D215F8" w:rsidRPr="00A73868" w:rsidRDefault="00D215F8">
      <w:pPr>
        <w:rPr>
          <w:rFonts w:ascii="Times New Roman" w:hAnsi="Times New Roman" w:cs="Times New Roman"/>
        </w:rPr>
      </w:pPr>
      <w:r w:rsidRPr="00A73868">
        <w:rPr>
          <w:rFonts w:ascii="Times New Roman" w:hAnsi="Times New Roman" w:cs="Times New Roman"/>
        </w:rPr>
        <w:br w:type="page"/>
      </w:r>
    </w:p>
    <w:p w14:paraId="2CEC3F5C" w14:textId="62166046" w:rsidR="00A93969" w:rsidRPr="00A73868" w:rsidRDefault="00A93969" w:rsidP="00FB02FD">
      <w:pPr>
        <w:pStyle w:val="ListParagraph"/>
        <w:numPr>
          <w:ilvl w:val="1"/>
          <w:numId w:val="1"/>
        </w:numPr>
        <w:spacing w:line="480" w:lineRule="auto"/>
        <w:jc w:val="both"/>
        <w:rPr>
          <w:rFonts w:ascii="Times New Roman" w:hAnsi="Times New Roman" w:cs="Times New Roman"/>
          <w:bCs/>
          <w:i/>
          <w:iCs/>
          <w:sz w:val="24"/>
          <w:szCs w:val="24"/>
        </w:rPr>
      </w:pPr>
      <w:r w:rsidRPr="00A73868">
        <w:rPr>
          <w:rFonts w:ascii="Times New Roman" w:hAnsi="Times New Roman" w:cs="Times New Roman"/>
          <w:bCs/>
          <w:i/>
          <w:iCs/>
          <w:sz w:val="24"/>
          <w:szCs w:val="24"/>
        </w:rPr>
        <w:lastRenderedPageBreak/>
        <w:t>UHPLC-MS-Instrumentation</w:t>
      </w:r>
    </w:p>
    <w:p w14:paraId="6FCD99BE" w14:textId="41448103" w:rsidR="00D215F8" w:rsidRPr="00A73868" w:rsidRDefault="00A93969" w:rsidP="00A93969">
      <w:pPr>
        <w:spacing w:line="480" w:lineRule="auto"/>
        <w:ind w:firstLine="720"/>
        <w:jc w:val="both"/>
        <w:rPr>
          <w:rFonts w:ascii="Times New Roman" w:hAnsi="Times New Roman" w:cs="Times New Roman"/>
        </w:rPr>
      </w:pPr>
      <w:r w:rsidRPr="00A73868">
        <w:rPr>
          <w:rFonts w:ascii="Times New Roman" w:hAnsi="Times New Roman" w:cs="Times New Roman"/>
        </w:rPr>
        <w:t xml:space="preserve">Secondary metabolites were evaluated by RP-UHPLC-MS. UHPLC of Agilent 1290 Infinity LC system coupled to Agilent 6520 Accurate-Mass Q-TOF mass spectrometer with dual ESI source was used. Column specifications were as: Agilent </w:t>
      </w:r>
      <w:proofErr w:type="spellStart"/>
      <w:r w:rsidRPr="00A73868">
        <w:rPr>
          <w:rFonts w:ascii="Times New Roman" w:hAnsi="Times New Roman" w:cs="Times New Roman"/>
        </w:rPr>
        <w:t>Zorbax</w:t>
      </w:r>
      <w:proofErr w:type="spellEnd"/>
      <w:r w:rsidRPr="00A73868">
        <w:rPr>
          <w:rFonts w:ascii="Times New Roman" w:hAnsi="Times New Roman" w:cs="Times New Roman"/>
        </w:rPr>
        <w:t xml:space="preserve"> Eclipse XDB-C18, narrow-bore 2.1 x 150 mm, 3.5 micron (P/N: 930990-902). Column and auto-sampler temperature were maintained at 25 °C and 4 °C, respectively. Flow rate was 0.5 mL/min. Mobile phases used were: A - 0.1% formic acid in water, B - 0.1% formic acid in acetonitrile. Injection volume was 1.0 µL. Run time was 25 min and post-run time was 5 min. Full scan MS analysis was done over a range of </w:t>
      </w:r>
      <w:r w:rsidRPr="00A73868">
        <w:rPr>
          <w:rFonts w:ascii="Times New Roman" w:hAnsi="Times New Roman" w:cs="Times New Roman"/>
          <w:i/>
        </w:rPr>
        <w:t>m/z</w:t>
      </w:r>
      <w:r w:rsidRPr="00A73868">
        <w:rPr>
          <w:rFonts w:ascii="Times New Roman" w:hAnsi="Times New Roman" w:cs="Times New Roman"/>
        </w:rPr>
        <w:t xml:space="preserve"> 100-1000 using electrospray ion source in negative mode. Nitrogen was supplied as nebulizing and drying gas at flow rates of 25 and 600 L/hour, respectively. The drying gas temperature was 350</w:t>
      </w:r>
      <w:r w:rsidRPr="00A73868">
        <w:rPr>
          <w:rFonts w:ascii="Times New Roman" w:hAnsi="Times New Roman" w:cs="Times New Roman"/>
          <w:vertAlign w:val="superscript"/>
        </w:rPr>
        <w:t xml:space="preserve"> </w:t>
      </w:r>
      <w:r w:rsidRPr="00A73868">
        <w:rPr>
          <w:rFonts w:ascii="Times New Roman" w:hAnsi="Times New Roman" w:cs="Times New Roman"/>
        </w:rPr>
        <w:t>°C. The fragmentation voltage was optimized to 125 V. Analysis was performed with a capillary voltage of 3500 V. Data was processed with Agilent Mass Hunter Qualitative Analysis B.05.00 (Method: Metabolomics-2017- 00004.m). Identification of compounds was done from Search Database: METLIN_AM_PCDL-N- 170502.cdb, with parameters as: Match tolerance: 5 ppm, Positive Ions: +H, +Na, +NH</w:t>
      </w:r>
      <w:r w:rsidRPr="00A73868">
        <w:rPr>
          <w:rFonts w:ascii="Times New Roman" w:hAnsi="Times New Roman" w:cs="Times New Roman"/>
          <w:vertAlign w:val="subscript"/>
        </w:rPr>
        <w:t>4</w:t>
      </w:r>
      <w:r w:rsidRPr="00A73868">
        <w:rPr>
          <w:rFonts w:ascii="Times New Roman" w:hAnsi="Times New Roman" w:cs="Times New Roman"/>
        </w:rPr>
        <w:t xml:space="preserve">, Negative Ions: -H </w:t>
      </w:r>
      <w:r w:rsidRPr="00A73868">
        <w:rPr>
          <w:rFonts w:ascii="Times New Roman" w:hAnsi="Times New Roman" w:cs="Times New Roman"/>
        </w:rPr>
        <w:fldChar w:fldCharType="begin"/>
      </w:r>
      <w:r w:rsidR="00B043CF" w:rsidRPr="00A73868">
        <w:rPr>
          <w:rFonts w:ascii="Times New Roman" w:hAnsi="Times New Roman" w:cs="Times New Roman"/>
        </w:rPr>
        <w:instrText xml:space="preserve"> ADDIN EN.CITE &lt;EndNote&gt;&lt;Cite&gt;&lt;Author&gt;Saleem&lt;/Author&gt;&lt;Year&gt;2019&lt;/Year&gt;&lt;RecNum&gt;759&lt;/RecNum&gt;&lt;DisplayText&gt;(Saleem et al., 2019)&lt;/DisplayText&gt;&lt;record&gt;&lt;rec-number&gt;759&lt;/rec-number&gt;&lt;foreign-keys&gt;&lt;key app="EN" db-id="zxfx0dt2k9wf9red50d5zr9szxrxtafzs5dp" timestamp="1645546877"&gt;759&lt;/key&gt;&lt;/foreign-keys&gt;&lt;ref-type name="Journal Article"&gt;17&lt;/ref-type&gt;&lt;contributors&gt;&lt;authors&gt;&lt;author&gt;Saleem, Hammad&lt;/author&gt;&lt;author&gt;Htar, Thet Thet&lt;/author&gt;&lt;author&gt;Naidu, Rakesh&lt;/author&gt;&lt;author&gt;Nawawi, Nurziana Sharmilla&lt;/author&gt;&lt;author&gt;Ahmad, Irshad&lt;/author&gt;&lt;author&gt;Ashraf, Muhammad&lt;/author&gt;&lt;author&gt;Ahemad, Nafees&lt;/author&gt;&lt;/authors&gt;&lt;/contributors&gt;&lt;titles&gt;&lt;title&gt;Biological, chemical and toxicological perspectives on aerial and roots of Filago germanica (L.) huds: Functional approaches for novel phyto-pharmaceuticals&lt;/title&gt;&lt;secondary-title&gt;Food and Chemical Toxicology&lt;/secondary-title&gt;&lt;/titles&gt;&lt;periodical&gt;&lt;full-title&gt;Food and Chemical Toxicology&lt;/full-title&gt;&lt;/periodical&gt;&lt;pages&gt;363-373&lt;/pages&gt;&lt;volume&gt;123&lt;/volume&gt;&lt;dates&gt;&lt;year&gt;2019&lt;/year&gt;&lt;/dates&gt;&lt;isbn&gt;0278-6915&lt;/isbn&gt;&lt;urls&gt;&lt;/urls&gt;&lt;/record&gt;&lt;/Cite&gt;&lt;/EndNote&gt;</w:instrText>
      </w:r>
      <w:r w:rsidRPr="00A73868">
        <w:rPr>
          <w:rFonts w:ascii="Times New Roman" w:hAnsi="Times New Roman" w:cs="Times New Roman"/>
        </w:rPr>
        <w:fldChar w:fldCharType="separate"/>
      </w:r>
      <w:r w:rsidR="00B043CF" w:rsidRPr="00A73868">
        <w:rPr>
          <w:rFonts w:ascii="Times New Roman" w:hAnsi="Times New Roman" w:cs="Times New Roman"/>
          <w:noProof/>
        </w:rPr>
        <w:t>(Saleem et al., 2019)</w:t>
      </w:r>
      <w:r w:rsidRPr="00A73868">
        <w:rPr>
          <w:rFonts w:ascii="Times New Roman" w:hAnsi="Times New Roman" w:cs="Times New Roman"/>
        </w:rPr>
        <w:fldChar w:fldCharType="end"/>
      </w:r>
      <w:r w:rsidRPr="00A73868">
        <w:rPr>
          <w:rFonts w:ascii="Times New Roman" w:hAnsi="Times New Roman" w:cs="Times New Roman"/>
        </w:rPr>
        <w:t>.</w:t>
      </w:r>
    </w:p>
    <w:p w14:paraId="7C163A8F" w14:textId="77777777" w:rsidR="00D215F8" w:rsidRPr="00A73868" w:rsidRDefault="00D215F8">
      <w:pPr>
        <w:rPr>
          <w:rFonts w:ascii="Times New Roman" w:hAnsi="Times New Roman" w:cs="Times New Roman"/>
        </w:rPr>
      </w:pPr>
      <w:r w:rsidRPr="00A73868">
        <w:rPr>
          <w:rFonts w:ascii="Times New Roman" w:hAnsi="Times New Roman" w:cs="Times New Roman"/>
        </w:rPr>
        <w:br w:type="page"/>
      </w:r>
    </w:p>
    <w:p w14:paraId="26E9BD37" w14:textId="4E6098C1" w:rsidR="00FB02FD" w:rsidRPr="00A73868" w:rsidRDefault="00FB02FD" w:rsidP="00FB02FD">
      <w:pPr>
        <w:pStyle w:val="Subtitle"/>
        <w:numPr>
          <w:ilvl w:val="1"/>
          <w:numId w:val="1"/>
        </w:numPr>
        <w:rPr>
          <w:b w:val="0"/>
          <w:bCs w:val="0"/>
          <w:i/>
          <w:iCs/>
          <w:sz w:val="24"/>
          <w:szCs w:val="24"/>
        </w:rPr>
      </w:pPr>
      <w:r w:rsidRPr="00A73868">
        <w:rPr>
          <w:b w:val="0"/>
          <w:bCs w:val="0"/>
          <w:i/>
          <w:iCs/>
          <w:sz w:val="24"/>
          <w:szCs w:val="24"/>
        </w:rPr>
        <w:lastRenderedPageBreak/>
        <w:t>HPLC-PDA polyphenolic quantification</w:t>
      </w:r>
    </w:p>
    <w:p w14:paraId="51C13412" w14:textId="5501E6D8" w:rsidR="00A93969" w:rsidRPr="00A73868" w:rsidRDefault="00A93969" w:rsidP="00FB02FD">
      <w:pPr>
        <w:pStyle w:val="Subtitle"/>
        <w:numPr>
          <w:ilvl w:val="2"/>
          <w:numId w:val="1"/>
        </w:numPr>
        <w:rPr>
          <w:b w:val="0"/>
          <w:bCs w:val="0"/>
          <w:i/>
          <w:iCs/>
          <w:sz w:val="24"/>
          <w:szCs w:val="24"/>
        </w:rPr>
      </w:pPr>
      <w:r w:rsidRPr="00A73868">
        <w:rPr>
          <w:b w:val="0"/>
          <w:bCs w:val="0"/>
          <w:i/>
          <w:iCs/>
          <w:sz w:val="24"/>
          <w:szCs w:val="24"/>
        </w:rPr>
        <w:t>HPLC conditions</w:t>
      </w:r>
    </w:p>
    <w:p w14:paraId="454EEAA3" w14:textId="7BEC14A6" w:rsidR="00A93969" w:rsidRPr="00A73868" w:rsidRDefault="00A93969" w:rsidP="00A53A9C">
      <w:pPr>
        <w:autoSpaceDE w:val="0"/>
        <w:autoSpaceDN w:val="0"/>
        <w:adjustRightInd w:val="0"/>
        <w:spacing w:line="360" w:lineRule="auto"/>
        <w:ind w:firstLine="720"/>
        <w:jc w:val="both"/>
        <w:rPr>
          <w:rFonts w:ascii="Times New Roman" w:eastAsia="MyriadPro-Regular" w:hAnsi="Times New Roman" w:cs="Times New Roman"/>
          <w:lang w:val="en-GB"/>
        </w:rPr>
      </w:pPr>
      <w:r w:rsidRPr="00A73868">
        <w:rPr>
          <w:rFonts w:ascii="Times New Roman" w:eastAsia="MyriadPro-Regular" w:hAnsi="Times New Roman" w:cs="Times New Roman"/>
          <w:lang w:val="en-GB"/>
        </w:rPr>
        <w:t>HPLC analyses were performed on a Waters liquid chromatograph equipped with a model 600 solvent pump and a 2996 photodiode array detector, and Empower v.2 Software (Waters Spa, Milford, MA, USA) was used for acquisition of data. A C18 reversed-phase packing column (Prodigy ODS</w:t>
      </w:r>
      <w:r w:rsidR="00A53A9C" w:rsidRPr="00A73868">
        <w:rPr>
          <w:rFonts w:ascii="Times New Roman" w:eastAsia="MyriadPro-Regular" w:hAnsi="Times New Roman" w:cs="Times New Roman"/>
          <w:lang w:val="en-GB"/>
        </w:rPr>
        <w:t xml:space="preserve"> </w:t>
      </w:r>
      <w:r w:rsidRPr="00A73868">
        <w:rPr>
          <w:rFonts w:ascii="Times New Roman" w:eastAsia="MyriadPro-Regular" w:hAnsi="Times New Roman" w:cs="Times New Roman"/>
          <w:lang w:val="en-GB"/>
        </w:rPr>
        <w:t xml:space="preserve">(3), 4.6 × 150 mm, 5 </w:t>
      </w:r>
      <w:proofErr w:type="spellStart"/>
      <w:r w:rsidRPr="00A73868">
        <w:rPr>
          <w:rFonts w:ascii="Times New Roman" w:eastAsia="MyriadPro-Regular" w:hAnsi="Times New Roman" w:cs="Times New Roman"/>
          <w:lang w:val="en-GB"/>
        </w:rPr>
        <w:t>μm</w:t>
      </w:r>
      <w:proofErr w:type="spellEnd"/>
      <w:r w:rsidRPr="00A73868">
        <w:rPr>
          <w:rFonts w:ascii="Times New Roman" w:eastAsia="MyriadPro-Regular" w:hAnsi="Times New Roman" w:cs="Times New Roman"/>
          <w:lang w:val="en-GB"/>
        </w:rPr>
        <w:t xml:space="preserve">; Phenomenex, Torrance, CA, USA) was used for the separation and the column was </w:t>
      </w:r>
      <w:proofErr w:type="spellStart"/>
      <w:r w:rsidRPr="00A73868">
        <w:rPr>
          <w:rFonts w:ascii="Times New Roman" w:eastAsia="MyriadPro-Regular" w:hAnsi="Times New Roman" w:cs="Times New Roman"/>
          <w:lang w:val="en-GB"/>
        </w:rPr>
        <w:t>thermostated</w:t>
      </w:r>
      <w:proofErr w:type="spellEnd"/>
      <w:r w:rsidRPr="00A73868">
        <w:rPr>
          <w:rFonts w:ascii="Times New Roman" w:eastAsia="MyriadPro-Regular" w:hAnsi="Times New Roman" w:cs="Times New Roman"/>
          <w:lang w:val="en-GB"/>
        </w:rPr>
        <w:t xml:space="preserve"> at 30</w:t>
      </w:r>
      <w:r w:rsidR="00D215F8" w:rsidRPr="00A73868">
        <w:rPr>
          <w:rFonts w:ascii="Arial" w:eastAsia="MyriadPro-Regular" w:hAnsi="Arial" w:cs="Arial"/>
          <w:lang w:val="en-GB"/>
        </w:rPr>
        <w:t>±</w:t>
      </w:r>
      <w:r w:rsidRPr="00A73868">
        <w:rPr>
          <w:rFonts w:ascii="Times New Roman" w:eastAsia="MyriadPro-Regular" w:hAnsi="Times New Roman" w:cs="Times New Roman"/>
          <w:lang w:val="en-GB"/>
        </w:rPr>
        <w:t>1°C using a Jetstream2 Plus column oven. The UV/Vis acquisition wavelength was set in the range of 200–500 nm. The quantitative analyses were achieved at maximum wavelength for each compounds.</w:t>
      </w:r>
      <w:r w:rsidR="00A53A9C" w:rsidRPr="00A73868">
        <w:rPr>
          <w:rFonts w:ascii="Times New Roman" w:eastAsia="MyriadPro-Regular" w:hAnsi="Times New Roman" w:cs="Times New Roman"/>
          <w:lang w:val="en-GB"/>
        </w:rPr>
        <w:t xml:space="preserve"> </w:t>
      </w:r>
      <w:r w:rsidRPr="00A73868">
        <w:rPr>
          <w:rFonts w:ascii="Times New Roman" w:eastAsia="MyriadPro-Regular" w:hAnsi="Times New Roman" w:cs="Times New Roman"/>
          <w:lang w:val="en-GB"/>
        </w:rPr>
        <w:t xml:space="preserve">The injection volume was 20 </w:t>
      </w:r>
      <w:proofErr w:type="spellStart"/>
      <w:r w:rsidRPr="00A73868">
        <w:rPr>
          <w:rFonts w:ascii="Times New Roman" w:eastAsia="MyriadPro-Regular" w:hAnsi="Times New Roman" w:cs="Times New Roman"/>
          <w:lang w:val="en-GB"/>
        </w:rPr>
        <w:t>μL</w:t>
      </w:r>
      <w:proofErr w:type="spellEnd"/>
      <w:r w:rsidRPr="00A73868">
        <w:rPr>
          <w:rFonts w:ascii="Times New Roman" w:eastAsia="MyriadPro-Regular" w:hAnsi="Times New Roman" w:cs="Times New Roman"/>
          <w:lang w:val="en-GB"/>
        </w:rPr>
        <w:t xml:space="preserve">. The mobile phase was directly </w:t>
      </w:r>
      <w:r w:rsidRPr="00A73868">
        <w:rPr>
          <w:rFonts w:ascii="Times New Roman" w:eastAsia="MyriadPro-Regular" w:hAnsi="Times New Roman" w:cs="Times New Roman"/>
          <w:i/>
          <w:lang w:val="en-GB"/>
        </w:rPr>
        <w:t>on-line</w:t>
      </w:r>
      <w:r w:rsidRPr="00A73868">
        <w:rPr>
          <w:rFonts w:ascii="Times New Roman" w:eastAsia="MyriadPro-Regular" w:hAnsi="Times New Roman" w:cs="Times New Roman"/>
          <w:lang w:val="en-GB"/>
        </w:rPr>
        <w:t xml:space="preserve"> degassed by using Biotech </w:t>
      </w:r>
      <w:proofErr w:type="spellStart"/>
      <w:r w:rsidRPr="00A73868">
        <w:rPr>
          <w:rFonts w:ascii="Times New Roman" w:eastAsia="MyriadPro-Regular" w:hAnsi="Times New Roman" w:cs="Times New Roman"/>
          <w:lang w:val="en-GB"/>
        </w:rPr>
        <w:t>DEGASi</w:t>
      </w:r>
      <w:proofErr w:type="spellEnd"/>
      <w:r w:rsidRPr="00A73868">
        <w:rPr>
          <w:rFonts w:ascii="Times New Roman" w:eastAsia="MyriadPro-Regular" w:hAnsi="Times New Roman" w:cs="Times New Roman"/>
          <w:lang w:val="en-GB"/>
        </w:rPr>
        <w:t>, mod. Compact (</w:t>
      </w:r>
      <w:proofErr w:type="spellStart"/>
      <w:r w:rsidRPr="00A73868">
        <w:rPr>
          <w:rFonts w:ascii="Times New Roman" w:eastAsia="MyriadPro-Regular" w:hAnsi="Times New Roman" w:cs="Times New Roman"/>
          <w:lang w:val="en-GB"/>
        </w:rPr>
        <w:t>LabService</w:t>
      </w:r>
      <w:proofErr w:type="spellEnd"/>
      <w:r w:rsidRPr="00A73868">
        <w:rPr>
          <w:rFonts w:ascii="Times New Roman" w:eastAsia="MyriadPro-Regular" w:hAnsi="Times New Roman" w:cs="Times New Roman"/>
          <w:lang w:val="en-GB"/>
        </w:rPr>
        <w:t xml:space="preserve">, </w:t>
      </w:r>
      <w:proofErr w:type="spellStart"/>
      <w:r w:rsidRPr="00A73868">
        <w:rPr>
          <w:rFonts w:ascii="Times New Roman" w:eastAsia="MyriadPro-Regular" w:hAnsi="Times New Roman" w:cs="Times New Roman"/>
          <w:lang w:val="en-GB"/>
        </w:rPr>
        <w:t>Anzola</w:t>
      </w:r>
      <w:proofErr w:type="spellEnd"/>
      <w:r w:rsidRPr="00A73868">
        <w:rPr>
          <w:rFonts w:ascii="Times New Roman" w:eastAsia="MyriadPro-Regular" w:hAnsi="Times New Roman" w:cs="Times New Roman"/>
          <w:lang w:val="en-GB"/>
        </w:rPr>
        <w:t xml:space="preserve"> </w:t>
      </w:r>
      <w:proofErr w:type="spellStart"/>
      <w:r w:rsidRPr="00A73868">
        <w:rPr>
          <w:rFonts w:ascii="Times New Roman" w:eastAsia="MyriadPro-Regular" w:hAnsi="Times New Roman" w:cs="Times New Roman"/>
          <w:lang w:val="en-GB"/>
        </w:rPr>
        <w:t>dell’Emilia</w:t>
      </w:r>
      <w:proofErr w:type="spellEnd"/>
      <w:r w:rsidRPr="00A73868">
        <w:rPr>
          <w:rFonts w:ascii="Times New Roman" w:eastAsia="MyriadPro-Regular" w:hAnsi="Times New Roman" w:cs="Times New Roman"/>
          <w:lang w:val="en-GB"/>
        </w:rPr>
        <w:t xml:space="preserve">, Italy). Gradient elution was performed using the mobile phase water-acetonitrile (93:7, v/v, 3% acetic acid) as reported in </w:t>
      </w:r>
      <w:r w:rsidR="00FB02FD" w:rsidRPr="00A73868">
        <w:rPr>
          <w:rFonts w:ascii="Times New Roman" w:eastAsia="MyriadPro-Regular" w:hAnsi="Times New Roman" w:cs="Times New Roman"/>
          <w:lang w:val="en-GB"/>
        </w:rPr>
        <w:t xml:space="preserve">the </w:t>
      </w:r>
      <w:r w:rsidRPr="00A73868">
        <w:rPr>
          <w:rFonts w:ascii="Times New Roman" w:eastAsia="MyriadPro-Regular" w:hAnsi="Times New Roman" w:cs="Times New Roman"/>
          <w:lang w:val="en-GB"/>
        </w:rPr>
        <w:t xml:space="preserve">literature </w:t>
      </w:r>
      <w:r w:rsidRPr="00A73868">
        <w:rPr>
          <w:rFonts w:ascii="Times New Roman" w:hAnsi="Times New Roman" w:cs="Times New Roman"/>
        </w:rPr>
        <w:fldChar w:fldCharType="begin">
          <w:fldData xml:space="preserve">PEVuZE5vdGU+PENpdGU+PEF1dGhvcj5Mb2NhdGVsbGk8L0F1dGhvcj48WWVhcj4yMDE3PC9ZZWFy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</w:fldData>
        </w:fldChar>
      </w:r>
      <w:r w:rsidR="00B043CF" w:rsidRPr="00A73868">
        <w:rPr>
          <w:rFonts w:ascii="Times New Roman" w:hAnsi="Times New Roman" w:cs="Times New Roman"/>
        </w:rPr>
        <w:instrText xml:space="preserve"> ADDIN EN.CITE </w:instrText>
      </w:r>
      <w:r w:rsidR="00B043CF" w:rsidRPr="00A73868">
        <w:rPr>
          <w:rFonts w:ascii="Times New Roman" w:hAnsi="Times New Roman" w:cs="Times New Roman"/>
        </w:rPr>
        <w:fldChar w:fldCharType="begin">
          <w:fldData xml:space="preserve">PEVuZE5vdGU+PENpdGU+PEF1dGhvcj5Mb2NhdGVsbGk8L0F1dGhvcj48WWVhcj4yMDE3PC9ZZWFy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</w:fldData>
        </w:fldChar>
      </w:r>
      <w:r w:rsidR="00B043CF" w:rsidRPr="00A73868">
        <w:rPr>
          <w:rFonts w:ascii="Times New Roman" w:hAnsi="Times New Roman" w:cs="Times New Roman"/>
        </w:rPr>
        <w:instrText xml:space="preserve"> ADDIN EN.CITE.DATA </w:instrText>
      </w:r>
      <w:r w:rsidR="00B043CF" w:rsidRPr="00A73868">
        <w:rPr>
          <w:rFonts w:ascii="Times New Roman" w:hAnsi="Times New Roman" w:cs="Times New Roman"/>
        </w:rPr>
      </w:r>
      <w:r w:rsidR="00B043CF" w:rsidRPr="00A73868">
        <w:rPr>
          <w:rFonts w:ascii="Times New Roman" w:hAnsi="Times New Roman" w:cs="Times New Roman"/>
        </w:rPr>
        <w:fldChar w:fldCharType="end"/>
      </w:r>
      <w:r w:rsidRPr="00A73868">
        <w:rPr>
          <w:rFonts w:ascii="Times New Roman" w:hAnsi="Times New Roman" w:cs="Times New Roman"/>
        </w:rPr>
      </w:r>
      <w:r w:rsidRPr="00A73868">
        <w:rPr>
          <w:rFonts w:ascii="Times New Roman" w:hAnsi="Times New Roman" w:cs="Times New Roman"/>
        </w:rPr>
        <w:fldChar w:fldCharType="separate"/>
      </w:r>
      <w:r w:rsidR="00B043CF" w:rsidRPr="00A73868">
        <w:rPr>
          <w:rFonts w:ascii="Times New Roman" w:hAnsi="Times New Roman" w:cs="Times New Roman"/>
          <w:noProof/>
        </w:rPr>
        <w:t>(Locatelli et al., 2017;Di Sotto et al., 2018)</w:t>
      </w:r>
      <w:r w:rsidRPr="00A73868">
        <w:rPr>
          <w:rFonts w:ascii="Times New Roman" w:hAnsi="Times New Roman" w:cs="Times New Roman"/>
        </w:rPr>
        <w:fldChar w:fldCharType="end"/>
      </w:r>
      <w:r w:rsidRPr="00A73868">
        <w:rPr>
          <w:rFonts w:ascii="Times New Roman" w:eastAsia="MyriadPro-Regular" w:hAnsi="Times New Roman" w:cs="Times New Roman"/>
          <w:lang w:val="en-GB"/>
        </w:rPr>
        <w:t>. All the prepared sample solutions were centrifuged and the supernatant was injected into HPLC.</w:t>
      </w:r>
    </w:p>
    <w:p w14:paraId="7BD1846B" w14:textId="77777777" w:rsidR="00D215F8" w:rsidRPr="00A73868" w:rsidRDefault="00D215F8" w:rsidP="00FB02FD">
      <w:pPr>
        <w:autoSpaceDE w:val="0"/>
        <w:autoSpaceDN w:val="0"/>
        <w:adjustRightInd w:val="0"/>
        <w:spacing w:line="360" w:lineRule="auto"/>
        <w:jc w:val="both"/>
        <w:rPr>
          <w:rFonts w:ascii="Times New Roman" w:eastAsia="MyriadPro-Regular" w:hAnsi="Times New Roman" w:cs="Times New Roman"/>
          <w:lang w:val="en-GB"/>
        </w:rPr>
      </w:pPr>
    </w:p>
    <w:p w14:paraId="7F8C40E2" w14:textId="15DB5141" w:rsidR="00A93969" w:rsidRPr="00A73868" w:rsidRDefault="00A93969" w:rsidP="00FB02FD">
      <w:pPr>
        <w:pStyle w:val="Subtitle"/>
        <w:numPr>
          <w:ilvl w:val="2"/>
          <w:numId w:val="1"/>
        </w:numPr>
        <w:rPr>
          <w:b w:val="0"/>
          <w:bCs w:val="0"/>
          <w:i/>
          <w:iCs/>
          <w:sz w:val="24"/>
          <w:szCs w:val="24"/>
        </w:rPr>
      </w:pPr>
      <w:r w:rsidRPr="00A73868">
        <w:rPr>
          <w:b w:val="0"/>
          <w:bCs w:val="0"/>
          <w:i/>
          <w:iCs/>
          <w:sz w:val="24"/>
          <w:szCs w:val="24"/>
        </w:rPr>
        <w:t>Preparation of standard solutions and samples</w:t>
      </w:r>
    </w:p>
    <w:p w14:paraId="08AB24DD" w14:textId="6BEF5E3F" w:rsidR="00A93969" w:rsidRPr="00A73868" w:rsidRDefault="00A93969" w:rsidP="00FB02FD">
      <w:pPr>
        <w:autoSpaceDE w:val="0"/>
        <w:autoSpaceDN w:val="0"/>
        <w:adjustRightInd w:val="0"/>
        <w:spacing w:line="480" w:lineRule="auto"/>
        <w:ind w:firstLine="720"/>
        <w:jc w:val="both"/>
        <w:rPr>
          <w:rFonts w:ascii="Times New Roman" w:hAnsi="Times New Roman" w:cs="Times New Roman"/>
        </w:rPr>
      </w:pPr>
      <w:r w:rsidRPr="00A73868">
        <w:rPr>
          <w:rFonts w:ascii="Times New Roman" w:hAnsi="Times New Roman" w:cs="Times New Roman"/>
          <w:lang w:val="en-GB"/>
        </w:rPr>
        <w:t xml:space="preserve">The stock solutions of phenolics were made at </w:t>
      </w:r>
      <w:r w:rsidR="00FB02FD" w:rsidRPr="00A73868">
        <w:rPr>
          <w:rFonts w:ascii="Times New Roman" w:hAnsi="Times New Roman" w:cs="Times New Roman"/>
          <w:lang w:val="en-GB"/>
        </w:rPr>
        <w:t xml:space="preserve">a </w:t>
      </w:r>
      <w:r w:rsidRPr="00A73868">
        <w:rPr>
          <w:rFonts w:ascii="Times New Roman" w:hAnsi="Times New Roman" w:cs="Times New Roman"/>
          <w:lang w:val="en-GB"/>
        </w:rPr>
        <w:t xml:space="preserve">concentration of 1 mg/mL in a final volume of 10 mL of methanol. Working solutions of mixed standards at the concentrations of 10, 25, 50, 75, 100, 150 and 200 </w:t>
      </w:r>
      <w:proofErr w:type="spellStart"/>
      <w:r w:rsidRPr="00A73868">
        <w:rPr>
          <w:rFonts w:ascii="Times New Roman" w:hAnsi="Times New Roman" w:cs="Times New Roman"/>
          <w:lang w:val="en-GB"/>
        </w:rPr>
        <w:t>μg</w:t>
      </w:r>
      <w:proofErr w:type="spellEnd"/>
      <w:r w:rsidRPr="00A73868">
        <w:rPr>
          <w:rFonts w:ascii="Times New Roman" w:hAnsi="Times New Roman" w:cs="Times New Roman"/>
          <w:lang w:val="en-GB"/>
        </w:rPr>
        <w:t xml:space="preserve">/mL were made by dilution of stock solution in volumetric flasks with the mobile phase. Then the standards were injected into the HPLC-UV/Vis system. Working solutions of mixed standards at the concentrations of 0.25, 0.5, 1, 2.5, 5, 10, and 20 </w:t>
      </w:r>
      <w:proofErr w:type="spellStart"/>
      <w:r w:rsidRPr="00A73868">
        <w:rPr>
          <w:rFonts w:ascii="Times New Roman" w:hAnsi="Times New Roman" w:cs="Times New Roman"/>
          <w:lang w:val="en-GB"/>
        </w:rPr>
        <w:t>μg</w:t>
      </w:r>
      <w:proofErr w:type="spellEnd"/>
      <w:r w:rsidRPr="00A73868">
        <w:rPr>
          <w:rFonts w:ascii="Times New Roman" w:hAnsi="Times New Roman" w:cs="Times New Roman"/>
          <w:lang w:val="en-GB"/>
        </w:rPr>
        <w:t>/mL were made by dilution of stock solution in volumetric flasks with the mobile phase. Then the standards were injected into the HPLC-UV/Vis system. Each solid sample was weighted and solubilized in mobile phase in 1:1 (</w:t>
      </w:r>
      <w:proofErr w:type="spellStart"/>
      <w:r w:rsidRPr="00A73868">
        <w:rPr>
          <w:rFonts w:ascii="Times New Roman" w:hAnsi="Times New Roman" w:cs="Times New Roman"/>
          <w:i/>
          <w:lang w:val="en-GB"/>
        </w:rPr>
        <w:t>w:v</w:t>
      </w:r>
      <w:proofErr w:type="spellEnd"/>
      <w:r w:rsidRPr="00A73868">
        <w:rPr>
          <w:rFonts w:ascii="Times New Roman" w:hAnsi="Times New Roman" w:cs="Times New Roman"/>
          <w:lang w:val="en-GB"/>
        </w:rPr>
        <w:t>) ratio. In this case, the obtained concentrations (</w:t>
      </w:r>
      <w:proofErr w:type="spellStart"/>
      <w:r w:rsidRPr="00A73868">
        <w:rPr>
          <w:rFonts w:ascii="Times New Roman" w:hAnsi="Times New Roman" w:cs="Times New Roman"/>
        </w:rPr>
        <w:t>μg</w:t>
      </w:r>
      <w:proofErr w:type="spellEnd"/>
      <w:r w:rsidRPr="00A73868">
        <w:rPr>
          <w:rFonts w:ascii="Times New Roman" w:hAnsi="Times New Roman" w:cs="Times New Roman"/>
        </w:rPr>
        <w:t>/mL)</w:t>
      </w:r>
      <w:r w:rsidRPr="00A73868">
        <w:rPr>
          <w:rFonts w:ascii="Times New Roman" w:hAnsi="Times New Roman" w:cs="Times New Roman"/>
          <w:lang w:val="en-GB"/>
        </w:rPr>
        <w:t xml:space="preserve"> correspond to the total amount (</w:t>
      </w:r>
      <w:proofErr w:type="spellStart"/>
      <w:r w:rsidRPr="00A73868">
        <w:rPr>
          <w:rFonts w:ascii="Times New Roman" w:hAnsi="Times New Roman" w:cs="Times New Roman"/>
        </w:rPr>
        <w:t>μg</w:t>
      </w:r>
      <w:proofErr w:type="spellEnd"/>
      <w:r w:rsidRPr="00A73868">
        <w:rPr>
          <w:rFonts w:ascii="Times New Roman" w:hAnsi="Times New Roman" w:cs="Times New Roman"/>
        </w:rPr>
        <w:t>/mg). After solubilization, the sample was centrifuged at 12000 x</w:t>
      </w:r>
      <w:r w:rsidRPr="00A73868">
        <w:rPr>
          <w:rFonts w:ascii="Times New Roman" w:hAnsi="Times New Roman" w:cs="Times New Roman"/>
          <w:i/>
        </w:rPr>
        <w:t xml:space="preserve"> g</w:t>
      </w:r>
      <w:r w:rsidRPr="00A73868">
        <w:rPr>
          <w:rFonts w:ascii="Times New Roman" w:hAnsi="Times New Roman" w:cs="Times New Roman"/>
        </w:rPr>
        <w:t xml:space="preserve"> before HPLC injection. Into the tables, BLD&lt;0.1 </w:t>
      </w:r>
      <w:proofErr w:type="spellStart"/>
      <w:r w:rsidR="00FB02FD" w:rsidRPr="00A73868">
        <w:rPr>
          <w:rFonts w:ascii="Times New Roman" w:hAnsi="Times New Roman" w:cs="Times New Roman"/>
        </w:rPr>
        <w:t>μ</w:t>
      </w:r>
      <w:r w:rsidRPr="00A73868">
        <w:rPr>
          <w:rFonts w:ascii="Times New Roman" w:hAnsi="Times New Roman" w:cs="Times New Roman"/>
        </w:rPr>
        <w:t>g</w:t>
      </w:r>
      <w:proofErr w:type="spellEnd"/>
      <w:r w:rsidRPr="00A73868">
        <w:rPr>
          <w:rFonts w:ascii="Times New Roman" w:hAnsi="Times New Roman" w:cs="Times New Roman"/>
        </w:rPr>
        <w:t xml:space="preserve">/mL while BLQ&lt;0.2 </w:t>
      </w:r>
      <w:proofErr w:type="spellStart"/>
      <w:r w:rsidR="00FB02FD" w:rsidRPr="00A73868">
        <w:rPr>
          <w:rFonts w:ascii="Times New Roman" w:hAnsi="Times New Roman" w:cs="Times New Roman"/>
        </w:rPr>
        <w:t>μ</w:t>
      </w:r>
      <w:r w:rsidRPr="00A73868">
        <w:rPr>
          <w:rFonts w:ascii="Times New Roman" w:hAnsi="Times New Roman" w:cs="Times New Roman"/>
        </w:rPr>
        <w:t>g</w:t>
      </w:r>
      <w:proofErr w:type="spellEnd"/>
      <w:r w:rsidRPr="00A73868">
        <w:rPr>
          <w:rFonts w:ascii="Times New Roman" w:hAnsi="Times New Roman" w:cs="Times New Roman"/>
        </w:rPr>
        <w:t>/</w:t>
      </w:r>
      <w:proofErr w:type="spellStart"/>
      <w:r w:rsidRPr="00A73868">
        <w:rPr>
          <w:rFonts w:ascii="Times New Roman" w:hAnsi="Times New Roman" w:cs="Times New Roman"/>
        </w:rPr>
        <w:t>mL.</w:t>
      </w:r>
      <w:proofErr w:type="spellEnd"/>
    </w:p>
    <w:p w14:paraId="7374C6DD" w14:textId="2FD20278" w:rsidR="00D215F8" w:rsidRPr="00A73868" w:rsidRDefault="00D215F8">
      <w:pPr>
        <w:rPr>
          <w:rFonts w:ascii="Times New Roman" w:hAnsi="Times New Roman" w:cs="Times New Roman"/>
        </w:rPr>
      </w:pPr>
      <w:r w:rsidRPr="00A73868">
        <w:rPr>
          <w:rFonts w:ascii="Times New Roman" w:hAnsi="Times New Roman" w:cs="Times New Roman"/>
        </w:rPr>
        <w:br w:type="page"/>
      </w:r>
    </w:p>
    <w:p w14:paraId="61FDF495" w14:textId="1D88EFCB" w:rsidR="00A93969" w:rsidRPr="00A73868" w:rsidRDefault="00A93969" w:rsidP="00FB02FD">
      <w:pPr>
        <w:pStyle w:val="ListParagraph"/>
        <w:numPr>
          <w:ilvl w:val="0"/>
          <w:numId w:val="1"/>
        </w:numPr>
        <w:tabs>
          <w:tab w:val="left" w:pos="2325"/>
        </w:tabs>
        <w:spacing w:line="480" w:lineRule="auto"/>
        <w:jc w:val="both"/>
        <w:textAlignment w:val="center"/>
        <w:outlineLvl w:val="1"/>
        <w:rPr>
          <w:rFonts w:ascii="Times New Roman" w:hAnsi="Times New Roman" w:cs="Times New Roman"/>
          <w:b/>
          <w:i/>
          <w:sz w:val="24"/>
          <w:szCs w:val="24"/>
        </w:rPr>
      </w:pPr>
      <w:r w:rsidRPr="00A73868">
        <w:rPr>
          <w:rFonts w:ascii="Times New Roman" w:hAnsi="Times New Roman" w:cs="Times New Roman"/>
          <w:b/>
          <w:bCs/>
          <w:i/>
          <w:sz w:val="24"/>
          <w:szCs w:val="24"/>
        </w:rPr>
        <w:lastRenderedPageBreak/>
        <w:t>Antioxidant assays</w:t>
      </w:r>
    </w:p>
    <w:p w14:paraId="669CF256" w14:textId="12AF85F5" w:rsidR="00A93969" w:rsidRPr="00A73868" w:rsidRDefault="00A93969" w:rsidP="00A93969">
      <w:pPr>
        <w:spacing w:line="480" w:lineRule="auto"/>
        <w:ind w:firstLine="720"/>
        <w:jc w:val="both"/>
        <w:rPr>
          <w:rFonts w:ascii="Times New Roman" w:hAnsi="Times New Roman" w:cs="Times New Roman"/>
        </w:rPr>
      </w:pPr>
      <w:r w:rsidRPr="00A73868">
        <w:rPr>
          <w:rFonts w:ascii="Times New Roman" w:hAnsi="Times New Roman" w:cs="Times New Roman"/>
        </w:rPr>
        <w:t xml:space="preserve">The free radical scavenging (DPPH, ABTS), reducing power (FRAP, CUPRAC) </w:t>
      </w:r>
      <w:proofErr w:type="spellStart"/>
      <w:r w:rsidRPr="00A73868">
        <w:rPr>
          <w:rFonts w:ascii="Times New Roman" w:hAnsi="Times New Roman" w:cs="Times New Roman"/>
        </w:rPr>
        <w:t>phosphomolybdenum</w:t>
      </w:r>
      <w:proofErr w:type="spellEnd"/>
      <w:r w:rsidRPr="00A73868">
        <w:rPr>
          <w:rFonts w:ascii="Times New Roman" w:hAnsi="Times New Roman" w:cs="Times New Roman"/>
        </w:rPr>
        <w:t xml:space="preserve"> (total antioxidant capacity), and metal chelating (ferrous ion chelation) were evaluated following the previous methods as described by </w:t>
      </w:r>
      <w:proofErr w:type="spellStart"/>
      <w:r w:rsidRPr="00A73868">
        <w:rPr>
          <w:rFonts w:ascii="Times New Roman" w:hAnsi="Times New Roman" w:cs="Times New Roman"/>
        </w:rPr>
        <w:t>Grochowski</w:t>
      </w:r>
      <w:proofErr w:type="spellEnd"/>
      <w:r w:rsidRPr="00A73868">
        <w:rPr>
          <w:rFonts w:ascii="Times New Roman" w:hAnsi="Times New Roman" w:cs="Times New Roman"/>
        </w:rPr>
        <w:t xml:space="preserve"> et al. (2017) </w:t>
      </w:r>
      <w:r w:rsidRPr="00A73868">
        <w:rPr>
          <w:rFonts w:ascii="Times New Roman" w:hAnsi="Times New Roman" w:cs="Times New Roman"/>
        </w:rPr>
        <w:fldChar w:fldCharType="begin"/>
      </w:r>
      <w:r w:rsidR="00B043CF" w:rsidRPr="00A73868">
        <w:rPr>
          <w:rFonts w:ascii="Times New Roman" w:hAnsi="Times New Roman" w:cs="Times New Roman"/>
        </w:rPr>
        <w:instrText xml:space="preserve"> ADDIN EN.CITE &lt;EndNote&gt;&lt;Cite&gt;&lt;Author&gt;Grochowski&lt;/Author&gt;&lt;Year&gt;2017&lt;/Year&gt;&lt;RecNum&gt;90&lt;/RecNum&gt;&lt;DisplayText&gt;(Grochowski et al., 2017)&lt;/DisplayText&gt;&lt;record&gt;&lt;rec-number&gt;90&lt;/rec-number&gt;&lt;foreign-keys&gt;&lt;key app="EN" db-id="9x5efpr99t5e9be0r2np5z2wsepwrwfpp9sw" timestamp="1539372754"&gt;90&lt;/key&gt;&lt;/foreign-keys&gt;&lt;ref-type name="Journal Article"&gt;17&lt;/ref-type&gt;&lt;contributors&gt;&lt;authors&gt;&lt;author&gt;Grochowski, Daniel M&lt;/author&gt;&lt;author&gt;Uysal, Sengul&lt;/author&gt;&lt;author&gt;Aktumsek, Abdurrahman&lt;/author&gt;&lt;author&gt;Granica, Sebastian&lt;/author&gt;&lt;author&gt;Zengin, Gokhan&lt;/author&gt;&lt;author&gt;Ceylan, Ramazan&lt;/author&gt;&lt;author&gt;Locatelli, Marcello&lt;/author&gt;&lt;author&gt;Tomczyk, Michał&lt;/author&gt;&lt;/authors&gt;&lt;/contributors&gt;&lt;titles&gt;&lt;title&gt;In vitro enzyme inhibitory properties, antioxidant activities, and phytochemical profile of Potentilla thuringiaca&lt;/title&gt;&lt;secondary-title&gt;Phytochemistry Letters&lt;/secondary-title&gt;&lt;/titles&gt;&lt;periodical&gt;&lt;full-title&gt;Phytochemistry Letters&lt;/full-title&gt;&lt;/periodical&gt;&lt;pages&gt;365-372&lt;/pages&gt;&lt;volume&gt;20&lt;/volume&gt;&lt;dates&gt;&lt;year&gt;2017&lt;/year&gt;&lt;/dates&gt;&lt;isbn&gt;1874-3900&lt;/isbn&gt;&lt;urls&gt;&lt;/urls&gt;&lt;/record&gt;&lt;/Cite&gt;&lt;/EndNote&gt;</w:instrText>
      </w:r>
      <w:r w:rsidRPr="00A73868">
        <w:rPr>
          <w:rFonts w:ascii="Times New Roman" w:hAnsi="Times New Roman" w:cs="Times New Roman"/>
        </w:rPr>
        <w:fldChar w:fldCharType="separate"/>
      </w:r>
      <w:r w:rsidR="00B043CF" w:rsidRPr="00A73868">
        <w:rPr>
          <w:rFonts w:ascii="Times New Roman" w:hAnsi="Times New Roman" w:cs="Times New Roman"/>
          <w:noProof/>
        </w:rPr>
        <w:t>(Grochowski et al., 2017)</w:t>
      </w:r>
      <w:r w:rsidRPr="00A73868">
        <w:rPr>
          <w:rFonts w:ascii="Times New Roman" w:hAnsi="Times New Roman" w:cs="Times New Roman"/>
        </w:rPr>
        <w:fldChar w:fldCharType="end"/>
      </w:r>
      <w:r w:rsidRPr="00A73868">
        <w:rPr>
          <w:rFonts w:ascii="Times New Roman" w:hAnsi="Times New Roman" w:cs="Times New Roman"/>
        </w:rPr>
        <w:t xml:space="preserve">. </w:t>
      </w:r>
    </w:p>
    <w:p w14:paraId="2963FD76" w14:textId="77777777" w:rsidR="00D215F8" w:rsidRPr="00A73868" w:rsidRDefault="00D215F8" w:rsidP="00A93969">
      <w:pPr>
        <w:spacing w:line="480" w:lineRule="auto"/>
        <w:ind w:firstLine="720"/>
        <w:jc w:val="both"/>
        <w:rPr>
          <w:rFonts w:ascii="Times New Roman" w:hAnsi="Times New Roman" w:cs="Times New Roman"/>
        </w:rPr>
      </w:pPr>
    </w:p>
    <w:p w14:paraId="2E09B0E6" w14:textId="4860C88F" w:rsidR="00A93969" w:rsidRPr="00A73868" w:rsidRDefault="00A93969" w:rsidP="00FB02FD">
      <w:pPr>
        <w:pStyle w:val="ListParagraph"/>
        <w:numPr>
          <w:ilvl w:val="1"/>
          <w:numId w:val="1"/>
        </w:numPr>
        <w:spacing w:line="480" w:lineRule="auto"/>
        <w:jc w:val="both"/>
        <w:rPr>
          <w:rFonts w:ascii="Times New Roman" w:hAnsi="Times New Roman" w:cs="Times New Roman"/>
          <w:bCs/>
          <w:i/>
          <w:sz w:val="24"/>
          <w:szCs w:val="24"/>
        </w:rPr>
      </w:pPr>
      <w:r w:rsidRPr="00A73868">
        <w:rPr>
          <w:rFonts w:ascii="Times New Roman" w:hAnsi="Times New Roman" w:cs="Times New Roman"/>
          <w:bCs/>
          <w:i/>
          <w:sz w:val="24"/>
          <w:szCs w:val="24"/>
        </w:rPr>
        <w:t xml:space="preserve"> Free radical scavenging activity (DPPH)</w:t>
      </w:r>
    </w:p>
    <w:p w14:paraId="44D4315C" w14:textId="77777777" w:rsidR="00A93969" w:rsidRPr="00A73868" w:rsidRDefault="00A93969" w:rsidP="00A93969">
      <w:pPr>
        <w:spacing w:line="480" w:lineRule="auto"/>
        <w:ind w:firstLine="720"/>
        <w:jc w:val="both"/>
        <w:rPr>
          <w:rFonts w:ascii="Times New Roman" w:hAnsi="Times New Roman" w:cs="Times New Roman"/>
        </w:rPr>
      </w:pPr>
      <w:r w:rsidRPr="00A73868">
        <w:rPr>
          <w:rFonts w:ascii="Times New Roman" w:hAnsi="Times New Roman" w:cs="Times New Roman"/>
        </w:rPr>
        <w:t>1 mL of the sample solution was added to the DPPH solution (0.267 mM 4 mL, 0.004% methanol solution), and after 30 min of incubation, the absorbance was recorded at 517 nm. Milligrams of Trolox equivalents per gram of dry extract (TE/g extract) were the measure unit.</w:t>
      </w:r>
    </w:p>
    <w:p w14:paraId="7BFF72FA" w14:textId="77777777" w:rsidR="00D215F8" w:rsidRPr="00A73868" w:rsidRDefault="00D215F8" w:rsidP="00A93969">
      <w:pPr>
        <w:spacing w:line="480" w:lineRule="auto"/>
        <w:ind w:firstLine="720"/>
        <w:jc w:val="both"/>
        <w:rPr>
          <w:rFonts w:ascii="Times New Roman" w:hAnsi="Times New Roman" w:cs="Times New Roman"/>
        </w:rPr>
      </w:pPr>
    </w:p>
    <w:p w14:paraId="1B766D0B" w14:textId="11E3BC8E" w:rsidR="00A93969" w:rsidRPr="00A73868" w:rsidRDefault="00A93969" w:rsidP="00FB02FD">
      <w:pPr>
        <w:pStyle w:val="ListParagraph"/>
        <w:numPr>
          <w:ilvl w:val="1"/>
          <w:numId w:val="1"/>
        </w:numPr>
        <w:spacing w:line="480" w:lineRule="auto"/>
        <w:jc w:val="both"/>
        <w:rPr>
          <w:rFonts w:ascii="Times New Roman" w:hAnsi="Times New Roman" w:cs="Times New Roman"/>
          <w:bCs/>
          <w:i/>
          <w:sz w:val="24"/>
          <w:szCs w:val="24"/>
        </w:rPr>
      </w:pPr>
      <w:r w:rsidRPr="00A73868">
        <w:rPr>
          <w:rFonts w:ascii="Times New Roman" w:hAnsi="Times New Roman" w:cs="Times New Roman"/>
          <w:bCs/>
          <w:i/>
          <w:sz w:val="24"/>
          <w:szCs w:val="24"/>
        </w:rPr>
        <w:t>ABTS radical cation scavenging activity</w:t>
      </w:r>
    </w:p>
    <w:p w14:paraId="2941F193" w14:textId="77777777" w:rsidR="00A93969" w:rsidRPr="00A73868" w:rsidRDefault="00A93969" w:rsidP="00A93969">
      <w:pPr>
        <w:spacing w:line="480" w:lineRule="auto"/>
        <w:ind w:firstLine="720"/>
        <w:jc w:val="both"/>
        <w:rPr>
          <w:rFonts w:ascii="Times New Roman" w:hAnsi="Times New Roman" w:cs="Times New Roman"/>
        </w:rPr>
      </w:pPr>
      <w:r w:rsidRPr="00A73868">
        <w:rPr>
          <w:rFonts w:ascii="Times New Roman" w:hAnsi="Times New Roman" w:cs="Times New Roman"/>
        </w:rPr>
        <w:t>ABTS</w:t>
      </w:r>
      <w:r w:rsidRPr="00A73868">
        <w:rPr>
          <w:rFonts w:ascii="Times New Roman" w:hAnsi="Times New Roman" w:cs="Times New Roman"/>
          <w:vertAlign w:val="superscript"/>
        </w:rPr>
        <w:t>+</w:t>
      </w:r>
      <w:r w:rsidRPr="00A73868">
        <w:rPr>
          <w:rFonts w:ascii="Times New Roman" w:hAnsi="Times New Roman" w:cs="Times New Roman"/>
        </w:rPr>
        <w:t xml:space="preserve"> radical cation was obtained following the reaction between 7 mM ABTS solution and 2.45 mM potassium persulfate. 1 mL of the test solution was mixed with 2 mL of ABTS solution and after 30 min the absorbance was recorded at 734 nm. The results were expressed as milligrams of Trolox equivalents per gram of dry extract (TE/g extract).</w:t>
      </w:r>
    </w:p>
    <w:p w14:paraId="11EADC3B" w14:textId="77777777" w:rsidR="00D215F8" w:rsidRPr="00A73868" w:rsidRDefault="00D215F8" w:rsidP="00A93969">
      <w:pPr>
        <w:spacing w:line="480" w:lineRule="auto"/>
        <w:ind w:firstLine="720"/>
        <w:jc w:val="both"/>
        <w:rPr>
          <w:rFonts w:ascii="Times New Roman" w:hAnsi="Times New Roman" w:cs="Times New Roman"/>
        </w:rPr>
      </w:pPr>
    </w:p>
    <w:p w14:paraId="61DD5F2E" w14:textId="537A8B89" w:rsidR="00A93969" w:rsidRPr="00A73868" w:rsidRDefault="00FB02FD" w:rsidP="00A93969">
      <w:pPr>
        <w:spacing w:line="480" w:lineRule="auto"/>
        <w:ind w:firstLine="720"/>
        <w:jc w:val="both"/>
        <w:rPr>
          <w:rFonts w:ascii="Times New Roman" w:hAnsi="Times New Roman" w:cs="Times New Roman"/>
          <w:bCs/>
          <w:i/>
        </w:rPr>
      </w:pPr>
      <w:r w:rsidRPr="00A73868">
        <w:rPr>
          <w:rFonts w:ascii="Times New Roman" w:hAnsi="Times New Roman" w:cs="Times New Roman"/>
          <w:bCs/>
          <w:i/>
        </w:rPr>
        <w:t xml:space="preserve">2.3. </w:t>
      </w:r>
      <w:proofErr w:type="spellStart"/>
      <w:r w:rsidR="00A93969" w:rsidRPr="00A73868">
        <w:rPr>
          <w:rFonts w:ascii="Times New Roman" w:hAnsi="Times New Roman" w:cs="Times New Roman"/>
          <w:bCs/>
          <w:i/>
        </w:rPr>
        <w:t>Phosphomolybdenum</w:t>
      </w:r>
      <w:proofErr w:type="spellEnd"/>
      <w:r w:rsidR="00A93969" w:rsidRPr="00A73868">
        <w:rPr>
          <w:rFonts w:ascii="Times New Roman" w:hAnsi="Times New Roman" w:cs="Times New Roman"/>
          <w:bCs/>
          <w:i/>
        </w:rPr>
        <w:t xml:space="preserve"> method</w:t>
      </w:r>
    </w:p>
    <w:p w14:paraId="04994C32" w14:textId="77777777" w:rsidR="00A93969" w:rsidRPr="00A73868" w:rsidRDefault="00A93969" w:rsidP="00A93969">
      <w:pPr>
        <w:spacing w:line="480" w:lineRule="auto"/>
        <w:ind w:firstLine="720"/>
        <w:jc w:val="both"/>
        <w:rPr>
          <w:rFonts w:ascii="Times New Roman" w:hAnsi="Times New Roman" w:cs="Times New Roman"/>
        </w:rPr>
      </w:pPr>
      <w:r w:rsidRPr="00A73868">
        <w:rPr>
          <w:rFonts w:ascii="Times New Roman" w:hAnsi="Times New Roman" w:cs="Times New Roman"/>
        </w:rPr>
        <w:t>0.3 mL of the sample solutions were mixed with 3 mL of reagent solution (0.6 M sulfuric acid, 28 mM sodium phosphate and 4 mM ammonium molybdate), and after 90 min the absorbance was recorded at 695 nm. Millimoles of Trolox equivalents per gram of dry extract (TE/g extract) were the measurement unit.</w:t>
      </w:r>
    </w:p>
    <w:p w14:paraId="7A0F7D33" w14:textId="77777777" w:rsidR="00D215F8" w:rsidRPr="00A73868" w:rsidRDefault="00D215F8" w:rsidP="00A93969">
      <w:pPr>
        <w:spacing w:line="480" w:lineRule="auto"/>
        <w:ind w:firstLine="720"/>
        <w:jc w:val="both"/>
        <w:rPr>
          <w:rFonts w:ascii="Times New Roman" w:hAnsi="Times New Roman" w:cs="Times New Roman"/>
        </w:rPr>
      </w:pPr>
    </w:p>
    <w:p w14:paraId="080CBD89" w14:textId="1B963A76" w:rsidR="00A93969" w:rsidRPr="00A73868" w:rsidRDefault="00FB02FD" w:rsidP="00A93969">
      <w:pPr>
        <w:spacing w:line="480" w:lineRule="auto"/>
        <w:ind w:firstLine="720"/>
        <w:jc w:val="both"/>
        <w:rPr>
          <w:rFonts w:ascii="Times New Roman" w:hAnsi="Times New Roman" w:cs="Times New Roman"/>
          <w:bCs/>
          <w:i/>
        </w:rPr>
      </w:pPr>
      <w:r w:rsidRPr="00A73868">
        <w:rPr>
          <w:rFonts w:ascii="Times New Roman" w:hAnsi="Times New Roman" w:cs="Times New Roman"/>
          <w:bCs/>
          <w:i/>
        </w:rPr>
        <w:t xml:space="preserve">2.4. </w:t>
      </w:r>
      <w:r w:rsidR="00A93969" w:rsidRPr="00A73868">
        <w:rPr>
          <w:rFonts w:ascii="Times New Roman" w:hAnsi="Times New Roman" w:cs="Times New Roman"/>
          <w:bCs/>
          <w:i/>
        </w:rPr>
        <w:t xml:space="preserve"> Cupric ion reducing (CUPRAC) method</w:t>
      </w:r>
    </w:p>
    <w:p w14:paraId="6BCFDA0D" w14:textId="77777777" w:rsidR="00A93969" w:rsidRPr="00A73868" w:rsidRDefault="00A93969" w:rsidP="00A93969">
      <w:pPr>
        <w:spacing w:line="480" w:lineRule="auto"/>
        <w:ind w:firstLine="720"/>
        <w:jc w:val="both"/>
        <w:rPr>
          <w:rFonts w:ascii="Times New Roman" w:hAnsi="Times New Roman" w:cs="Times New Roman"/>
        </w:rPr>
      </w:pPr>
      <w:r w:rsidRPr="00A73868">
        <w:rPr>
          <w:rFonts w:ascii="Times New Roman" w:hAnsi="Times New Roman" w:cs="Times New Roman"/>
        </w:rPr>
        <w:lastRenderedPageBreak/>
        <w:t xml:space="preserve">0.5 mL of the sample solutions were mixed with [CuCl2 (1 mL, 10 mM), </w:t>
      </w:r>
      <w:proofErr w:type="spellStart"/>
      <w:r w:rsidRPr="00A73868">
        <w:rPr>
          <w:rFonts w:ascii="Times New Roman" w:hAnsi="Times New Roman" w:cs="Times New Roman"/>
        </w:rPr>
        <w:t>neocuproine</w:t>
      </w:r>
      <w:proofErr w:type="spellEnd"/>
      <w:r w:rsidRPr="00A73868">
        <w:rPr>
          <w:rFonts w:ascii="Times New Roman" w:hAnsi="Times New Roman" w:cs="Times New Roman"/>
        </w:rPr>
        <w:t xml:space="preserve"> (1 mL, 7.5 mM), NH</w:t>
      </w:r>
      <w:r w:rsidRPr="00A73868">
        <w:rPr>
          <w:rFonts w:ascii="Times New Roman" w:hAnsi="Times New Roman" w:cs="Times New Roman"/>
          <w:vertAlign w:val="subscript"/>
        </w:rPr>
        <w:t>4</w:t>
      </w:r>
      <w:r w:rsidRPr="00A73868">
        <w:rPr>
          <w:rFonts w:ascii="Times New Roman" w:hAnsi="Times New Roman" w:cs="Times New Roman"/>
        </w:rPr>
        <w:t>Ac buffer (1 mL, 1 M, pH 7.0)] and after 30 min the absorbance was recorded at 450 nm. Milligrams of Trolox equivalents per gram of dry extract (TE/g extract) were the measurement unit.</w:t>
      </w:r>
    </w:p>
    <w:p w14:paraId="3F430F74" w14:textId="77777777" w:rsidR="00D215F8" w:rsidRPr="00A73868" w:rsidRDefault="00D215F8" w:rsidP="00A93969">
      <w:pPr>
        <w:spacing w:line="480" w:lineRule="auto"/>
        <w:ind w:firstLine="720"/>
        <w:jc w:val="both"/>
        <w:rPr>
          <w:rFonts w:ascii="Times New Roman" w:hAnsi="Times New Roman" w:cs="Times New Roman"/>
        </w:rPr>
      </w:pPr>
    </w:p>
    <w:p w14:paraId="1FED2826" w14:textId="6B4E3D09" w:rsidR="00A93969" w:rsidRPr="00A73868" w:rsidRDefault="00FB02FD" w:rsidP="00A93969">
      <w:pPr>
        <w:spacing w:line="480" w:lineRule="auto"/>
        <w:ind w:firstLine="720"/>
        <w:jc w:val="both"/>
        <w:rPr>
          <w:rFonts w:ascii="Times New Roman" w:hAnsi="Times New Roman" w:cs="Times New Roman"/>
          <w:bCs/>
          <w:i/>
        </w:rPr>
      </w:pPr>
      <w:r w:rsidRPr="00A73868">
        <w:rPr>
          <w:rFonts w:ascii="Times New Roman" w:hAnsi="Times New Roman" w:cs="Times New Roman"/>
          <w:bCs/>
          <w:i/>
        </w:rPr>
        <w:t xml:space="preserve">2.5. </w:t>
      </w:r>
      <w:r w:rsidR="00A93969" w:rsidRPr="00A73868">
        <w:rPr>
          <w:rFonts w:ascii="Times New Roman" w:hAnsi="Times New Roman" w:cs="Times New Roman"/>
          <w:bCs/>
          <w:i/>
        </w:rPr>
        <w:t xml:space="preserve"> Ferric reducing antioxidant power (FRAP) method</w:t>
      </w:r>
    </w:p>
    <w:p w14:paraId="682A045B" w14:textId="77777777" w:rsidR="00A93969" w:rsidRPr="00A73868" w:rsidRDefault="00A93969" w:rsidP="00A93969">
      <w:pPr>
        <w:spacing w:line="480" w:lineRule="auto"/>
        <w:ind w:firstLine="720"/>
        <w:jc w:val="both"/>
        <w:rPr>
          <w:rFonts w:ascii="Times New Roman" w:hAnsi="Times New Roman" w:cs="Times New Roman"/>
        </w:rPr>
      </w:pPr>
      <w:r w:rsidRPr="00A73868">
        <w:rPr>
          <w:rFonts w:ascii="Times New Roman" w:hAnsi="Times New Roman" w:cs="Times New Roman"/>
        </w:rPr>
        <w:t>0.1 mL of the sample solution was added to reagent (2 mL) in acetate buffer (0.3 M, pH 3.6), 2,4,6-tris(2-pyridyl)-s-triazine (TPTZ) (10 mM) in 40 mM HCl and ferric chloride (20 mM) in a final ratio of 10:1:1 (v/v/v) and the absorbance was recorded at 593 nm 30 min. Milligrams of Trolox equivalents per gram of dry extract (TE/g extract) were the measurement unit.</w:t>
      </w:r>
    </w:p>
    <w:p w14:paraId="0AB4ADC9" w14:textId="77777777" w:rsidR="00D215F8" w:rsidRPr="00A73868" w:rsidRDefault="00D215F8" w:rsidP="00A93969">
      <w:pPr>
        <w:spacing w:line="480" w:lineRule="auto"/>
        <w:ind w:firstLine="720"/>
        <w:jc w:val="both"/>
        <w:rPr>
          <w:rFonts w:ascii="Times New Roman" w:hAnsi="Times New Roman" w:cs="Times New Roman"/>
        </w:rPr>
      </w:pPr>
    </w:p>
    <w:p w14:paraId="2EF60CFF" w14:textId="6F02FC73" w:rsidR="00A93969" w:rsidRPr="00A73868" w:rsidRDefault="00FB02FD" w:rsidP="00A93969">
      <w:pPr>
        <w:spacing w:line="480" w:lineRule="auto"/>
        <w:ind w:firstLine="720"/>
        <w:jc w:val="both"/>
        <w:rPr>
          <w:rFonts w:ascii="Times New Roman" w:hAnsi="Times New Roman" w:cs="Times New Roman"/>
          <w:bCs/>
          <w:i/>
        </w:rPr>
      </w:pPr>
      <w:r w:rsidRPr="00A73868">
        <w:rPr>
          <w:rFonts w:ascii="Times New Roman" w:hAnsi="Times New Roman" w:cs="Times New Roman"/>
          <w:bCs/>
          <w:i/>
        </w:rPr>
        <w:t xml:space="preserve">2.6. </w:t>
      </w:r>
      <w:r w:rsidR="00A93969" w:rsidRPr="00A73868">
        <w:rPr>
          <w:rFonts w:ascii="Times New Roman" w:hAnsi="Times New Roman" w:cs="Times New Roman"/>
          <w:bCs/>
          <w:i/>
        </w:rPr>
        <w:t xml:space="preserve"> Metal chelating activity on ferrous ions</w:t>
      </w:r>
    </w:p>
    <w:p w14:paraId="29D6D417" w14:textId="7C84BB41" w:rsidR="00D215F8" w:rsidRPr="00A73868" w:rsidRDefault="00A93969" w:rsidP="00FB02FD">
      <w:pPr>
        <w:spacing w:line="480" w:lineRule="auto"/>
        <w:ind w:firstLine="720"/>
        <w:jc w:val="both"/>
        <w:rPr>
          <w:rFonts w:ascii="Times New Roman" w:hAnsi="Times New Roman" w:cs="Times New Roman"/>
        </w:rPr>
      </w:pPr>
      <w:r w:rsidRPr="00A73868">
        <w:rPr>
          <w:rFonts w:ascii="Times New Roman" w:hAnsi="Times New Roman" w:cs="Times New Roman"/>
        </w:rPr>
        <w:t>2.0 mL of the sample solution were added to 0.05 mL of a solution of FeCl</w:t>
      </w:r>
      <w:r w:rsidRPr="00A73868">
        <w:rPr>
          <w:rFonts w:ascii="Times New Roman" w:hAnsi="Times New Roman" w:cs="Times New Roman"/>
          <w:vertAlign w:val="subscript"/>
        </w:rPr>
        <w:t>2</w:t>
      </w:r>
      <w:r w:rsidRPr="00A73868">
        <w:rPr>
          <w:rFonts w:ascii="Times New Roman" w:hAnsi="Times New Roman" w:cs="Times New Roman"/>
        </w:rPr>
        <w:t xml:space="preserve"> (2 mM), then the reaction was initiated using 0.2 mL of ferrozine (5 mM). After 10 min the absorbance was recorded at 562 nm and the results expressed as milligrams of EDTA equivalents per gram of dry extract (EDTAE/g extract).</w:t>
      </w:r>
    </w:p>
    <w:p w14:paraId="0B10B0B7" w14:textId="77777777" w:rsidR="00D215F8" w:rsidRPr="00A73868" w:rsidRDefault="00D215F8">
      <w:pPr>
        <w:rPr>
          <w:rFonts w:ascii="Times New Roman" w:hAnsi="Times New Roman" w:cs="Times New Roman"/>
        </w:rPr>
      </w:pPr>
      <w:r w:rsidRPr="00A73868">
        <w:rPr>
          <w:rFonts w:ascii="Times New Roman" w:hAnsi="Times New Roman" w:cs="Times New Roman"/>
        </w:rPr>
        <w:br w:type="page"/>
      </w:r>
    </w:p>
    <w:p w14:paraId="319339CB" w14:textId="4596107F" w:rsidR="00A93969" w:rsidRPr="00A73868" w:rsidRDefault="00A93969" w:rsidP="00FB02FD">
      <w:pPr>
        <w:pStyle w:val="ListParagraph"/>
        <w:numPr>
          <w:ilvl w:val="0"/>
          <w:numId w:val="1"/>
        </w:numPr>
        <w:tabs>
          <w:tab w:val="left" w:pos="810"/>
          <w:tab w:val="left" w:pos="900"/>
          <w:tab w:val="left" w:pos="990"/>
        </w:tabs>
        <w:spacing w:line="480" w:lineRule="auto"/>
        <w:jc w:val="both"/>
        <w:rPr>
          <w:rFonts w:ascii="Times New Roman" w:hAnsi="Times New Roman" w:cs="Times New Roman"/>
          <w:b/>
          <w:i/>
          <w:sz w:val="24"/>
          <w:szCs w:val="24"/>
        </w:rPr>
      </w:pPr>
      <w:r w:rsidRPr="00A73868">
        <w:rPr>
          <w:rFonts w:ascii="Times New Roman" w:hAnsi="Times New Roman" w:cs="Times New Roman"/>
          <w:b/>
          <w:i/>
          <w:sz w:val="24"/>
          <w:szCs w:val="24"/>
        </w:rPr>
        <w:lastRenderedPageBreak/>
        <w:t xml:space="preserve"> Enzyme inhibition assays</w:t>
      </w:r>
    </w:p>
    <w:p w14:paraId="781CE680" w14:textId="33981DC1" w:rsidR="00A93969" w:rsidRPr="00A73868" w:rsidRDefault="00A93969" w:rsidP="00A93969">
      <w:pPr>
        <w:tabs>
          <w:tab w:val="left" w:pos="810"/>
          <w:tab w:val="left" w:pos="900"/>
          <w:tab w:val="left" w:pos="990"/>
        </w:tabs>
        <w:spacing w:line="480" w:lineRule="auto"/>
        <w:jc w:val="both"/>
        <w:rPr>
          <w:rFonts w:ascii="Times New Roman" w:hAnsi="Times New Roman" w:cs="Times New Roman"/>
        </w:rPr>
      </w:pPr>
      <w:r w:rsidRPr="00A73868">
        <w:rPr>
          <w:rFonts w:ascii="Times New Roman" w:hAnsi="Times New Roman" w:cs="Times New Roman"/>
        </w:rPr>
        <w:tab/>
        <w:t>The possible enzyme inhibitory capacity of all the concentrates against acetylcholinesterase (</w:t>
      </w:r>
      <w:proofErr w:type="spellStart"/>
      <w:r w:rsidRPr="00A73868">
        <w:rPr>
          <w:rFonts w:ascii="Times New Roman" w:hAnsi="Times New Roman" w:cs="Times New Roman"/>
        </w:rPr>
        <w:t>AChE</w:t>
      </w:r>
      <w:proofErr w:type="spellEnd"/>
      <w:r w:rsidRPr="00A73868">
        <w:rPr>
          <w:rFonts w:ascii="Times New Roman" w:hAnsi="Times New Roman" w:cs="Times New Roman"/>
        </w:rPr>
        <w:t>), butyrylcholinesterase (</w:t>
      </w:r>
      <w:proofErr w:type="spellStart"/>
      <w:r w:rsidRPr="00A73868">
        <w:rPr>
          <w:rFonts w:ascii="Times New Roman" w:hAnsi="Times New Roman" w:cs="Times New Roman"/>
        </w:rPr>
        <w:t>BChE</w:t>
      </w:r>
      <w:proofErr w:type="spellEnd"/>
      <w:r w:rsidRPr="00A73868">
        <w:rPr>
          <w:rFonts w:ascii="Times New Roman" w:hAnsi="Times New Roman" w:cs="Times New Roman"/>
        </w:rPr>
        <w:t xml:space="preserve">), tyrosinase, and α-amylase were explored utilizing earlier standard </w:t>
      </w:r>
      <w:r w:rsidRPr="00A73868">
        <w:rPr>
          <w:rFonts w:ascii="Times New Roman" w:hAnsi="Times New Roman" w:cs="Times New Roman"/>
          <w:i/>
          <w:iCs/>
        </w:rPr>
        <w:t>in-vitro</w:t>
      </w:r>
      <w:r w:rsidRPr="00A73868">
        <w:rPr>
          <w:rFonts w:ascii="Times New Roman" w:hAnsi="Times New Roman" w:cs="Times New Roman"/>
        </w:rPr>
        <w:t xml:space="preserve"> bio-assays </w:t>
      </w:r>
      <w:r w:rsidRPr="00A73868">
        <w:rPr>
          <w:rFonts w:ascii="Times New Roman" w:hAnsi="Times New Roman" w:cs="Times New Roman"/>
        </w:rPr>
        <w:fldChar w:fldCharType="begin"/>
      </w:r>
      <w:r w:rsidR="00B043CF" w:rsidRPr="00A73868">
        <w:rPr>
          <w:rFonts w:ascii="Times New Roman" w:hAnsi="Times New Roman" w:cs="Times New Roman"/>
        </w:rPr>
        <w:instrText xml:space="preserve"> ADDIN EN.CITE &lt;EndNote&gt;&lt;Cite&gt;&lt;Author&gt;Grochowski&lt;/Author&gt;&lt;Year&gt;2017&lt;/Year&gt;&lt;RecNum&gt;90&lt;/RecNum&gt;&lt;DisplayText&gt;(Grochowski et al., 2017)&lt;/DisplayText&gt;&lt;record&gt;&lt;rec-number&gt;90&lt;/rec-number&gt;&lt;foreign-keys&gt;&lt;key app="EN" db-id="9x5efpr99t5e9be0r2np5z2wsepwrwfpp9sw" timestamp="1539372754"&gt;90&lt;/key&gt;&lt;/foreign-keys&gt;&lt;ref-type name="Journal Article"&gt;17&lt;/ref-type&gt;&lt;contributors&gt;&lt;authors&gt;&lt;author&gt;Grochowski, Daniel M&lt;/author&gt;&lt;author&gt;Uysal, Sengul&lt;/author&gt;&lt;author&gt;Aktumsek, Abdurrahman&lt;/author&gt;&lt;author&gt;Granica, Sebastian&lt;/author&gt;&lt;author&gt;Zengin, Gokhan&lt;/author&gt;&lt;author&gt;Ceylan, Ramazan&lt;/author&gt;&lt;author&gt;Locatelli, Marcello&lt;/author&gt;&lt;author&gt;Tomczyk, Michał&lt;/author&gt;&lt;/authors&gt;&lt;/contributors&gt;&lt;titles&gt;&lt;title&gt;In vitro enzyme inhibitory properties, antioxidant activities, and phytochemical profile of Potentilla thuringiaca&lt;/title&gt;&lt;secondary-title&gt;Phytochemistry Letters&lt;/secondary-title&gt;&lt;/titles&gt;&lt;periodical&gt;&lt;full-title&gt;Phytochemistry Letters&lt;/full-title&gt;&lt;/periodical&gt;&lt;pages&gt;365-372&lt;/pages&gt;&lt;volume&gt;20&lt;/volume&gt;&lt;dates&gt;&lt;year&gt;2017&lt;/year&gt;&lt;/dates&gt;&lt;isbn&gt;1874-3900&lt;/isbn&gt;&lt;urls&gt;&lt;/urls&gt;&lt;/record&gt;&lt;/Cite&gt;&lt;/EndNote&gt;</w:instrText>
      </w:r>
      <w:r w:rsidRPr="00A73868">
        <w:rPr>
          <w:rFonts w:ascii="Times New Roman" w:hAnsi="Times New Roman" w:cs="Times New Roman"/>
        </w:rPr>
        <w:fldChar w:fldCharType="separate"/>
      </w:r>
      <w:r w:rsidR="00B043CF" w:rsidRPr="00A73868">
        <w:rPr>
          <w:rFonts w:ascii="Times New Roman" w:hAnsi="Times New Roman" w:cs="Times New Roman"/>
          <w:noProof/>
        </w:rPr>
        <w:t>(Grochowski et al., 2017)</w:t>
      </w:r>
      <w:r w:rsidRPr="00A73868">
        <w:rPr>
          <w:rFonts w:ascii="Times New Roman" w:hAnsi="Times New Roman" w:cs="Times New Roman"/>
        </w:rPr>
        <w:fldChar w:fldCharType="end"/>
      </w:r>
      <w:r w:rsidRPr="00A73868">
        <w:rPr>
          <w:rFonts w:ascii="Times New Roman" w:hAnsi="Times New Roman" w:cs="Times New Roman"/>
        </w:rPr>
        <w:t xml:space="preserve">. </w:t>
      </w:r>
    </w:p>
    <w:p w14:paraId="1A5818F3" w14:textId="77777777" w:rsidR="00D215F8" w:rsidRPr="00A73868" w:rsidRDefault="00D215F8" w:rsidP="00A93969">
      <w:pPr>
        <w:tabs>
          <w:tab w:val="left" w:pos="810"/>
          <w:tab w:val="left" w:pos="900"/>
          <w:tab w:val="left" w:pos="990"/>
        </w:tabs>
        <w:spacing w:line="480" w:lineRule="auto"/>
        <w:jc w:val="both"/>
        <w:rPr>
          <w:rFonts w:ascii="Times New Roman" w:hAnsi="Times New Roman" w:cs="Times New Roman"/>
        </w:rPr>
      </w:pPr>
    </w:p>
    <w:p w14:paraId="07C3C0D4" w14:textId="31C84F67" w:rsidR="00A93969" w:rsidRPr="00A73868" w:rsidRDefault="00A93969" w:rsidP="00FB02FD">
      <w:pPr>
        <w:pStyle w:val="ListParagraph"/>
        <w:numPr>
          <w:ilvl w:val="1"/>
          <w:numId w:val="1"/>
        </w:numPr>
        <w:spacing w:line="480" w:lineRule="auto"/>
        <w:jc w:val="both"/>
        <w:rPr>
          <w:rFonts w:ascii="Times New Roman" w:hAnsi="Times New Roman" w:cs="Times New Roman"/>
          <w:bCs/>
          <w:i/>
          <w:sz w:val="24"/>
          <w:szCs w:val="24"/>
        </w:rPr>
      </w:pPr>
      <w:r w:rsidRPr="00A73868">
        <w:rPr>
          <w:rFonts w:ascii="Times New Roman" w:hAnsi="Times New Roman" w:cs="Times New Roman"/>
          <w:bCs/>
          <w:i/>
          <w:sz w:val="24"/>
          <w:szCs w:val="24"/>
        </w:rPr>
        <w:t xml:space="preserve"> Cholinesterase</w:t>
      </w:r>
    </w:p>
    <w:p w14:paraId="7BC93019" w14:textId="77777777" w:rsidR="00A93969" w:rsidRPr="00A73868" w:rsidRDefault="00A93969" w:rsidP="00A93969">
      <w:pPr>
        <w:spacing w:line="480" w:lineRule="auto"/>
        <w:ind w:firstLine="720"/>
        <w:jc w:val="both"/>
        <w:rPr>
          <w:rFonts w:ascii="Times New Roman" w:hAnsi="Times New Roman" w:cs="Times New Roman"/>
        </w:rPr>
      </w:pPr>
      <w:r w:rsidRPr="00A73868">
        <w:rPr>
          <w:rFonts w:ascii="Times New Roman" w:hAnsi="Times New Roman" w:cs="Times New Roman"/>
        </w:rPr>
        <w:t xml:space="preserve">The reaction mixture composed by the sample solution (50 </w:t>
      </w:r>
      <w:proofErr w:type="spellStart"/>
      <w:r w:rsidRPr="00A73868">
        <w:rPr>
          <w:rFonts w:ascii="Times New Roman" w:hAnsi="Times New Roman" w:cs="Times New Roman"/>
        </w:rPr>
        <w:t>μL</w:t>
      </w:r>
      <w:proofErr w:type="spellEnd"/>
      <w:r w:rsidRPr="00A73868">
        <w:rPr>
          <w:rFonts w:ascii="Times New Roman" w:hAnsi="Times New Roman" w:cs="Times New Roman"/>
        </w:rPr>
        <w:t xml:space="preserve">), DTNB (3 mM 125 </w:t>
      </w:r>
      <w:proofErr w:type="spellStart"/>
      <w:r w:rsidRPr="00A73868">
        <w:rPr>
          <w:rFonts w:ascii="Times New Roman" w:hAnsi="Times New Roman" w:cs="Times New Roman"/>
        </w:rPr>
        <w:t>μL</w:t>
      </w:r>
      <w:proofErr w:type="spellEnd"/>
      <w:r w:rsidRPr="00A73868">
        <w:rPr>
          <w:rFonts w:ascii="Times New Roman" w:hAnsi="Times New Roman" w:cs="Times New Roman"/>
        </w:rPr>
        <w:t xml:space="preserve">) and enzyme solution (0.265 u/mL </w:t>
      </w:r>
      <w:proofErr w:type="spellStart"/>
      <w:r w:rsidRPr="00A73868">
        <w:rPr>
          <w:rFonts w:ascii="Times New Roman" w:hAnsi="Times New Roman" w:cs="Times New Roman"/>
        </w:rPr>
        <w:t>AChE</w:t>
      </w:r>
      <w:proofErr w:type="spellEnd"/>
      <w:r w:rsidRPr="00A73868">
        <w:rPr>
          <w:rFonts w:ascii="Times New Roman" w:hAnsi="Times New Roman" w:cs="Times New Roman"/>
        </w:rPr>
        <w:t xml:space="preserve"> or 0.026 u/mL </w:t>
      </w:r>
      <w:proofErr w:type="spellStart"/>
      <w:r w:rsidRPr="00A73868">
        <w:rPr>
          <w:rFonts w:ascii="Times New Roman" w:hAnsi="Times New Roman" w:cs="Times New Roman"/>
        </w:rPr>
        <w:t>BChE</w:t>
      </w:r>
      <w:proofErr w:type="spellEnd"/>
      <w:r w:rsidRPr="00A73868">
        <w:rPr>
          <w:rFonts w:ascii="Times New Roman" w:hAnsi="Times New Roman" w:cs="Times New Roman"/>
        </w:rPr>
        <w:t xml:space="preserve">) solution (25 </w:t>
      </w:r>
      <w:proofErr w:type="spellStart"/>
      <w:r w:rsidRPr="00A73868">
        <w:rPr>
          <w:rFonts w:ascii="Times New Roman" w:hAnsi="Times New Roman" w:cs="Times New Roman"/>
        </w:rPr>
        <w:t>μL</w:t>
      </w:r>
      <w:proofErr w:type="spellEnd"/>
      <w:r w:rsidRPr="00A73868">
        <w:rPr>
          <w:rFonts w:ascii="Times New Roman" w:hAnsi="Times New Roman" w:cs="Times New Roman"/>
        </w:rPr>
        <w:t xml:space="preserve">) in Tris-HCl buffer (pH 8.0) was added to the substrates [acetylthiocholine iodide (15 mM ATCI) or </w:t>
      </w:r>
      <w:proofErr w:type="spellStart"/>
      <w:r w:rsidRPr="00A73868">
        <w:rPr>
          <w:rFonts w:ascii="Times New Roman" w:hAnsi="Times New Roman" w:cs="Times New Roman"/>
        </w:rPr>
        <w:t>butyrylthiocholine</w:t>
      </w:r>
      <w:proofErr w:type="spellEnd"/>
      <w:r w:rsidRPr="00A73868">
        <w:rPr>
          <w:rFonts w:ascii="Times New Roman" w:hAnsi="Times New Roman" w:cs="Times New Roman"/>
        </w:rPr>
        <w:t xml:space="preserve"> chloride (1.5 mM </w:t>
      </w:r>
      <w:proofErr w:type="spellStart"/>
      <w:r w:rsidRPr="00A73868">
        <w:rPr>
          <w:rFonts w:ascii="Times New Roman" w:hAnsi="Times New Roman" w:cs="Times New Roman"/>
        </w:rPr>
        <w:t>BTCl</w:t>
      </w:r>
      <w:proofErr w:type="spellEnd"/>
      <w:r w:rsidRPr="00A73868">
        <w:rPr>
          <w:rFonts w:ascii="Times New Roman" w:hAnsi="Times New Roman" w:cs="Times New Roman"/>
        </w:rPr>
        <w:t xml:space="preserve">, 25 </w:t>
      </w:r>
      <w:proofErr w:type="spellStart"/>
      <w:r w:rsidRPr="00A73868">
        <w:rPr>
          <w:rFonts w:ascii="Times New Roman" w:hAnsi="Times New Roman" w:cs="Times New Roman"/>
        </w:rPr>
        <w:t>μL</w:t>
      </w:r>
      <w:proofErr w:type="spellEnd"/>
      <w:r w:rsidRPr="00A73868">
        <w:rPr>
          <w:rFonts w:ascii="Times New Roman" w:hAnsi="Times New Roman" w:cs="Times New Roman"/>
        </w:rPr>
        <w:t>)]. After 15 min of incubation, the absorbance was recorded at 405 nm and the results expressed as milligrams of galantamine equivalents per gram of dry extract (GALAEs/g extract).</w:t>
      </w:r>
    </w:p>
    <w:p w14:paraId="40C1EC28" w14:textId="77777777" w:rsidR="00D215F8" w:rsidRPr="00A73868" w:rsidRDefault="00D215F8" w:rsidP="00A93969">
      <w:pPr>
        <w:spacing w:line="480" w:lineRule="auto"/>
        <w:ind w:firstLine="720"/>
        <w:jc w:val="both"/>
        <w:rPr>
          <w:rFonts w:ascii="Times New Roman" w:hAnsi="Times New Roman" w:cs="Times New Roman"/>
        </w:rPr>
      </w:pPr>
    </w:p>
    <w:p w14:paraId="704719ED" w14:textId="72C5C003" w:rsidR="00A93969" w:rsidRPr="00A73868" w:rsidRDefault="00A93969" w:rsidP="00FB02FD">
      <w:pPr>
        <w:pStyle w:val="ListParagraph"/>
        <w:numPr>
          <w:ilvl w:val="1"/>
          <w:numId w:val="1"/>
        </w:numPr>
        <w:spacing w:line="480" w:lineRule="auto"/>
        <w:jc w:val="both"/>
        <w:rPr>
          <w:rFonts w:ascii="Times New Roman" w:hAnsi="Times New Roman" w:cs="Times New Roman"/>
          <w:bCs/>
          <w:i/>
          <w:sz w:val="24"/>
          <w:szCs w:val="24"/>
        </w:rPr>
      </w:pPr>
      <w:r w:rsidRPr="00A73868">
        <w:rPr>
          <w:rFonts w:ascii="Times New Roman" w:hAnsi="Times New Roman" w:cs="Times New Roman"/>
          <w:bCs/>
          <w:i/>
          <w:sz w:val="24"/>
          <w:szCs w:val="24"/>
        </w:rPr>
        <w:t>α-Amylase</w:t>
      </w:r>
    </w:p>
    <w:p w14:paraId="72BA9A32" w14:textId="77777777" w:rsidR="00A93969" w:rsidRPr="00A73868" w:rsidRDefault="00A93969" w:rsidP="00A93969">
      <w:pPr>
        <w:spacing w:line="480" w:lineRule="auto"/>
        <w:ind w:firstLine="720"/>
        <w:jc w:val="both"/>
        <w:rPr>
          <w:rFonts w:ascii="Times New Roman" w:hAnsi="Times New Roman" w:cs="Times New Roman"/>
        </w:rPr>
      </w:pPr>
      <w:r w:rsidRPr="00A73868">
        <w:rPr>
          <w:rFonts w:ascii="Times New Roman" w:hAnsi="Times New Roman" w:cs="Times New Roman"/>
        </w:rPr>
        <w:t xml:space="preserve">The reaction mixture composed by 25 </w:t>
      </w:r>
      <w:r w:rsidRPr="00A73868">
        <w:rPr>
          <w:rFonts w:ascii="Times New Roman" w:hAnsi="Times New Roman" w:cs="Times New Roman"/>
        </w:rPr>
        <w:t xml:space="preserve">L of the sample solution and 50 </w:t>
      </w:r>
      <w:proofErr w:type="spellStart"/>
      <w:r w:rsidRPr="00A73868">
        <w:rPr>
          <w:rFonts w:ascii="Times New Roman" w:hAnsi="Times New Roman" w:cs="Times New Roman"/>
        </w:rPr>
        <w:t>μL</w:t>
      </w:r>
      <w:proofErr w:type="spellEnd"/>
      <w:r w:rsidRPr="00A73868">
        <w:rPr>
          <w:rFonts w:ascii="Times New Roman" w:hAnsi="Times New Roman" w:cs="Times New Roman"/>
        </w:rPr>
        <w:t xml:space="preserve"> of the α-amylase solution (10 u/mL) in phosphate buffer (pH 6.9 with 6 mM sodium chloride) was added to 50 </w:t>
      </w:r>
      <w:proofErr w:type="spellStart"/>
      <w:r w:rsidRPr="00A73868">
        <w:rPr>
          <w:rFonts w:ascii="Times New Roman" w:hAnsi="Times New Roman" w:cs="Times New Roman"/>
        </w:rPr>
        <w:t>μL</w:t>
      </w:r>
      <w:proofErr w:type="spellEnd"/>
      <w:r w:rsidRPr="00A73868">
        <w:rPr>
          <w:rFonts w:ascii="Times New Roman" w:hAnsi="Times New Roman" w:cs="Times New Roman"/>
        </w:rPr>
        <w:t xml:space="preserve"> of the starch solution (0.05%) and the reaction was stopped with the addition of 25 </w:t>
      </w:r>
      <w:proofErr w:type="spellStart"/>
      <w:r w:rsidRPr="00A73868">
        <w:rPr>
          <w:rFonts w:ascii="Times New Roman" w:hAnsi="Times New Roman" w:cs="Times New Roman"/>
        </w:rPr>
        <w:t>μL</w:t>
      </w:r>
      <w:proofErr w:type="spellEnd"/>
      <w:r w:rsidRPr="00A73868">
        <w:rPr>
          <w:rFonts w:ascii="Times New Roman" w:hAnsi="Times New Roman" w:cs="Times New Roman"/>
        </w:rPr>
        <w:t xml:space="preserve"> of HCl (1 M). Then 100 </w:t>
      </w:r>
      <w:proofErr w:type="spellStart"/>
      <w:r w:rsidRPr="00A73868">
        <w:rPr>
          <w:rFonts w:ascii="Times New Roman" w:hAnsi="Times New Roman" w:cs="Times New Roman"/>
        </w:rPr>
        <w:t>μL</w:t>
      </w:r>
      <w:proofErr w:type="spellEnd"/>
      <w:r w:rsidRPr="00A73868">
        <w:rPr>
          <w:rFonts w:ascii="Times New Roman" w:hAnsi="Times New Roman" w:cs="Times New Roman"/>
        </w:rPr>
        <w:t xml:space="preserve"> of the iodine-potassium iodide solution was added. After 10 min of incubation, the absorbance was recorded at 630 nm and the results expressed as millimoles of acarbose equivalents per gram of dry extract (ACAEs/g extract).</w:t>
      </w:r>
    </w:p>
    <w:p w14:paraId="6A8D981D" w14:textId="77777777" w:rsidR="00D215F8" w:rsidRPr="00A73868" w:rsidRDefault="00D215F8" w:rsidP="00A93969">
      <w:pPr>
        <w:spacing w:line="480" w:lineRule="auto"/>
        <w:ind w:firstLine="720"/>
        <w:jc w:val="both"/>
        <w:rPr>
          <w:rFonts w:ascii="Times New Roman" w:hAnsi="Times New Roman" w:cs="Times New Roman"/>
        </w:rPr>
      </w:pPr>
    </w:p>
    <w:p w14:paraId="7BBA6F2A" w14:textId="7725118D" w:rsidR="00A93969" w:rsidRPr="00A73868" w:rsidRDefault="00A93969" w:rsidP="00FB02FD">
      <w:pPr>
        <w:pStyle w:val="ListParagraph"/>
        <w:numPr>
          <w:ilvl w:val="1"/>
          <w:numId w:val="1"/>
        </w:numPr>
        <w:spacing w:line="480" w:lineRule="auto"/>
        <w:jc w:val="both"/>
        <w:rPr>
          <w:rFonts w:ascii="Times New Roman" w:hAnsi="Times New Roman" w:cs="Times New Roman"/>
          <w:bCs/>
          <w:i/>
          <w:sz w:val="24"/>
          <w:szCs w:val="24"/>
        </w:rPr>
      </w:pPr>
      <w:r w:rsidRPr="00A73868">
        <w:rPr>
          <w:rFonts w:ascii="Times New Roman" w:hAnsi="Times New Roman" w:cs="Times New Roman"/>
          <w:bCs/>
          <w:i/>
          <w:sz w:val="24"/>
          <w:szCs w:val="24"/>
        </w:rPr>
        <w:t>Tyrosinase</w:t>
      </w:r>
    </w:p>
    <w:p w14:paraId="3A4799F7" w14:textId="77777777" w:rsidR="00A93969" w:rsidRPr="00A73868" w:rsidRDefault="00A93969" w:rsidP="00A93969">
      <w:pPr>
        <w:spacing w:line="480" w:lineRule="auto"/>
        <w:ind w:firstLine="720"/>
        <w:jc w:val="both"/>
        <w:rPr>
          <w:rFonts w:ascii="Times New Roman" w:hAnsi="Times New Roman" w:cs="Times New Roman"/>
        </w:rPr>
        <w:sectPr w:rsidR="00A93969" w:rsidRPr="00A73868" w:rsidSect="00FC578A">
          <w:pgSz w:w="11900" w:h="16840"/>
          <w:pgMar w:top="1440" w:right="1440" w:bottom="1440" w:left="1440" w:header="708" w:footer="708" w:gutter="0"/>
          <w:cols w:space="708"/>
          <w:docGrid w:linePitch="360"/>
        </w:sectPr>
      </w:pPr>
      <w:r w:rsidRPr="00A73868">
        <w:rPr>
          <w:rFonts w:ascii="Times New Roman" w:hAnsi="Times New Roman" w:cs="Times New Roman"/>
        </w:rPr>
        <w:t xml:space="preserve">25 </w:t>
      </w:r>
      <w:proofErr w:type="spellStart"/>
      <w:r w:rsidRPr="00A73868">
        <w:rPr>
          <w:rFonts w:ascii="Times New Roman" w:hAnsi="Times New Roman" w:cs="Times New Roman"/>
        </w:rPr>
        <w:t>μL</w:t>
      </w:r>
      <w:proofErr w:type="spellEnd"/>
      <w:r w:rsidRPr="00A73868">
        <w:rPr>
          <w:rFonts w:ascii="Times New Roman" w:hAnsi="Times New Roman" w:cs="Times New Roman"/>
        </w:rPr>
        <w:t xml:space="preserve"> of the sample solution were added to a 40 </w:t>
      </w:r>
      <w:proofErr w:type="spellStart"/>
      <w:r w:rsidRPr="00A73868">
        <w:rPr>
          <w:rFonts w:ascii="Times New Roman" w:hAnsi="Times New Roman" w:cs="Times New Roman"/>
        </w:rPr>
        <w:t>μL</w:t>
      </w:r>
      <w:proofErr w:type="spellEnd"/>
      <w:r w:rsidRPr="00A73868">
        <w:rPr>
          <w:rFonts w:ascii="Times New Roman" w:hAnsi="Times New Roman" w:cs="Times New Roman"/>
        </w:rPr>
        <w:t xml:space="preserve"> of tyrosinase solution (200 u/mL) and phosphate buffer (40 mM, 100 </w:t>
      </w:r>
      <w:proofErr w:type="spellStart"/>
      <w:r w:rsidRPr="00A73868">
        <w:rPr>
          <w:rFonts w:ascii="Times New Roman" w:hAnsi="Times New Roman" w:cs="Times New Roman"/>
        </w:rPr>
        <w:t>μL</w:t>
      </w:r>
      <w:proofErr w:type="spellEnd"/>
      <w:r w:rsidRPr="00A73868">
        <w:rPr>
          <w:rFonts w:ascii="Times New Roman" w:hAnsi="Times New Roman" w:cs="Times New Roman"/>
        </w:rPr>
        <w:t xml:space="preserve">, pH 6.8) in a 96-well microplate and incubated for 15 </w:t>
      </w:r>
      <w:r w:rsidRPr="00A73868">
        <w:rPr>
          <w:rFonts w:ascii="Times New Roman" w:hAnsi="Times New Roman" w:cs="Times New Roman"/>
        </w:rPr>
        <w:lastRenderedPageBreak/>
        <w:t xml:space="preserve">min at 25 °C. Then the reaction was initiated by adding </w:t>
      </w:r>
      <w:proofErr w:type="spellStart"/>
      <w:r w:rsidRPr="00A73868">
        <w:rPr>
          <w:rFonts w:ascii="Times New Roman" w:hAnsi="Times New Roman" w:cs="Times New Roman"/>
        </w:rPr>
        <w:t>l-DOPA</w:t>
      </w:r>
      <w:proofErr w:type="spellEnd"/>
      <w:r w:rsidRPr="00A73868">
        <w:rPr>
          <w:rFonts w:ascii="Times New Roman" w:hAnsi="Times New Roman" w:cs="Times New Roman"/>
        </w:rPr>
        <w:t xml:space="preserve"> (10 mM, 40 </w:t>
      </w:r>
      <w:proofErr w:type="spellStart"/>
      <w:r w:rsidRPr="00A73868">
        <w:rPr>
          <w:rFonts w:ascii="Times New Roman" w:hAnsi="Times New Roman" w:cs="Times New Roman"/>
        </w:rPr>
        <w:t>μL</w:t>
      </w:r>
      <w:proofErr w:type="spellEnd"/>
      <w:r w:rsidRPr="00A73868">
        <w:rPr>
          <w:rFonts w:ascii="Times New Roman" w:hAnsi="Times New Roman" w:cs="Times New Roman"/>
        </w:rPr>
        <w:t>). After 10 min of incubation at room temperature, the absorbance was recorded at 492 nm and the results expressed as milligrams of kojic acid equivalents per gram of dry extract (KAE/g extract).</w:t>
      </w:r>
    </w:p>
    <w:p w14:paraId="1DB0DED9" w14:textId="06D59F77" w:rsidR="00C55432" w:rsidRPr="00A73868" w:rsidRDefault="00C55432" w:rsidP="00EC52B7">
      <w:pPr>
        <w:jc w:val="center"/>
      </w:pPr>
      <w:r w:rsidRPr="00A73868">
        <w:rPr>
          <w:noProof/>
          <w:lang w:val="it-IT" w:eastAsia="it-IT"/>
        </w:rPr>
        <w:lastRenderedPageBreak/>
        <w:drawing>
          <wp:inline distT="0" distB="0" distL="0" distR="0" wp14:anchorId="0742C153" wp14:editId="243E587E">
            <wp:extent cx="7297035" cy="5113777"/>
            <wp:effectExtent l="12700" t="12700" r="1841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34075" cy="5139735"/>
                    </a:xfrm>
                    <a:prstGeom prst="rect">
                      <a:avLst/>
                    </a:prstGeom>
                    <a:ln>
                      <a:solidFill>
                        <a:schemeClr val="tx1"/>
                      </a:solidFill>
                    </a:ln>
                  </pic:spPr>
                </pic:pic>
              </a:graphicData>
            </a:graphic>
          </wp:inline>
        </w:drawing>
      </w:r>
    </w:p>
    <w:p w14:paraId="7F4AEC4D" w14:textId="72CA4B59" w:rsidR="00F140D5" w:rsidRPr="00A73868" w:rsidRDefault="00C55432" w:rsidP="00FB02FD">
      <w:pPr>
        <w:jc w:val="both"/>
        <w:rPr>
          <w:rFonts w:ascii="Times New Roman" w:hAnsi="Times New Roman" w:cs="Times New Roman"/>
          <w:b/>
          <w:bCs/>
        </w:rPr>
        <w:sectPr w:rsidR="00F140D5" w:rsidRPr="00A73868" w:rsidSect="00C55432">
          <w:pgSz w:w="16840" w:h="11900" w:orient="landscape"/>
          <w:pgMar w:top="1440" w:right="1440" w:bottom="1440" w:left="1440" w:header="708" w:footer="708" w:gutter="0"/>
          <w:cols w:space="708"/>
          <w:docGrid w:linePitch="360"/>
        </w:sectPr>
      </w:pPr>
      <w:r w:rsidRPr="00A73868">
        <w:rPr>
          <w:rFonts w:ascii="Times New Roman" w:hAnsi="Times New Roman" w:cs="Times New Roman"/>
          <w:b/>
          <w:bCs/>
        </w:rPr>
        <w:t>Figure S1:</w:t>
      </w:r>
      <w:r w:rsidRPr="00A73868">
        <w:rPr>
          <w:rFonts w:ascii="Times New Roman" w:hAnsi="Times New Roman" w:cs="Times New Roman"/>
        </w:rPr>
        <w:t xml:space="preserve"> HPLC-PDA chromatograms of the quantified phytochemicals in aerial methanol (</w:t>
      </w:r>
      <w:r w:rsidRPr="00A73868">
        <w:rPr>
          <w:rFonts w:ascii="Times New Roman" w:hAnsi="Times New Roman" w:cs="Times New Roman"/>
          <w:b/>
          <w:bCs/>
        </w:rPr>
        <w:t>A</w:t>
      </w:r>
      <w:r w:rsidRPr="00A73868">
        <w:rPr>
          <w:rFonts w:ascii="Times New Roman" w:hAnsi="Times New Roman" w:cs="Times New Roman"/>
        </w:rPr>
        <w:t>) gallic acid; (</w:t>
      </w:r>
      <w:r w:rsidRPr="00A73868">
        <w:rPr>
          <w:rFonts w:ascii="Times New Roman" w:hAnsi="Times New Roman" w:cs="Times New Roman"/>
          <w:b/>
          <w:bCs/>
        </w:rPr>
        <w:t>B</w:t>
      </w:r>
      <w:r w:rsidRPr="00A73868">
        <w:rPr>
          <w:rFonts w:ascii="Times New Roman" w:hAnsi="Times New Roman" w:cs="Times New Roman"/>
        </w:rPr>
        <w:t>) catechin; (</w:t>
      </w:r>
      <w:r w:rsidRPr="00A73868">
        <w:rPr>
          <w:rFonts w:ascii="Times New Roman" w:hAnsi="Times New Roman" w:cs="Times New Roman"/>
          <w:b/>
          <w:bCs/>
        </w:rPr>
        <w:t>C</w:t>
      </w:r>
      <w:r w:rsidRPr="00A73868">
        <w:rPr>
          <w:rFonts w:ascii="Times New Roman" w:hAnsi="Times New Roman" w:cs="Times New Roman"/>
        </w:rPr>
        <w:t>) 4-OH benzoic acid; (</w:t>
      </w:r>
      <w:r w:rsidRPr="00A73868">
        <w:rPr>
          <w:rFonts w:ascii="Times New Roman" w:hAnsi="Times New Roman" w:cs="Times New Roman"/>
          <w:b/>
          <w:bCs/>
        </w:rPr>
        <w:t>D</w:t>
      </w:r>
      <w:r w:rsidRPr="00A73868">
        <w:rPr>
          <w:rFonts w:ascii="Times New Roman" w:hAnsi="Times New Roman" w:cs="Times New Roman"/>
        </w:rPr>
        <w:t xml:space="preserve">) </w:t>
      </w:r>
      <w:r w:rsidR="00FB02FD" w:rsidRPr="00A73868">
        <w:rPr>
          <w:rFonts w:ascii="Times New Roman" w:hAnsi="Times New Roman" w:cs="Times New Roman"/>
        </w:rPr>
        <w:t>v</w:t>
      </w:r>
      <w:r w:rsidRPr="00A73868">
        <w:rPr>
          <w:rFonts w:ascii="Times New Roman" w:hAnsi="Times New Roman" w:cs="Times New Roman"/>
        </w:rPr>
        <w:t>anillic acid; (</w:t>
      </w:r>
      <w:r w:rsidRPr="00A73868">
        <w:rPr>
          <w:rFonts w:ascii="Times New Roman" w:hAnsi="Times New Roman" w:cs="Times New Roman"/>
          <w:b/>
          <w:bCs/>
        </w:rPr>
        <w:t>E</w:t>
      </w:r>
      <w:r w:rsidRPr="00A73868">
        <w:rPr>
          <w:rFonts w:ascii="Times New Roman" w:hAnsi="Times New Roman" w:cs="Times New Roman"/>
        </w:rPr>
        <w:t xml:space="preserve">) </w:t>
      </w:r>
      <w:r w:rsidR="00FB02FD" w:rsidRPr="00A73868">
        <w:rPr>
          <w:rFonts w:ascii="Times New Roman" w:hAnsi="Times New Roman" w:cs="Times New Roman"/>
        </w:rPr>
        <w:t>e</w:t>
      </w:r>
      <w:r w:rsidRPr="00A73868">
        <w:rPr>
          <w:rFonts w:ascii="Times New Roman" w:hAnsi="Times New Roman" w:cs="Times New Roman"/>
        </w:rPr>
        <w:t>picatechin; (</w:t>
      </w:r>
      <w:r w:rsidRPr="00A73868">
        <w:rPr>
          <w:rFonts w:ascii="Times New Roman" w:hAnsi="Times New Roman" w:cs="Times New Roman"/>
          <w:b/>
          <w:bCs/>
        </w:rPr>
        <w:t>F</w:t>
      </w:r>
      <w:r w:rsidRPr="00A73868">
        <w:rPr>
          <w:rFonts w:ascii="Times New Roman" w:hAnsi="Times New Roman" w:cs="Times New Roman"/>
        </w:rPr>
        <w:t xml:space="preserve">) </w:t>
      </w:r>
      <w:r w:rsidR="00FB02FD" w:rsidRPr="00A73868">
        <w:rPr>
          <w:rFonts w:ascii="Times New Roman" w:hAnsi="Times New Roman" w:cs="Times New Roman"/>
        </w:rPr>
        <w:t>s</w:t>
      </w:r>
      <w:r w:rsidRPr="00A73868">
        <w:rPr>
          <w:rFonts w:ascii="Times New Roman" w:hAnsi="Times New Roman" w:cs="Times New Roman"/>
        </w:rPr>
        <w:t>yringic acid; (</w:t>
      </w:r>
      <w:r w:rsidRPr="00A73868">
        <w:rPr>
          <w:rFonts w:ascii="Times New Roman" w:hAnsi="Times New Roman" w:cs="Times New Roman"/>
          <w:b/>
          <w:bCs/>
        </w:rPr>
        <w:t>G</w:t>
      </w:r>
      <w:r w:rsidRPr="00A73868">
        <w:rPr>
          <w:rFonts w:ascii="Times New Roman" w:hAnsi="Times New Roman" w:cs="Times New Roman"/>
        </w:rPr>
        <w:t xml:space="preserve">) </w:t>
      </w:r>
      <w:r w:rsidRPr="00A73868">
        <w:rPr>
          <w:rFonts w:ascii="Times New Roman" w:hAnsi="Times New Roman" w:cs="Times New Roman"/>
          <w:i/>
          <w:iCs/>
        </w:rPr>
        <w:t>p</w:t>
      </w:r>
      <w:r w:rsidRPr="00A73868">
        <w:rPr>
          <w:rFonts w:ascii="Times New Roman" w:hAnsi="Times New Roman" w:cs="Times New Roman"/>
        </w:rPr>
        <w:t>-coumaric acid; (</w:t>
      </w:r>
      <w:r w:rsidRPr="00A73868">
        <w:rPr>
          <w:rFonts w:ascii="Times New Roman" w:hAnsi="Times New Roman" w:cs="Times New Roman"/>
          <w:b/>
          <w:bCs/>
        </w:rPr>
        <w:t>H</w:t>
      </w:r>
      <w:r w:rsidRPr="00A73868">
        <w:rPr>
          <w:rFonts w:ascii="Times New Roman" w:hAnsi="Times New Roman" w:cs="Times New Roman"/>
        </w:rPr>
        <w:t xml:space="preserve">) </w:t>
      </w:r>
      <w:proofErr w:type="spellStart"/>
      <w:r w:rsidR="00FB02FD" w:rsidRPr="00A73868">
        <w:rPr>
          <w:rFonts w:ascii="Times New Roman" w:hAnsi="Times New Roman" w:cs="Times New Roman"/>
        </w:rPr>
        <w:t>r</w:t>
      </w:r>
      <w:r w:rsidRPr="00A73868">
        <w:rPr>
          <w:rFonts w:ascii="Times New Roman" w:hAnsi="Times New Roman" w:cs="Times New Roman"/>
        </w:rPr>
        <w:t>utin</w:t>
      </w:r>
      <w:proofErr w:type="spellEnd"/>
      <w:r w:rsidRPr="00A73868">
        <w:rPr>
          <w:rFonts w:ascii="Times New Roman" w:hAnsi="Times New Roman" w:cs="Times New Roman"/>
        </w:rPr>
        <w:t>, and aerial DCM (</w:t>
      </w:r>
      <w:r w:rsidRPr="00A73868">
        <w:rPr>
          <w:rFonts w:ascii="Times New Roman" w:hAnsi="Times New Roman" w:cs="Times New Roman"/>
          <w:b/>
          <w:bCs/>
        </w:rPr>
        <w:t>I</w:t>
      </w:r>
      <w:r w:rsidRPr="00A73868">
        <w:rPr>
          <w:rFonts w:ascii="Times New Roman" w:hAnsi="Times New Roman" w:cs="Times New Roman"/>
        </w:rPr>
        <w:t>) Carvacrol extracts.</w:t>
      </w:r>
    </w:p>
    <w:p w14:paraId="46F6B430" w14:textId="00CE2641" w:rsidR="00F140D5" w:rsidRPr="00A73868" w:rsidRDefault="00F140D5" w:rsidP="001C01F1">
      <w:pPr>
        <w:jc w:val="center"/>
        <w:rPr>
          <w:rFonts w:ascii="Times New Roman" w:hAnsi="Times New Roman" w:cs="Times New Roman"/>
          <w:b/>
          <w:bCs/>
          <w:sz w:val="20"/>
          <w:szCs w:val="20"/>
        </w:rPr>
      </w:pPr>
      <w:r w:rsidRPr="00A73868">
        <w:rPr>
          <w:rFonts w:ascii="Times New Roman" w:hAnsi="Times New Roman" w:cs="Times New Roman"/>
          <w:b/>
          <w:bCs/>
          <w:noProof/>
          <w:sz w:val="20"/>
          <w:szCs w:val="20"/>
          <w:lang w:val="it-IT" w:eastAsia="it-IT"/>
        </w:rPr>
        <w:lastRenderedPageBreak/>
        <w:drawing>
          <wp:inline distT="0" distB="0" distL="0" distR="0" wp14:anchorId="22147BAF" wp14:editId="19386490">
            <wp:extent cx="4925588" cy="7497597"/>
            <wp:effectExtent l="12700" t="12700" r="152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0685" cy="7505355"/>
                    </a:xfrm>
                    <a:prstGeom prst="rect">
                      <a:avLst/>
                    </a:prstGeom>
                    <a:ln>
                      <a:solidFill>
                        <a:schemeClr val="tx1"/>
                      </a:solidFill>
                    </a:ln>
                  </pic:spPr>
                </pic:pic>
              </a:graphicData>
            </a:graphic>
          </wp:inline>
        </w:drawing>
      </w:r>
    </w:p>
    <w:p w14:paraId="6B192B64" w14:textId="4C877563" w:rsidR="00A93969" w:rsidRPr="00A73868" w:rsidRDefault="00F140D5" w:rsidP="001C01F1">
      <w:pPr>
        <w:jc w:val="both"/>
        <w:rPr>
          <w:rFonts w:ascii="Times New Roman" w:hAnsi="Times New Roman" w:cs="Times New Roman"/>
        </w:rPr>
      </w:pPr>
      <w:r w:rsidRPr="00A73868">
        <w:rPr>
          <w:rFonts w:ascii="Times New Roman" w:hAnsi="Times New Roman" w:cs="Times New Roman"/>
          <w:b/>
          <w:bCs/>
        </w:rPr>
        <w:t>Figure S2:</w:t>
      </w:r>
      <w:r w:rsidRPr="00A73868">
        <w:rPr>
          <w:rFonts w:ascii="Times New Roman" w:hAnsi="Times New Roman" w:cs="Times New Roman"/>
        </w:rPr>
        <w:t xml:space="preserve"> HPLC-PDA chromatograms of the quantified phytochemicals in root methanol </w:t>
      </w:r>
      <w:r w:rsidR="00846F6F" w:rsidRPr="00A73868">
        <w:rPr>
          <w:rFonts w:ascii="Times New Roman" w:hAnsi="Times New Roman" w:cs="Times New Roman"/>
        </w:rPr>
        <w:t xml:space="preserve">extracts </w:t>
      </w:r>
      <w:r w:rsidRPr="00A73868">
        <w:rPr>
          <w:rFonts w:ascii="Times New Roman" w:hAnsi="Times New Roman" w:cs="Times New Roman"/>
        </w:rPr>
        <w:t>(A)</w:t>
      </w:r>
      <w:r w:rsidRPr="00A73868">
        <w:rPr>
          <w:rFonts w:ascii="Times New Roman" w:hAnsi="Times New Roman" w:cs="Times New Roman"/>
          <w:b/>
          <w:bCs/>
        </w:rPr>
        <w:t xml:space="preserve"> </w:t>
      </w:r>
      <w:r w:rsidRPr="00A73868">
        <w:rPr>
          <w:rFonts w:ascii="Times New Roman" w:hAnsi="Times New Roman" w:cs="Times New Roman"/>
        </w:rPr>
        <w:t>4-OH benzoic acid;</w:t>
      </w:r>
      <w:r w:rsidRPr="00A73868">
        <w:rPr>
          <w:rFonts w:ascii="Times New Roman" w:hAnsi="Times New Roman" w:cs="Times New Roman"/>
          <w:b/>
          <w:bCs/>
        </w:rPr>
        <w:t xml:space="preserve"> (B) </w:t>
      </w:r>
      <w:r w:rsidRPr="00A73868">
        <w:rPr>
          <w:rFonts w:ascii="Times New Roman" w:hAnsi="Times New Roman" w:cs="Times New Roman"/>
        </w:rPr>
        <w:t>4-OH benzoic acid;</w:t>
      </w:r>
      <w:r w:rsidRPr="00A73868">
        <w:rPr>
          <w:rFonts w:ascii="Times New Roman" w:hAnsi="Times New Roman" w:cs="Times New Roman"/>
          <w:b/>
          <w:bCs/>
        </w:rPr>
        <w:t xml:space="preserve"> (C) </w:t>
      </w:r>
      <w:r w:rsidR="00FB02FD" w:rsidRPr="00A73868">
        <w:rPr>
          <w:rFonts w:ascii="Times New Roman" w:hAnsi="Times New Roman" w:cs="Times New Roman"/>
        </w:rPr>
        <w:t>n</w:t>
      </w:r>
      <w:r w:rsidRPr="00A73868">
        <w:rPr>
          <w:rFonts w:ascii="Times New Roman" w:hAnsi="Times New Roman" w:cs="Times New Roman"/>
        </w:rPr>
        <w:t>aringenin</w:t>
      </w:r>
      <w:r w:rsidR="00846F6F" w:rsidRPr="00A73868">
        <w:rPr>
          <w:rFonts w:ascii="Times New Roman" w:hAnsi="Times New Roman" w:cs="Times New Roman"/>
        </w:rPr>
        <w:t>;</w:t>
      </w:r>
      <w:r w:rsidRPr="00A73868">
        <w:rPr>
          <w:rFonts w:ascii="Times New Roman" w:hAnsi="Times New Roman" w:cs="Times New Roman"/>
          <w:b/>
          <w:bCs/>
        </w:rPr>
        <w:t xml:space="preserve"> (D) </w:t>
      </w:r>
      <w:r w:rsidR="00FB02FD" w:rsidRPr="00A73868">
        <w:rPr>
          <w:rFonts w:ascii="Times New Roman" w:hAnsi="Times New Roman" w:cs="Times New Roman"/>
        </w:rPr>
        <w:t>c</w:t>
      </w:r>
      <w:r w:rsidRPr="00A73868">
        <w:rPr>
          <w:rFonts w:ascii="Times New Roman" w:hAnsi="Times New Roman" w:cs="Times New Roman"/>
        </w:rPr>
        <w:t>arvacrol, and root DCM</w:t>
      </w:r>
      <w:r w:rsidR="00846F6F" w:rsidRPr="00A73868">
        <w:rPr>
          <w:rFonts w:ascii="Times New Roman" w:hAnsi="Times New Roman" w:cs="Times New Roman"/>
        </w:rPr>
        <w:t xml:space="preserve"> extracts</w:t>
      </w:r>
      <w:r w:rsidRPr="00A73868">
        <w:rPr>
          <w:rFonts w:ascii="Times New Roman" w:hAnsi="Times New Roman" w:cs="Times New Roman"/>
          <w:b/>
          <w:bCs/>
        </w:rPr>
        <w:t xml:space="preserve"> (E) </w:t>
      </w:r>
      <w:r w:rsidRPr="00A73868">
        <w:rPr>
          <w:rFonts w:ascii="Times New Roman" w:hAnsi="Times New Roman" w:cs="Times New Roman"/>
        </w:rPr>
        <w:t xml:space="preserve">3-OH-4-MeO benzaldehyde; </w:t>
      </w:r>
      <w:r w:rsidRPr="00A73868">
        <w:rPr>
          <w:rFonts w:ascii="Times New Roman" w:hAnsi="Times New Roman" w:cs="Times New Roman"/>
          <w:b/>
          <w:bCs/>
        </w:rPr>
        <w:t xml:space="preserve">(F) </w:t>
      </w:r>
      <w:r w:rsidR="00FB02FD" w:rsidRPr="00A73868">
        <w:rPr>
          <w:rFonts w:ascii="Times New Roman" w:hAnsi="Times New Roman" w:cs="Times New Roman"/>
        </w:rPr>
        <w:t>c</w:t>
      </w:r>
      <w:r w:rsidRPr="00A73868">
        <w:rPr>
          <w:rFonts w:ascii="Times New Roman" w:hAnsi="Times New Roman" w:cs="Times New Roman"/>
        </w:rPr>
        <w:t>arvacrol</w:t>
      </w:r>
      <w:r w:rsidR="00846F6F" w:rsidRPr="00A73868">
        <w:rPr>
          <w:rFonts w:ascii="Times New Roman" w:hAnsi="Times New Roman" w:cs="Times New Roman"/>
        </w:rPr>
        <w:t>.</w:t>
      </w:r>
    </w:p>
    <w:p w14:paraId="79C7ED51" w14:textId="34665F7A" w:rsidR="00FB02FD" w:rsidRPr="00A73868" w:rsidRDefault="00FB02FD" w:rsidP="001C01F1">
      <w:pPr>
        <w:jc w:val="both"/>
        <w:rPr>
          <w:rFonts w:ascii="Times New Roman" w:hAnsi="Times New Roman" w:cs="Times New Roman"/>
        </w:rPr>
      </w:pPr>
    </w:p>
    <w:p w14:paraId="56698A2F" w14:textId="29E71620" w:rsidR="003F331A" w:rsidRPr="00A73868" w:rsidRDefault="003F331A" w:rsidP="001C01F1">
      <w:pPr>
        <w:jc w:val="both"/>
        <w:rPr>
          <w:rFonts w:ascii="Times New Roman" w:hAnsi="Times New Roman" w:cs="Times New Roman"/>
        </w:rPr>
      </w:pPr>
    </w:p>
    <w:p w14:paraId="2148966E" w14:textId="78BFB467" w:rsidR="003F331A" w:rsidRPr="00A73868" w:rsidRDefault="003F331A" w:rsidP="001C01F1">
      <w:pPr>
        <w:jc w:val="both"/>
        <w:rPr>
          <w:rFonts w:ascii="Times New Roman" w:hAnsi="Times New Roman" w:cs="Times New Roman"/>
        </w:rPr>
      </w:pPr>
    </w:p>
    <w:p w14:paraId="6D78C754" w14:textId="4D83E1B8" w:rsidR="003F331A" w:rsidRPr="00A73868" w:rsidRDefault="003F331A" w:rsidP="001C01F1">
      <w:pPr>
        <w:jc w:val="both"/>
        <w:rPr>
          <w:rFonts w:ascii="Times New Roman" w:hAnsi="Times New Roman" w:cs="Times New Roman"/>
        </w:rPr>
      </w:pPr>
    </w:p>
    <w:p w14:paraId="087A2834" w14:textId="0EFA3C17" w:rsidR="003F331A" w:rsidRPr="00A73868" w:rsidRDefault="003F331A" w:rsidP="003F331A">
      <w:pPr>
        <w:autoSpaceDE w:val="0"/>
        <w:autoSpaceDN w:val="0"/>
        <w:adjustRightInd w:val="0"/>
        <w:spacing w:line="360" w:lineRule="auto"/>
        <w:jc w:val="both"/>
        <w:rPr>
          <w:rFonts w:ascii="Times New Roman" w:eastAsia="MyriadPro-Regular" w:hAnsi="Times New Roman" w:cs="Times New Roman"/>
          <w:lang w:val="en-GB"/>
        </w:rPr>
      </w:pPr>
      <w:r w:rsidRPr="00A73868">
        <w:rPr>
          <w:rFonts w:ascii="Times New Roman" w:hAnsi="Times New Roman" w:cs="Times New Roman"/>
          <w:b/>
          <w:bCs/>
          <w:lang w:val="en-GB"/>
        </w:rPr>
        <w:lastRenderedPageBreak/>
        <w:t>Table S1</w:t>
      </w:r>
      <w:r w:rsidRPr="00A73868">
        <w:rPr>
          <w:rFonts w:ascii="Times New Roman" w:hAnsi="Times New Roman" w:cs="Times New Roman"/>
          <w:lang w:val="en-GB"/>
        </w:rPr>
        <w:t xml:space="preserve">: Gradient profile </w:t>
      </w:r>
    </w:p>
    <w:tbl>
      <w:tblPr>
        <w:tblW w:w="0" w:type="auto"/>
        <w:jc w:val="center"/>
        <w:tblBorders>
          <w:top w:val="single" w:sz="4" w:space="0" w:color="auto"/>
          <w:bottom w:val="single" w:sz="4" w:space="0" w:color="auto"/>
        </w:tblBorders>
        <w:tblLook w:val="04A0" w:firstRow="1" w:lastRow="0" w:firstColumn="1" w:lastColumn="0" w:noHBand="0" w:noVBand="1"/>
      </w:tblPr>
      <w:tblGrid>
        <w:gridCol w:w="1277"/>
        <w:gridCol w:w="2482"/>
        <w:gridCol w:w="2960"/>
        <w:gridCol w:w="1611"/>
      </w:tblGrid>
      <w:tr w:rsidR="003F331A" w:rsidRPr="00A73868" w14:paraId="2D11CCD7" w14:textId="77777777" w:rsidTr="005F07EF">
        <w:trPr>
          <w:jc w:val="center"/>
        </w:trPr>
        <w:tc>
          <w:tcPr>
            <w:tcW w:w="1277" w:type="dxa"/>
            <w:tcBorders>
              <w:top w:val="single" w:sz="4" w:space="0" w:color="auto"/>
              <w:bottom w:val="single" w:sz="4" w:space="0" w:color="auto"/>
            </w:tcBorders>
            <w:shd w:val="clear" w:color="auto" w:fill="auto"/>
            <w:vAlign w:val="center"/>
          </w:tcPr>
          <w:p w14:paraId="5164FCB3" w14:textId="77777777" w:rsidR="003F331A" w:rsidRPr="00A73868" w:rsidRDefault="003F331A" w:rsidP="005F07EF">
            <w:pPr>
              <w:pStyle w:val="Subtitle"/>
              <w:jc w:val="center"/>
              <w:rPr>
                <w:sz w:val="20"/>
              </w:rPr>
            </w:pPr>
            <w:r w:rsidRPr="00A73868">
              <w:rPr>
                <w:sz w:val="20"/>
              </w:rPr>
              <w:t>Time (min)</w:t>
            </w:r>
          </w:p>
        </w:tc>
        <w:tc>
          <w:tcPr>
            <w:tcW w:w="2482" w:type="dxa"/>
            <w:tcBorders>
              <w:top w:val="single" w:sz="4" w:space="0" w:color="auto"/>
              <w:bottom w:val="single" w:sz="4" w:space="0" w:color="auto"/>
            </w:tcBorders>
            <w:shd w:val="clear" w:color="auto" w:fill="auto"/>
            <w:vAlign w:val="center"/>
          </w:tcPr>
          <w:p w14:paraId="2A3F4681" w14:textId="77777777" w:rsidR="003F331A" w:rsidRPr="00A73868" w:rsidRDefault="003F331A" w:rsidP="005F07EF">
            <w:pPr>
              <w:pStyle w:val="Subtitle"/>
              <w:jc w:val="center"/>
              <w:rPr>
                <w:sz w:val="20"/>
              </w:rPr>
            </w:pPr>
            <w:r w:rsidRPr="00A73868">
              <w:rPr>
                <w:sz w:val="20"/>
              </w:rPr>
              <w:t>% water (3% acetic acid)</w:t>
            </w:r>
          </w:p>
        </w:tc>
        <w:tc>
          <w:tcPr>
            <w:tcW w:w="2960" w:type="dxa"/>
            <w:tcBorders>
              <w:top w:val="single" w:sz="4" w:space="0" w:color="auto"/>
              <w:bottom w:val="single" w:sz="4" w:space="0" w:color="auto"/>
            </w:tcBorders>
            <w:shd w:val="clear" w:color="auto" w:fill="auto"/>
            <w:vAlign w:val="center"/>
          </w:tcPr>
          <w:p w14:paraId="588096C8" w14:textId="77777777" w:rsidR="003F331A" w:rsidRPr="00A73868" w:rsidRDefault="003F331A" w:rsidP="005F07EF">
            <w:pPr>
              <w:pStyle w:val="Subtitle"/>
              <w:jc w:val="center"/>
              <w:rPr>
                <w:sz w:val="20"/>
              </w:rPr>
            </w:pPr>
            <w:r w:rsidRPr="00A73868">
              <w:rPr>
                <w:sz w:val="20"/>
              </w:rPr>
              <w:t>% acetonitrile (3% acetic acid)</w:t>
            </w:r>
          </w:p>
        </w:tc>
        <w:tc>
          <w:tcPr>
            <w:tcW w:w="1611" w:type="dxa"/>
            <w:tcBorders>
              <w:top w:val="single" w:sz="4" w:space="0" w:color="auto"/>
              <w:bottom w:val="single" w:sz="4" w:space="0" w:color="auto"/>
            </w:tcBorders>
            <w:shd w:val="clear" w:color="auto" w:fill="auto"/>
            <w:vAlign w:val="center"/>
          </w:tcPr>
          <w:p w14:paraId="58256147" w14:textId="77777777" w:rsidR="003F331A" w:rsidRPr="00A73868" w:rsidRDefault="003F331A" w:rsidP="005F07EF">
            <w:pPr>
              <w:pStyle w:val="Subtitle"/>
              <w:jc w:val="center"/>
              <w:rPr>
                <w:sz w:val="20"/>
              </w:rPr>
            </w:pPr>
            <w:r w:rsidRPr="00A73868">
              <w:rPr>
                <w:sz w:val="20"/>
              </w:rPr>
              <w:t>Flow (mL/min)</w:t>
            </w:r>
          </w:p>
        </w:tc>
      </w:tr>
      <w:tr w:rsidR="003F331A" w:rsidRPr="00A73868" w14:paraId="5102373F" w14:textId="77777777" w:rsidTr="005F07EF">
        <w:trPr>
          <w:jc w:val="center"/>
        </w:trPr>
        <w:tc>
          <w:tcPr>
            <w:tcW w:w="1277" w:type="dxa"/>
            <w:tcBorders>
              <w:top w:val="single" w:sz="4" w:space="0" w:color="auto"/>
            </w:tcBorders>
            <w:shd w:val="clear" w:color="auto" w:fill="auto"/>
            <w:vAlign w:val="center"/>
          </w:tcPr>
          <w:p w14:paraId="1EEC2B19" w14:textId="77777777" w:rsidR="003F331A" w:rsidRPr="00A73868" w:rsidRDefault="003F331A" w:rsidP="005F07EF">
            <w:pPr>
              <w:pStyle w:val="Subtitle"/>
              <w:jc w:val="center"/>
              <w:rPr>
                <w:b w:val="0"/>
                <w:sz w:val="24"/>
              </w:rPr>
            </w:pPr>
            <w:r w:rsidRPr="00A73868">
              <w:rPr>
                <w:b w:val="0"/>
                <w:sz w:val="24"/>
              </w:rPr>
              <w:t>0</w:t>
            </w:r>
          </w:p>
        </w:tc>
        <w:tc>
          <w:tcPr>
            <w:tcW w:w="2482" w:type="dxa"/>
            <w:tcBorders>
              <w:top w:val="single" w:sz="4" w:space="0" w:color="auto"/>
            </w:tcBorders>
            <w:shd w:val="clear" w:color="auto" w:fill="auto"/>
            <w:vAlign w:val="center"/>
          </w:tcPr>
          <w:p w14:paraId="653E3380" w14:textId="77777777" w:rsidR="003F331A" w:rsidRPr="00A73868" w:rsidRDefault="003F331A" w:rsidP="005F07EF">
            <w:pPr>
              <w:pStyle w:val="Subtitle"/>
              <w:jc w:val="center"/>
              <w:rPr>
                <w:b w:val="0"/>
                <w:sz w:val="24"/>
              </w:rPr>
            </w:pPr>
            <w:r w:rsidRPr="00A73868">
              <w:rPr>
                <w:b w:val="0"/>
                <w:sz w:val="24"/>
              </w:rPr>
              <w:t>93</w:t>
            </w:r>
          </w:p>
        </w:tc>
        <w:tc>
          <w:tcPr>
            <w:tcW w:w="2960" w:type="dxa"/>
            <w:tcBorders>
              <w:top w:val="single" w:sz="4" w:space="0" w:color="auto"/>
            </w:tcBorders>
            <w:shd w:val="clear" w:color="auto" w:fill="auto"/>
            <w:vAlign w:val="center"/>
          </w:tcPr>
          <w:p w14:paraId="1E4A920A" w14:textId="77777777" w:rsidR="003F331A" w:rsidRPr="00A73868" w:rsidRDefault="003F331A" w:rsidP="005F07EF">
            <w:pPr>
              <w:pStyle w:val="Subtitle"/>
              <w:jc w:val="center"/>
              <w:rPr>
                <w:b w:val="0"/>
                <w:sz w:val="24"/>
              </w:rPr>
            </w:pPr>
            <w:r w:rsidRPr="00A73868">
              <w:rPr>
                <w:b w:val="0"/>
                <w:sz w:val="24"/>
              </w:rPr>
              <w:t>7</w:t>
            </w:r>
          </w:p>
        </w:tc>
        <w:tc>
          <w:tcPr>
            <w:tcW w:w="1611" w:type="dxa"/>
            <w:vMerge w:val="restart"/>
            <w:tcBorders>
              <w:top w:val="single" w:sz="4" w:space="0" w:color="auto"/>
            </w:tcBorders>
            <w:shd w:val="clear" w:color="auto" w:fill="auto"/>
            <w:vAlign w:val="center"/>
          </w:tcPr>
          <w:p w14:paraId="2DD1499F" w14:textId="77777777" w:rsidR="003F331A" w:rsidRPr="00A73868" w:rsidRDefault="003F331A" w:rsidP="005F07EF">
            <w:pPr>
              <w:pStyle w:val="Subtitle"/>
              <w:jc w:val="center"/>
              <w:rPr>
                <w:b w:val="0"/>
                <w:sz w:val="24"/>
              </w:rPr>
            </w:pPr>
            <w:r w:rsidRPr="00A73868">
              <w:rPr>
                <w:b w:val="0"/>
                <w:sz w:val="24"/>
              </w:rPr>
              <w:t>1</w:t>
            </w:r>
          </w:p>
        </w:tc>
      </w:tr>
      <w:tr w:rsidR="003F331A" w:rsidRPr="00A73868" w14:paraId="00FE19C7" w14:textId="77777777" w:rsidTr="005F07EF">
        <w:trPr>
          <w:jc w:val="center"/>
        </w:trPr>
        <w:tc>
          <w:tcPr>
            <w:tcW w:w="1277" w:type="dxa"/>
            <w:shd w:val="clear" w:color="auto" w:fill="auto"/>
            <w:vAlign w:val="center"/>
          </w:tcPr>
          <w:p w14:paraId="5D0E4799" w14:textId="77777777" w:rsidR="003F331A" w:rsidRPr="00A73868" w:rsidRDefault="003F331A" w:rsidP="005F07EF">
            <w:pPr>
              <w:pStyle w:val="Subtitle"/>
              <w:jc w:val="center"/>
              <w:rPr>
                <w:b w:val="0"/>
                <w:sz w:val="24"/>
              </w:rPr>
            </w:pPr>
            <w:r w:rsidRPr="00A73868">
              <w:rPr>
                <w:b w:val="0"/>
                <w:sz w:val="24"/>
              </w:rPr>
              <w:t>0.1</w:t>
            </w:r>
          </w:p>
        </w:tc>
        <w:tc>
          <w:tcPr>
            <w:tcW w:w="2482" w:type="dxa"/>
            <w:shd w:val="clear" w:color="auto" w:fill="auto"/>
            <w:vAlign w:val="center"/>
          </w:tcPr>
          <w:p w14:paraId="07DD9F03" w14:textId="77777777" w:rsidR="003F331A" w:rsidRPr="00A73868" w:rsidRDefault="003F331A" w:rsidP="005F07EF">
            <w:pPr>
              <w:pStyle w:val="Subtitle"/>
              <w:jc w:val="center"/>
              <w:rPr>
                <w:b w:val="0"/>
                <w:sz w:val="24"/>
              </w:rPr>
            </w:pPr>
            <w:r w:rsidRPr="00A73868">
              <w:rPr>
                <w:b w:val="0"/>
                <w:sz w:val="24"/>
              </w:rPr>
              <w:t>93</w:t>
            </w:r>
          </w:p>
        </w:tc>
        <w:tc>
          <w:tcPr>
            <w:tcW w:w="2960" w:type="dxa"/>
            <w:shd w:val="clear" w:color="auto" w:fill="auto"/>
            <w:vAlign w:val="center"/>
          </w:tcPr>
          <w:p w14:paraId="5C29F52E" w14:textId="77777777" w:rsidR="003F331A" w:rsidRPr="00A73868" w:rsidRDefault="003F331A" w:rsidP="005F07EF">
            <w:pPr>
              <w:pStyle w:val="Subtitle"/>
              <w:jc w:val="center"/>
              <w:rPr>
                <w:b w:val="0"/>
                <w:sz w:val="24"/>
              </w:rPr>
            </w:pPr>
            <w:r w:rsidRPr="00A73868">
              <w:rPr>
                <w:b w:val="0"/>
                <w:sz w:val="24"/>
              </w:rPr>
              <w:t>7</w:t>
            </w:r>
          </w:p>
        </w:tc>
        <w:tc>
          <w:tcPr>
            <w:tcW w:w="1611" w:type="dxa"/>
            <w:vMerge/>
            <w:shd w:val="clear" w:color="auto" w:fill="auto"/>
            <w:vAlign w:val="center"/>
          </w:tcPr>
          <w:p w14:paraId="50AFBD4D" w14:textId="77777777" w:rsidR="003F331A" w:rsidRPr="00A73868" w:rsidRDefault="003F331A" w:rsidP="005F07EF">
            <w:pPr>
              <w:pStyle w:val="Subtitle"/>
              <w:jc w:val="center"/>
              <w:rPr>
                <w:b w:val="0"/>
                <w:sz w:val="24"/>
              </w:rPr>
            </w:pPr>
          </w:p>
        </w:tc>
      </w:tr>
      <w:tr w:rsidR="003F331A" w:rsidRPr="00A73868" w14:paraId="6BABB688" w14:textId="77777777" w:rsidTr="005F07EF">
        <w:trPr>
          <w:jc w:val="center"/>
        </w:trPr>
        <w:tc>
          <w:tcPr>
            <w:tcW w:w="1277" w:type="dxa"/>
            <w:shd w:val="clear" w:color="auto" w:fill="auto"/>
            <w:vAlign w:val="center"/>
          </w:tcPr>
          <w:p w14:paraId="2F2FA2DD" w14:textId="77777777" w:rsidR="003F331A" w:rsidRPr="00A73868" w:rsidRDefault="003F331A" w:rsidP="005F07EF">
            <w:pPr>
              <w:pStyle w:val="Subtitle"/>
              <w:jc w:val="center"/>
              <w:rPr>
                <w:b w:val="0"/>
                <w:sz w:val="24"/>
              </w:rPr>
            </w:pPr>
            <w:r w:rsidRPr="00A73868">
              <w:rPr>
                <w:b w:val="0"/>
                <w:sz w:val="24"/>
              </w:rPr>
              <w:t>30</w:t>
            </w:r>
          </w:p>
        </w:tc>
        <w:tc>
          <w:tcPr>
            <w:tcW w:w="2482" w:type="dxa"/>
            <w:shd w:val="clear" w:color="auto" w:fill="auto"/>
            <w:vAlign w:val="center"/>
          </w:tcPr>
          <w:p w14:paraId="5187BB45" w14:textId="77777777" w:rsidR="003F331A" w:rsidRPr="00A73868" w:rsidRDefault="003F331A" w:rsidP="005F07EF">
            <w:pPr>
              <w:pStyle w:val="Subtitle"/>
              <w:jc w:val="center"/>
              <w:rPr>
                <w:b w:val="0"/>
                <w:sz w:val="24"/>
              </w:rPr>
            </w:pPr>
            <w:r w:rsidRPr="00A73868">
              <w:rPr>
                <w:b w:val="0"/>
                <w:sz w:val="24"/>
              </w:rPr>
              <w:t>72</w:t>
            </w:r>
          </w:p>
        </w:tc>
        <w:tc>
          <w:tcPr>
            <w:tcW w:w="2960" w:type="dxa"/>
            <w:shd w:val="clear" w:color="auto" w:fill="auto"/>
            <w:vAlign w:val="center"/>
          </w:tcPr>
          <w:p w14:paraId="5F283A3E" w14:textId="77777777" w:rsidR="003F331A" w:rsidRPr="00A73868" w:rsidRDefault="003F331A" w:rsidP="005F07EF">
            <w:pPr>
              <w:pStyle w:val="Subtitle"/>
              <w:jc w:val="center"/>
              <w:rPr>
                <w:b w:val="0"/>
                <w:sz w:val="24"/>
              </w:rPr>
            </w:pPr>
            <w:r w:rsidRPr="00A73868">
              <w:rPr>
                <w:b w:val="0"/>
                <w:sz w:val="24"/>
              </w:rPr>
              <w:t>28</w:t>
            </w:r>
          </w:p>
        </w:tc>
        <w:tc>
          <w:tcPr>
            <w:tcW w:w="1611" w:type="dxa"/>
            <w:vMerge/>
            <w:shd w:val="clear" w:color="auto" w:fill="auto"/>
            <w:vAlign w:val="center"/>
          </w:tcPr>
          <w:p w14:paraId="254F3B89" w14:textId="77777777" w:rsidR="003F331A" w:rsidRPr="00A73868" w:rsidRDefault="003F331A" w:rsidP="005F07EF">
            <w:pPr>
              <w:pStyle w:val="Subtitle"/>
              <w:jc w:val="center"/>
              <w:rPr>
                <w:b w:val="0"/>
                <w:sz w:val="24"/>
              </w:rPr>
            </w:pPr>
          </w:p>
        </w:tc>
      </w:tr>
      <w:tr w:rsidR="003F331A" w:rsidRPr="00A73868" w14:paraId="3A3C5E01" w14:textId="77777777" w:rsidTr="005F07EF">
        <w:trPr>
          <w:jc w:val="center"/>
        </w:trPr>
        <w:tc>
          <w:tcPr>
            <w:tcW w:w="1277" w:type="dxa"/>
            <w:shd w:val="clear" w:color="auto" w:fill="auto"/>
            <w:vAlign w:val="center"/>
          </w:tcPr>
          <w:p w14:paraId="35866F5A" w14:textId="77777777" w:rsidR="003F331A" w:rsidRPr="00A73868" w:rsidRDefault="003F331A" w:rsidP="005F07EF">
            <w:pPr>
              <w:pStyle w:val="Subtitle"/>
              <w:jc w:val="center"/>
              <w:rPr>
                <w:b w:val="0"/>
                <w:sz w:val="24"/>
              </w:rPr>
            </w:pPr>
            <w:r w:rsidRPr="00A73868">
              <w:rPr>
                <w:b w:val="0"/>
                <w:sz w:val="24"/>
              </w:rPr>
              <w:t>38</w:t>
            </w:r>
          </w:p>
        </w:tc>
        <w:tc>
          <w:tcPr>
            <w:tcW w:w="2482" w:type="dxa"/>
            <w:shd w:val="clear" w:color="auto" w:fill="auto"/>
            <w:vAlign w:val="center"/>
          </w:tcPr>
          <w:p w14:paraId="016A9190" w14:textId="77777777" w:rsidR="003F331A" w:rsidRPr="00A73868" w:rsidRDefault="003F331A" w:rsidP="005F07EF">
            <w:pPr>
              <w:pStyle w:val="Subtitle"/>
              <w:jc w:val="center"/>
              <w:rPr>
                <w:b w:val="0"/>
                <w:sz w:val="24"/>
              </w:rPr>
            </w:pPr>
            <w:r w:rsidRPr="00A73868">
              <w:rPr>
                <w:b w:val="0"/>
                <w:sz w:val="24"/>
              </w:rPr>
              <w:t>75</w:t>
            </w:r>
          </w:p>
        </w:tc>
        <w:tc>
          <w:tcPr>
            <w:tcW w:w="2960" w:type="dxa"/>
            <w:shd w:val="clear" w:color="auto" w:fill="auto"/>
            <w:vAlign w:val="center"/>
          </w:tcPr>
          <w:p w14:paraId="705EE7D3" w14:textId="77777777" w:rsidR="003F331A" w:rsidRPr="00A73868" w:rsidRDefault="003F331A" w:rsidP="005F07EF">
            <w:pPr>
              <w:pStyle w:val="Subtitle"/>
              <w:jc w:val="center"/>
              <w:rPr>
                <w:b w:val="0"/>
                <w:sz w:val="24"/>
              </w:rPr>
            </w:pPr>
            <w:r w:rsidRPr="00A73868">
              <w:rPr>
                <w:b w:val="0"/>
                <w:sz w:val="24"/>
              </w:rPr>
              <w:t>25</w:t>
            </w:r>
          </w:p>
        </w:tc>
        <w:tc>
          <w:tcPr>
            <w:tcW w:w="1611" w:type="dxa"/>
            <w:vMerge/>
            <w:shd w:val="clear" w:color="auto" w:fill="auto"/>
            <w:vAlign w:val="center"/>
          </w:tcPr>
          <w:p w14:paraId="03F0716F" w14:textId="77777777" w:rsidR="003F331A" w:rsidRPr="00A73868" w:rsidRDefault="003F331A" w:rsidP="005F07EF">
            <w:pPr>
              <w:pStyle w:val="Subtitle"/>
              <w:jc w:val="center"/>
              <w:rPr>
                <w:b w:val="0"/>
                <w:sz w:val="24"/>
              </w:rPr>
            </w:pPr>
          </w:p>
        </w:tc>
      </w:tr>
      <w:tr w:rsidR="003F331A" w:rsidRPr="00A73868" w14:paraId="3A973EC7" w14:textId="77777777" w:rsidTr="005F07EF">
        <w:trPr>
          <w:jc w:val="center"/>
        </w:trPr>
        <w:tc>
          <w:tcPr>
            <w:tcW w:w="1277" w:type="dxa"/>
            <w:shd w:val="clear" w:color="auto" w:fill="auto"/>
            <w:vAlign w:val="center"/>
          </w:tcPr>
          <w:p w14:paraId="38EF2C6C" w14:textId="77777777" w:rsidR="003F331A" w:rsidRPr="00A73868" w:rsidRDefault="003F331A" w:rsidP="005F07EF">
            <w:pPr>
              <w:pStyle w:val="Subtitle"/>
              <w:jc w:val="center"/>
              <w:rPr>
                <w:b w:val="0"/>
                <w:sz w:val="24"/>
              </w:rPr>
            </w:pPr>
            <w:r w:rsidRPr="00A73868">
              <w:rPr>
                <w:b w:val="0"/>
                <w:sz w:val="24"/>
              </w:rPr>
              <w:t>45</w:t>
            </w:r>
          </w:p>
        </w:tc>
        <w:tc>
          <w:tcPr>
            <w:tcW w:w="2482" w:type="dxa"/>
            <w:shd w:val="clear" w:color="auto" w:fill="auto"/>
            <w:vAlign w:val="center"/>
          </w:tcPr>
          <w:p w14:paraId="4A87FFD4" w14:textId="77777777" w:rsidR="003F331A" w:rsidRPr="00A73868" w:rsidRDefault="003F331A" w:rsidP="005F07EF">
            <w:pPr>
              <w:pStyle w:val="Subtitle"/>
              <w:jc w:val="center"/>
              <w:rPr>
                <w:b w:val="0"/>
                <w:sz w:val="24"/>
              </w:rPr>
            </w:pPr>
            <w:r w:rsidRPr="00A73868">
              <w:rPr>
                <w:b w:val="0"/>
                <w:sz w:val="24"/>
              </w:rPr>
              <w:t>2</w:t>
            </w:r>
          </w:p>
        </w:tc>
        <w:tc>
          <w:tcPr>
            <w:tcW w:w="2960" w:type="dxa"/>
            <w:shd w:val="clear" w:color="auto" w:fill="auto"/>
            <w:vAlign w:val="center"/>
          </w:tcPr>
          <w:p w14:paraId="5E6E44A0" w14:textId="77777777" w:rsidR="003F331A" w:rsidRPr="00A73868" w:rsidRDefault="003F331A" w:rsidP="005F07EF">
            <w:pPr>
              <w:pStyle w:val="Subtitle"/>
              <w:jc w:val="center"/>
              <w:rPr>
                <w:b w:val="0"/>
                <w:sz w:val="24"/>
              </w:rPr>
            </w:pPr>
            <w:r w:rsidRPr="00A73868">
              <w:rPr>
                <w:b w:val="0"/>
                <w:sz w:val="24"/>
              </w:rPr>
              <w:t>98</w:t>
            </w:r>
          </w:p>
        </w:tc>
        <w:tc>
          <w:tcPr>
            <w:tcW w:w="1611" w:type="dxa"/>
            <w:vMerge/>
            <w:shd w:val="clear" w:color="auto" w:fill="auto"/>
            <w:vAlign w:val="center"/>
          </w:tcPr>
          <w:p w14:paraId="474B9B72" w14:textId="77777777" w:rsidR="003F331A" w:rsidRPr="00A73868" w:rsidRDefault="003F331A" w:rsidP="005F07EF">
            <w:pPr>
              <w:pStyle w:val="Subtitle"/>
              <w:jc w:val="center"/>
              <w:rPr>
                <w:b w:val="0"/>
                <w:sz w:val="24"/>
              </w:rPr>
            </w:pPr>
          </w:p>
        </w:tc>
      </w:tr>
      <w:tr w:rsidR="003F331A" w:rsidRPr="00A73868" w14:paraId="79122786" w14:textId="77777777" w:rsidTr="005F07EF">
        <w:trPr>
          <w:jc w:val="center"/>
        </w:trPr>
        <w:tc>
          <w:tcPr>
            <w:tcW w:w="1277" w:type="dxa"/>
            <w:shd w:val="clear" w:color="auto" w:fill="auto"/>
            <w:vAlign w:val="center"/>
          </w:tcPr>
          <w:p w14:paraId="57503461" w14:textId="77777777" w:rsidR="003F331A" w:rsidRPr="00A73868" w:rsidRDefault="003F331A" w:rsidP="005F07EF">
            <w:pPr>
              <w:pStyle w:val="Subtitle"/>
              <w:jc w:val="center"/>
              <w:rPr>
                <w:b w:val="0"/>
                <w:sz w:val="24"/>
              </w:rPr>
            </w:pPr>
            <w:r w:rsidRPr="00A73868">
              <w:rPr>
                <w:b w:val="0"/>
                <w:sz w:val="24"/>
              </w:rPr>
              <w:t>47</w:t>
            </w:r>
          </w:p>
        </w:tc>
        <w:tc>
          <w:tcPr>
            <w:tcW w:w="2482" w:type="dxa"/>
            <w:shd w:val="clear" w:color="auto" w:fill="auto"/>
            <w:vAlign w:val="center"/>
          </w:tcPr>
          <w:p w14:paraId="3AF65025" w14:textId="77777777" w:rsidR="003F331A" w:rsidRPr="00A73868" w:rsidRDefault="003F331A" w:rsidP="005F07EF">
            <w:pPr>
              <w:pStyle w:val="Subtitle"/>
              <w:jc w:val="center"/>
              <w:rPr>
                <w:b w:val="0"/>
                <w:sz w:val="24"/>
              </w:rPr>
            </w:pPr>
            <w:r w:rsidRPr="00A73868">
              <w:rPr>
                <w:b w:val="0"/>
                <w:sz w:val="24"/>
              </w:rPr>
              <w:t>2</w:t>
            </w:r>
          </w:p>
        </w:tc>
        <w:tc>
          <w:tcPr>
            <w:tcW w:w="2960" w:type="dxa"/>
            <w:shd w:val="clear" w:color="auto" w:fill="auto"/>
            <w:vAlign w:val="center"/>
          </w:tcPr>
          <w:p w14:paraId="166D6C4B" w14:textId="77777777" w:rsidR="003F331A" w:rsidRPr="00A73868" w:rsidRDefault="003F331A" w:rsidP="005F07EF">
            <w:pPr>
              <w:pStyle w:val="Subtitle"/>
              <w:jc w:val="center"/>
              <w:rPr>
                <w:b w:val="0"/>
                <w:sz w:val="24"/>
              </w:rPr>
            </w:pPr>
            <w:r w:rsidRPr="00A73868">
              <w:rPr>
                <w:b w:val="0"/>
                <w:sz w:val="24"/>
              </w:rPr>
              <w:t>98</w:t>
            </w:r>
          </w:p>
        </w:tc>
        <w:tc>
          <w:tcPr>
            <w:tcW w:w="1611" w:type="dxa"/>
            <w:vMerge/>
            <w:shd w:val="clear" w:color="auto" w:fill="auto"/>
            <w:vAlign w:val="center"/>
          </w:tcPr>
          <w:p w14:paraId="7EE02C58" w14:textId="77777777" w:rsidR="003F331A" w:rsidRPr="00A73868" w:rsidRDefault="003F331A" w:rsidP="005F07EF">
            <w:pPr>
              <w:pStyle w:val="Subtitle"/>
              <w:jc w:val="center"/>
              <w:rPr>
                <w:b w:val="0"/>
                <w:sz w:val="24"/>
              </w:rPr>
            </w:pPr>
          </w:p>
        </w:tc>
      </w:tr>
      <w:tr w:rsidR="003F331A" w:rsidRPr="00A73868" w14:paraId="7EB01D1C" w14:textId="77777777" w:rsidTr="005F07EF">
        <w:trPr>
          <w:jc w:val="center"/>
        </w:trPr>
        <w:tc>
          <w:tcPr>
            <w:tcW w:w="1277" w:type="dxa"/>
            <w:shd w:val="clear" w:color="auto" w:fill="auto"/>
            <w:vAlign w:val="center"/>
          </w:tcPr>
          <w:p w14:paraId="48832DC0" w14:textId="77777777" w:rsidR="003F331A" w:rsidRPr="00A73868" w:rsidRDefault="003F331A" w:rsidP="005F07EF">
            <w:pPr>
              <w:pStyle w:val="Subtitle"/>
              <w:jc w:val="center"/>
              <w:rPr>
                <w:b w:val="0"/>
                <w:sz w:val="24"/>
              </w:rPr>
            </w:pPr>
            <w:r w:rsidRPr="00A73868">
              <w:rPr>
                <w:b w:val="0"/>
                <w:sz w:val="24"/>
              </w:rPr>
              <w:t>48</w:t>
            </w:r>
          </w:p>
        </w:tc>
        <w:tc>
          <w:tcPr>
            <w:tcW w:w="2482" w:type="dxa"/>
            <w:shd w:val="clear" w:color="auto" w:fill="auto"/>
            <w:vAlign w:val="center"/>
          </w:tcPr>
          <w:p w14:paraId="6B7EF225" w14:textId="77777777" w:rsidR="003F331A" w:rsidRPr="00A73868" w:rsidRDefault="003F331A" w:rsidP="005F07EF">
            <w:pPr>
              <w:pStyle w:val="Subtitle"/>
              <w:jc w:val="center"/>
              <w:rPr>
                <w:b w:val="0"/>
                <w:sz w:val="24"/>
              </w:rPr>
            </w:pPr>
            <w:r w:rsidRPr="00A73868">
              <w:rPr>
                <w:b w:val="0"/>
                <w:sz w:val="24"/>
              </w:rPr>
              <w:t>93</w:t>
            </w:r>
          </w:p>
        </w:tc>
        <w:tc>
          <w:tcPr>
            <w:tcW w:w="2960" w:type="dxa"/>
            <w:shd w:val="clear" w:color="auto" w:fill="auto"/>
            <w:vAlign w:val="center"/>
          </w:tcPr>
          <w:p w14:paraId="001C55A7" w14:textId="77777777" w:rsidR="003F331A" w:rsidRPr="00A73868" w:rsidRDefault="003F331A" w:rsidP="005F07EF">
            <w:pPr>
              <w:pStyle w:val="Subtitle"/>
              <w:jc w:val="center"/>
              <w:rPr>
                <w:b w:val="0"/>
                <w:sz w:val="24"/>
              </w:rPr>
            </w:pPr>
            <w:r w:rsidRPr="00A73868">
              <w:rPr>
                <w:b w:val="0"/>
                <w:sz w:val="24"/>
              </w:rPr>
              <w:t>7</w:t>
            </w:r>
          </w:p>
        </w:tc>
        <w:tc>
          <w:tcPr>
            <w:tcW w:w="1611" w:type="dxa"/>
            <w:vMerge/>
            <w:shd w:val="clear" w:color="auto" w:fill="auto"/>
            <w:vAlign w:val="center"/>
          </w:tcPr>
          <w:p w14:paraId="5A0EA3D6" w14:textId="77777777" w:rsidR="003F331A" w:rsidRPr="00A73868" w:rsidRDefault="003F331A" w:rsidP="005F07EF">
            <w:pPr>
              <w:pStyle w:val="Subtitle"/>
              <w:jc w:val="center"/>
              <w:rPr>
                <w:b w:val="0"/>
                <w:sz w:val="24"/>
              </w:rPr>
            </w:pPr>
          </w:p>
        </w:tc>
      </w:tr>
      <w:tr w:rsidR="003F331A" w:rsidRPr="00A73868" w14:paraId="2CDC27D4" w14:textId="77777777" w:rsidTr="005F07EF">
        <w:trPr>
          <w:jc w:val="center"/>
        </w:trPr>
        <w:tc>
          <w:tcPr>
            <w:tcW w:w="1277" w:type="dxa"/>
            <w:shd w:val="clear" w:color="auto" w:fill="auto"/>
            <w:vAlign w:val="center"/>
          </w:tcPr>
          <w:p w14:paraId="4559B7A1" w14:textId="77777777" w:rsidR="003F331A" w:rsidRPr="00A73868" w:rsidRDefault="003F331A" w:rsidP="005F07EF">
            <w:pPr>
              <w:pStyle w:val="Subtitle"/>
              <w:jc w:val="center"/>
              <w:rPr>
                <w:b w:val="0"/>
                <w:sz w:val="24"/>
              </w:rPr>
            </w:pPr>
            <w:r w:rsidRPr="00A73868">
              <w:rPr>
                <w:b w:val="0"/>
                <w:sz w:val="24"/>
              </w:rPr>
              <w:t>58</w:t>
            </w:r>
          </w:p>
        </w:tc>
        <w:tc>
          <w:tcPr>
            <w:tcW w:w="2482" w:type="dxa"/>
            <w:shd w:val="clear" w:color="auto" w:fill="auto"/>
            <w:vAlign w:val="center"/>
          </w:tcPr>
          <w:p w14:paraId="1DE66A17" w14:textId="77777777" w:rsidR="003F331A" w:rsidRPr="00A73868" w:rsidRDefault="003F331A" w:rsidP="005F07EF">
            <w:pPr>
              <w:pStyle w:val="Subtitle"/>
              <w:jc w:val="center"/>
              <w:rPr>
                <w:b w:val="0"/>
                <w:sz w:val="24"/>
              </w:rPr>
            </w:pPr>
            <w:r w:rsidRPr="00A73868">
              <w:rPr>
                <w:b w:val="0"/>
                <w:sz w:val="24"/>
              </w:rPr>
              <w:t>93</w:t>
            </w:r>
          </w:p>
        </w:tc>
        <w:tc>
          <w:tcPr>
            <w:tcW w:w="2960" w:type="dxa"/>
            <w:shd w:val="clear" w:color="auto" w:fill="auto"/>
            <w:vAlign w:val="center"/>
          </w:tcPr>
          <w:p w14:paraId="2B80BC97" w14:textId="77777777" w:rsidR="003F331A" w:rsidRPr="00A73868" w:rsidRDefault="003F331A" w:rsidP="005F07EF">
            <w:pPr>
              <w:pStyle w:val="Subtitle"/>
              <w:jc w:val="center"/>
              <w:rPr>
                <w:b w:val="0"/>
                <w:sz w:val="24"/>
              </w:rPr>
            </w:pPr>
            <w:r w:rsidRPr="00A73868">
              <w:rPr>
                <w:b w:val="0"/>
                <w:sz w:val="24"/>
              </w:rPr>
              <w:t>7</w:t>
            </w:r>
          </w:p>
        </w:tc>
        <w:tc>
          <w:tcPr>
            <w:tcW w:w="1611" w:type="dxa"/>
            <w:vMerge/>
            <w:shd w:val="clear" w:color="auto" w:fill="auto"/>
            <w:vAlign w:val="center"/>
          </w:tcPr>
          <w:p w14:paraId="04CFA43B" w14:textId="77777777" w:rsidR="003F331A" w:rsidRPr="00A73868" w:rsidRDefault="003F331A" w:rsidP="005F07EF">
            <w:pPr>
              <w:pStyle w:val="Subtitle"/>
              <w:jc w:val="center"/>
              <w:rPr>
                <w:b w:val="0"/>
                <w:sz w:val="24"/>
              </w:rPr>
            </w:pPr>
          </w:p>
        </w:tc>
      </w:tr>
    </w:tbl>
    <w:p w14:paraId="14F0B2EE" w14:textId="77777777" w:rsidR="003F331A" w:rsidRPr="00A73868" w:rsidRDefault="003F331A" w:rsidP="003F331A">
      <w:pPr>
        <w:pStyle w:val="Subtitle"/>
      </w:pPr>
    </w:p>
    <w:p w14:paraId="710D0FCD" w14:textId="77777777" w:rsidR="003F331A" w:rsidRPr="00A73868" w:rsidRDefault="003F331A" w:rsidP="003F331A">
      <w:pPr>
        <w:spacing w:after="160" w:line="259" w:lineRule="auto"/>
        <w:rPr>
          <w:b/>
          <w:bCs/>
          <w:sz w:val="20"/>
          <w:lang w:val="en-GB"/>
        </w:rPr>
      </w:pPr>
      <w:r w:rsidRPr="00A73868">
        <w:rPr>
          <w:b/>
          <w:bCs/>
          <w:sz w:val="20"/>
          <w:lang w:val="en-GB"/>
        </w:rPr>
        <w:br w:type="page"/>
      </w:r>
    </w:p>
    <w:p w14:paraId="1D242648" w14:textId="30DFF1D5" w:rsidR="003F331A" w:rsidRPr="00A73868" w:rsidRDefault="003F331A" w:rsidP="003F331A">
      <w:pPr>
        <w:autoSpaceDE w:val="0"/>
        <w:autoSpaceDN w:val="0"/>
        <w:adjustRightInd w:val="0"/>
        <w:spacing w:line="360" w:lineRule="auto"/>
        <w:jc w:val="both"/>
        <w:rPr>
          <w:rFonts w:ascii="Times New Roman" w:hAnsi="Times New Roman" w:cs="Times New Roman"/>
          <w:lang w:val="en-GB"/>
        </w:rPr>
      </w:pPr>
      <w:r w:rsidRPr="00A73868">
        <w:rPr>
          <w:rFonts w:ascii="Times New Roman" w:hAnsi="Times New Roman" w:cs="Times New Roman"/>
          <w:b/>
          <w:bCs/>
          <w:lang w:val="en-GB"/>
        </w:rPr>
        <w:lastRenderedPageBreak/>
        <w:t>Table S2</w:t>
      </w:r>
      <w:r w:rsidRPr="00A73868">
        <w:rPr>
          <w:rFonts w:ascii="Times New Roman" w:hAnsi="Times New Roman" w:cs="Times New Roman"/>
          <w:lang w:val="en-GB"/>
        </w:rPr>
        <w:t>: Calibration parameter</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6"/>
        <w:gridCol w:w="980"/>
        <w:gridCol w:w="1207"/>
        <w:gridCol w:w="920"/>
        <w:gridCol w:w="1547"/>
        <w:gridCol w:w="2372"/>
      </w:tblGrid>
      <w:tr w:rsidR="003F331A" w:rsidRPr="00A73868" w14:paraId="518E434A" w14:textId="77777777" w:rsidTr="005F07EF">
        <w:trPr>
          <w:jc w:val="center"/>
        </w:trPr>
        <w:tc>
          <w:tcPr>
            <w:tcW w:w="2906" w:type="dxa"/>
            <w:tcBorders>
              <w:top w:val="nil"/>
              <w:left w:val="nil"/>
              <w:bottom w:val="single" w:sz="12" w:space="0" w:color="auto"/>
              <w:right w:val="nil"/>
            </w:tcBorders>
            <w:vAlign w:val="center"/>
          </w:tcPr>
          <w:p w14:paraId="0EDD66E9" w14:textId="77777777" w:rsidR="003F331A" w:rsidRPr="00A73868" w:rsidRDefault="003F331A" w:rsidP="005F07EF">
            <w:pPr>
              <w:spacing w:line="360" w:lineRule="auto"/>
              <w:jc w:val="center"/>
              <w:rPr>
                <w:rFonts w:eastAsia="Arial Unicode MS"/>
                <w:szCs w:val="20"/>
                <w:lang w:val="en-GB"/>
              </w:rPr>
            </w:pPr>
          </w:p>
        </w:tc>
        <w:tc>
          <w:tcPr>
            <w:tcW w:w="980" w:type="dxa"/>
            <w:tcBorders>
              <w:top w:val="single" w:sz="12" w:space="0" w:color="auto"/>
              <w:left w:val="nil"/>
              <w:bottom w:val="single" w:sz="12" w:space="0" w:color="auto"/>
              <w:right w:val="nil"/>
            </w:tcBorders>
            <w:vAlign w:val="center"/>
          </w:tcPr>
          <w:p w14:paraId="5EC1A872" w14:textId="77777777" w:rsidR="003F331A" w:rsidRPr="00A73868" w:rsidRDefault="003F331A" w:rsidP="005F07EF">
            <w:pPr>
              <w:spacing w:line="360" w:lineRule="auto"/>
              <w:jc w:val="center"/>
              <w:rPr>
                <w:rFonts w:eastAsia="Arial Unicode MS"/>
                <w:b/>
                <w:bCs/>
                <w:szCs w:val="20"/>
                <w:lang w:val="en-GB"/>
              </w:rPr>
            </w:pPr>
            <w:r w:rsidRPr="00A73868">
              <w:rPr>
                <w:b/>
                <w:bCs/>
                <w:szCs w:val="20"/>
                <w:lang w:val="en-GB"/>
              </w:rPr>
              <w:t>Slope</w:t>
            </w:r>
          </w:p>
        </w:tc>
        <w:tc>
          <w:tcPr>
            <w:tcW w:w="1207" w:type="dxa"/>
            <w:tcBorders>
              <w:top w:val="single" w:sz="12" w:space="0" w:color="auto"/>
              <w:left w:val="nil"/>
              <w:bottom w:val="single" w:sz="12" w:space="0" w:color="auto"/>
              <w:right w:val="nil"/>
            </w:tcBorders>
            <w:vAlign w:val="center"/>
          </w:tcPr>
          <w:p w14:paraId="46681945" w14:textId="77777777" w:rsidR="003F331A" w:rsidRPr="00A73868" w:rsidRDefault="003F331A" w:rsidP="005F07EF">
            <w:pPr>
              <w:spacing w:line="360" w:lineRule="auto"/>
              <w:jc w:val="center"/>
              <w:rPr>
                <w:rFonts w:eastAsia="Arial Unicode MS"/>
                <w:b/>
                <w:bCs/>
                <w:szCs w:val="20"/>
                <w:lang w:val="en-GB"/>
              </w:rPr>
            </w:pPr>
            <w:r w:rsidRPr="00A73868">
              <w:rPr>
                <w:b/>
                <w:bCs/>
                <w:szCs w:val="20"/>
                <w:lang w:val="en-GB"/>
              </w:rPr>
              <w:t>Intercept</w:t>
            </w:r>
          </w:p>
        </w:tc>
        <w:tc>
          <w:tcPr>
            <w:tcW w:w="920" w:type="dxa"/>
            <w:tcBorders>
              <w:top w:val="single" w:sz="12" w:space="0" w:color="auto"/>
              <w:left w:val="nil"/>
              <w:bottom w:val="single" w:sz="12" w:space="0" w:color="auto"/>
              <w:right w:val="nil"/>
            </w:tcBorders>
            <w:vAlign w:val="center"/>
          </w:tcPr>
          <w:p w14:paraId="229E4F93" w14:textId="77777777" w:rsidR="003F331A" w:rsidRPr="00A73868" w:rsidRDefault="003F331A" w:rsidP="005F07EF">
            <w:pPr>
              <w:spacing w:line="360" w:lineRule="auto"/>
              <w:jc w:val="center"/>
              <w:rPr>
                <w:rFonts w:eastAsia="Arial Unicode MS"/>
                <w:b/>
                <w:bCs/>
                <w:szCs w:val="20"/>
                <w:lang w:val="en-GB"/>
              </w:rPr>
            </w:pPr>
            <w:r w:rsidRPr="00A73868">
              <w:rPr>
                <w:b/>
                <w:bCs/>
                <w:szCs w:val="20"/>
                <w:lang w:val="en-GB"/>
              </w:rPr>
              <w:t>r</w:t>
            </w:r>
            <w:r w:rsidRPr="00A73868">
              <w:rPr>
                <w:b/>
                <w:bCs/>
                <w:szCs w:val="20"/>
                <w:vertAlign w:val="superscript"/>
                <w:lang w:val="en-GB"/>
              </w:rPr>
              <w:t>2</w:t>
            </w:r>
          </w:p>
        </w:tc>
        <w:tc>
          <w:tcPr>
            <w:tcW w:w="1547" w:type="dxa"/>
            <w:tcBorders>
              <w:top w:val="single" w:sz="12" w:space="0" w:color="auto"/>
              <w:left w:val="nil"/>
              <w:bottom w:val="single" w:sz="12" w:space="0" w:color="auto"/>
              <w:right w:val="nil"/>
            </w:tcBorders>
            <w:vAlign w:val="center"/>
          </w:tcPr>
          <w:p w14:paraId="2E5F7645" w14:textId="77777777" w:rsidR="003F331A" w:rsidRPr="00A73868" w:rsidRDefault="003F331A" w:rsidP="005F07EF">
            <w:pPr>
              <w:spacing w:line="360" w:lineRule="auto"/>
              <w:jc w:val="center"/>
              <w:rPr>
                <w:rFonts w:eastAsia="Arial Unicode MS"/>
                <w:b/>
                <w:bCs/>
                <w:szCs w:val="20"/>
                <w:lang w:val="en-GB"/>
              </w:rPr>
            </w:pPr>
            <w:r w:rsidRPr="00A73868">
              <w:rPr>
                <w:b/>
                <w:bCs/>
                <w:szCs w:val="20"/>
                <w:lang w:val="en-GB"/>
              </w:rPr>
              <w:t xml:space="preserve">Wavelength </w:t>
            </w:r>
          </w:p>
        </w:tc>
        <w:tc>
          <w:tcPr>
            <w:tcW w:w="2372" w:type="dxa"/>
            <w:tcBorders>
              <w:top w:val="single" w:sz="12" w:space="0" w:color="auto"/>
              <w:left w:val="nil"/>
              <w:bottom w:val="single" w:sz="12" w:space="0" w:color="auto"/>
              <w:right w:val="nil"/>
            </w:tcBorders>
            <w:vAlign w:val="center"/>
          </w:tcPr>
          <w:p w14:paraId="1F4913EE" w14:textId="77777777" w:rsidR="003F331A" w:rsidRPr="00A73868" w:rsidRDefault="003F331A" w:rsidP="005F07EF">
            <w:pPr>
              <w:spacing w:line="360" w:lineRule="auto"/>
              <w:jc w:val="center"/>
              <w:rPr>
                <w:rFonts w:eastAsia="Arial Unicode MS"/>
                <w:b/>
                <w:bCs/>
                <w:szCs w:val="20"/>
                <w:lang w:val="en-GB"/>
              </w:rPr>
            </w:pPr>
            <w:r w:rsidRPr="00A73868">
              <w:rPr>
                <w:rFonts w:eastAsia="Arial Unicode MS"/>
                <w:b/>
                <w:bCs/>
                <w:szCs w:val="20"/>
                <w:lang w:val="en-GB"/>
              </w:rPr>
              <w:t>Ret. time (</w:t>
            </w:r>
            <w:proofErr w:type="spellStart"/>
            <w:r w:rsidRPr="00A73868">
              <w:rPr>
                <w:rFonts w:eastAsia="Arial Unicode MS"/>
                <w:b/>
                <w:bCs/>
                <w:szCs w:val="20"/>
                <w:lang w:val="en-GB"/>
              </w:rPr>
              <w:t>min±S.D</w:t>
            </w:r>
            <w:proofErr w:type="spellEnd"/>
            <w:r w:rsidRPr="00A73868">
              <w:rPr>
                <w:rFonts w:eastAsia="Arial Unicode MS"/>
                <w:b/>
                <w:bCs/>
                <w:szCs w:val="20"/>
                <w:lang w:val="en-GB"/>
              </w:rPr>
              <w:t>.)</w:t>
            </w:r>
          </w:p>
        </w:tc>
      </w:tr>
      <w:tr w:rsidR="003F331A" w:rsidRPr="00A73868" w14:paraId="668908DC" w14:textId="77777777" w:rsidTr="005F07EF">
        <w:trPr>
          <w:jc w:val="center"/>
        </w:trPr>
        <w:tc>
          <w:tcPr>
            <w:tcW w:w="2906" w:type="dxa"/>
            <w:tcBorders>
              <w:top w:val="single" w:sz="12" w:space="0" w:color="auto"/>
              <w:left w:val="nil"/>
              <w:bottom w:val="nil"/>
              <w:right w:val="nil"/>
            </w:tcBorders>
            <w:vAlign w:val="bottom"/>
          </w:tcPr>
          <w:p w14:paraId="59B83FB4" w14:textId="77777777" w:rsidR="003F331A" w:rsidRPr="00A73868" w:rsidRDefault="003F331A" w:rsidP="005F07EF">
            <w:pPr>
              <w:spacing w:line="360" w:lineRule="auto"/>
              <w:rPr>
                <w:lang w:val="en-GB"/>
              </w:rPr>
            </w:pPr>
            <w:r w:rsidRPr="00A73868">
              <w:rPr>
                <w:lang w:val="en-GB"/>
              </w:rPr>
              <w:t>Gallic acid</w:t>
            </w:r>
          </w:p>
        </w:tc>
        <w:tc>
          <w:tcPr>
            <w:tcW w:w="980" w:type="dxa"/>
            <w:tcBorders>
              <w:top w:val="single" w:sz="12" w:space="0" w:color="auto"/>
              <w:left w:val="nil"/>
              <w:bottom w:val="nil"/>
              <w:right w:val="nil"/>
            </w:tcBorders>
            <w:vAlign w:val="bottom"/>
          </w:tcPr>
          <w:p w14:paraId="0C70C3B8" w14:textId="77777777" w:rsidR="003F331A" w:rsidRPr="00A73868" w:rsidRDefault="003F331A" w:rsidP="005F07EF">
            <w:pPr>
              <w:spacing w:line="360" w:lineRule="auto"/>
              <w:jc w:val="center"/>
              <w:rPr>
                <w:lang w:val="en-GB"/>
              </w:rPr>
            </w:pPr>
            <w:r w:rsidRPr="00A73868">
              <w:rPr>
                <w:lang w:val="en-GB"/>
              </w:rPr>
              <w:t>44126</w:t>
            </w:r>
          </w:p>
        </w:tc>
        <w:tc>
          <w:tcPr>
            <w:tcW w:w="1207" w:type="dxa"/>
            <w:tcBorders>
              <w:top w:val="single" w:sz="12" w:space="0" w:color="auto"/>
              <w:left w:val="nil"/>
              <w:bottom w:val="nil"/>
              <w:right w:val="nil"/>
            </w:tcBorders>
            <w:vAlign w:val="bottom"/>
          </w:tcPr>
          <w:p w14:paraId="5D112FD3" w14:textId="77777777" w:rsidR="003F331A" w:rsidRPr="00A73868" w:rsidRDefault="003F331A" w:rsidP="005F07EF">
            <w:pPr>
              <w:spacing w:line="360" w:lineRule="auto"/>
              <w:jc w:val="center"/>
              <w:rPr>
                <w:lang w:val="en-GB"/>
              </w:rPr>
            </w:pPr>
            <w:r w:rsidRPr="00A73868">
              <w:rPr>
                <w:lang w:val="en-GB"/>
              </w:rPr>
              <w:t>1005</w:t>
            </w:r>
          </w:p>
        </w:tc>
        <w:tc>
          <w:tcPr>
            <w:tcW w:w="920" w:type="dxa"/>
            <w:tcBorders>
              <w:top w:val="single" w:sz="12" w:space="0" w:color="auto"/>
              <w:left w:val="nil"/>
              <w:bottom w:val="nil"/>
              <w:right w:val="nil"/>
            </w:tcBorders>
            <w:vAlign w:val="bottom"/>
          </w:tcPr>
          <w:p w14:paraId="7764A484" w14:textId="77777777" w:rsidR="003F331A" w:rsidRPr="00A73868" w:rsidRDefault="003F331A" w:rsidP="005F07EF">
            <w:pPr>
              <w:spacing w:line="360" w:lineRule="auto"/>
              <w:jc w:val="center"/>
              <w:rPr>
                <w:lang w:val="en-GB"/>
              </w:rPr>
            </w:pPr>
            <w:r w:rsidRPr="00A73868">
              <w:rPr>
                <w:lang w:val="en-GB"/>
              </w:rPr>
              <w:t>0.9858</w:t>
            </w:r>
          </w:p>
        </w:tc>
        <w:tc>
          <w:tcPr>
            <w:tcW w:w="1547" w:type="dxa"/>
            <w:tcBorders>
              <w:top w:val="single" w:sz="12" w:space="0" w:color="auto"/>
              <w:left w:val="nil"/>
              <w:bottom w:val="nil"/>
              <w:right w:val="nil"/>
            </w:tcBorders>
            <w:vAlign w:val="bottom"/>
          </w:tcPr>
          <w:p w14:paraId="6B084740" w14:textId="77777777" w:rsidR="003F331A" w:rsidRPr="00A73868" w:rsidRDefault="003F331A" w:rsidP="005F07EF">
            <w:pPr>
              <w:spacing w:line="360" w:lineRule="auto"/>
              <w:jc w:val="center"/>
              <w:rPr>
                <w:lang w:val="en-GB"/>
              </w:rPr>
            </w:pPr>
            <w:r w:rsidRPr="00A73868">
              <w:rPr>
                <w:lang w:val="en-GB"/>
              </w:rPr>
              <w:t>271 nm</w:t>
            </w:r>
          </w:p>
        </w:tc>
        <w:tc>
          <w:tcPr>
            <w:tcW w:w="2372" w:type="dxa"/>
            <w:tcBorders>
              <w:top w:val="single" w:sz="12" w:space="0" w:color="auto"/>
              <w:left w:val="nil"/>
              <w:bottom w:val="nil"/>
              <w:right w:val="nil"/>
            </w:tcBorders>
            <w:vAlign w:val="bottom"/>
          </w:tcPr>
          <w:p w14:paraId="37A24049" w14:textId="77777777" w:rsidR="003F331A" w:rsidRPr="00A73868" w:rsidRDefault="003F331A" w:rsidP="005F07EF">
            <w:pPr>
              <w:spacing w:line="360" w:lineRule="auto"/>
              <w:jc w:val="center"/>
              <w:rPr>
                <w:lang w:val="en-GB"/>
              </w:rPr>
            </w:pPr>
            <w:r w:rsidRPr="00A73868">
              <w:rPr>
                <w:lang w:val="en-GB"/>
              </w:rPr>
              <w:t>4.40±0.06</w:t>
            </w:r>
          </w:p>
        </w:tc>
      </w:tr>
      <w:tr w:rsidR="003F331A" w:rsidRPr="00A73868" w14:paraId="086D5263" w14:textId="77777777" w:rsidTr="005F07EF">
        <w:trPr>
          <w:jc w:val="center"/>
        </w:trPr>
        <w:tc>
          <w:tcPr>
            <w:tcW w:w="2906" w:type="dxa"/>
            <w:tcBorders>
              <w:top w:val="nil"/>
              <w:left w:val="nil"/>
              <w:bottom w:val="nil"/>
              <w:right w:val="nil"/>
            </w:tcBorders>
            <w:vAlign w:val="bottom"/>
          </w:tcPr>
          <w:p w14:paraId="3225BFAE" w14:textId="77777777" w:rsidR="003F331A" w:rsidRPr="00A73868" w:rsidRDefault="003F331A" w:rsidP="005F07EF">
            <w:pPr>
              <w:spacing w:line="360" w:lineRule="auto"/>
              <w:rPr>
                <w:lang w:val="en-GB"/>
              </w:rPr>
            </w:pPr>
            <w:r w:rsidRPr="00A73868">
              <w:rPr>
                <w:lang w:val="en-GB"/>
              </w:rPr>
              <w:t>Catechin</w:t>
            </w:r>
          </w:p>
        </w:tc>
        <w:tc>
          <w:tcPr>
            <w:tcW w:w="980" w:type="dxa"/>
            <w:tcBorders>
              <w:top w:val="nil"/>
              <w:left w:val="nil"/>
              <w:bottom w:val="nil"/>
              <w:right w:val="nil"/>
            </w:tcBorders>
            <w:vAlign w:val="bottom"/>
          </w:tcPr>
          <w:p w14:paraId="6D37554B" w14:textId="77777777" w:rsidR="003F331A" w:rsidRPr="00A73868" w:rsidRDefault="003F331A" w:rsidP="005F07EF">
            <w:pPr>
              <w:spacing w:line="360" w:lineRule="auto"/>
              <w:jc w:val="center"/>
              <w:rPr>
                <w:lang w:val="en-GB"/>
              </w:rPr>
            </w:pPr>
            <w:r w:rsidRPr="00A73868">
              <w:rPr>
                <w:lang w:val="en-GB"/>
              </w:rPr>
              <w:t>7022</w:t>
            </w:r>
          </w:p>
        </w:tc>
        <w:tc>
          <w:tcPr>
            <w:tcW w:w="1207" w:type="dxa"/>
            <w:tcBorders>
              <w:top w:val="nil"/>
              <w:left w:val="nil"/>
              <w:bottom w:val="nil"/>
              <w:right w:val="nil"/>
            </w:tcBorders>
            <w:vAlign w:val="bottom"/>
          </w:tcPr>
          <w:p w14:paraId="7ED00B57" w14:textId="77777777" w:rsidR="003F331A" w:rsidRPr="00A73868" w:rsidRDefault="003F331A" w:rsidP="005F07EF">
            <w:pPr>
              <w:spacing w:line="360" w:lineRule="auto"/>
              <w:jc w:val="center"/>
              <w:rPr>
                <w:lang w:val="en-GB"/>
              </w:rPr>
            </w:pPr>
            <w:r w:rsidRPr="00A73868">
              <w:rPr>
                <w:lang w:val="en-GB"/>
              </w:rPr>
              <w:t>972.4</w:t>
            </w:r>
          </w:p>
        </w:tc>
        <w:tc>
          <w:tcPr>
            <w:tcW w:w="920" w:type="dxa"/>
            <w:tcBorders>
              <w:top w:val="nil"/>
              <w:left w:val="nil"/>
              <w:bottom w:val="nil"/>
              <w:right w:val="nil"/>
            </w:tcBorders>
            <w:vAlign w:val="bottom"/>
          </w:tcPr>
          <w:p w14:paraId="0E4FF46E" w14:textId="77777777" w:rsidR="003F331A" w:rsidRPr="00A73868" w:rsidRDefault="003F331A" w:rsidP="005F07EF">
            <w:pPr>
              <w:spacing w:line="360" w:lineRule="auto"/>
              <w:jc w:val="center"/>
              <w:rPr>
                <w:lang w:val="en-GB"/>
              </w:rPr>
            </w:pPr>
            <w:r w:rsidRPr="00A73868">
              <w:rPr>
                <w:lang w:val="en-GB"/>
              </w:rPr>
              <w:t>0.9361</w:t>
            </w:r>
          </w:p>
        </w:tc>
        <w:tc>
          <w:tcPr>
            <w:tcW w:w="1547" w:type="dxa"/>
            <w:tcBorders>
              <w:top w:val="nil"/>
              <w:left w:val="nil"/>
              <w:bottom w:val="nil"/>
              <w:right w:val="nil"/>
            </w:tcBorders>
            <w:vAlign w:val="bottom"/>
          </w:tcPr>
          <w:p w14:paraId="2C60E220" w14:textId="77777777" w:rsidR="003F331A" w:rsidRPr="00A73868" w:rsidRDefault="003F331A" w:rsidP="005F07EF">
            <w:pPr>
              <w:spacing w:line="360" w:lineRule="auto"/>
              <w:jc w:val="center"/>
              <w:rPr>
                <w:lang w:val="en-GB"/>
              </w:rPr>
            </w:pPr>
            <w:r w:rsidRPr="00A73868">
              <w:rPr>
                <w:lang w:val="en-GB"/>
              </w:rPr>
              <w:t>278 nm</w:t>
            </w:r>
          </w:p>
        </w:tc>
        <w:tc>
          <w:tcPr>
            <w:tcW w:w="2372" w:type="dxa"/>
            <w:tcBorders>
              <w:top w:val="nil"/>
              <w:left w:val="nil"/>
              <w:bottom w:val="nil"/>
              <w:right w:val="nil"/>
            </w:tcBorders>
            <w:vAlign w:val="bottom"/>
          </w:tcPr>
          <w:p w14:paraId="1BCFA804" w14:textId="77777777" w:rsidR="003F331A" w:rsidRPr="00A73868" w:rsidRDefault="003F331A" w:rsidP="005F07EF">
            <w:pPr>
              <w:spacing w:line="360" w:lineRule="auto"/>
              <w:jc w:val="center"/>
              <w:rPr>
                <w:lang w:val="en-GB"/>
              </w:rPr>
            </w:pPr>
            <w:r w:rsidRPr="00A73868">
              <w:rPr>
                <w:lang w:val="en-GB"/>
              </w:rPr>
              <w:t>11.9±0.27</w:t>
            </w:r>
          </w:p>
        </w:tc>
      </w:tr>
      <w:tr w:rsidR="003F331A" w:rsidRPr="00A73868" w14:paraId="6508B68B" w14:textId="77777777" w:rsidTr="005F07EF">
        <w:trPr>
          <w:jc w:val="center"/>
        </w:trPr>
        <w:tc>
          <w:tcPr>
            <w:tcW w:w="2906" w:type="dxa"/>
            <w:tcBorders>
              <w:top w:val="nil"/>
              <w:left w:val="nil"/>
              <w:bottom w:val="nil"/>
              <w:right w:val="nil"/>
            </w:tcBorders>
            <w:vAlign w:val="bottom"/>
          </w:tcPr>
          <w:p w14:paraId="64FE4487" w14:textId="77777777" w:rsidR="003F331A" w:rsidRPr="00A73868" w:rsidRDefault="003F331A" w:rsidP="005F07EF">
            <w:pPr>
              <w:spacing w:line="360" w:lineRule="auto"/>
              <w:rPr>
                <w:lang w:val="en-GB"/>
              </w:rPr>
            </w:pPr>
            <w:r w:rsidRPr="00A73868">
              <w:rPr>
                <w:lang w:val="en-GB"/>
              </w:rPr>
              <w:t>Chlorogenic acid</w:t>
            </w:r>
          </w:p>
        </w:tc>
        <w:tc>
          <w:tcPr>
            <w:tcW w:w="980" w:type="dxa"/>
            <w:tcBorders>
              <w:top w:val="nil"/>
              <w:left w:val="nil"/>
              <w:bottom w:val="nil"/>
              <w:right w:val="nil"/>
            </w:tcBorders>
            <w:vAlign w:val="bottom"/>
          </w:tcPr>
          <w:p w14:paraId="0997E176" w14:textId="77777777" w:rsidR="003F331A" w:rsidRPr="00A73868" w:rsidRDefault="003F331A" w:rsidP="005F07EF">
            <w:pPr>
              <w:spacing w:line="360" w:lineRule="auto"/>
              <w:jc w:val="center"/>
              <w:rPr>
                <w:lang w:val="en-GB"/>
              </w:rPr>
            </w:pPr>
            <w:r w:rsidRPr="00A73868">
              <w:rPr>
                <w:lang w:val="en-GB"/>
              </w:rPr>
              <w:t>22136</w:t>
            </w:r>
          </w:p>
        </w:tc>
        <w:tc>
          <w:tcPr>
            <w:tcW w:w="1207" w:type="dxa"/>
            <w:tcBorders>
              <w:top w:val="nil"/>
              <w:left w:val="nil"/>
              <w:bottom w:val="nil"/>
              <w:right w:val="nil"/>
            </w:tcBorders>
            <w:vAlign w:val="bottom"/>
          </w:tcPr>
          <w:p w14:paraId="22B12D5B" w14:textId="77777777" w:rsidR="003F331A" w:rsidRPr="00A73868" w:rsidRDefault="003F331A" w:rsidP="005F07EF">
            <w:pPr>
              <w:spacing w:line="360" w:lineRule="auto"/>
              <w:jc w:val="center"/>
              <w:rPr>
                <w:lang w:val="en-GB"/>
              </w:rPr>
            </w:pPr>
            <w:r w:rsidRPr="00A73868">
              <w:rPr>
                <w:lang w:val="en-GB"/>
              </w:rPr>
              <w:t>2475</w:t>
            </w:r>
          </w:p>
        </w:tc>
        <w:tc>
          <w:tcPr>
            <w:tcW w:w="920" w:type="dxa"/>
            <w:tcBorders>
              <w:top w:val="nil"/>
              <w:left w:val="nil"/>
              <w:bottom w:val="nil"/>
              <w:right w:val="nil"/>
            </w:tcBorders>
            <w:vAlign w:val="bottom"/>
          </w:tcPr>
          <w:p w14:paraId="0225CC76" w14:textId="77777777" w:rsidR="003F331A" w:rsidRPr="00A73868" w:rsidRDefault="003F331A" w:rsidP="005F07EF">
            <w:pPr>
              <w:spacing w:line="360" w:lineRule="auto"/>
              <w:jc w:val="center"/>
              <w:rPr>
                <w:lang w:val="en-GB"/>
              </w:rPr>
            </w:pPr>
            <w:r w:rsidRPr="00A73868">
              <w:rPr>
                <w:lang w:val="en-GB"/>
              </w:rPr>
              <w:t>0.9650</w:t>
            </w:r>
          </w:p>
        </w:tc>
        <w:tc>
          <w:tcPr>
            <w:tcW w:w="1547" w:type="dxa"/>
            <w:tcBorders>
              <w:top w:val="nil"/>
              <w:left w:val="nil"/>
              <w:bottom w:val="nil"/>
              <w:right w:val="nil"/>
            </w:tcBorders>
            <w:vAlign w:val="bottom"/>
          </w:tcPr>
          <w:p w14:paraId="7F217A85" w14:textId="77777777" w:rsidR="003F331A" w:rsidRPr="00A73868" w:rsidRDefault="003F331A" w:rsidP="005F07EF">
            <w:pPr>
              <w:spacing w:line="360" w:lineRule="auto"/>
              <w:jc w:val="center"/>
              <w:rPr>
                <w:lang w:val="en-GB"/>
              </w:rPr>
            </w:pPr>
            <w:r w:rsidRPr="00A73868">
              <w:rPr>
                <w:lang w:val="en-GB"/>
              </w:rPr>
              <w:t>324 nm</w:t>
            </w:r>
          </w:p>
        </w:tc>
        <w:tc>
          <w:tcPr>
            <w:tcW w:w="2372" w:type="dxa"/>
            <w:tcBorders>
              <w:top w:val="nil"/>
              <w:left w:val="nil"/>
              <w:bottom w:val="nil"/>
              <w:right w:val="nil"/>
            </w:tcBorders>
            <w:vAlign w:val="bottom"/>
          </w:tcPr>
          <w:p w14:paraId="42662E3D" w14:textId="77777777" w:rsidR="003F331A" w:rsidRPr="00A73868" w:rsidRDefault="003F331A" w:rsidP="005F07EF">
            <w:pPr>
              <w:spacing w:line="360" w:lineRule="auto"/>
              <w:jc w:val="center"/>
              <w:rPr>
                <w:lang w:val="en-GB"/>
              </w:rPr>
            </w:pPr>
            <w:r w:rsidRPr="00A73868">
              <w:rPr>
                <w:lang w:val="en-GB"/>
              </w:rPr>
              <w:t>12.7±0.23</w:t>
            </w:r>
          </w:p>
        </w:tc>
      </w:tr>
      <w:tr w:rsidR="003F331A" w:rsidRPr="00A73868" w14:paraId="4B47E8CA" w14:textId="77777777" w:rsidTr="005F07EF">
        <w:trPr>
          <w:jc w:val="center"/>
        </w:trPr>
        <w:tc>
          <w:tcPr>
            <w:tcW w:w="2906" w:type="dxa"/>
            <w:tcBorders>
              <w:top w:val="nil"/>
              <w:left w:val="nil"/>
              <w:bottom w:val="nil"/>
              <w:right w:val="nil"/>
            </w:tcBorders>
            <w:vAlign w:val="bottom"/>
          </w:tcPr>
          <w:p w14:paraId="1A4FF147" w14:textId="77777777" w:rsidR="003F331A" w:rsidRPr="00A73868" w:rsidRDefault="003F331A" w:rsidP="005F07EF">
            <w:pPr>
              <w:spacing w:line="360" w:lineRule="auto"/>
              <w:rPr>
                <w:lang w:val="en-GB"/>
              </w:rPr>
            </w:pPr>
            <w:r w:rsidRPr="00A73868">
              <w:rPr>
                <w:lang w:val="en-GB"/>
              </w:rPr>
              <w:t>p-OH benzoic acid</w:t>
            </w:r>
          </w:p>
        </w:tc>
        <w:tc>
          <w:tcPr>
            <w:tcW w:w="980" w:type="dxa"/>
            <w:tcBorders>
              <w:top w:val="nil"/>
              <w:left w:val="nil"/>
              <w:bottom w:val="nil"/>
              <w:right w:val="nil"/>
            </w:tcBorders>
            <w:vAlign w:val="bottom"/>
          </w:tcPr>
          <w:p w14:paraId="07E7F129" w14:textId="77777777" w:rsidR="003F331A" w:rsidRPr="00A73868" w:rsidRDefault="003F331A" w:rsidP="005F07EF">
            <w:pPr>
              <w:spacing w:line="360" w:lineRule="auto"/>
              <w:jc w:val="center"/>
              <w:rPr>
                <w:lang w:val="en-GB"/>
              </w:rPr>
            </w:pPr>
            <w:r w:rsidRPr="00A73868">
              <w:rPr>
                <w:lang w:val="en-GB"/>
              </w:rPr>
              <w:t>108088</w:t>
            </w:r>
          </w:p>
        </w:tc>
        <w:tc>
          <w:tcPr>
            <w:tcW w:w="1207" w:type="dxa"/>
            <w:tcBorders>
              <w:top w:val="nil"/>
              <w:left w:val="nil"/>
              <w:bottom w:val="nil"/>
              <w:right w:val="nil"/>
            </w:tcBorders>
            <w:vAlign w:val="bottom"/>
          </w:tcPr>
          <w:p w14:paraId="681B667E" w14:textId="77777777" w:rsidR="003F331A" w:rsidRPr="00A73868" w:rsidRDefault="003F331A" w:rsidP="005F07EF">
            <w:pPr>
              <w:spacing w:line="360" w:lineRule="auto"/>
              <w:jc w:val="center"/>
              <w:rPr>
                <w:lang w:val="en-GB"/>
              </w:rPr>
            </w:pPr>
            <w:r w:rsidRPr="00A73868">
              <w:rPr>
                <w:lang w:val="en-GB"/>
              </w:rPr>
              <w:t>-774.6</w:t>
            </w:r>
          </w:p>
        </w:tc>
        <w:tc>
          <w:tcPr>
            <w:tcW w:w="920" w:type="dxa"/>
            <w:tcBorders>
              <w:top w:val="nil"/>
              <w:left w:val="nil"/>
              <w:bottom w:val="nil"/>
              <w:right w:val="nil"/>
            </w:tcBorders>
            <w:vAlign w:val="bottom"/>
          </w:tcPr>
          <w:p w14:paraId="7E37DD3D" w14:textId="77777777" w:rsidR="003F331A" w:rsidRPr="00A73868" w:rsidRDefault="003F331A" w:rsidP="005F07EF">
            <w:pPr>
              <w:spacing w:line="360" w:lineRule="auto"/>
              <w:jc w:val="center"/>
              <w:rPr>
                <w:lang w:val="en-GB"/>
              </w:rPr>
            </w:pPr>
            <w:r w:rsidRPr="00A73868">
              <w:rPr>
                <w:lang w:val="en-GB"/>
              </w:rPr>
              <w:t>0.9504</w:t>
            </w:r>
          </w:p>
        </w:tc>
        <w:tc>
          <w:tcPr>
            <w:tcW w:w="1547" w:type="dxa"/>
            <w:tcBorders>
              <w:top w:val="nil"/>
              <w:left w:val="nil"/>
              <w:bottom w:val="nil"/>
              <w:right w:val="nil"/>
            </w:tcBorders>
            <w:vAlign w:val="bottom"/>
          </w:tcPr>
          <w:p w14:paraId="402F7BD3" w14:textId="77777777" w:rsidR="003F331A" w:rsidRPr="00A73868" w:rsidRDefault="003F331A" w:rsidP="005F07EF">
            <w:pPr>
              <w:spacing w:line="360" w:lineRule="auto"/>
              <w:jc w:val="center"/>
              <w:rPr>
                <w:lang w:val="en-GB"/>
              </w:rPr>
            </w:pPr>
            <w:r w:rsidRPr="00A73868">
              <w:rPr>
                <w:lang w:val="en-GB"/>
              </w:rPr>
              <w:t>256 nm</w:t>
            </w:r>
          </w:p>
        </w:tc>
        <w:tc>
          <w:tcPr>
            <w:tcW w:w="2372" w:type="dxa"/>
            <w:tcBorders>
              <w:top w:val="nil"/>
              <w:left w:val="nil"/>
              <w:bottom w:val="nil"/>
              <w:right w:val="nil"/>
            </w:tcBorders>
            <w:vAlign w:val="bottom"/>
          </w:tcPr>
          <w:p w14:paraId="78AE217E" w14:textId="77777777" w:rsidR="003F331A" w:rsidRPr="00A73868" w:rsidRDefault="003F331A" w:rsidP="005F07EF">
            <w:pPr>
              <w:spacing w:line="360" w:lineRule="auto"/>
              <w:jc w:val="center"/>
              <w:rPr>
                <w:lang w:val="en-GB"/>
              </w:rPr>
            </w:pPr>
            <w:r w:rsidRPr="00A73868">
              <w:rPr>
                <w:lang w:val="en-GB"/>
              </w:rPr>
              <w:t>13.2±0.20</w:t>
            </w:r>
          </w:p>
        </w:tc>
      </w:tr>
      <w:tr w:rsidR="003F331A" w:rsidRPr="00A73868" w14:paraId="1C8B6771" w14:textId="77777777" w:rsidTr="005F07EF">
        <w:trPr>
          <w:jc w:val="center"/>
        </w:trPr>
        <w:tc>
          <w:tcPr>
            <w:tcW w:w="2906" w:type="dxa"/>
            <w:tcBorders>
              <w:top w:val="nil"/>
              <w:left w:val="nil"/>
              <w:bottom w:val="nil"/>
              <w:right w:val="nil"/>
            </w:tcBorders>
            <w:vAlign w:val="bottom"/>
          </w:tcPr>
          <w:p w14:paraId="20BA7DB4" w14:textId="77777777" w:rsidR="003F331A" w:rsidRPr="00A73868" w:rsidRDefault="003F331A" w:rsidP="005F07EF">
            <w:pPr>
              <w:spacing w:line="360" w:lineRule="auto"/>
              <w:rPr>
                <w:lang w:val="en-GB"/>
              </w:rPr>
            </w:pPr>
            <w:r w:rsidRPr="00A73868">
              <w:rPr>
                <w:lang w:val="en-GB"/>
              </w:rPr>
              <w:t>Vanillic acid</w:t>
            </w:r>
          </w:p>
        </w:tc>
        <w:tc>
          <w:tcPr>
            <w:tcW w:w="980" w:type="dxa"/>
            <w:tcBorders>
              <w:top w:val="nil"/>
              <w:left w:val="nil"/>
              <w:bottom w:val="nil"/>
              <w:right w:val="nil"/>
            </w:tcBorders>
            <w:vAlign w:val="bottom"/>
          </w:tcPr>
          <w:p w14:paraId="2D752095" w14:textId="77777777" w:rsidR="003F331A" w:rsidRPr="00A73868" w:rsidRDefault="003F331A" w:rsidP="005F07EF">
            <w:pPr>
              <w:spacing w:line="360" w:lineRule="auto"/>
              <w:jc w:val="center"/>
              <w:rPr>
                <w:lang w:val="en-GB"/>
              </w:rPr>
            </w:pPr>
            <w:r w:rsidRPr="00A73868">
              <w:rPr>
                <w:lang w:val="en-GB"/>
              </w:rPr>
              <w:t>51494</w:t>
            </w:r>
          </w:p>
        </w:tc>
        <w:tc>
          <w:tcPr>
            <w:tcW w:w="1207" w:type="dxa"/>
            <w:tcBorders>
              <w:top w:val="nil"/>
              <w:left w:val="nil"/>
              <w:bottom w:val="nil"/>
              <w:right w:val="nil"/>
            </w:tcBorders>
            <w:vAlign w:val="bottom"/>
          </w:tcPr>
          <w:p w14:paraId="016FC4D5" w14:textId="77777777" w:rsidR="003F331A" w:rsidRPr="00A73868" w:rsidRDefault="003F331A" w:rsidP="005F07EF">
            <w:pPr>
              <w:spacing w:line="360" w:lineRule="auto"/>
              <w:jc w:val="center"/>
              <w:rPr>
                <w:lang w:val="en-GB"/>
              </w:rPr>
            </w:pPr>
            <w:r w:rsidRPr="00A73868">
              <w:rPr>
                <w:lang w:val="en-GB"/>
              </w:rPr>
              <w:t>1141</w:t>
            </w:r>
          </w:p>
        </w:tc>
        <w:tc>
          <w:tcPr>
            <w:tcW w:w="920" w:type="dxa"/>
            <w:tcBorders>
              <w:top w:val="nil"/>
              <w:left w:val="nil"/>
              <w:bottom w:val="nil"/>
              <w:right w:val="nil"/>
            </w:tcBorders>
            <w:vAlign w:val="bottom"/>
          </w:tcPr>
          <w:p w14:paraId="37DEC48B" w14:textId="77777777" w:rsidR="003F331A" w:rsidRPr="00A73868" w:rsidRDefault="003F331A" w:rsidP="005F07EF">
            <w:pPr>
              <w:spacing w:line="360" w:lineRule="auto"/>
              <w:jc w:val="center"/>
              <w:rPr>
                <w:lang w:val="en-GB"/>
              </w:rPr>
            </w:pPr>
            <w:r w:rsidRPr="00A73868">
              <w:rPr>
                <w:lang w:val="en-GB"/>
              </w:rPr>
              <w:t>0.9665</w:t>
            </w:r>
          </w:p>
        </w:tc>
        <w:tc>
          <w:tcPr>
            <w:tcW w:w="1547" w:type="dxa"/>
            <w:tcBorders>
              <w:top w:val="nil"/>
              <w:left w:val="nil"/>
              <w:bottom w:val="nil"/>
              <w:right w:val="nil"/>
            </w:tcBorders>
            <w:vAlign w:val="bottom"/>
          </w:tcPr>
          <w:p w14:paraId="7826E5EE" w14:textId="77777777" w:rsidR="003F331A" w:rsidRPr="00A73868" w:rsidRDefault="003F331A" w:rsidP="005F07EF">
            <w:pPr>
              <w:spacing w:line="360" w:lineRule="auto"/>
              <w:jc w:val="center"/>
              <w:rPr>
                <w:lang w:val="en-GB"/>
              </w:rPr>
            </w:pPr>
            <w:r w:rsidRPr="00A73868">
              <w:rPr>
                <w:lang w:val="en-GB"/>
              </w:rPr>
              <w:t>260 nm</w:t>
            </w:r>
          </w:p>
        </w:tc>
        <w:tc>
          <w:tcPr>
            <w:tcW w:w="2372" w:type="dxa"/>
            <w:tcBorders>
              <w:top w:val="nil"/>
              <w:left w:val="nil"/>
              <w:bottom w:val="nil"/>
              <w:right w:val="nil"/>
            </w:tcBorders>
            <w:vAlign w:val="bottom"/>
          </w:tcPr>
          <w:p w14:paraId="074FD42D" w14:textId="77777777" w:rsidR="003F331A" w:rsidRPr="00A73868" w:rsidRDefault="003F331A" w:rsidP="005F07EF">
            <w:pPr>
              <w:spacing w:line="360" w:lineRule="auto"/>
              <w:jc w:val="center"/>
              <w:rPr>
                <w:lang w:val="en-GB"/>
              </w:rPr>
            </w:pPr>
            <w:r w:rsidRPr="00A73868">
              <w:rPr>
                <w:lang w:val="en-GB"/>
              </w:rPr>
              <w:t>15.7±0.19</w:t>
            </w:r>
          </w:p>
        </w:tc>
      </w:tr>
      <w:tr w:rsidR="003F331A" w:rsidRPr="00A73868" w14:paraId="23810339" w14:textId="77777777" w:rsidTr="005F07EF">
        <w:trPr>
          <w:jc w:val="center"/>
        </w:trPr>
        <w:tc>
          <w:tcPr>
            <w:tcW w:w="2906" w:type="dxa"/>
            <w:tcBorders>
              <w:top w:val="nil"/>
              <w:left w:val="nil"/>
              <w:bottom w:val="nil"/>
              <w:right w:val="nil"/>
            </w:tcBorders>
            <w:vAlign w:val="bottom"/>
          </w:tcPr>
          <w:p w14:paraId="2B0C0A28" w14:textId="77777777" w:rsidR="003F331A" w:rsidRPr="00A73868" w:rsidRDefault="003F331A" w:rsidP="005F07EF">
            <w:pPr>
              <w:spacing w:line="360" w:lineRule="auto"/>
              <w:rPr>
                <w:lang w:val="en-GB"/>
              </w:rPr>
            </w:pPr>
            <w:r w:rsidRPr="00A73868">
              <w:rPr>
                <w:lang w:val="en-GB"/>
              </w:rPr>
              <w:t>Epicatechin</w:t>
            </w:r>
          </w:p>
        </w:tc>
        <w:tc>
          <w:tcPr>
            <w:tcW w:w="980" w:type="dxa"/>
            <w:tcBorders>
              <w:top w:val="nil"/>
              <w:left w:val="nil"/>
              <w:bottom w:val="nil"/>
              <w:right w:val="nil"/>
            </w:tcBorders>
            <w:vAlign w:val="bottom"/>
          </w:tcPr>
          <w:p w14:paraId="07EE6B8A" w14:textId="77777777" w:rsidR="003F331A" w:rsidRPr="00A73868" w:rsidRDefault="003F331A" w:rsidP="005F07EF">
            <w:pPr>
              <w:spacing w:line="360" w:lineRule="auto"/>
              <w:jc w:val="center"/>
              <w:rPr>
                <w:lang w:val="en-GB"/>
              </w:rPr>
            </w:pPr>
            <w:r w:rsidRPr="00A73868">
              <w:rPr>
                <w:lang w:val="en-GB"/>
              </w:rPr>
              <w:t>8841</w:t>
            </w:r>
          </w:p>
        </w:tc>
        <w:tc>
          <w:tcPr>
            <w:tcW w:w="1207" w:type="dxa"/>
            <w:tcBorders>
              <w:top w:val="nil"/>
              <w:left w:val="nil"/>
              <w:bottom w:val="nil"/>
              <w:right w:val="nil"/>
            </w:tcBorders>
            <w:vAlign w:val="bottom"/>
          </w:tcPr>
          <w:p w14:paraId="60A039CA" w14:textId="77777777" w:rsidR="003F331A" w:rsidRPr="00A73868" w:rsidRDefault="003F331A" w:rsidP="005F07EF">
            <w:pPr>
              <w:spacing w:line="360" w:lineRule="auto"/>
              <w:jc w:val="center"/>
              <w:rPr>
                <w:lang w:val="en-GB"/>
              </w:rPr>
            </w:pPr>
            <w:r w:rsidRPr="00A73868">
              <w:rPr>
                <w:lang w:val="en-GB"/>
              </w:rPr>
              <w:t>838.9</w:t>
            </w:r>
          </w:p>
        </w:tc>
        <w:tc>
          <w:tcPr>
            <w:tcW w:w="920" w:type="dxa"/>
            <w:tcBorders>
              <w:top w:val="nil"/>
              <w:left w:val="nil"/>
              <w:bottom w:val="nil"/>
              <w:right w:val="nil"/>
            </w:tcBorders>
            <w:vAlign w:val="bottom"/>
          </w:tcPr>
          <w:p w14:paraId="7DD5DE1C" w14:textId="77777777" w:rsidR="003F331A" w:rsidRPr="00A73868" w:rsidRDefault="003F331A" w:rsidP="005F07EF">
            <w:pPr>
              <w:spacing w:line="360" w:lineRule="auto"/>
              <w:jc w:val="center"/>
              <w:rPr>
                <w:lang w:val="en-GB"/>
              </w:rPr>
            </w:pPr>
            <w:r w:rsidRPr="00A73868">
              <w:rPr>
                <w:lang w:val="en-GB"/>
              </w:rPr>
              <w:t>0.9542</w:t>
            </w:r>
          </w:p>
        </w:tc>
        <w:tc>
          <w:tcPr>
            <w:tcW w:w="1547" w:type="dxa"/>
            <w:tcBorders>
              <w:top w:val="nil"/>
              <w:left w:val="nil"/>
              <w:bottom w:val="nil"/>
              <w:right w:val="nil"/>
            </w:tcBorders>
            <w:vAlign w:val="bottom"/>
          </w:tcPr>
          <w:p w14:paraId="10B6CF50" w14:textId="77777777" w:rsidR="003F331A" w:rsidRPr="00A73868" w:rsidRDefault="003F331A" w:rsidP="005F07EF">
            <w:pPr>
              <w:spacing w:line="360" w:lineRule="auto"/>
              <w:jc w:val="center"/>
              <w:rPr>
                <w:lang w:val="en-GB"/>
              </w:rPr>
            </w:pPr>
            <w:r w:rsidRPr="00A73868">
              <w:rPr>
                <w:lang w:val="en-GB"/>
              </w:rPr>
              <w:t>278 nm</w:t>
            </w:r>
          </w:p>
        </w:tc>
        <w:tc>
          <w:tcPr>
            <w:tcW w:w="2372" w:type="dxa"/>
            <w:tcBorders>
              <w:top w:val="nil"/>
              <w:left w:val="nil"/>
              <w:bottom w:val="nil"/>
              <w:right w:val="nil"/>
            </w:tcBorders>
            <w:vAlign w:val="bottom"/>
          </w:tcPr>
          <w:p w14:paraId="503BDC58" w14:textId="77777777" w:rsidR="003F331A" w:rsidRPr="00A73868" w:rsidRDefault="003F331A" w:rsidP="005F07EF">
            <w:pPr>
              <w:spacing w:line="360" w:lineRule="auto"/>
              <w:jc w:val="center"/>
              <w:rPr>
                <w:lang w:val="en-GB"/>
              </w:rPr>
            </w:pPr>
            <w:r w:rsidRPr="00A73868">
              <w:rPr>
                <w:lang w:val="en-GB"/>
              </w:rPr>
              <w:t>16.4±0.23</w:t>
            </w:r>
          </w:p>
        </w:tc>
      </w:tr>
      <w:tr w:rsidR="003F331A" w:rsidRPr="00A73868" w14:paraId="1D2171D4" w14:textId="77777777" w:rsidTr="005F07EF">
        <w:trPr>
          <w:jc w:val="center"/>
        </w:trPr>
        <w:tc>
          <w:tcPr>
            <w:tcW w:w="2906" w:type="dxa"/>
            <w:tcBorders>
              <w:top w:val="nil"/>
              <w:left w:val="nil"/>
              <w:bottom w:val="nil"/>
              <w:right w:val="nil"/>
            </w:tcBorders>
            <w:vAlign w:val="bottom"/>
          </w:tcPr>
          <w:p w14:paraId="276560B9" w14:textId="77777777" w:rsidR="003F331A" w:rsidRPr="00A73868" w:rsidRDefault="003F331A" w:rsidP="005F07EF">
            <w:pPr>
              <w:spacing w:line="360" w:lineRule="auto"/>
              <w:rPr>
                <w:lang w:val="en-GB"/>
              </w:rPr>
            </w:pPr>
            <w:r w:rsidRPr="00A73868">
              <w:rPr>
                <w:lang w:val="en-GB"/>
              </w:rPr>
              <w:t>Syringic acid</w:t>
            </w:r>
          </w:p>
        </w:tc>
        <w:tc>
          <w:tcPr>
            <w:tcW w:w="980" w:type="dxa"/>
            <w:tcBorders>
              <w:top w:val="nil"/>
              <w:left w:val="nil"/>
              <w:bottom w:val="nil"/>
              <w:right w:val="nil"/>
            </w:tcBorders>
            <w:vAlign w:val="bottom"/>
          </w:tcPr>
          <w:p w14:paraId="773C69D4" w14:textId="77777777" w:rsidR="003F331A" w:rsidRPr="00A73868" w:rsidRDefault="003F331A" w:rsidP="005F07EF">
            <w:pPr>
              <w:spacing w:line="360" w:lineRule="auto"/>
              <w:jc w:val="center"/>
              <w:rPr>
                <w:lang w:val="en-GB"/>
              </w:rPr>
            </w:pPr>
            <w:r w:rsidRPr="00A73868">
              <w:rPr>
                <w:lang w:val="en-GB"/>
              </w:rPr>
              <w:t>21596</w:t>
            </w:r>
          </w:p>
        </w:tc>
        <w:tc>
          <w:tcPr>
            <w:tcW w:w="1207" w:type="dxa"/>
            <w:tcBorders>
              <w:top w:val="nil"/>
              <w:left w:val="nil"/>
              <w:bottom w:val="nil"/>
              <w:right w:val="nil"/>
            </w:tcBorders>
            <w:vAlign w:val="bottom"/>
          </w:tcPr>
          <w:p w14:paraId="63B4D4F0" w14:textId="77777777" w:rsidR="003F331A" w:rsidRPr="00A73868" w:rsidRDefault="003F331A" w:rsidP="005F07EF">
            <w:pPr>
              <w:spacing w:line="360" w:lineRule="auto"/>
              <w:jc w:val="center"/>
              <w:rPr>
                <w:lang w:val="en-GB"/>
              </w:rPr>
            </w:pPr>
            <w:r w:rsidRPr="00A73868">
              <w:rPr>
                <w:lang w:val="en-GB"/>
              </w:rPr>
              <w:t>369.6</w:t>
            </w:r>
          </w:p>
        </w:tc>
        <w:tc>
          <w:tcPr>
            <w:tcW w:w="920" w:type="dxa"/>
            <w:tcBorders>
              <w:top w:val="nil"/>
              <w:left w:val="nil"/>
              <w:bottom w:val="nil"/>
              <w:right w:val="nil"/>
            </w:tcBorders>
            <w:vAlign w:val="bottom"/>
          </w:tcPr>
          <w:p w14:paraId="2B59DCD2" w14:textId="77777777" w:rsidR="003F331A" w:rsidRPr="00A73868" w:rsidRDefault="003F331A" w:rsidP="005F07EF">
            <w:pPr>
              <w:spacing w:line="360" w:lineRule="auto"/>
              <w:jc w:val="center"/>
              <w:rPr>
                <w:lang w:val="en-GB"/>
              </w:rPr>
            </w:pPr>
            <w:r w:rsidRPr="00A73868">
              <w:rPr>
                <w:lang w:val="en-GB"/>
              </w:rPr>
              <w:t>0.9672</w:t>
            </w:r>
          </w:p>
        </w:tc>
        <w:tc>
          <w:tcPr>
            <w:tcW w:w="1547" w:type="dxa"/>
            <w:tcBorders>
              <w:top w:val="nil"/>
              <w:left w:val="nil"/>
              <w:bottom w:val="nil"/>
              <w:right w:val="nil"/>
            </w:tcBorders>
            <w:vAlign w:val="bottom"/>
          </w:tcPr>
          <w:p w14:paraId="317931C4" w14:textId="77777777" w:rsidR="003F331A" w:rsidRPr="00A73868" w:rsidRDefault="003F331A" w:rsidP="005F07EF">
            <w:pPr>
              <w:spacing w:line="360" w:lineRule="auto"/>
              <w:jc w:val="center"/>
              <w:rPr>
                <w:lang w:val="en-GB"/>
              </w:rPr>
            </w:pPr>
            <w:r w:rsidRPr="00A73868">
              <w:rPr>
                <w:lang w:val="en-GB"/>
              </w:rPr>
              <w:t>274 nm</w:t>
            </w:r>
          </w:p>
        </w:tc>
        <w:tc>
          <w:tcPr>
            <w:tcW w:w="2372" w:type="dxa"/>
            <w:tcBorders>
              <w:top w:val="nil"/>
              <w:left w:val="nil"/>
              <w:bottom w:val="nil"/>
              <w:right w:val="nil"/>
            </w:tcBorders>
            <w:vAlign w:val="bottom"/>
          </w:tcPr>
          <w:p w14:paraId="1176FF01" w14:textId="77777777" w:rsidR="003F331A" w:rsidRPr="00A73868" w:rsidRDefault="003F331A" w:rsidP="005F07EF">
            <w:pPr>
              <w:spacing w:line="360" w:lineRule="auto"/>
              <w:jc w:val="center"/>
              <w:rPr>
                <w:lang w:val="en-GB"/>
              </w:rPr>
            </w:pPr>
            <w:r w:rsidRPr="00A73868">
              <w:rPr>
                <w:lang w:val="en-GB"/>
              </w:rPr>
              <w:t>16.7±0.17</w:t>
            </w:r>
          </w:p>
        </w:tc>
      </w:tr>
      <w:tr w:rsidR="003F331A" w:rsidRPr="00A73868" w14:paraId="5701C88C" w14:textId="77777777" w:rsidTr="005F07EF">
        <w:trPr>
          <w:jc w:val="center"/>
        </w:trPr>
        <w:tc>
          <w:tcPr>
            <w:tcW w:w="2906" w:type="dxa"/>
            <w:tcBorders>
              <w:top w:val="nil"/>
              <w:left w:val="nil"/>
              <w:bottom w:val="nil"/>
              <w:right w:val="nil"/>
            </w:tcBorders>
            <w:vAlign w:val="bottom"/>
          </w:tcPr>
          <w:p w14:paraId="271888CA" w14:textId="77777777" w:rsidR="003F331A" w:rsidRPr="00A73868" w:rsidRDefault="003F331A" w:rsidP="005F07EF">
            <w:pPr>
              <w:spacing w:line="360" w:lineRule="auto"/>
              <w:rPr>
                <w:lang w:val="en-GB"/>
              </w:rPr>
            </w:pPr>
            <w:r w:rsidRPr="00A73868">
              <w:rPr>
                <w:lang w:val="en-GB"/>
              </w:rPr>
              <w:t>3-OH benzoic acid</w:t>
            </w:r>
          </w:p>
        </w:tc>
        <w:tc>
          <w:tcPr>
            <w:tcW w:w="980" w:type="dxa"/>
            <w:tcBorders>
              <w:top w:val="nil"/>
              <w:left w:val="nil"/>
              <w:bottom w:val="nil"/>
              <w:right w:val="nil"/>
            </w:tcBorders>
            <w:vAlign w:val="bottom"/>
          </w:tcPr>
          <w:p w14:paraId="73447EC1" w14:textId="77777777" w:rsidR="003F331A" w:rsidRPr="00A73868" w:rsidRDefault="003F331A" w:rsidP="005F07EF">
            <w:pPr>
              <w:spacing w:line="360" w:lineRule="auto"/>
              <w:jc w:val="center"/>
              <w:rPr>
                <w:lang w:val="en-GB"/>
              </w:rPr>
            </w:pPr>
            <w:r w:rsidRPr="00A73868">
              <w:rPr>
                <w:lang w:val="en-GB"/>
              </w:rPr>
              <w:t>17280</w:t>
            </w:r>
          </w:p>
        </w:tc>
        <w:tc>
          <w:tcPr>
            <w:tcW w:w="1207" w:type="dxa"/>
            <w:tcBorders>
              <w:top w:val="nil"/>
              <w:left w:val="nil"/>
              <w:bottom w:val="nil"/>
              <w:right w:val="nil"/>
            </w:tcBorders>
            <w:vAlign w:val="bottom"/>
          </w:tcPr>
          <w:p w14:paraId="25BF95FF" w14:textId="77777777" w:rsidR="003F331A" w:rsidRPr="00A73868" w:rsidRDefault="003F331A" w:rsidP="005F07EF">
            <w:pPr>
              <w:spacing w:line="360" w:lineRule="auto"/>
              <w:jc w:val="center"/>
              <w:rPr>
                <w:lang w:val="en-GB"/>
              </w:rPr>
            </w:pPr>
            <w:r w:rsidRPr="00A73868">
              <w:rPr>
                <w:lang w:val="en-GB"/>
              </w:rPr>
              <w:t>-1815</w:t>
            </w:r>
          </w:p>
        </w:tc>
        <w:tc>
          <w:tcPr>
            <w:tcW w:w="920" w:type="dxa"/>
            <w:tcBorders>
              <w:top w:val="nil"/>
              <w:left w:val="nil"/>
              <w:bottom w:val="nil"/>
              <w:right w:val="nil"/>
            </w:tcBorders>
            <w:vAlign w:val="bottom"/>
          </w:tcPr>
          <w:p w14:paraId="41EA100F" w14:textId="77777777" w:rsidR="003F331A" w:rsidRPr="00A73868" w:rsidRDefault="003F331A" w:rsidP="005F07EF">
            <w:pPr>
              <w:spacing w:line="360" w:lineRule="auto"/>
              <w:jc w:val="center"/>
              <w:rPr>
                <w:lang w:val="en-GB"/>
              </w:rPr>
            </w:pPr>
            <w:r w:rsidRPr="00A73868">
              <w:rPr>
                <w:lang w:val="en-GB"/>
              </w:rPr>
              <w:t>0.9541</w:t>
            </w:r>
          </w:p>
        </w:tc>
        <w:tc>
          <w:tcPr>
            <w:tcW w:w="1547" w:type="dxa"/>
            <w:tcBorders>
              <w:top w:val="nil"/>
              <w:left w:val="nil"/>
              <w:bottom w:val="nil"/>
              <w:right w:val="nil"/>
            </w:tcBorders>
            <w:vAlign w:val="bottom"/>
          </w:tcPr>
          <w:p w14:paraId="4B76E0AC" w14:textId="77777777" w:rsidR="003F331A" w:rsidRPr="00A73868" w:rsidRDefault="003F331A" w:rsidP="005F07EF">
            <w:pPr>
              <w:spacing w:line="360" w:lineRule="auto"/>
              <w:jc w:val="center"/>
              <w:rPr>
                <w:lang w:val="en-GB"/>
              </w:rPr>
            </w:pPr>
            <w:r w:rsidRPr="00A73868">
              <w:rPr>
                <w:lang w:val="en-GB"/>
              </w:rPr>
              <w:t>295 nm</w:t>
            </w:r>
          </w:p>
        </w:tc>
        <w:tc>
          <w:tcPr>
            <w:tcW w:w="2372" w:type="dxa"/>
            <w:tcBorders>
              <w:top w:val="nil"/>
              <w:left w:val="nil"/>
              <w:bottom w:val="nil"/>
              <w:right w:val="nil"/>
            </w:tcBorders>
            <w:vAlign w:val="bottom"/>
          </w:tcPr>
          <w:p w14:paraId="2A95FC6E" w14:textId="77777777" w:rsidR="003F331A" w:rsidRPr="00A73868" w:rsidRDefault="003F331A" w:rsidP="005F07EF">
            <w:pPr>
              <w:spacing w:line="360" w:lineRule="auto"/>
              <w:jc w:val="center"/>
              <w:rPr>
                <w:lang w:val="en-GB"/>
              </w:rPr>
            </w:pPr>
            <w:r w:rsidRPr="00A73868">
              <w:rPr>
                <w:lang w:val="en-GB"/>
              </w:rPr>
              <w:t>16.9±0.21</w:t>
            </w:r>
          </w:p>
        </w:tc>
      </w:tr>
      <w:tr w:rsidR="003F331A" w:rsidRPr="00A73868" w14:paraId="7DA35322" w14:textId="77777777" w:rsidTr="005F07EF">
        <w:trPr>
          <w:jc w:val="center"/>
        </w:trPr>
        <w:tc>
          <w:tcPr>
            <w:tcW w:w="2906" w:type="dxa"/>
            <w:tcBorders>
              <w:top w:val="nil"/>
              <w:left w:val="nil"/>
              <w:bottom w:val="nil"/>
              <w:right w:val="nil"/>
            </w:tcBorders>
            <w:vAlign w:val="bottom"/>
          </w:tcPr>
          <w:p w14:paraId="7A7792B9" w14:textId="77777777" w:rsidR="003F331A" w:rsidRPr="00A73868" w:rsidRDefault="003F331A" w:rsidP="005F07EF">
            <w:pPr>
              <w:spacing w:line="360" w:lineRule="auto"/>
              <w:rPr>
                <w:lang w:val="en-GB"/>
              </w:rPr>
            </w:pPr>
            <w:r w:rsidRPr="00A73868">
              <w:rPr>
                <w:lang w:val="en-GB"/>
              </w:rPr>
              <w:t xml:space="preserve">3-OH-4-MeO </w:t>
            </w:r>
            <w:proofErr w:type="spellStart"/>
            <w:r w:rsidRPr="00A73868">
              <w:rPr>
                <w:lang w:val="en-GB"/>
              </w:rPr>
              <w:t>benzaldehide</w:t>
            </w:r>
            <w:proofErr w:type="spellEnd"/>
          </w:p>
        </w:tc>
        <w:tc>
          <w:tcPr>
            <w:tcW w:w="980" w:type="dxa"/>
            <w:tcBorders>
              <w:top w:val="nil"/>
              <w:left w:val="nil"/>
              <w:bottom w:val="nil"/>
              <w:right w:val="nil"/>
            </w:tcBorders>
            <w:vAlign w:val="bottom"/>
          </w:tcPr>
          <w:p w14:paraId="5844CAAD" w14:textId="77777777" w:rsidR="003F331A" w:rsidRPr="00A73868" w:rsidRDefault="003F331A" w:rsidP="005F07EF">
            <w:pPr>
              <w:spacing w:line="360" w:lineRule="auto"/>
              <w:jc w:val="center"/>
              <w:rPr>
                <w:lang w:val="en-GB"/>
              </w:rPr>
            </w:pPr>
            <w:r w:rsidRPr="00A73868">
              <w:rPr>
                <w:lang w:val="en-GB"/>
              </w:rPr>
              <w:t>60154</w:t>
            </w:r>
          </w:p>
        </w:tc>
        <w:tc>
          <w:tcPr>
            <w:tcW w:w="1207" w:type="dxa"/>
            <w:tcBorders>
              <w:top w:val="nil"/>
              <w:left w:val="nil"/>
              <w:bottom w:val="nil"/>
              <w:right w:val="nil"/>
            </w:tcBorders>
            <w:vAlign w:val="bottom"/>
          </w:tcPr>
          <w:p w14:paraId="62203845" w14:textId="77777777" w:rsidR="003F331A" w:rsidRPr="00A73868" w:rsidRDefault="003F331A" w:rsidP="005F07EF">
            <w:pPr>
              <w:spacing w:line="360" w:lineRule="auto"/>
              <w:jc w:val="center"/>
              <w:rPr>
                <w:lang w:val="en-GB"/>
              </w:rPr>
            </w:pPr>
            <w:r w:rsidRPr="00A73868">
              <w:rPr>
                <w:lang w:val="en-GB"/>
              </w:rPr>
              <w:t>-187.5</w:t>
            </w:r>
          </w:p>
        </w:tc>
        <w:tc>
          <w:tcPr>
            <w:tcW w:w="920" w:type="dxa"/>
            <w:tcBorders>
              <w:top w:val="nil"/>
              <w:left w:val="nil"/>
              <w:bottom w:val="nil"/>
              <w:right w:val="nil"/>
            </w:tcBorders>
            <w:vAlign w:val="bottom"/>
          </w:tcPr>
          <w:p w14:paraId="091B9EB7" w14:textId="77777777" w:rsidR="003F331A" w:rsidRPr="00A73868" w:rsidRDefault="003F331A" w:rsidP="005F07EF">
            <w:pPr>
              <w:spacing w:line="360" w:lineRule="auto"/>
              <w:jc w:val="center"/>
              <w:rPr>
                <w:lang w:val="en-GB"/>
              </w:rPr>
            </w:pPr>
            <w:r w:rsidRPr="00A73868">
              <w:rPr>
                <w:lang w:val="en-GB"/>
              </w:rPr>
              <w:t>0.9882</w:t>
            </w:r>
          </w:p>
        </w:tc>
        <w:tc>
          <w:tcPr>
            <w:tcW w:w="1547" w:type="dxa"/>
            <w:tcBorders>
              <w:top w:val="nil"/>
              <w:left w:val="nil"/>
              <w:bottom w:val="nil"/>
              <w:right w:val="nil"/>
            </w:tcBorders>
            <w:vAlign w:val="bottom"/>
          </w:tcPr>
          <w:p w14:paraId="03A47853" w14:textId="77777777" w:rsidR="003F331A" w:rsidRPr="00A73868" w:rsidRDefault="003F331A" w:rsidP="005F07EF">
            <w:pPr>
              <w:spacing w:line="360" w:lineRule="auto"/>
              <w:jc w:val="center"/>
              <w:rPr>
                <w:lang w:val="en-GB"/>
              </w:rPr>
            </w:pPr>
            <w:r w:rsidRPr="00A73868">
              <w:rPr>
                <w:lang w:val="en-GB"/>
              </w:rPr>
              <w:t>275 nm</w:t>
            </w:r>
          </w:p>
        </w:tc>
        <w:tc>
          <w:tcPr>
            <w:tcW w:w="2372" w:type="dxa"/>
            <w:tcBorders>
              <w:top w:val="nil"/>
              <w:left w:val="nil"/>
              <w:bottom w:val="nil"/>
              <w:right w:val="nil"/>
            </w:tcBorders>
            <w:vAlign w:val="bottom"/>
          </w:tcPr>
          <w:p w14:paraId="57A8B136" w14:textId="77777777" w:rsidR="003F331A" w:rsidRPr="00A73868" w:rsidRDefault="003F331A" w:rsidP="005F07EF">
            <w:pPr>
              <w:spacing w:line="360" w:lineRule="auto"/>
              <w:jc w:val="center"/>
              <w:rPr>
                <w:lang w:val="en-GB"/>
              </w:rPr>
            </w:pPr>
            <w:r w:rsidRPr="00A73868">
              <w:rPr>
                <w:lang w:val="en-GB"/>
              </w:rPr>
              <w:t>20.4±0.18</w:t>
            </w:r>
          </w:p>
        </w:tc>
      </w:tr>
      <w:tr w:rsidR="003F331A" w:rsidRPr="00A73868" w14:paraId="046E33F7" w14:textId="77777777" w:rsidTr="005F07EF">
        <w:trPr>
          <w:jc w:val="center"/>
        </w:trPr>
        <w:tc>
          <w:tcPr>
            <w:tcW w:w="2906" w:type="dxa"/>
            <w:tcBorders>
              <w:top w:val="nil"/>
              <w:left w:val="nil"/>
              <w:bottom w:val="nil"/>
              <w:right w:val="nil"/>
            </w:tcBorders>
            <w:vAlign w:val="bottom"/>
          </w:tcPr>
          <w:p w14:paraId="7DB93C7A" w14:textId="77777777" w:rsidR="003F331A" w:rsidRPr="00A73868" w:rsidRDefault="003F331A" w:rsidP="005F07EF">
            <w:pPr>
              <w:spacing w:line="360" w:lineRule="auto"/>
              <w:rPr>
                <w:lang w:val="en-GB"/>
              </w:rPr>
            </w:pPr>
            <w:r w:rsidRPr="00A73868">
              <w:rPr>
                <w:lang w:val="en-GB"/>
              </w:rPr>
              <w:t>p-coumaric acid</w:t>
            </w:r>
          </w:p>
        </w:tc>
        <w:tc>
          <w:tcPr>
            <w:tcW w:w="980" w:type="dxa"/>
            <w:tcBorders>
              <w:top w:val="nil"/>
              <w:left w:val="nil"/>
              <w:bottom w:val="nil"/>
              <w:right w:val="nil"/>
            </w:tcBorders>
            <w:vAlign w:val="bottom"/>
          </w:tcPr>
          <w:p w14:paraId="465221B6" w14:textId="77777777" w:rsidR="003F331A" w:rsidRPr="00A73868" w:rsidRDefault="003F331A" w:rsidP="005F07EF">
            <w:pPr>
              <w:spacing w:line="360" w:lineRule="auto"/>
              <w:jc w:val="center"/>
              <w:rPr>
                <w:lang w:val="en-GB"/>
              </w:rPr>
            </w:pPr>
            <w:r w:rsidRPr="00A73868">
              <w:rPr>
                <w:lang w:val="en-GB"/>
              </w:rPr>
              <w:t>96213</w:t>
            </w:r>
          </w:p>
        </w:tc>
        <w:tc>
          <w:tcPr>
            <w:tcW w:w="1207" w:type="dxa"/>
            <w:tcBorders>
              <w:top w:val="nil"/>
              <w:left w:val="nil"/>
              <w:bottom w:val="nil"/>
              <w:right w:val="nil"/>
            </w:tcBorders>
            <w:vAlign w:val="bottom"/>
          </w:tcPr>
          <w:p w14:paraId="57E413AA" w14:textId="77777777" w:rsidR="003F331A" w:rsidRPr="00A73868" w:rsidRDefault="003F331A" w:rsidP="005F07EF">
            <w:pPr>
              <w:spacing w:line="360" w:lineRule="auto"/>
              <w:jc w:val="center"/>
              <w:rPr>
                <w:lang w:val="en-GB"/>
              </w:rPr>
            </w:pPr>
            <w:r w:rsidRPr="00A73868">
              <w:rPr>
                <w:lang w:val="en-GB"/>
              </w:rPr>
              <w:t>4217</w:t>
            </w:r>
          </w:p>
        </w:tc>
        <w:tc>
          <w:tcPr>
            <w:tcW w:w="920" w:type="dxa"/>
            <w:tcBorders>
              <w:top w:val="nil"/>
              <w:left w:val="nil"/>
              <w:bottom w:val="nil"/>
              <w:right w:val="nil"/>
            </w:tcBorders>
            <w:vAlign w:val="bottom"/>
          </w:tcPr>
          <w:p w14:paraId="63D344B6" w14:textId="77777777" w:rsidR="003F331A" w:rsidRPr="00A73868" w:rsidRDefault="003F331A" w:rsidP="005F07EF">
            <w:pPr>
              <w:spacing w:line="360" w:lineRule="auto"/>
              <w:jc w:val="center"/>
              <w:rPr>
                <w:lang w:val="en-GB"/>
              </w:rPr>
            </w:pPr>
            <w:r w:rsidRPr="00A73868">
              <w:rPr>
                <w:lang w:val="en-GB"/>
              </w:rPr>
              <w:t>0.9416</w:t>
            </w:r>
          </w:p>
        </w:tc>
        <w:tc>
          <w:tcPr>
            <w:tcW w:w="1547" w:type="dxa"/>
            <w:tcBorders>
              <w:top w:val="nil"/>
              <w:left w:val="nil"/>
              <w:bottom w:val="nil"/>
              <w:right w:val="nil"/>
            </w:tcBorders>
            <w:vAlign w:val="bottom"/>
          </w:tcPr>
          <w:p w14:paraId="3AFFDFCC" w14:textId="77777777" w:rsidR="003F331A" w:rsidRPr="00A73868" w:rsidRDefault="003F331A" w:rsidP="005F07EF">
            <w:pPr>
              <w:spacing w:line="360" w:lineRule="auto"/>
              <w:jc w:val="center"/>
              <w:rPr>
                <w:lang w:val="en-GB"/>
              </w:rPr>
            </w:pPr>
            <w:r w:rsidRPr="00A73868">
              <w:rPr>
                <w:lang w:val="en-GB"/>
              </w:rPr>
              <w:t>309 nm</w:t>
            </w:r>
          </w:p>
        </w:tc>
        <w:tc>
          <w:tcPr>
            <w:tcW w:w="2372" w:type="dxa"/>
            <w:tcBorders>
              <w:top w:val="nil"/>
              <w:left w:val="nil"/>
              <w:bottom w:val="nil"/>
              <w:right w:val="nil"/>
            </w:tcBorders>
            <w:vAlign w:val="bottom"/>
          </w:tcPr>
          <w:p w14:paraId="05395B3F" w14:textId="77777777" w:rsidR="003F331A" w:rsidRPr="00A73868" w:rsidRDefault="003F331A" w:rsidP="005F07EF">
            <w:pPr>
              <w:spacing w:line="360" w:lineRule="auto"/>
              <w:jc w:val="center"/>
              <w:rPr>
                <w:lang w:val="en-GB"/>
              </w:rPr>
            </w:pPr>
            <w:r w:rsidRPr="00A73868">
              <w:rPr>
                <w:lang w:val="en-GB"/>
              </w:rPr>
              <w:t>22.0±0.19</w:t>
            </w:r>
          </w:p>
        </w:tc>
      </w:tr>
      <w:tr w:rsidR="003F331A" w:rsidRPr="00A73868" w14:paraId="24D17E6C" w14:textId="77777777" w:rsidTr="005F07EF">
        <w:trPr>
          <w:jc w:val="center"/>
        </w:trPr>
        <w:tc>
          <w:tcPr>
            <w:tcW w:w="2906" w:type="dxa"/>
            <w:tcBorders>
              <w:top w:val="nil"/>
              <w:left w:val="nil"/>
              <w:bottom w:val="nil"/>
              <w:right w:val="nil"/>
            </w:tcBorders>
            <w:vAlign w:val="bottom"/>
          </w:tcPr>
          <w:p w14:paraId="12CC476D" w14:textId="77777777" w:rsidR="003F331A" w:rsidRPr="00A73868" w:rsidRDefault="003F331A" w:rsidP="005F07EF">
            <w:pPr>
              <w:spacing w:line="360" w:lineRule="auto"/>
              <w:rPr>
                <w:lang w:val="en-GB"/>
              </w:rPr>
            </w:pPr>
            <w:proofErr w:type="spellStart"/>
            <w:r w:rsidRPr="00A73868">
              <w:rPr>
                <w:lang w:val="en-GB"/>
              </w:rPr>
              <w:t>Rutin</w:t>
            </w:r>
            <w:proofErr w:type="spellEnd"/>
          </w:p>
        </w:tc>
        <w:tc>
          <w:tcPr>
            <w:tcW w:w="980" w:type="dxa"/>
            <w:tcBorders>
              <w:top w:val="nil"/>
              <w:left w:val="nil"/>
              <w:bottom w:val="nil"/>
              <w:right w:val="nil"/>
            </w:tcBorders>
            <w:vAlign w:val="bottom"/>
          </w:tcPr>
          <w:p w14:paraId="41DCD905" w14:textId="77777777" w:rsidR="003F331A" w:rsidRPr="00A73868" w:rsidRDefault="003F331A" w:rsidP="005F07EF">
            <w:pPr>
              <w:spacing w:line="360" w:lineRule="auto"/>
              <w:jc w:val="center"/>
              <w:rPr>
                <w:lang w:val="en-GB"/>
              </w:rPr>
            </w:pPr>
            <w:r w:rsidRPr="00A73868">
              <w:rPr>
                <w:lang w:val="en-GB"/>
              </w:rPr>
              <w:t>35896</w:t>
            </w:r>
          </w:p>
        </w:tc>
        <w:tc>
          <w:tcPr>
            <w:tcW w:w="1207" w:type="dxa"/>
            <w:tcBorders>
              <w:top w:val="nil"/>
              <w:left w:val="nil"/>
              <w:bottom w:val="nil"/>
              <w:right w:val="nil"/>
            </w:tcBorders>
            <w:vAlign w:val="bottom"/>
          </w:tcPr>
          <w:p w14:paraId="507E660A" w14:textId="77777777" w:rsidR="003F331A" w:rsidRPr="00A73868" w:rsidRDefault="003F331A" w:rsidP="005F07EF">
            <w:pPr>
              <w:spacing w:line="360" w:lineRule="auto"/>
              <w:jc w:val="center"/>
              <w:rPr>
                <w:lang w:val="en-GB"/>
              </w:rPr>
            </w:pPr>
            <w:r w:rsidRPr="00A73868">
              <w:rPr>
                <w:lang w:val="en-GB"/>
              </w:rPr>
              <w:t>1420</w:t>
            </w:r>
          </w:p>
        </w:tc>
        <w:tc>
          <w:tcPr>
            <w:tcW w:w="920" w:type="dxa"/>
            <w:tcBorders>
              <w:top w:val="nil"/>
              <w:left w:val="nil"/>
              <w:bottom w:val="nil"/>
              <w:right w:val="nil"/>
            </w:tcBorders>
            <w:vAlign w:val="bottom"/>
          </w:tcPr>
          <w:p w14:paraId="1C1D6394" w14:textId="77777777" w:rsidR="003F331A" w:rsidRPr="00A73868" w:rsidRDefault="003F331A" w:rsidP="005F07EF">
            <w:pPr>
              <w:spacing w:line="360" w:lineRule="auto"/>
              <w:jc w:val="center"/>
              <w:rPr>
                <w:lang w:val="en-GB"/>
              </w:rPr>
            </w:pPr>
            <w:r w:rsidRPr="00A73868">
              <w:rPr>
                <w:lang w:val="en-GB"/>
              </w:rPr>
              <w:t>0.9429</w:t>
            </w:r>
          </w:p>
        </w:tc>
        <w:tc>
          <w:tcPr>
            <w:tcW w:w="1547" w:type="dxa"/>
            <w:tcBorders>
              <w:top w:val="nil"/>
              <w:left w:val="nil"/>
              <w:bottom w:val="nil"/>
              <w:right w:val="nil"/>
            </w:tcBorders>
            <w:vAlign w:val="bottom"/>
          </w:tcPr>
          <w:p w14:paraId="2E81E55B" w14:textId="77777777" w:rsidR="003F331A" w:rsidRPr="00A73868" w:rsidRDefault="003F331A" w:rsidP="005F07EF">
            <w:pPr>
              <w:spacing w:line="360" w:lineRule="auto"/>
              <w:jc w:val="center"/>
              <w:rPr>
                <w:lang w:val="en-GB"/>
              </w:rPr>
            </w:pPr>
            <w:r w:rsidRPr="00A73868">
              <w:rPr>
                <w:lang w:val="en-GB"/>
              </w:rPr>
              <w:t>256 nm</w:t>
            </w:r>
          </w:p>
        </w:tc>
        <w:tc>
          <w:tcPr>
            <w:tcW w:w="2372" w:type="dxa"/>
            <w:tcBorders>
              <w:top w:val="nil"/>
              <w:left w:val="nil"/>
              <w:bottom w:val="nil"/>
              <w:right w:val="nil"/>
            </w:tcBorders>
            <w:vAlign w:val="bottom"/>
          </w:tcPr>
          <w:p w14:paraId="48489D90" w14:textId="77777777" w:rsidR="003F331A" w:rsidRPr="00A73868" w:rsidRDefault="003F331A" w:rsidP="005F07EF">
            <w:pPr>
              <w:spacing w:line="360" w:lineRule="auto"/>
              <w:jc w:val="center"/>
              <w:rPr>
                <w:lang w:val="en-GB"/>
              </w:rPr>
            </w:pPr>
            <w:r w:rsidRPr="00A73868">
              <w:rPr>
                <w:lang w:val="en-GB"/>
              </w:rPr>
              <w:t>24.0±0.14</w:t>
            </w:r>
          </w:p>
        </w:tc>
      </w:tr>
      <w:tr w:rsidR="003F331A" w:rsidRPr="00A73868" w14:paraId="46548225" w14:textId="77777777" w:rsidTr="005F07EF">
        <w:trPr>
          <w:jc w:val="center"/>
        </w:trPr>
        <w:tc>
          <w:tcPr>
            <w:tcW w:w="2906" w:type="dxa"/>
            <w:tcBorders>
              <w:top w:val="nil"/>
              <w:left w:val="nil"/>
              <w:bottom w:val="nil"/>
              <w:right w:val="nil"/>
            </w:tcBorders>
            <w:vAlign w:val="bottom"/>
          </w:tcPr>
          <w:p w14:paraId="13EBB84C" w14:textId="77777777" w:rsidR="003F331A" w:rsidRPr="00A73868" w:rsidRDefault="003F331A" w:rsidP="005F07EF">
            <w:pPr>
              <w:spacing w:line="360" w:lineRule="auto"/>
              <w:rPr>
                <w:lang w:val="en-GB"/>
              </w:rPr>
            </w:pPr>
            <w:proofErr w:type="spellStart"/>
            <w:r w:rsidRPr="00A73868">
              <w:rPr>
                <w:lang w:val="en-GB"/>
              </w:rPr>
              <w:t>Sinapinic</w:t>
            </w:r>
            <w:proofErr w:type="spellEnd"/>
            <w:r w:rsidRPr="00A73868">
              <w:rPr>
                <w:lang w:val="en-GB"/>
              </w:rPr>
              <w:t xml:space="preserve"> acid</w:t>
            </w:r>
          </w:p>
        </w:tc>
        <w:tc>
          <w:tcPr>
            <w:tcW w:w="980" w:type="dxa"/>
            <w:tcBorders>
              <w:top w:val="nil"/>
              <w:left w:val="nil"/>
              <w:bottom w:val="nil"/>
              <w:right w:val="nil"/>
            </w:tcBorders>
            <w:vAlign w:val="bottom"/>
          </w:tcPr>
          <w:p w14:paraId="550A04E3" w14:textId="77777777" w:rsidR="003F331A" w:rsidRPr="00A73868" w:rsidRDefault="003F331A" w:rsidP="005F07EF">
            <w:pPr>
              <w:spacing w:line="360" w:lineRule="auto"/>
              <w:jc w:val="center"/>
              <w:rPr>
                <w:lang w:val="en-GB"/>
              </w:rPr>
            </w:pPr>
            <w:r w:rsidRPr="00A73868">
              <w:rPr>
                <w:lang w:val="en-GB"/>
              </w:rPr>
              <w:t>498115</w:t>
            </w:r>
          </w:p>
        </w:tc>
        <w:tc>
          <w:tcPr>
            <w:tcW w:w="1207" w:type="dxa"/>
            <w:tcBorders>
              <w:top w:val="nil"/>
              <w:left w:val="nil"/>
              <w:bottom w:val="nil"/>
              <w:right w:val="nil"/>
            </w:tcBorders>
            <w:vAlign w:val="bottom"/>
          </w:tcPr>
          <w:p w14:paraId="7C6A6B07" w14:textId="77777777" w:rsidR="003F331A" w:rsidRPr="00A73868" w:rsidRDefault="003F331A" w:rsidP="005F07EF">
            <w:pPr>
              <w:spacing w:line="360" w:lineRule="auto"/>
              <w:jc w:val="center"/>
              <w:rPr>
                <w:lang w:val="en-GB"/>
              </w:rPr>
            </w:pPr>
            <w:r w:rsidRPr="00A73868">
              <w:rPr>
                <w:lang w:val="en-GB"/>
              </w:rPr>
              <w:t>-85290</w:t>
            </w:r>
          </w:p>
        </w:tc>
        <w:tc>
          <w:tcPr>
            <w:tcW w:w="920" w:type="dxa"/>
            <w:tcBorders>
              <w:top w:val="nil"/>
              <w:left w:val="nil"/>
              <w:bottom w:val="nil"/>
              <w:right w:val="nil"/>
            </w:tcBorders>
            <w:vAlign w:val="bottom"/>
          </w:tcPr>
          <w:p w14:paraId="1998E155" w14:textId="77777777" w:rsidR="003F331A" w:rsidRPr="00A73868" w:rsidRDefault="003F331A" w:rsidP="005F07EF">
            <w:pPr>
              <w:spacing w:line="360" w:lineRule="auto"/>
              <w:jc w:val="center"/>
              <w:rPr>
                <w:lang w:val="en-GB"/>
              </w:rPr>
            </w:pPr>
            <w:r w:rsidRPr="00A73868">
              <w:rPr>
                <w:lang w:val="en-GB"/>
              </w:rPr>
              <w:t>0.9737</w:t>
            </w:r>
          </w:p>
        </w:tc>
        <w:tc>
          <w:tcPr>
            <w:tcW w:w="1547" w:type="dxa"/>
            <w:tcBorders>
              <w:top w:val="nil"/>
              <w:left w:val="nil"/>
              <w:bottom w:val="nil"/>
              <w:right w:val="nil"/>
            </w:tcBorders>
            <w:vAlign w:val="bottom"/>
          </w:tcPr>
          <w:p w14:paraId="1909420A" w14:textId="77777777" w:rsidR="003F331A" w:rsidRPr="00A73868" w:rsidRDefault="003F331A" w:rsidP="005F07EF">
            <w:pPr>
              <w:spacing w:line="360" w:lineRule="auto"/>
              <w:jc w:val="center"/>
              <w:rPr>
                <w:lang w:val="en-GB"/>
              </w:rPr>
            </w:pPr>
            <w:r w:rsidRPr="00A73868">
              <w:rPr>
                <w:lang w:val="en-GB"/>
              </w:rPr>
              <w:t>324 nm</w:t>
            </w:r>
          </w:p>
        </w:tc>
        <w:tc>
          <w:tcPr>
            <w:tcW w:w="2372" w:type="dxa"/>
            <w:tcBorders>
              <w:top w:val="nil"/>
              <w:left w:val="nil"/>
              <w:bottom w:val="nil"/>
              <w:right w:val="nil"/>
            </w:tcBorders>
            <w:vAlign w:val="bottom"/>
          </w:tcPr>
          <w:p w14:paraId="13372A0A" w14:textId="77777777" w:rsidR="003F331A" w:rsidRPr="00A73868" w:rsidRDefault="003F331A" w:rsidP="005F07EF">
            <w:pPr>
              <w:spacing w:line="360" w:lineRule="auto"/>
              <w:jc w:val="center"/>
              <w:rPr>
                <w:lang w:val="en-GB"/>
              </w:rPr>
            </w:pPr>
            <w:r w:rsidRPr="00A73868">
              <w:rPr>
                <w:lang w:val="en-GB"/>
              </w:rPr>
              <w:t>24.5±0.16</w:t>
            </w:r>
          </w:p>
        </w:tc>
      </w:tr>
      <w:tr w:rsidR="003F331A" w:rsidRPr="00A73868" w14:paraId="3DA8F553" w14:textId="77777777" w:rsidTr="005F07EF">
        <w:trPr>
          <w:jc w:val="center"/>
        </w:trPr>
        <w:tc>
          <w:tcPr>
            <w:tcW w:w="2906" w:type="dxa"/>
            <w:tcBorders>
              <w:top w:val="nil"/>
              <w:left w:val="nil"/>
              <w:bottom w:val="nil"/>
              <w:right w:val="nil"/>
            </w:tcBorders>
            <w:vAlign w:val="bottom"/>
          </w:tcPr>
          <w:p w14:paraId="3311AE58" w14:textId="77777777" w:rsidR="003F331A" w:rsidRPr="00A73868" w:rsidRDefault="003F331A" w:rsidP="005F07EF">
            <w:pPr>
              <w:spacing w:line="360" w:lineRule="auto"/>
              <w:rPr>
                <w:lang w:val="en-GB"/>
              </w:rPr>
            </w:pPr>
            <w:r w:rsidRPr="00A73868">
              <w:rPr>
                <w:lang w:val="en-GB"/>
              </w:rPr>
              <w:t>t-ferulic acid</w:t>
            </w:r>
          </w:p>
        </w:tc>
        <w:tc>
          <w:tcPr>
            <w:tcW w:w="980" w:type="dxa"/>
            <w:tcBorders>
              <w:top w:val="nil"/>
              <w:left w:val="nil"/>
              <w:bottom w:val="nil"/>
              <w:right w:val="nil"/>
            </w:tcBorders>
            <w:vAlign w:val="bottom"/>
          </w:tcPr>
          <w:p w14:paraId="485A24D5" w14:textId="77777777" w:rsidR="003F331A" w:rsidRPr="00A73868" w:rsidRDefault="003F331A" w:rsidP="005F07EF">
            <w:pPr>
              <w:spacing w:line="360" w:lineRule="auto"/>
              <w:jc w:val="center"/>
              <w:rPr>
                <w:lang w:val="en-GB"/>
              </w:rPr>
            </w:pPr>
            <w:r w:rsidRPr="00A73868">
              <w:rPr>
                <w:lang w:val="en-GB"/>
              </w:rPr>
              <w:t>63520</w:t>
            </w:r>
          </w:p>
        </w:tc>
        <w:tc>
          <w:tcPr>
            <w:tcW w:w="1207" w:type="dxa"/>
            <w:tcBorders>
              <w:top w:val="nil"/>
              <w:left w:val="nil"/>
              <w:bottom w:val="nil"/>
              <w:right w:val="nil"/>
            </w:tcBorders>
            <w:vAlign w:val="bottom"/>
          </w:tcPr>
          <w:p w14:paraId="4543E86E" w14:textId="77777777" w:rsidR="003F331A" w:rsidRPr="00A73868" w:rsidRDefault="003F331A" w:rsidP="005F07EF">
            <w:pPr>
              <w:spacing w:line="360" w:lineRule="auto"/>
              <w:jc w:val="center"/>
              <w:rPr>
                <w:lang w:val="en-GB"/>
              </w:rPr>
            </w:pPr>
            <w:r w:rsidRPr="00A73868">
              <w:rPr>
                <w:lang w:val="en-GB"/>
              </w:rPr>
              <w:t>-1361</w:t>
            </w:r>
          </w:p>
        </w:tc>
        <w:tc>
          <w:tcPr>
            <w:tcW w:w="920" w:type="dxa"/>
            <w:tcBorders>
              <w:top w:val="nil"/>
              <w:left w:val="nil"/>
              <w:bottom w:val="nil"/>
              <w:right w:val="nil"/>
            </w:tcBorders>
            <w:vAlign w:val="bottom"/>
          </w:tcPr>
          <w:p w14:paraId="593890C3" w14:textId="77777777" w:rsidR="003F331A" w:rsidRPr="00A73868" w:rsidRDefault="003F331A" w:rsidP="005F07EF">
            <w:pPr>
              <w:spacing w:line="360" w:lineRule="auto"/>
              <w:jc w:val="center"/>
              <w:rPr>
                <w:lang w:val="en-GB"/>
              </w:rPr>
            </w:pPr>
            <w:r w:rsidRPr="00A73868">
              <w:rPr>
                <w:lang w:val="en-GB"/>
              </w:rPr>
              <w:t>0.9969</w:t>
            </w:r>
          </w:p>
        </w:tc>
        <w:tc>
          <w:tcPr>
            <w:tcW w:w="1547" w:type="dxa"/>
            <w:tcBorders>
              <w:top w:val="nil"/>
              <w:left w:val="nil"/>
              <w:bottom w:val="nil"/>
              <w:right w:val="nil"/>
            </w:tcBorders>
            <w:vAlign w:val="bottom"/>
          </w:tcPr>
          <w:p w14:paraId="6A1669A5" w14:textId="77777777" w:rsidR="003F331A" w:rsidRPr="00A73868" w:rsidRDefault="003F331A" w:rsidP="005F07EF">
            <w:pPr>
              <w:spacing w:line="360" w:lineRule="auto"/>
              <w:jc w:val="center"/>
              <w:rPr>
                <w:lang w:val="en-GB"/>
              </w:rPr>
            </w:pPr>
            <w:r w:rsidRPr="00A73868">
              <w:rPr>
                <w:lang w:val="en-GB"/>
              </w:rPr>
              <w:t>315 nm</w:t>
            </w:r>
          </w:p>
        </w:tc>
        <w:tc>
          <w:tcPr>
            <w:tcW w:w="2372" w:type="dxa"/>
            <w:tcBorders>
              <w:top w:val="nil"/>
              <w:left w:val="nil"/>
              <w:bottom w:val="nil"/>
              <w:right w:val="nil"/>
            </w:tcBorders>
            <w:vAlign w:val="bottom"/>
          </w:tcPr>
          <w:p w14:paraId="78DFD2DA" w14:textId="77777777" w:rsidR="003F331A" w:rsidRPr="00A73868" w:rsidRDefault="003F331A" w:rsidP="005F07EF">
            <w:pPr>
              <w:spacing w:line="360" w:lineRule="auto"/>
              <w:jc w:val="center"/>
              <w:rPr>
                <w:lang w:val="en-GB"/>
              </w:rPr>
            </w:pPr>
            <w:r w:rsidRPr="00A73868">
              <w:rPr>
                <w:lang w:val="en-GB"/>
              </w:rPr>
              <w:t>26.1±0.14</w:t>
            </w:r>
          </w:p>
        </w:tc>
      </w:tr>
      <w:tr w:rsidR="003F331A" w:rsidRPr="00A73868" w14:paraId="40A09C4F" w14:textId="77777777" w:rsidTr="005F07EF">
        <w:trPr>
          <w:jc w:val="center"/>
        </w:trPr>
        <w:tc>
          <w:tcPr>
            <w:tcW w:w="2906" w:type="dxa"/>
            <w:tcBorders>
              <w:top w:val="nil"/>
              <w:left w:val="nil"/>
              <w:bottom w:val="nil"/>
              <w:right w:val="nil"/>
            </w:tcBorders>
            <w:vAlign w:val="bottom"/>
          </w:tcPr>
          <w:p w14:paraId="15D83C02" w14:textId="77777777" w:rsidR="003F331A" w:rsidRPr="00A73868" w:rsidRDefault="003F331A" w:rsidP="005F07EF">
            <w:pPr>
              <w:spacing w:line="360" w:lineRule="auto"/>
              <w:rPr>
                <w:lang w:val="en-GB"/>
              </w:rPr>
            </w:pPr>
            <w:r w:rsidRPr="00A73868">
              <w:rPr>
                <w:lang w:val="en-GB"/>
              </w:rPr>
              <w:t>Naringin</w:t>
            </w:r>
          </w:p>
        </w:tc>
        <w:tc>
          <w:tcPr>
            <w:tcW w:w="980" w:type="dxa"/>
            <w:tcBorders>
              <w:top w:val="nil"/>
              <w:left w:val="nil"/>
              <w:bottom w:val="nil"/>
              <w:right w:val="nil"/>
            </w:tcBorders>
            <w:vAlign w:val="bottom"/>
          </w:tcPr>
          <w:p w14:paraId="2382DDD0" w14:textId="77777777" w:rsidR="003F331A" w:rsidRPr="00A73868" w:rsidRDefault="003F331A" w:rsidP="005F07EF">
            <w:pPr>
              <w:spacing w:line="360" w:lineRule="auto"/>
              <w:jc w:val="center"/>
              <w:rPr>
                <w:lang w:val="en-GB"/>
              </w:rPr>
            </w:pPr>
            <w:r w:rsidRPr="00A73868">
              <w:rPr>
                <w:lang w:val="en-GB"/>
              </w:rPr>
              <w:t>22064</w:t>
            </w:r>
          </w:p>
        </w:tc>
        <w:tc>
          <w:tcPr>
            <w:tcW w:w="1207" w:type="dxa"/>
            <w:tcBorders>
              <w:top w:val="nil"/>
              <w:left w:val="nil"/>
              <w:bottom w:val="nil"/>
              <w:right w:val="nil"/>
            </w:tcBorders>
            <w:vAlign w:val="bottom"/>
          </w:tcPr>
          <w:p w14:paraId="6E843A2B" w14:textId="77777777" w:rsidR="003F331A" w:rsidRPr="00A73868" w:rsidRDefault="003F331A" w:rsidP="005F07EF">
            <w:pPr>
              <w:spacing w:line="360" w:lineRule="auto"/>
              <w:jc w:val="center"/>
              <w:rPr>
                <w:lang w:val="en-GB"/>
              </w:rPr>
            </w:pPr>
            <w:r w:rsidRPr="00A73868">
              <w:rPr>
                <w:lang w:val="en-GB"/>
              </w:rPr>
              <w:t>-769</w:t>
            </w:r>
          </w:p>
        </w:tc>
        <w:tc>
          <w:tcPr>
            <w:tcW w:w="920" w:type="dxa"/>
            <w:tcBorders>
              <w:top w:val="nil"/>
              <w:left w:val="nil"/>
              <w:bottom w:val="nil"/>
              <w:right w:val="nil"/>
            </w:tcBorders>
            <w:vAlign w:val="bottom"/>
          </w:tcPr>
          <w:p w14:paraId="61B87A02" w14:textId="77777777" w:rsidR="003F331A" w:rsidRPr="00A73868" w:rsidRDefault="003F331A" w:rsidP="005F07EF">
            <w:pPr>
              <w:spacing w:line="360" w:lineRule="auto"/>
              <w:jc w:val="center"/>
              <w:rPr>
                <w:lang w:val="en-GB"/>
              </w:rPr>
            </w:pPr>
            <w:r w:rsidRPr="00A73868">
              <w:rPr>
                <w:lang w:val="en-GB"/>
              </w:rPr>
              <w:t>0.9964</w:t>
            </w:r>
          </w:p>
        </w:tc>
        <w:tc>
          <w:tcPr>
            <w:tcW w:w="1547" w:type="dxa"/>
            <w:tcBorders>
              <w:top w:val="nil"/>
              <w:left w:val="nil"/>
              <w:bottom w:val="nil"/>
              <w:right w:val="nil"/>
            </w:tcBorders>
            <w:vAlign w:val="bottom"/>
          </w:tcPr>
          <w:p w14:paraId="7D2D7843" w14:textId="77777777" w:rsidR="003F331A" w:rsidRPr="00A73868" w:rsidRDefault="003F331A" w:rsidP="005F07EF">
            <w:pPr>
              <w:spacing w:line="360" w:lineRule="auto"/>
              <w:jc w:val="center"/>
              <w:rPr>
                <w:lang w:val="en-GB"/>
              </w:rPr>
            </w:pPr>
            <w:r w:rsidRPr="00A73868">
              <w:rPr>
                <w:lang w:val="en-GB"/>
              </w:rPr>
              <w:t>285 nm</w:t>
            </w:r>
          </w:p>
        </w:tc>
        <w:tc>
          <w:tcPr>
            <w:tcW w:w="2372" w:type="dxa"/>
            <w:tcBorders>
              <w:top w:val="nil"/>
              <w:left w:val="nil"/>
              <w:bottom w:val="nil"/>
              <w:right w:val="nil"/>
            </w:tcBorders>
            <w:vAlign w:val="bottom"/>
          </w:tcPr>
          <w:p w14:paraId="546BA4DD" w14:textId="77777777" w:rsidR="003F331A" w:rsidRPr="00A73868" w:rsidRDefault="003F331A" w:rsidP="005F07EF">
            <w:pPr>
              <w:spacing w:line="360" w:lineRule="auto"/>
              <w:jc w:val="center"/>
              <w:rPr>
                <w:lang w:val="en-GB"/>
              </w:rPr>
            </w:pPr>
            <w:r w:rsidRPr="00A73868">
              <w:rPr>
                <w:lang w:val="en-GB"/>
              </w:rPr>
              <w:t>28.4±0.13</w:t>
            </w:r>
          </w:p>
        </w:tc>
      </w:tr>
      <w:tr w:rsidR="003F331A" w:rsidRPr="00A73868" w14:paraId="3E344AF1" w14:textId="77777777" w:rsidTr="005F07EF">
        <w:trPr>
          <w:jc w:val="center"/>
        </w:trPr>
        <w:tc>
          <w:tcPr>
            <w:tcW w:w="2906" w:type="dxa"/>
            <w:tcBorders>
              <w:top w:val="nil"/>
              <w:left w:val="nil"/>
              <w:bottom w:val="nil"/>
              <w:right w:val="nil"/>
            </w:tcBorders>
            <w:vAlign w:val="bottom"/>
          </w:tcPr>
          <w:p w14:paraId="6C995D5C" w14:textId="77777777" w:rsidR="003F331A" w:rsidRPr="00A73868" w:rsidRDefault="003F331A" w:rsidP="005F07EF">
            <w:pPr>
              <w:spacing w:line="360" w:lineRule="auto"/>
              <w:rPr>
                <w:lang w:val="en-GB"/>
              </w:rPr>
            </w:pPr>
            <w:r w:rsidRPr="00A73868">
              <w:rPr>
                <w:lang w:val="en-GB"/>
              </w:rPr>
              <w:t>2,3-diMeO benzoic acid</w:t>
            </w:r>
          </w:p>
        </w:tc>
        <w:tc>
          <w:tcPr>
            <w:tcW w:w="980" w:type="dxa"/>
            <w:tcBorders>
              <w:top w:val="nil"/>
              <w:left w:val="nil"/>
              <w:bottom w:val="nil"/>
              <w:right w:val="nil"/>
            </w:tcBorders>
            <w:vAlign w:val="bottom"/>
          </w:tcPr>
          <w:p w14:paraId="529F8A62" w14:textId="77777777" w:rsidR="003F331A" w:rsidRPr="00A73868" w:rsidRDefault="003F331A" w:rsidP="005F07EF">
            <w:pPr>
              <w:spacing w:line="360" w:lineRule="auto"/>
              <w:jc w:val="center"/>
              <w:rPr>
                <w:lang w:val="en-GB"/>
              </w:rPr>
            </w:pPr>
            <w:r w:rsidRPr="00A73868">
              <w:rPr>
                <w:lang w:val="en-GB"/>
              </w:rPr>
              <w:t>7163</w:t>
            </w:r>
          </w:p>
        </w:tc>
        <w:tc>
          <w:tcPr>
            <w:tcW w:w="1207" w:type="dxa"/>
            <w:tcBorders>
              <w:top w:val="nil"/>
              <w:left w:val="nil"/>
              <w:bottom w:val="nil"/>
              <w:right w:val="nil"/>
            </w:tcBorders>
            <w:vAlign w:val="bottom"/>
          </w:tcPr>
          <w:p w14:paraId="4D8CA419" w14:textId="77777777" w:rsidR="003F331A" w:rsidRPr="00A73868" w:rsidRDefault="003F331A" w:rsidP="005F07EF">
            <w:pPr>
              <w:spacing w:line="360" w:lineRule="auto"/>
              <w:jc w:val="center"/>
              <w:rPr>
                <w:lang w:val="en-GB"/>
              </w:rPr>
            </w:pPr>
            <w:r w:rsidRPr="00A73868">
              <w:rPr>
                <w:lang w:val="en-GB"/>
              </w:rPr>
              <w:t>-579.3</w:t>
            </w:r>
          </w:p>
        </w:tc>
        <w:tc>
          <w:tcPr>
            <w:tcW w:w="920" w:type="dxa"/>
            <w:tcBorders>
              <w:top w:val="nil"/>
              <w:left w:val="nil"/>
              <w:bottom w:val="nil"/>
              <w:right w:val="nil"/>
            </w:tcBorders>
            <w:vAlign w:val="bottom"/>
          </w:tcPr>
          <w:p w14:paraId="27802C66" w14:textId="77777777" w:rsidR="003F331A" w:rsidRPr="00A73868" w:rsidRDefault="003F331A" w:rsidP="005F07EF">
            <w:pPr>
              <w:spacing w:line="360" w:lineRule="auto"/>
              <w:jc w:val="center"/>
              <w:rPr>
                <w:lang w:val="en-GB"/>
              </w:rPr>
            </w:pPr>
            <w:r w:rsidRPr="00A73868">
              <w:rPr>
                <w:lang w:val="en-GB"/>
              </w:rPr>
              <w:t>0.9592</w:t>
            </w:r>
          </w:p>
        </w:tc>
        <w:tc>
          <w:tcPr>
            <w:tcW w:w="1547" w:type="dxa"/>
            <w:tcBorders>
              <w:top w:val="nil"/>
              <w:left w:val="nil"/>
              <w:bottom w:val="nil"/>
              <w:right w:val="nil"/>
            </w:tcBorders>
            <w:vAlign w:val="bottom"/>
          </w:tcPr>
          <w:p w14:paraId="7B340C4F" w14:textId="77777777" w:rsidR="003F331A" w:rsidRPr="00A73868" w:rsidRDefault="003F331A" w:rsidP="005F07EF">
            <w:pPr>
              <w:spacing w:line="360" w:lineRule="auto"/>
              <w:jc w:val="center"/>
              <w:rPr>
                <w:lang w:val="en-GB"/>
              </w:rPr>
            </w:pPr>
            <w:r w:rsidRPr="00A73868">
              <w:rPr>
                <w:lang w:val="en-GB"/>
              </w:rPr>
              <w:t>299 nm</w:t>
            </w:r>
          </w:p>
        </w:tc>
        <w:tc>
          <w:tcPr>
            <w:tcW w:w="2372" w:type="dxa"/>
            <w:tcBorders>
              <w:top w:val="nil"/>
              <w:left w:val="nil"/>
              <w:bottom w:val="nil"/>
              <w:right w:val="nil"/>
            </w:tcBorders>
            <w:vAlign w:val="bottom"/>
          </w:tcPr>
          <w:p w14:paraId="16C928F0" w14:textId="77777777" w:rsidR="003F331A" w:rsidRPr="00A73868" w:rsidRDefault="003F331A" w:rsidP="005F07EF">
            <w:pPr>
              <w:spacing w:line="360" w:lineRule="auto"/>
              <w:jc w:val="center"/>
              <w:rPr>
                <w:lang w:val="en-GB"/>
              </w:rPr>
            </w:pPr>
            <w:r w:rsidRPr="00A73868">
              <w:rPr>
                <w:lang w:val="en-GB"/>
              </w:rPr>
              <w:t>28.7±0.14</w:t>
            </w:r>
          </w:p>
        </w:tc>
      </w:tr>
      <w:tr w:rsidR="003F331A" w:rsidRPr="00A73868" w14:paraId="25527DF5" w14:textId="77777777" w:rsidTr="005F07EF">
        <w:trPr>
          <w:jc w:val="center"/>
        </w:trPr>
        <w:tc>
          <w:tcPr>
            <w:tcW w:w="2906" w:type="dxa"/>
            <w:tcBorders>
              <w:top w:val="nil"/>
              <w:left w:val="nil"/>
              <w:bottom w:val="nil"/>
              <w:right w:val="nil"/>
            </w:tcBorders>
            <w:vAlign w:val="bottom"/>
          </w:tcPr>
          <w:p w14:paraId="772BCB86" w14:textId="77777777" w:rsidR="003F331A" w:rsidRPr="00A73868" w:rsidRDefault="003F331A" w:rsidP="005F07EF">
            <w:pPr>
              <w:spacing w:line="360" w:lineRule="auto"/>
              <w:rPr>
                <w:lang w:val="en-GB"/>
              </w:rPr>
            </w:pPr>
            <w:r w:rsidRPr="00A73868">
              <w:rPr>
                <w:lang w:val="en-GB"/>
              </w:rPr>
              <w:t>Benzoic acid</w:t>
            </w:r>
          </w:p>
        </w:tc>
        <w:tc>
          <w:tcPr>
            <w:tcW w:w="980" w:type="dxa"/>
            <w:tcBorders>
              <w:top w:val="nil"/>
              <w:left w:val="nil"/>
              <w:bottom w:val="nil"/>
              <w:right w:val="nil"/>
            </w:tcBorders>
            <w:vAlign w:val="bottom"/>
          </w:tcPr>
          <w:p w14:paraId="662BDAEC" w14:textId="77777777" w:rsidR="003F331A" w:rsidRPr="00A73868" w:rsidRDefault="003F331A" w:rsidP="005F07EF">
            <w:pPr>
              <w:spacing w:line="360" w:lineRule="auto"/>
              <w:jc w:val="center"/>
              <w:rPr>
                <w:lang w:val="en-GB"/>
              </w:rPr>
            </w:pPr>
            <w:r w:rsidRPr="00A73868">
              <w:rPr>
                <w:lang w:val="en-GB"/>
              </w:rPr>
              <w:t>12500</w:t>
            </w:r>
          </w:p>
        </w:tc>
        <w:tc>
          <w:tcPr>
            <w:tcW w:w="1207" w:type="dxa"/>
            <w:tcBorders>
              <w:top w:val="nil"/>
              <w:left w:val="nil"/>
              <w:bottom w:val="nil"/>
              <w:right w:val="nil"/>
            </w:tcBorders>
            <w:vAlign w:val="bottom"/>
          </w:tcPr>
          <w:p w14:paraId="3B7A8AB1" w14:textId="77777777" w:rsidR="003F331A" w:rsidRPr="00A73868" w:rsidRDefault="003F331A" w:rsidP="005F07EF">
            <w:pPr>
              <w:spacing w:line="360" w:lineRule="auto"/>
              <w:jc w:val="center"/>
              <w:rPr>
                <w:lang w:val="en-GB"/>
              </w:rPr>
            </w:pPr>
            <w:r w:rsidRPr="00A73868">
              <w:rPr>
                <w:lang w:val="en-GB"/>
              </w:rPr>
              <w:t>842.4</w:t>
            </w:r>
          </w:p>
        </w:tc>
        <w:tc>
          <w:tcPr>
            <w:tcW w:w="920" w:type="dxa"/>
            <w:tcBorders>
              <w:top w:val="nil"/>
              <w:left w:val="nil"/>
              <w:bottom w:val="nil"/>
              <w:right w:val="nil"/>
            </w:tcBorders>
            <w:vAlign w:val="bottom"/>
          </w:tcPr>
          <w:p w14:paraId="672784E9" w14:textId="77777777" w:rsidR="003F331A" w:rsidRPr="00A73868" w:rsidRDefault="003F331A" w:rsidP="005F07EF">
            <w:pPr>
              <w:spacing w:line="360" w:lineRule="auto"/>
              <w:jc w:val="center"/>
              <w:rPr>
                <w:lang w:val="en-GB"/>
              </w:rPr>
            </w:pPr>
            <w:r w:rsidRPr="00A73868">
              <w:rPr>
                <w:lang w:val="en-GB"/>
              </w:rPr>
              <w:t>0.9901</w:t>
            </w:r>
          </w:p>
        </w:tc>
        <w:tc>
          <w:tcPr>
            <w:tcW w:w="1547" w:type="dxa"/>
            <w:tcBorders>
              <w:top w:val="nil"/>
              <w:left w:val="nil"/>
              <w:bottom w:val="nil"/>
              <w:right w:val="nil"/>
            </w:tcBorders>
            <w:vAlign w:val="bottom"/>
          </w:tcPr>
          <w:p w14:paraId="7222CBF6" w14:textId="77777777" w:rsidR="003F331A" w:rsidRPr="00A73868" w:rsidRDefault="003F331A" w:rsidP="005F07EF">
            <w:pPr>
              <w:spacing w:line="360" w:lineRule="auto"/>
              <w:jc w:val="center"/>
              <w:rPr>
                <w:lang w:val="en-GB"/>
              </w:rPr>
            </w:pPr>
            <w:r w:rsidRPr="00A73868">
              <w:rPr>
                <w:lang w:val="en-GB"/>
              </w:rPr>
              <w:t>275 nm</w:t>
            </w:r>
          </w:p>
        </w:tc>
        <w:tc>
          <w:tcPr>
            <w:tcW w:w="2372" w:type="dxa"/>
            <w:tcBorders>
              <w:top w:val="nil"/>
              <w:left w:val="nil"/>
              <w:bottom w:val="nil"/>
              <w:right w:val="nil"/>
            </w:tcBorders>
            <w:vAlign w:val="bottom"/>
          </w:tcPr>
          <w:p w14:paraId="3BF79D18" w14:textId="77777777" w:rsidR="003F331A" w:rsidRPr="00A73868" w:rsidRDefault="003F331A" w:rsidP="005F07EF">
            <w:pPr>
              <w:spacing w:line="360" w:lineRule="auto"/>
              <w:jc w:val="center"/>
              <w:rPr>
                <w:lang w:val="en-GB"/>
              </w:rPr>
            </w:pPr>
            <w:r w:rsidRPr="00A73868">
              <w:rPr>
                <w:lang w:val="en-GB"/>
              </w:rPr>
              <w:t>29.4±0.14</w:t>
            </w:r>
          </w:p>
        </w:tc>
      </w:tr>
      <w:tr w:rsidR="003F331A" w:rsidRPr="00A73868" w14:paraId="5C917891" w14:textId="77777777" w:rsidTr="005F07EF">
        <w:trPr>
          <w:jc w:val="center"/>
        </w:trPr>
        <w:tc>
          <w:tcPr>
            <w:tcW w:w="2906" w:type="dxa"/>
            <w:tcBorders>
              <w:top w:val="nil"/>
              <w:left w:val="nil"/>
              <w:bottom w:val="nil"/>
              <w:right w:val="nil"/>
            </w:tcBorders>
            <w:vAlign w:val="bottom"/>
          </w:tcPr>
          <w:p w14:paraId="68B6EA7B" w14:textId="77777777" w:rsidR="003F331A" w:rsidRPr="00A73868" w:rsidRDefault="003F331A" w:rsidP="005F07EF">
            <w:pPr>
              <w:spacing w:line="360" w:lineRule="auto"/>
              <w:rPr>
                <w:lang w:val="en-GB"/>
              </w:rPr>
            </w:pPr>
            <w:r w:rsidRPr="00A73868">
              <w:rPr>
                <w:lang w:val="en-GB"/>
              </w:rPr>
              <w:t>o-coumaric acid</w:t>
            </w:r>
          </w:p>
        </w:tc>
        <w:tc>
          <w:tcPr>
            <w:tcW w:w="980" w:type="dxa"/>
            <w:tcBorders>
              <w:top w:val="nil"/>
              <w:left w:val="nil"/>
              <w:bottom w:val="nil"/>
              <w:right w:val="nil"/>
            </w:tcBorders>
            <w:vAlign w:val="bottom"/>
          </w:tcPr>
          <w:p w14:paraId="4C4E5FA7" w14:textId="77777777" w:rsidR="003F331A" w:rsidRPr="00A73868" w:rsidRDefault="003F331A" w:rsidP="005F07EF">
            <w:pPr>
              <w:spacing w:line="360" w:lineRule="auto"/>
              <w:jc w:val="center"/>
              <w:rPr>
                <w:lang w:val="en-GB"/>
              </w:rPr>
            </w:pPr>
            <w:r w:rsidRPr="00A73868">
              <w:rPr>
                <w:lang w:val="en-GB"/>
              </w:rPr>
              <w:t>111357</w:t>
            </w:r>
          </w:p>
        </w:tc>
        <w:tc>
          <w:tcPr>
            <w:tcW w:w="1207" w:type="dxa"/>
            <w:tcBorders>
              <w:top w:val="nil"/>
              <w:left w:val="nil"/>
              <w:bottom w:val="nil"/>
              <w:right w:val="nil"/>
            </w:tcBorders>
            <w:vAlign w:val="bottom"/>
          </w:tcPr>
          <w:p w14:paraId="75B863E1" w14:textId="77777777" w:rsidR="003F331A" w:rsidRPr="00A73868" w:rsidRDefault="003F331A" w:rsidP="005F07EF">
            <w:pPr>
              <w:spacing w:line="360" w:lineRule="auto"/>
              <w:jc w:val="center"/>
              <w:rPr>
                <w:lang w:val="en-GB"/>
              </w:rPr>
            </w:pPr>
            <w:r w:rsidRPr="00A73868">
              <w:rPr>
                <w:lang w:val="en-GB"/>
              </w:rPr>
              <w:t>-4293</w:t>
            </w:r>
          </w:p>
        </w:tc>
        <w:tc>
          <w:tcPr>
            <w:tcW w:w="920" w:type="dxa"/>
            <w:tcBorders>
              <w:top w:val="nil"/>
              <w:left w:val="nil"/>
              <w:bottom w:val="nil"/>
              <w:right w:val="nil"/>
            </w:tcBorders>
            <w:vAlign w:val="bottom"/>
          </w:tcPr>
          <w:p w14:paraId="3DDCA341" w14:textId="77777777" w:rsidR="003F331A" w:rsidRPr="00A73868" w:rsidRDefault="003F331A" w:rsidP="005F07EF">
            <w:pPr>
              <w:spacing w:line="360" w:lineRule="auto"/>
              <w:jc w:val="center"/>
              <w:rPr>
                <w:lang w:val="en-GB"/>
              </w:rPr>
            </w:pPr>
            <w:r w:rsidRPr="00A73868">
              <w:rPr>
                <w:lang w:val="en-GB"/>
              </w:rPr>
              <w:t>0.9944</w:t>
            </w:r>
          </w:p>
        </w:tc>
        <w:tc>
          <w:tcPr>
            <w:tcW w:w="1547" w:type="dxa"/>
            <w:tcBorders>
              <w:top w:val="nil"/>
              <w:left w:val="nil"/>
              <w:bottom w:val="nil"/>
              <w:right w:val="nil"/>
            </w:tcBorders>
            <w:vAlign w:val="bottom"/>
          </w:tcPr>
          <w:p w14:paraId="546FB979" w14:textId="77777777" w:rsidR="003F331A" w:rsidRPr="00A73868" w:rsidRDefault="003F331A" w:rsidP="005F07EF">
            <w:pPr>
              <w:spacing w:line="360" w:lineRule="auto"/>
              <w:jc w:val="center"/>
              <w:rPr>
                <w:lang w:val="en-GB"/>
              </w:rPr>
            </w:pPr>
            <w:r w:rsidRPr="00A73868">
              <w:rPr>
                <w:lang w:val="en-GB"/>
              </w:rPr>
              <w:t>276 nm</w:t>
            </w:r>
          </w:p>
        </w:tc>
        <w:tc>
          <w:tcPr>
            <w:tcW w:w="2372" w:type="dxa"/>
            <w:tcBorders>
              <w:top w:val="nil"/>
              <w:left w:val="nil"/>
              <w:bottom w:val="nil"/>
              <w:right w:val="nil"/>
            </w:tcBorders>
            <w:vAlign w:val="bottom"/>
          </w:tcPr>
          <w:p w14:paraId="5D2B2E06" w14:textId="77777777" w:rsidR="003F331A" w:rsidRPr="00A73868" w:rsidRDefault="003F331A" w:rsidP="005F07EF">
            <w:pPr>
              <w:spacing w:line="360" w:lineRule="auto"/>
              <w:jc w:val="center"/>
              <w:rPr>
                <w:lang w:val="en-GB"/>
              </w:rPr>
            </w:pPr>
            <w:r w:rsidRPr="00A73868">
              <w:rPr>
                <w:lang w:val="en-GB"/>
              </w:rPr>
              <w:t>30.2±0.16</w:t>
            </w:r>
          </w:p>
        </w:tc>
      </w:tr>
      <w:tr w:rsidR="003F331A" w:rsidRPr="00A73868" w14:paraId="1CDF5E47" w14:textId="77777777" w:rsidTr="005F07EF">
        <w:trPr>
          <w:jc w:val="center"/>
        </w:trPr>
        <w:tc>
          <w:tcPr>
            <w:tcW w:w="2906" w:type="dxa"/>
            <w:tcBorders>
              <w:top w:val="nil"/>
              <w:left w:val="nil"/>
              <w:bottom w:val="nil"/>
              <w:right w:val="nil"/>
            </w:tcBorders>
            <w:vAlign w:val="bottom"/>
          </w:tcPr>
          <w:p w14:paraId="53CB2B17" w14:textId="77777777" w:rsidR="003F331A" w:rsidRPr="00A73868" w:rsidRDefault="003F331A" w:rsidP="005F07EF">
            <w:pPr>
              <w:spacing w:line="360" w:lineRule="auto"/>
              <w:rPr>
                <w:lang w:val="en-GB"/>
              </w:rPr>
            </w:pPr>
            <w:r w:rsidRPr="00A73868">
              <w:rPr>
                <w:lang w:val="en-GB"/>
              </w:rPr>
              <w:t xml:space="preserve">Quercetin </w:t>
            </w:r>
            <w:proofErr w:type="spellStart"/>
            <w:r w:rsidRPr="00A73868">
              <w:rPr>
                <w:lang w:val="en-GB"/>
              </w:rPr>
              <w:t>dihydr</w:t>
            </w:r>
            <w:proofErr w:type="spellEnd"/>
          </w:p>
        </w:tc>
        <w:tc>
          <w:tcPr>
            <w:tcW w:w="980" w:type="dxa"/>
            <w:tcBorders>
              <w:top w:val="nil"/>
              <w:left w:val="nil"/>
              <w:bottom w:val="nil"/>
              <w:right w:val="nil"/>
            </w:tcBorders>
            <w:vAlign w:val="bottom"/>
          </w:tcPr>
          <w:p w14:paraId="3440F815" w14:textId="77777777" w:rsidR="003F331A" w:rsidRPr="00A73868" w:rsidRDefault="003F331A" w:rsidP="005F07EF">
            <w:pPr>
              <w:spacing w:line="360" w:lineRule="auto"/>
              <w:jc w:val="center"/>
              <w:rPr>
                <w:lang w:val="en-GB"/>
              </w:rPr>
            </w:pPr>
            <w:r w:rsidRPr="00A73868">
              <w:rPr>
                <w:lang w:val="en-GB"/>
              </w:rPr>
              <w:t>74660</w:t>
            </w:r>
          </w:p>
        </w:tc>
        <w:tc>
          <w:tcPr>
            <w:tcW w:w="1207" w:type="dxa"/>
            <w:tcBorders>
              <w:top w:val="nil"/>
              <w:left w:val="nil"/>
              <w:bottom w:val="nil"/>
              <w:right w:val="nil"/>
            </w:tcBorders>
            <w:vAlign w:val="bottom"/>
          </w:tcPr>
          <w:p w14:paraId="3B7A1898" w14:textId="77777777" w:rsidR="003F331A" w:rsidRPr="00A73868" w:rsidRDefault="003F331A" w:rsidP="005F07EF">
            <w:pPr>
              <w:spacing w:line="360" w:lineRule="auto"/>
              <w:jc w:val="center"/>
              <w:rPr>
                <w:lang w:val="en-GB"/>
              </w:rPr>
            </w:pPr>
            <w:r w:rsidRPr="00A73868">
              <w:rPr>
                <w:lang w:val="en-GB"/>
              </w:rPr>
              <w:t>-6774</w:t>
            </w:r>
          </w:p>
        </w:tc>
        <w:tc>
          <w:tcPr>
            <w:tcW w:w="920" w:type="dxa"/>
            <w:tcBorders>
              <w:top w:val="nil"/>
              <w:left w:val="nil"/>
              <w:bottom w:val="nil"/>
              <w:right w:val="nil"/>
            </w:tcBorders>
            <w:vAlign w:val="bottom"/>
          </w:tcPr>
          <w:p w14:paraId="560E4653" w14:textId="77777777" w:rsidR="003F331A" w:rsidRPr="00A73868" w:rsidRDefault="003F331A" w:rsidP="005F07EF">
            <w:pPr>
              <w:spacing w:line="360" w:lineRule="auto"/>
              <w:jc w:val="center"/>
              <w:rPr>
                <w:lang w:val="en-GB"/>
              </w:rPr>
            </w:pPr>
            <w:r w:rsidRPr="00A73868">
              <w:rPr>
                <w:lang w:val="en-GB"/>
              </w:rPr>
              <w:t>0.9837</w:t>
            </w:r>
          </w:p>
        </w:tc>
        <w:tc>
          <w:tcPr>
            <w:tcW w:w="1547" w:type="dxa"/>
            <w:tcBorders>
              <w:top w:val="nil"/>
              <w:left w:val="nil"/>
              <w:bottom w:val="nil"/>
              <w:right w:val="nil"/>
            </w:tcBorders>
            <w:vAlign w:val="bottom"/>
          </w:tcPr>
          <w:p w14:paraId="7CACC673" w14:textId="77777777" w:rsidR="003F331A" w:rsidRPr="00A73868" w:rsidRDefault="003F331A" w:rsidP="005F07EF">
            <w:pPr>
              <w:spacing w:line="360" w:lineRule="auto"/>
              <w:jc w:val="center"/>
              <w:rPr>
                <w:lang w:val="en-GB"/>
              </w:rPr>
            </w:pPr>
            <w:r w:rsidRPr="00A73868">
              <w:rPr>
                <w:lang w:val="en-GB"/>
              </w:rPr>
              <w:t>367 nm</w:t>
            </w:r>
          </w:p>
        </w:tc>
        <w:tc>
          <w:tcPr>
            <w:tcW w:w="2372" w:type="dxa"/>
            <w:tcBorders>
              <w:top w:val="nil"/>
              <w:left w:val="nil"/>
              <w:bottom w:val="nil"/>
              <w:right w:val="nil"/>
            </w:tcBorders>
            <w:vAlign w:val="bottom"/>
          </w:tcPr>
          <w:p w14:paraId="0B4623FD" w14:textId="77777777" w:rsidR="003F331A" w:rsidRPr="00A73868" w:rsidRDefault="003F331A" w:rsidP="005F07EF">
            <w:pPr>
              <w:spacing w:line="360" w:lineRule="auto"/>
              <w:jc w:val="center"/>
              <w:rPr>
                <w:lang w:val="en-GB"/>
              </w:rPr>
            </w:pPr>
            <w:r w:rsidRPr="00A73868">
              <w:rPr>
                <w:lang w:val="en-GB"/>
              </w:rPr>
              <w:t>39.9±0.24</w:t>
            </w:r>
          </w:p>
        </w:tc>
      </w:tr>
      <w:tr w:rsidR="003F331A" w:rsidRPr="00A73868" w14:paraId="63E79031" w14:textId="77777777" w:rsidTr="005F07EF">
        <w:trPr>
          <w:jc w:val="center"/>
        </w:trPr>
        <w:tc>
          <w:tcPr>
            <w:tcW w:w="2906" w:type="dxa"/>
            <w:tcBorders>
              <w:top w:val="nil"/>
              <w:left w:val="nil"/>
              <w:bottom w:val="nil"/>
              <w:right w:val="nil"/>
            </w:tcBorders>
            <w:vAlign w:val="bottom"/>
          </w:tcPr>
          <w:p w14:paraId="40309A91" w14:textId="77777777" w:rsidR="003F331A" w:rsidRPr="00A73868" w:rsidRDefault="003F331A" w:rsidP="005F07EF">
            <w:pPr>
              <w:spacing w:line="360" w:lineRule="auto"/>
              <w:rPr>
                <w:lang w:val="en-GB"/>
              </w:rPr>
            </w:pPr>
            <w:proofErr w:type="spellStart"/>
            <w:r w:rsidRPr="00A73868">
              <w:rPr>
                <w:lang w:val="en-GB"/>
              </w:rPr>
              <w:t>Harpagoside</w:t>
            </w:r>
            <w:proofErr w:type="spellEnd"/>
          </w:p>
        </w:tc>
        <w:tc>
          <w:tcPr>
            <w:tcW w:w="980" w:type="dxa"/>
            <w:tcBorders>
              <w:top w:val="nil"/>
              <w:left w:val="nil"/>
              <w:bottom w:val="nil"/>
              <w:right w:val="nil"/>
            </w:tcBorders>
            <w:vAlign w:val="bottom"/>
          </w:tcPr>
          <w:p w14:paraId="23A67F2D" w14:textId="77777777" w:rsidR="003F331A" w:rsidRPr="00A73868" w:rsidRDefault="003F331A" w:rsidP="005F07EF">
            <w:pPr>
              <w:spacing w:line="360" w:lineRule="auto"/>
              <w:jc w:val="center"/>
              <w:rPr>
                <w:lang w:val="en-GB"/>
              </w:rPr>
            </w:pPr>
            <w:r w:rsidRPr="00A73868">
              <w:rPr>
                <w:lang w:val="en-GB"/>
              </w:rPr>
              <w:t>48111</w:t>
            </w:r>
          </w:p>
        </w:tc>
        <w:tc>
          <w:tcPr>
            <w:tcW w:w="1207" w:type="dxa"/>
            <w:tcBorders>
              <w:top w:val="nil"/>
              <w:left w:val="nil"/>
              <w:bottom w:val="nil"/>
              <w:right w:val="nil"/>
            </w:tcBorders>
            <w:vAlign w:val="bottom"/>
          </w:tcPr>
          <w:p w14:paraId="4569944D" w14:textId="77777777" w:rsidR="003F331A" w:rsidRPr="00A73868" w:rsidRDefault="003F331A" w:rsidP="005F07EF">
            <w:pPr>
              <w:spacing w:line="360" w:lineRule="auto"/>
              <w:jc w:val="center"/>
              <w:rPr>
                <w:lang w:val="en-GB"/>
              </w:rPr>
            </w:pPr>
            <w:r w:rsidRPr="00A73868">
              <w:rPr>
                <w:lang w:val="en-GB"/>
              </w:rPr>
              <w:t>1000000</w:t>
            </w:r>
          </w:p>
        </w:tc>
        <w:tc>
          <w:tcPr>
            <w:tcW w:w="920" w:type="dxa"/>
            <w:tcBorders>
              <w:top w:val="nil"/>
              <w:left w:val="nil"/>
              <w:bottom w:val="nil"/>
              <w:right w:val="nil"/>
            </w:tcBorders>
            <w:vAlign w:val="bottom"/>
          </w:tcPr>
          <w:p w14:paraId="7E6B153A" w14:textId="77777777" w:rsidR="003F331A" w:rsidRPr="00A73868" w:rsidRDefault="003F331A" w:rsidP="005F07EF">
            <w:pPr>
              <w:spacing w:line="360" w:lineRule="auto"/>
              <w:jc w:val="center"/>
              <w:rPr>
                <w:lang w:val="en-GB"/>
              </w:rPr>
            </w:pPr>
            <w:r w:rsidRPr="00A73868">
              <w:rPr>
                <w:lang w:val="en-GB"/>
              </w:rPr>
              <w:t>0.9901</w:t>
            </w:r>
          </w:p>
        </w:tc>
        <w:tc>
          <w:tcPr>
            <w:tcW w:w="1547" w:type="dxa"/>
            <w:tcBorders>
              <w:top w:val="nil"/>
              <w:left w:val="nil"/>
              <w:bottom w:val="nil"/>
              <w:right w:val="nil"/>
            </w:tcBorders>
            <w:vAlign w:val="bottom"/>
          </w:tcPr>
          <w:p w14:paraId="6D1A484E" w14:textId="77777777" w:rsidR="003F331A" w:rsidRPr="00A73868" w:rsidRDefault="003F331A" w:rsidP="005F07EF">
            <w:pPr>
              <w:spacing w:line="360" w:lineRule="auto"/>
              <w:jc w:val="center"/>
              <w:rPr>
                <w:lang w:val="en-GB"/>
              </w:rPr>
            </w:pPr>
            <w:r w:rsidRPr="00A73868">
              <w:rPr>
                <w:lang w:val="en-GB"/>
              </w:rPr>
              <w:t>280 nm</w:t>
            </w:r>
          </w:p>
        </w:tc>
        <w:tc>
          <w:tcPr>
            <w:tcW w:w="2372" w:type="dxa"/>
            <w:tcBorders>
              <w:top w:val="nil"/>
              <w:left w:val="nil"/>
              <w:bottom w:val="nil"/>
              <w:right w:val="nil"/>
            </w:tcBorders>
            <w:vAlign w:val="bottom"/>
          </w:tcPr>
          <w:p w14:paraId="2454CA74" w14:textId="77777777" w:rsidR="003F331A" w:rsidRPr="00A73868" w:rsidRDefault="003F331A" w:rsidP="005F07EF">
            <w:pPr>
              <w:spacing w:line="360" w:lineRule="auto"/>
              <w:jc w:val="center"/>
              <w:rPr>
                <w:lang w:val="en-GB"/>
              </w:rPr>
            </w:pPr>
            <w:r w:rsidRPr="00A73868">
              <w:rPr>
                <w:lang w:val="en-GB"/>
              </w:rPr>
              <w:t>41.2±0.35</w:t>
            </w:r>
          </w:p>
        </w:tc>
      </w:tr>
      <w:tr w:rsidR="003F331A" w:rsidRPr="00A73868" w14:paraId="42EC4E25" w14:textId="77777777" w:rsidTr="005F07EF">
        <w:trPr>
          <w:jc w:val="center"/>
        </w:trPr>
        <w:tc>
          <w:tcPr>
            <w:tcW w:w="2906" w:type="dxa"/>
            <w:tcBorders>
              <w:top w:val="nil"/>
              <w:left w:val="nil"/>
              <w:bottom w:val="nil"/>
              <w:right w:val="nil"/>
            </w:tcBorders>
            <w:vAlign w:val="bottom"/>
          </w:tcPr>
          <w:p w14:paraId="45938FA7" w14:textId="77777777" w:rsidR="003F331A" w:rsidRPr="00A73868" w:rsidRDefault="003F331A" w:rsidP="005F07EF">
            <w:pPr>
              <w:spacing w:line="360" w:lineRule="auto"/>
              <w:rPr>
                <w:lang w:val="en-GB"/>
              </w:rPr>
            </w:pPr>
            <w:r w:rsidRPr="00A73868">
              <w:rPr>
                <w:lang w:val="en-GB"/>
              </w:rPr>
              <w:t>t-cinnamic acid</w:t>
            </w:r>
          </w:p>
        </w:tc>
        <w:tc>
          <w:tcPr>
            <w:tcW w:w="980" w:type="dxa"/>
            <w:tcBorders>
              <w:top w:val="nil"/>
              <w:left w:val="nil"/>
              <w:bottom w:val="nil"/>
              <w:right w:val="nil"/>
            </w:tcBorders>
            <w:vAlign w:val="bottom"/>
          </w:tcPr>
          <w:p w14:paraId="48FACA11" w14:textId="77777777" w:rsidR="003F331A" w:rsidRPr="00A73868" w:rsidRDefault="003F331A" w:rsidP="005F07EF">
            <w:pPr>
              <w:spacing w:line="360" w:lineRule="auto"/>
              <w:jc w:val="center"/>
              <w:rPr>
                <w:lang w:val="en-GB"/>
              </w:rPr>
            </w:pPr>
            <w:r w:rsidRPr="00A73868">
              <w:rPr>
                <w:lang w:val="en-GB"/>
              </w:rPr>
              <w:t>168680</w:t>
            </w:r>
          </w:p>
        </w:tc>
        <w:tc>
          <w:tcPr>
            <w:tcW w:w="1207" w:type="dxa"/>
            <w:tcBorders>
              <w:top w:val="nil"/>
              <w:left w:val="nil"/>
              <w:bottom w:val="nil"/>
              <w:right w:val="nil"/>
            </w:tcBorders>
            <w:vAlign w:val="bottom"/>
          </w:tcPr>
          <w:p w14:paraId="5826C431" w14:textId="77777777" w:rsidR="003F331A" w:rsidRPr="00A73868" w:rsidRDefault="003F331A" w:rsidP="005F07EF">
            <w:pPr>
              <w:spacing w:line="360" w:lineRule="auto"/>
              <w:jc w:val="center"/>
              <w:rPr>
                <w:lang w:val="en-GB"/>
              </w:rPr>
            </w:pPr>
            <w:r w:rsidRPr="00A73868">
              <w:rPr>
                <w:lang w:val="en-GB"/>
              </w:rPr>
              <w:t>-6103</w:t>
            </w:r>
          </w:p>
        </w:tc>
        <w:tc>
          <w:tcPr>
            <w:tcW w:w="920" w:type="dxa"/>
            <w:tcBorders>
              <w:top w:val="nil"/>
              <w:left w:val="nil"/>
              <w:bottom w:val="nil"/>
              <w:right w:val="nil"/>
            </w:tcBorders>
            <w:vAlign w:val="bottom"/>
          </w:tcPr>
          <w:p w14:paraId="624179B8" w14:textId="77777777" w:rsidR="003F331A" w:rsidRPr="00A73868" w:rsidRDefault="003F331A" w:rsidP="005F07EF">
            <w:pPr>
              <w:spacing w:line="360" w:lineRule="auto"/>
              <w:jc w:val="center"/>
              <w:rPr>
                <w:lang w:val="en-GB"/>
              </w:rPr>
            </w:pPr>
            <w:r w:rsidRPr="00A73868">
              <w:rPr>
                <w:lang w:val="en-GB"/>
              </w:rPr>
              <w:t>0.9933</w:t>
            </w:r>
          </w:p>
        </w:tc>
        <w:tc>
          <w:tcPr>
            <w:tcW w:w="1547" w:type="dxa"/>
            <w:tcBorders>
              <w:top w:val="nil"/>
              <w:left w:val="nil"/>
              <w:bottom w:val="nil"/>
              <w:right w:val="nil"/>
            </w:tcBorders>
            <w:vAlign w:val="bottom"/>
          </w:tcPr>
          <w:p w14:paraId="04E77398" w14:textId="77777777" w:rsidR="003F331A" w:rsidRPr="00A73868" w:rsidRDefault="003F331A" w:rsidP="005F07EF">
            <w:pPr>
              <w:spacing w:line="360" w:lineRule="auto"/>
              <w:jc w:val="center"/>
              <w:rPr>
                <w:lang w:val="en-GB"/>
              </w:rPr>
            </w:pPr>
            <w:r w:rsidRPr="00A73868">
              <w:rPr>
                <w:lang w:val="en-GB"/>
              </w:rPr>
              <w:t>276 nm</w:t>
            </w:r>
          </w:p>
        </w:tc>
        <w:tc>
          <w:tcPr>
            <w:tcW w:w="2372" w:type="dxa"/>
            <w:tcBorders>
              <w:top w:val="nil"/>
              <w:left w:val="nil"/>
              <w:bottom w:val="nil"/>
              <w:right w:val="nil"/>
            </w:tcBorders>
            <w:vAlign w:val="bottom"/>
          </w:tcPr>
          <w:p w14:paraId="3E4A4956" w14:textId="77777777" w:rsidR="003F331A" w:rsidRPr="00A73868" w:rsidRDefault="003F331A" w:rsidP="005F07EF">
            <w:pPr>
              <w:spacing w:line="360" w:lineRule="auto"/>
              <w:jc w:val="center"/>
              <w:rPr>
                <w:lang w:val="en-GB"/>
              </w:rPr>
            </w:pPr>
            <w:r w:rsidRPr="00A73868">
              <w:rPr>
                <w:lang w:val="en-GB"/>
              </w:rPr>
              <w:t>42.7±0.23</w:t>
            </w:r>
          </w:p>
        </w:tc>
      </w:tr>
      <w:tr w:rsidR="003F331A" w:rsidRPr="00A73868" w14:paraId="6953837C" w14:textId="77777777" w:rsidTr="005F07EF">
        <w:trPr>
          <w:jc w:val="center"/>
        </w:trPr>
        <w:tc>
          <w:tcPr>
            <w:tcW w:w="2906" w:type="dxa"/>
            <w:tcBorders>
              <w:top w:val="nil"/>
              <w:left w:val="nil"/>
              <w:bottom w:val="nil"/>
              <w:right w:val="nil"/>
            </w:tcBorders>
            <w:vAlign w:val="bottom"/>
          </w:tcPr>
          <w:p w14:paraId="7E7EBC7A" w14:textId="77777777" w:rsidR="003F331A" w:rsidRPr="00A73868" w:rsidRDefault="003F331A" w:rsidP="005F07EF">
            <w:pPr>
              <w:spacing w:line="360" w:lineRule="auto"/>
              <w:rPr>
                <w:lang w:val="en-GB"/>
              </w:rPr>
            </w:pPr>
            <w:r w:rsidRPr="00A73868">
              <w:rPr>
                <w:lang w:val="en-GB"/>
              </w:rPr>
              <w:t>Naringenin</w:t>
            </w:r>
          </w:p>
        </w:tc>
        <w:tc>
          <w:tcPr>
            <w:tcW w:w="980" w:type="dxa"/>
            <w:tcBorders>
              <w:top w:val="nil"/>
              <w:left w:val="nil"/>
              <w:bottom w:val="nil"/>
              <w:right w:val="nil"/>
            </w:tcBorders>
            <w:vAlign w:val="bottom"/>
          </w:tcPr>
          <w:p w14:paraId="5F1188C2" w14:textId="77777777" w:rsidR="003F331A" w:rsidRPr="00A73868" w:rsidRDefault="003F331A" w:rsidP="005F07EF">
            <w:pPr>
              <w:spacing w:line="360" w:lineRule="auto"/>
              <w:jc w:val="center"/>
              <w:rPr>
                <w:lang w:val="en-GB"/>
              </w:rPr>
            </w:pPr>
            <w:r w:rsidRPr="00A73868">
              <w:rPr>
                <w:lang w:val="en-GB"/>
              </w:rPr>
              <w:t>40329</w:t>
            </w:r>
          </w:p>
        </w:tc>
        <w:tc>
          <w:tcPr>
            <w:tcW w:w="1207" w:type="dxa"/>
            <w:tcBorders>
              <w:top w:val="nil"/>
              <w:left w:val="nil"/>
              <w:bottom w:val="nil"/>
              <w:right w:val="nil"/>
            </w:tcBorders>
            <w:vAlign w:val="bottom"/>
          </w:tcPr>
          <w:p w14:paraId="3EB85ECE" w14:textId="77777777" w:rsidR="003F331A" w:rsidRPr="00A73868" w:rsidRDefault="003F331A" w:rsidP="005F07EF">
            <w:pPr>
              <w:spacing w:line="360" w:lineRule="auto"/>
              <w:jc w:val="center"/>
              <w:rPr>
                <w:lang w:val="en-GB"/>
              </w:rPr>
            </w:pPr>
            <w:r w:rsidRPr="00A73868">
              <w:rPr>
                <w:lang w:val="en-GB"/>
              </w:rPr>
              <w:t>305.8</w:t>
            </w:r>
          </w:p>
        </w:tc>
        <w:tc>
          <w:tcPr>
            <w:tcW w:w="920" w:type="dxa"/>
            <w:tcBorders>
              <w:top w:val="nil"/>
              <w:left w:val="nil"/>
              <w:bottom w:val="nil"/>
              <w:right w:val="nil"/>
            </w:tcBorders>
            <w:vAlign w:val="bottom"/>
          </w:tcPr>
          <w:p w14:paraId="4219E6FE" w14:textId="77777777" w:rsidR="003F331A" w:rsidRPr="00A73868" w:rsidRDefault="003F331A" w:rsidP="005F07EF">
            <w:pPr>
              <w:spacing w:line="360" w:lineRule="auto"/>
              <w:jc w:val="center"/>
              <w:rPr>
                <w:lang w:val="en-GB"/>
              </w:rPr>
            </w:pPr>
            <w:r w:rsidRPr="00A73868">
              <w:rPr>
                <w:lang w:val="en-GB"/>
              </w:rPr>
              <w:t>0.9577</w:t>
            </w:r>
          </w:p>
        </w:tc>
        <w:tc>
          <w:tcPr>
            <w:tcW w:w="1547" w:type="dxa"/>
            <w:tcBorders>
              <w:top w:val="nil"/>
              <w:left w:val="nil"/>
              <w:bottom w:val="nil"/>
              <w:right w:val="nil"/>
            </w:tcBorders>
            <w:vAlign w:val="bottom"/>
          </w:tcPr>
          <w:p w14:paraId="76BF7629" w14:textId="77777777" w:rsidR="003F331A" w:rsidRPr="00A73868" w:rsidRDefault="003F331A" w:rsidP="005F07EF">
            <w:pPr>
              <w:spacing w:line="360" w:lineRule="auto"/>
              <w:jc w:val="center"/>
              <w:rPr>
                <w:lang w:val="en-GB"/>
              </w:rPr>
            </w:pPr>
            <w:r w:rsidRPr="00A73868">
              <w:rPr>
                <w:lang w:val="en-GB"/>
              </w:rPr>
              <w:t>290 nm</w:t>
            </w:r>
          </w:p>
        </w:tc>
        <w:tc>
          <w:tcPr>
            <w:tcW w:w="2372" w:type="dxa"/>
            <w:tcBorders>
              <w:top w:val="nil"/>
              <w:left w:val="nil"/>
              <w:bottom w:val="nil"/>
              <w:right w:val="nil"/>
            </w:tcBorders>
            <w:vAlign w:val="bottom"/>
          </w:tcPr>
          <w:p w14:paraId="2A250592" w14:textId="77777777" w:rsidR="003F331A" w:rsidRPr="00A73868" w:rsidRDefault="003F331A" w:rsidP="005F07EF">
            <w:pPr>
              <w:spacing w:line="360" w:lineRule="auto"/>
              <w:jc w:val="center"/>
              <w:rPr>
                <w:lang w:val="en-GB"/>
              </w:rPr>
            </w:pPr>
            <w:r w:rsidRPr="00A73868">
              <w:rPr>
                <w:lang w:val="en-GB"/>
              </w:rPr>
              <w:t>46.0±0.04</w:t>
            </w:r>
          </w:p>
        </w:tc>
      </w:tr>
      <w:tr w:rsidR="003F331A" w:rsidRPr="00A73868" w14:paraId="68996E79" w14:textId="77777777" w:rsidTr="005F07EF">
        <w:trPr>
          <w:jc w:val="center"/>
        </w:trPr>
        <w:tc>
          <w:tcPr>
            <w:tcW w:w="2906" w:type="dxa"/>
            <w:tcBorders>
              <w:top w:val="nil"/>
              <w:left w:val="nil"/>
              <w:bottom w:val="single" w:sz="12" w:space="0" w:color="auto"/>
              <w:right w:val="nil"/>
            </w:tcBorders>
            <w:vAlign w:val="bottom"/>
          </w:tcPr>
          <w:p w14:paraId="43E816E5" w14:textId="77777777" w:rsidR="003F331A" w:rsidRPr="00A73868" w:rsidRDefault="003F331A" w:rsidP="005F07EF">
            <w:pPr>
              <w:spacing w:line="360" w:lineRule="auto"/>
              <w:rPr>
                <w:lang w:val="en-GB"/>
              </w:rPr>
            </w:pPr>
            <w:r w:rsidRPr="00A73868">
              <w:rPr>
                <w:lang w:val="en-GB"/>
              </w:rPr>
              <w:t>Carvacrol</w:t>
            </w:r>
          </w:p>
        </w:tc>
        <w:tc>
          <w:tcPr>
            <w:tcW w:w="980" w:type="dxa"/>
            <w:tcBorders>
              <w:top w:val="nil"/>
              <w:left w:val="nil"/>
              <w:bottom w:val="single" w:sz="12" w:space="0" w:color="auto"/>
              <w:right w:val="nil"/>
            </w:tcBorders>
            <w:vAlign w:val="bottom"/>
          </w:tcPr>
          <w:p w14:paraId="39C329C8" w14:textId="77777777" w:rsidR="003F331A" w:rsidRPr="00A73868" w:rsidRDefault="003F331A" w:rsidP="005F07EF">
            <w:pPr>
              <w:spacing w:line="360" w:lineRule="auto"/>
              <w:jc w:val="center"/>
              <w:rPr>
                <w:lang w:val="en-GB"/>
              </w:rPr>
            </w:pPr>
            <w:r w:rsidRPr="00A73868">
              <w:rPr>
                <w:lang w:val="en-GB"/>
              </w:rPr>
              <w:t>-25903</w:t>
            </w:r>
          </w:p>
        </w:tc>
        <w:tc>
          <w:tcPr>
            <w:tcW w:w="1207" w:type="dxa"/>
            <w:tcBorders>
              <w:top w:val="nil"/>
              <w:left w:val="nil"/>
              <w:bottom w:val="single" w:sz="12" w:space="0" w:color="auto"/>
              <w:right w:val="nil"/>
            </w:tcBorders>
            <w:vAlign w:val="bottom"/>
          </w:tcPr>
          <w:p w14:paraId="0F26A84A" w14:textId="77777777" w:rsidR="003F331A" w:rsidRPr="00A73868" w:rsidRDefault="003F331A" w:rsidP="005F07EF">
            <w:pPr>
              <w:spacing w:line="360" w:lineRule="auto"/>
              <w:jc w:val="center"/>
              <w:rPr>
                <w:lang w:val="en-GB"/>
              </w:rPr>
            </w:pPr>
            <w:r w:rsidRPr="00A73868">
              <w:rPr>
                <w:lang w:val="en-GB"/>
              </w:rPr>
              <w:t>91780</w:t>
            </w:r>
          </w:p>
        </w:tc>
        <w:tc>
          <w:tcPr>
            <w:tcW w:w="920" w:type="dxa"/>
            <w:tcBorders>
              <w:top w:val="nil"/>
              <w:left w:val="nil"/>
              <w:bottom w:val="single" w:sz="12" w:space="0" w:color="auto"/>
              <w:right w:val="nil"/>
            </w:tcBorders>
            <w:vAlign w:val="bottom"/>
          </w:tcPr>
          <w:p w14:paraId="5912CF0F" w14:textId="77777777" w:rsidR="003F331A" w:rsidRPr="00A73868" w:rsidRDefault="003F331A" w:rsidP="005F07EF">
            <w:pPr>
              <w:spacing w:line="360" w:lineRule="auto"/>
              <w:jc w:val="center"/>
              <w:rPr>
                <w:lang w:val="en-GB"/>
              </w:rPr>
            </w:pPr>
            <w:r w:rsidRPr="00A73868">
              <w:rPr>
                <w:lang w:val="en-GB"/>
              </w:rPr>
              <w:t>0.9785</w:t>
            </w:r>
          </w:p>
        </w:tc>
        <w:tc>
          <w:tcPr>
            <w:tcW w:w="1547" w:type="dxa"/>
            <w:tcBorders>
              <w:top w:val="nil"/>
              <w:left w:val="nil"/>
              <w:bottom w:val="single" w:sz="12" w:space="0" w:color="auto"/>
              <w:right w:val="nil"/>
            </w:tcBorders>
            <w:vAlign w:val="bottom"/>
          </w:tcPr>
          <w:p w14:paraId="419E6AC9" w14:textId="77777777" w:rsidR="003F331A" w:rsidRPr="00A73868" w:rsidRDefault="003F331A" w:rsidP="005F07EF">
            <w:pPr>
              <w:spacing w:line="360" w:lineRule="auto"/>
              <w:jc w:val="center"/>
              <w:rPr>
                <w:lang w:val="en-GB"/>
              </w:rPr>
            </w:pPr>
            <w:r w:rsidRPr="00A73868">
              <w:rPr>
                <w:lang w:val="en-GB"/>
              </w:rPr>
              <w:t>275 nm</w:t>
            </w:r>
          </w:p>
        </w:tc>
        <w:tc>
          <w:tcPr>
            <w:tcW w:w="2372" w:type="dxa"/>
            <w:tcBorders>
              <w:top w:val="nil"/>
              <w:left w:val="nil"/>
              <w:bottom w:val="single" w:sz="12" w:space="0" w:color="auto"/>
              <w:right w:val="nil"/>
            </w:tcBorders>
            <w:vAlign w:val="bottom"/>
          </w:tcPr>
          <w:p w14:paraId="75736FEB" w14:textId="77777777" w:rsidR="003F331A" w:rsidRPr="00A73868" w:rsidRDefault="003F331A" w:rsidP="005F07EF">
            <w:pPr>
              <w:spacing w:line="360" w:lineRule="auto"/>
              <w:jc w:val="center"/>
              <w:rPr>
                <w:lang w:val="en-GB"/>
              </w:rPr>
            </w:pPr>
            <w:r w:rsidRPr="00A73868">
              <w:rPr>
                <w:lang w:val="en-GB"/>
              </w:rPr>
              <w:t>49.5±0.54</w:t>
            </w:r>
          </w:p>
        </w:tc>
      </w:tr>
    </w:tbl>
    <w:p w14:paraId="57772197" w14:textId="61300B92" w:rsidR="003F331A" w:rsidRPr="00A73868" w:rsidRDefault="003F331A" w:rsidP="001C01F1">
      <w:pPr>
        <w:jc w:val="both"/>
        <w:rPr>
          <w:rFonts w:ascii="Times New Roman" w:hAnsi="Times New Roman" w:cs="Times New Roman"/>
        </w:rPr>
      </w:pPr>
      <w:r w:rsidRPr="00A73868">
        <w:br w:type="page"/>
      </w:r>
    </w:p>
    <w:p w14:paraId="5A471865" w14:textId="05E84207" w:rsidR="00A93969" w:rsidRPr="00A73868" w:rsidRDefault="00A93969" w:rsidP="001C01F1">
      <w:pPr>
        <w:jc w:val="both"/>
        <w:rPr>
          <w:rFonts w:ascii="Times New Roman" w:hAnsi="Times New Roman" w:cs="Times New Roman"/>
        </w:rPr>
      </w:pPr>
    </w:p>
    <w:p w14:paraId="3A39B4ED" w14:textId="52DEAC48" w:rsidR="00FB02FD" w:rsidRPr="00A73868" w:rsidRDefault="00FB02FD" w:rsidP="001C01F1">
      <w:pPr>
        <w:jc w:val="both"/>
        <w:rPr>
          <w:rFonts w:ascii="Times New Roman" w:hAnsi="Times New Roman" w:cs="Times New Roman"/>
        </w:rPr>
      </w:pPr>
    </w:p>
    <w:p w14:paraId="43842B3C" w14:textId="407B77E9" w:rsidR="00FB02FD" w:rsidRPr="00A73868" w:rsidRDefault="00FB02FD" w:rsidP="001C01F1">
      <w:pPr>
        <w:jc w:val="both"/>
        <w:rPr>
          <w:rFonts w:ascii="Times New Roman" w:hAnsi="Times New Roman" w:cs="Times New Roman"/>
        </w:rPr>
      </w:pPr>
    </w:p>
    <w:p w14:paraId="5BB3FAB0" w14:textId="4F18FC18" w:rsidR="00FB02FD" w:rsidRPr="00A73868" w:rsidRDefault="00FB02FD" w:rsidP="001C01F1">
      <w:pPr>
        <w:jc w:val="both"/>
        <w:rPr>
          <w:rFonts w:ascii="Times New Roman" w:hAnsi="Times New Roman" w:cs="Times New Roman"/>
          <w:b/>
          <w:bCs/>
        </w:rPr>
      </w:pPr>
      <w:r w:rsidRPr="00A73868">
        <w:rPr>
          <w:rFonts w:ascii="Times New Roman" w:hAnsi="Times New Roman" w:cs="Times New Roman"/>
          <w:b/>
          <w:bCs/>
        </w:rPr>
        <w:t>References:</w:t>
      </w:r>
    </w:p>
    <w:p w14:paraId="0C8BFBB7" w14:textId="77777777" w:rsidR="00FB02FD" w:rsidRPr="00A73868" w:rsidRDefault="00FB02FD" w:rsidP="001C01F1">
      <w:pPr>
        <w:jc w:val="both"/>
        <w:rPr>
          <w:rFonts w:ascii="Times New Roman" w:hAnsi="Times New Roman" w:cs="Times New Roman"/>
        </w:rPr>
      </w:pPr>
    </w:p>
    <w:p w14:paraId="1C1EA23F" w14:textId="77777777" w:rsidR="00B043CF" w:rsidRPr="00A73868" w:rsidRDefault="00A93969" w:rsidP="00B043CF">
      <w:pPr>
        <w:pStyle w:val="EndNoteBibliography"/>
        <w:ind w:left="720" w:hanging="720"/>
        <w:rPr>
          <w:rFonts w:ascii="Times New Roman" w:hAnsi="Times New Roman" w:cs="Times New Roman"/>
          <w:noProof/>
          <w:lang w:val="it-IT"/>
        </w:rPr>
      </w:pPr>
      <w:r w:rsidRPr="00A73868">
        <w:rPr>
          <w:rFonts w:ascii="Times New Roman" w:hAnsi="Times New Roman" w:cs="Times New Roman"/>
        </w:rPr>
        <w:fldChar w:fldCharType="begin"/>
      </w:r>
      <w:r w:rsidRPr="00A73868">
        <w:rPr>
          <w:rFonts w:ascii="Times New Roman" w:hAnsi="Times New Roman" w:cs="Times New Roman"/>
        </w:rPr>
        <w:instrText xml:space="preserve"> ADDIN EN.REFLIST </w:instrText>
      </w:r>
      <w:r w:rsidRPr="00A73868">
        <w:rPr>
          <w:rFonts w:ascii="Times New Roman" w:hAnsi="Times New Roman" w:cs="Times New Roman"/>
        </w:rPr>
        <w:fldChar w:fldCharType="separate"/>
      </w:r>
      <w:r w:rsidR="00B043CF" w:rsidRPr="00A73868">
        <w:rPr>
          <w:rFonts w:ascii="Times New Roman" w:hAnsi="Times New Roman" w:cs="Times New Roman"/>
          <w:noProof/>
        </w:rPr>
        <w:t xml:space="preserve">Bahadori, M.B., Asghari, B., Dinparast, L., Zengin, G., Sarikurkcu, C., Abbas-Mohammadi, M., and Bahadori, S. (2017). Salvia nemorosa L.: A novel source of bioactive agents with functional connections. </w:t>
      </w:r>
      <w:r w:rsidR="00B043CF" w:rsidRPr="00A73868">
        <w:rPr>
          <w:rFonts w:ascii="Times New Roman" w:hAnsi="Times New Roman" w:cs="Times New Roman"/>
          <w:i/>
          <w:noProof/>
          <w:lang w:val="it-IT"/>
        </w:rPr>
        <w:t>LWT</w:t>
      </w:r>
      <w:r w:rsidR="00B043CF" w:rsidRPr="00A73868">
        <w:rPr>
          <w:rFonts w:ascii="Times New Roman" w:hAnsi="Times New Roman" w:cs="Times New Roman"/>
          <w:noProof/>
          <w:lang w:val="it-IT"/>
        </w:rPr>
        <w:t xml:space="preserve"> 75</w:t>
      </w:r>
      <w:r w:rsidR="00B043CF" w:rsidRPr="00A73868">
        <w:rPr>
          <w:rFonts w:ascii="Times New Roman" w:hAnsi="Times New Roman" w:cs="Times New Roman"/>
          <w:b/>
          <w:noProof/>
          <w:lang w:val="it-IT"/>
        </w:rPr>
        <w:t>,</w:t>
      </w:r>
      <w:r w:rsidR="00B043CF" w:rsidRPr="00A73868">
        <w:rPr>
          <w:rFonts w:ascii="Times New Roman" w:hAnsi="Times New Roman" w:cs="Times New Roman"/>
          <w:noProof/>
          <w:lang w:val="it-IT"/>
        </w:rPr>
        <w:t xml:space="preserve"> 42-50.</w:t>
      </w:r>
    </w:p>
    <w:p w14:paraId="4F3F8737" w14:textId="77777777" w:rsidR="00B043CF" w:rsidRPr="00A73868" w:rsidRDefault="00B043CF" w:rsidP="00B043CF">
      <w:pPr>
        <w:pStyle w:val="EndNoteBibliography"/>
        <w:ind w:left="720" w:hanging="720"/>
        <w:rPr>
          <w:rFonts w:ascii="Times New Roman" w:hAnsi="Times New Roman" w:cs="Times New Roman"/>
          <w:noProof/>
        </w:rPr>
      </w:pPr>
      <w:r w:rsidRPr="00A73868">
        <w:rPr>
          <w:rFonts w:ascii="Times New Roman" w:hAnsi="Times New Roman" w:cs="Times New Roman"/>
          <w:noProof/>
          <w:lang w:val="it-IT"/>
        </w:rPr>
        <w:t xml:space="preserve">Di Sotto, A., Di Giacomo, S., Amatore, D., Locatelli, M., Vitalone, A., Toniolo, C., Rotino, G.L., Lo Scalzo, R., Palamara, A.T., and Marcocci, M.E. (2018). </w:t>
      </w:r>
      <w:r w:rsidRPr="00A73868">
        <w:rPr>
          <w:rFonts w:ascii="Times New Roman" w:hAnsi="Times New Roman" w:cs="Times New Roman"/>
          <w:noProof/>
        </w:rPr>
        <w:t xml:space="preserve">A polyphenol rich extract from Solanum melongena L. DR2 peel exhibits antioxidant properties and anti-herpes simplex virus type 1 activity in vitro. </w:t>
      </w:r>
      <w:r w:rsidRPr="00A73868">
        <w:rPr>
          <w:rFonts w:ascii="Times New Roman" w:hAnsi="Times New Roman" w:cs="Times New Roman"/>
          <w:i/>
          <w:noProof/>
        </w:rPr>
        <w:t>Molecules</w:t>
      </w:r>
      <w:r w:rsidRPr="00A73868">
        <w:rPr>
          <w:rFonts w:ascii="Times New Roman" w:hAnsi="Times New Roman" w:cs="Times New Roman"/>
          <w:noProof/>
        </w:rPr>
        <w:t xml:space="preserve"> 23</w:t>
      </w:r>
      <w:r w:rsidRPr="00A73868">
        <w:rPr>
          <w:rFonts w:ascii="Times New Roman" w:hAnsi="Times New Roman" w:cs="Times New Roman"/>
          <w:b/>
          <w:noProof/>
        </w:rPr>
        <w:t>,</w:t>
      </w:r>
      <w:r w:rsidRPr="00A73868">
        <w:rPr>
          <w:rFonts w:ascii="Times New Roman" w:hAnsi="Times New Roman" w:cs="Times New Roman"/>
          <w:noProof/>
        </w:rPr>
        <w:t xml:space="preserve"> 2066.</w:t>
      </w:r>
    </w:p>
    <w:p w14:paraId="6ADC90B0" w14:textId="77777777" w:rsidR="00B043CF" w:rsidRPr="00A73868" w:rsidRDefault="00B043CF" w:rsidP="00B043CF">
      <w:pPr>
        <w:pStyle w:val="EndNoteBibliography"/>
        <w:ind w:left="720" w:hanging="720"/>
        <w:rPr>
          <w:rFonts w:ascii="Times New Roman" w:hAnsi="Times New Roman" w:cs="Times New Roman"/>
          <w:noProof/>
        </w:rPr>
      </w:pPr>
      <w:r w:rsidRPr="00A73868">
        <w:rPr>
          <w:rFonts w:ascii="Times New Roman" w:hAnsi="Times New Roman" w:cs="Times New Roman"/>
          <w:noProof/>
        </w:rPr>
        <w:t xml:space="preserve">Grochowski, D.M., Uysal, S., Aktumsek, A., Granica, S., Zengin, G., Ceylan, R., Locatelli, M., and Tomczyk, M. (2017). In vitro enzyme inhibitory properties, antioxidant activities, and phytochemical profile of Potentilla thuringiaca. </w:t>
      </w:r>
      <w:r w:rsidRPr="00A73868">
        <w:rPr>
          <w:rFonts w:ascii="Times New Roman" w:hAnsi="Times New Roman" w:cs="Times New Roman"/>
          <w:i/>
          <w:noProof/>
        </w:rPr>
        <w:t>Phytochemistry Letters</w:t>
      </w:r>
      <w:r w:rsidRPr="00A73868">
        <w:rPr>
          <w:rFonts w:ascii="Times New Roman" w:hAnsi="Times New Roman" w:cs="Times New Roman"/>
          <w:noProof/>
        </w:rPr>
        <w:t xml:space="preserve"> 20</w:t>
      </w:r>
      <w:r w:rsidRPr="00A73868">
        <w:rPr>
          <w:rFonts w:ascii="Times New Roman" w:hAnsi="Times New Roman" w:cs="Times New Roman"/>
          <w:b/>
          <w:noProof/>
        </w:rPr>
        <w:t>,</w:t>
      </w:r>
      <w:r w:rsidRPr="00A73868">
        <w:rPr>
          <w:rFonts w:ascii="Times New Roman" w:hAnsi="Times New Roman" w:cs="Times New Roman"/>
          <w:noProof/>
        </w:rPr>
        <w:t xml:space="preserve"> 365-372.</w:t>
      </w:r>
    </w:p>
    <w:p w14:paraId="260F46C7" w14:textId="77777777" w:rsidR="00B043CF" w:rsidRPr="00A73868" w:rsidRDefault="00B043CF" w:rsidP="00B043CF">
      <w:pPr>
        <w:pStyle w:val="EndNoteBibliography"/>
        <w:ind w:left="720" w:hanging="720"/>
        <w:rPr>
          <w:rFonts w:ascii="Times New Roman" w:hAnsi="Times New Roman" w:cs="Times New Roman"/>
          <w:noProof/>
        </w:rPr>
      </w:pPr>
      <w:r w:rsidRPr="00A73868">
        <w:rPr>
          <w:rFonts w:ascii="Times New Roman" w:hAnsi="Times New Roman" w:cs="Times New Roman"/>
          <w:noProof/>
        </w:rPr>
        <w:t xml:space="preserve">Locatelli, M., Zengin, G., Uysal, A., Carradori, S., De Luca, E., Bellagamba, G., Aktumsek, A., and Lazarova, I. (2017). Multicomponent pattern and biological activities of seven Asphodeline taxa: potential sources of natural-functional ingredients for bioactive formulations. </w:t>
      </w:r>
      <w:r w:rsidRPr="00A73868">
        <w:rPr>
          <w:rFonts w:ascii="Times New Roman" w:hAnsi="Times New Roman" w:cs="Times New Roman"/>
          <w:i/>
          <w:noProof/>
        </w:rPr>
        <w:t>Journal of enzyme inhibition and medicinal chemistry</w:t>
      </w:r>
      <w:r w:rsidRPr="00A73868">
        <w:rPr>
          <w:rFonts w:ascii="Times New Roman" w:hAnsi="Times New Roman" w:cs="Times New Roman"/>
          <w:noProof/>
        </w:rPr>
        <w:t xml:space="preserve"> 32</w:t>
      </w:r>
      <w:r w:rsidRPr="00A73868">
        <w:rPr>
          <w:rFonts w:ascii="Times New Roman" w:hAnsi="Times New Roman" w:cs="Times New Roman"/>
          <w:b/>
          <w:noProof/>
        </w:rPr>
        <w:t>,</w:t>
      </w:r>
      <w:r w:rsidRPr="00A73868">
        <w:rPr>
          <w:rFonts w:ascii="Times New Roman" w:hAnsi="Times New Roman" w:cs="Times New Roman"/>
          <w:noProof/>
        </w:rPr>
        <w:t xml:space="preserve"> 60-67.</w:t>
      </w:r>
    </w:p>
    <w:p w14:paraId="47D9EA7E" w14:textId="77777777" w:rsidR="00B043CF" w:rsidRPr="00A73868" w:rsidRDefault="00B043CF" w:rsidP="00B043CF">
      <w:pPr>
        <w:pStyle w:val="EndNoteBibliography"/>
        <w:ind w:left="720" w:hanging="720"/>
        <w:rPr>
          <w:rFonts w:ascii="Times New Roman" w:hAnsi="Times New Roman" w:cs="Times New Roman"/>
          <w:noProof/>
        </w:rPr>
      </w:pPr>
      <w:r w:rsidRPr="00A73868">
        <w:rPr>
          <w:rFonts w:ascii="Times New Roman" w:hAnsi="Times New Roman" w:cs="Times New Roman"/>
          <w:noProof/>
        </w:rPr>
        <w:t xml:space="preserve">Saleem, H., Htar, T.T., Naidu, R., Nawawi, N.S., Ahmad, I., Ashraf, M., and Ahemad, N. (2019). Biological, chemical and toxicological perspectives on aerial and roots of Filago germanica (L.) huds: Functional approaches for novel phyto-pharmaceuticals. </w:t>
      </w:r>
      <w:r w:rsidRPr="00A73868">
        <w:rPr>
          <w:rFonts w:ascii="Times New Roman" w:hAnsi="Times New Roman" w:cs="Times New Roman"/>
          <w:i/>
          <w:noProof/>
        </w:rPr>
        <w:t>Food and Chemical Toxicology</w:t>
      </w:r>
      <w:r w:rsidRPr="00A73868">
        <w:rPr>
          <w:rFonts w:ascii="Times New Roman" w:hAnsi="Times New Roman" w:cs="Times New Roman"/>
          <w:noProof/>
        </w:rPr>
        <w:t xml:space="preserve"> 123</w:t>
      </w:r>
      <w:r w:rsidRPr="00A73868">
        <w:rPr>
          <w:rFonts w:ascii="Times New Roman" w:hAnsi="Times New Roman" w:cs="Times New Roman"/>
          <w:b/>
          <w:noProof/>
        </w:rPr>
        <w:t>,</w:t>
      </w:r>
      <w:r w:rsidRPr="00A73868">
        <w:rPr>
          <w:rFonts w:ascii="Times New Roman" w:hAnsi="Times New Roman" w:cs="Times New Roman"/>
          <w:noProof/>
        </w:rPr>
        <w:t xml:space="preserve"> 363-373.</w:t>
      </w:r>
    </w:p>
    <w:p w14:paraId="19B35581" w14:textId="2DC70A11" w:rsidR="00F140D5" w:rsidRPr="001C01F1" w:rsidRDefault="00A93969" w:rsidP="001C01F1">
      <w:pPr>
        <w:jc w:val="both"/>
        <w:rPr>
          <w:rFonts w:ascii="Times New Roman" w:hAnsi="Times New Roman" w:cs="Times New Roman"/>
        </w:rPr>
      </w:pPr>
      <w:r w:rsidRPr="00A73868">
        <w:rPr>
          <w:rFonts w:ascii="Times New Roman" w:hAnsi="Times New Roman" w:cs="Times New Roman"/>
        </w:rPr>
        <w:fldChar w:fldCharType="end"/>
      </w:r>
    </w:p>
    <w:sectPr w:rsidR="00F140D5" w:rsidRPr="001C01F1" w:rsidSect="00F140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Regula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33F94"/>
    <w:multiLevelType w:val="multilevel"/>
    <w:tmpl w:val="3104C9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9132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 Scienc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fx0dt2k9wf9red50d5zr9szxrxtafzs5dp&quot;&gt;Anagallis Review Copy&lt;record-ids&gt;&lt;item&gt;759&lt;/item&gt;&lt;item&gt;881&lt;/item&gt;&lt;item&gt;883&lt;/item&gt;&lt;item&gt;884&lt;/item&gt;&lt;item&gt;885&lt;/item&gt;&lt;/record-ids&gt;&lt;/item&gt;&lt;/Libraries&gt;"/>
  </w:docVars>
  <w:rsids>
    <w:rsidRoot w:val="00C55432"/>
    <w:rsid w:val="0000067E"/>
    <w:rsid w:val="00002473"/>
    <w:rsid w:val="00010E6D"/>
    <w:rsid w:val="00022078"/>
    <w:rsid w:val="000239DD"/>
    <w:rsid w:val="00031388"/>
    <w:rsid w:val="00031393"/>
    <w:rsid w:val="00036AE8"/>
    <w:rsid w:val="00043F28"/>
    <w:rsid w:val="0004738B"/>
    <w:rsid w:val="0005005E"/>
    <w:rsid w:val="00052630"/>
    <w:rsid w:val="00057952"/>
    <w:rsid w:val="00057CA9"/>
    <w:rsid w:val="00057D85"/>
    <w:rsid w:val="00062E6D"/>
    <w:rsid w:val="000A2486"/>
    <w:rsid w:val="000A52B6"/>
    <w:rsid w:val="000A6EB8"/>
    <w:rsid w:val="000C2F8B"/>
    <w:rsid w:val="000D45C4"/>
    <w:rsid w:val="000D45D7"/>
    <w:rsid w:val="000E4434"/>
    <w:rsid w:val="000E73FD"/>
    <w:rsid w:val="00105A2D"/>
    <w:rsid w:val="00105B06"/>
    <w:rsid w:val="00106FA0"/>
    <w:rsid w:val="00111133"/>
    <w:rsid w:val="00112F47"/>
    <w:rsid w:val="001212ED"/>
    <w:rsid w:val="001263E9"/>
    <w:rsid w:val="001317D8"/>
    <w:rsid w:val="00131F59"/>
    <w:rsid w:val="00140A3D"/>
    <w:rsid w:val="001431EC"/>
    <w:rsid w:val="00144FF3"/>
    <w:rsid w:val="001478A4"/>
    <w:rsid w:val="00151734"/>
    <w:rsid w:val="00171D2A"/>
    <w:rsid w:val="001723EA"/>
    <w:rsid w:val="00183FA8"/>
    <w:rsid w:val="001843F7"/>
    <w:rsid w:val="00185138"/>
    <w:rsid w:val="00190702"/>
    <w:rsid w:val="00197522"/>
    <w:rsid w:val="001A34CD"/>
    <w:rsid w:val="001A6DEA"/>
    <w:rsid w:val="001B05DC"/>
    <w:rsid w:val="001B1002"/>
    <w:rsid w:val="001B5EB8"/>
    <w:rsid w:val="001B6870"/>
    <w:rsid w:val="001C01F1"/>
    <w:rsid w:val="001C3D80"/>
    <w:rsid w:val="001C555D"/>
    <w:rsid w:val="001D09AD"/>
    <w:rsid w:val="001D221A"/>
    <w:rsid w:val="001F3E50"/>
    <w:rsid w:val="001F56C2"/>
    <w:rsid w:val="001F6BFD"/>
    <w:rsid w:val="00201D41"/>
    <w:rsid w:val="00203626"/>
    <w:rsid w:val="00212634"/>
    <w:rsid w:val="0023277E"/>
    <w:rsid w:val="00234E4B"/>
    <w:rsid w:val="00237F1A"/>
    <w:rsid w:val="00241A7B"/>
    <w:rsid w:val="00252A8D"/>
    <w:rsid w:val="00262280"/>
    <w:rsid w:val="00264731"/>
    <w:rsid w:val="00271068"/>
    <w:rsid w:val="00281A02"/>
    <w:rsid w:val="00281B1B"/>
    <w:rsid w:val="00282FAD"/>
    <w:rsid w:val="002836FA"/>
    <w:rsid w:val="00290876"/>
    <w:rsid w:val="00296EB7"/>
    <w:rsid w:val="002A2694"/>
    <w:rsid w:val="002A39CA"/>
    <w:rsid w:val="002B1F22"/>
    <w:rsid w:val="002B2BB7"/>
    <w:rsid w:val="002B2D3B"/>
    <w:rsid w:val="002B5121"/>
    <w:rsid w:val="002B660D"/>
    <w:rsid w:val="002B7BFA"/>
    <w:rsid w:val="002C49D1"/>
    <w:rsid w:val="002D1ADB"/>
    <w:rsid w:val="002D1CF0"/>
    <w:rsid w:val="002D3086"/>
    <w:rsid w:val="002F2177"/>
    <w:rsid w:val="002F5FFE"/>
    <w:rsid w:val="00312D6D"/>
    <w:rsid w:val="003244F7"/>
    <w:rsid w:val="00326738"/>
    <w:rsid w:val="003306A6"/>
    <w:rsid w:val="00346C9D"/>
    <w:rsid w:val="00361D6D"/>
    <w:rsid w:val="00384250"/>
    <w:rsid w:val="00387E01"/>
    <w:rsid w:val="00391214"/>
    <w:rsid w:val="003A57D8"/>
    <w:rsid w:val="003B3E75"/>
    <w:rsid w:val="003B6661"/>
    <w:rsid w:val="003C310B"/>
    <w:rsid w:val="003C5532"/>
    <w:rsid w:val="003D2EAA"/>
    <w:rsid w:val="003D5531"/>
    <w:rsid w:val="003E3BEA"/>
    <w:rsid w:val="003E6B9B"/>
    <w:rsid w:val="003E786A"/>
    <w:rsid w:val="003F09DD"/>
    <w:rsid w:val="003F2C54"/>
    <w:rsid w:val="003F2F20"/>
    <w:rsid w:val="003F331A"/>
    <w:rsid w:val="003F79CC"/>
    <w:rsid w:val="00402AC3"/>
    <w:rsid w:val="00402FAA"/>
    <w:rsid w:val="0040334C"/>
    <w:rsid w:val="0040644D"/>
    <w:rsid w:val="00411CE9"/>
    <w:rsid w:val="00420A59"/>
    <w:rsid w:val="00423DC8"/>
    <w:rsid w:val="00424C76"/>
    <w:rsid w:val="00444332"/>
    <w:rsid w:val="00450870"/>
    <w:rsid w:val="00473BF9"/>
    <w:rsid w:val="00475AE6"/>
    <w:rsid w:val="00482C8D"/>
    <w:rsid w:val="00484CC5"/>
    <w:rsid w:val="00491A97"/>
    <w:rsid w:val="00491FDA"/>
    <w:rsid w:val="00492041"/>
    <w:rsid w:val="004945B9"/>
    <w:rsid w:val="00496BC2"/>
    <w:rsid w:val="004A38B2"/>
    <w:rsid w:val="004A4D97"/>
    <w:rsid w:val="004B4131"/>
    <w:rsid w:val="004B51CB"/>
    <w:rsid w:val="004B71DE"/>
    <w:rsid w:val="004C2598"/>
    <w:rsid w:val="004D0185"/>
    <w:rsid w:val="004E26BE"/>
    <w:rsid w:val="004E5845"/>
    <w:rsid w:val="004F3275"/>
    <w:rsid w:val="004F4F0B"/>
    <w:rsid w:val="004F5907"/>
    <w:rsid w:val="004F74EE"/>
    <w:rsid w:val="005041F0"/>
    <w:rsid w:val="00510102"/>
    <w:rsid w:val="00510F47"/>
    <w:rsid w:val="00511986"/>
    <w:rsid w:val="00513108"/>
    <w:rsid w:val="00524CC0"/>
    <w:rsid w:val="0053180F"/>
    <w:rsid w:val="00534A6E"/>
    <w:rsid w:val="00554D6C"/>
    <w:rsid w:val="00561A6B"/>
    <w:rsid w:val="00562DFC"/>
    <w:rsid w:val="00567268"/>
    <w:rsid w:val="00570656"/>
    <w:rsid w:val="00572BB3"/>
    <w:rsid w:val="00580FF5"/>
    <w:rsid w:val="0058428A"/>
    <w:rsid w:val="0058485D"/>
    <w:rsid w:val="0059138F"/>
    <w:rsid w:val="005971E9"/>
    <w:rsid w:val="005A2989"/>
    <w:rsid w:val="005B3EE0"/>
    <w:rsid w:val="005C6896"/>
    <w:rsid w:val="005C6EE2"/>
    <w:rsid w:val="005C7382"/>
    <w:rsid w:val="005C7DEA"/>
    <w:rsid w:val="005D0FDC"/>
    <w:rsid w:val="005D3EA4"/>
    <w:rsid w:val="005D40AA"/>
    <w:rsid w:val="005E1F81"/>
    <w:rsid w:val="005E470B"/>
    <w:rsid w:val="005F6DE6"/>
    <w:rsid w:val="00605015"/>
    <w:rsid w:val="00606244"/>
    <w:rsid w:val="00612F29"/>
    <w:rsid w:val="00621DBD"/>
    <w:rsid w:val="00622B54"/>
    <w:rsid w:val="0062523C"/>
    <w:rsid w:val="00625F65"/>
    <w:rsid w:val="006274E8"/>
    <w:rsid w:val="006310F3"/>
    <w:rsid w:val="006373DC"/>
    <w:rsid w:val="0064579C"/>
    <w:rsid w:val="006461EB"/>
    <w:rsid w:val="0065156F"/>
    <w:rsid w:val="006522C9"/>
    <w:rsid w:val="00656CD1"/>
    <w:rsid w:val="00674C56"/>
    <w:rsid w:val="00681C4E"/>
    <w:rsid w:val="00683F70"/>
    <w:rsid w:val="00690DBC"/>
    <w:rsid w:val="00694646"/>
    <w:rsid w:val="0069784A"/>
    <w:rsid w:val="006A52CA"/>
    <w:rsid w:val="006A5C60"/>
    <w:rsid w:val="006A71BF"/>
    <w:rsid w:val="006B2037"/>
    <w:rsid w:val="006B29C1"/>
    <w:rsid w:val="006B446F"/>
    <w:rsid w:val="006C0DAC"/>
    <w:rsid w:val="006D00B8"/>
    <w:rsid w:val="006D218A"/>
    <w:rsid w:val="006E1CC5"/>
    <w:rsid w:val="006F03BE"/>
    <w:rsid w:val="006F05F3"/>
    <w:rsid w:val="006F3FF8"/>
    <w:rsid w:val="006F4C18"/>
    <w:rsid w:val="006F4E2C"/>
    <w:rsid w:val="00707897"/>
    <w:rsid w:val="00717B67"/>
    <w:rsid w:val="00724642"/>
    <w:rsid w:val="007426B0"/>
    <w:rsid w:val="00751DC4"/>
    <w:rsid w:val="00752B4B"/>
    <w:rsid w:val="0075321B"/>
    <w:rsid w:val="007535F6"/>
    <w:rsid w:val="00757051"/>
    <w:rsid w:val="00766D83"/>
    <w:rsid w:val="00770C32"/>
    <w:rsid w:val="00772A7E"/>
    <w:rsid w:val="0077518A"/>
    <w:rsid w:val="007751D5"/>
    <w:rsid w:val="00783981"/>
    <w:rsid w:val="00787B0B"/>
    <w:rsid w:val="00791169"/>
    <w:rsid w:val="00793950"/>
    <w:rsid w:val="007975F2"/>
    <w:rsid w:val="007A5F09"/>
    <w:rsid w:val="007B1B60"/>
    <w:rsid w:val="007B6FFB"/>
    <w:rsid w:val="007B7797"/>
    <w:rsid w:val="007C21B1"/>
    <w:rsid w:val="007C537A"/>
    <w:rsid w:val="007D3568"/>
    <w:rsid w:val="007D4041"/>
    <w:rsid w:val="007E075B"/>
    <w:rsid w:val="007F283B"/>
    <w:rsid w:val="007F5795"/>
    <w:rsid w:val="007F77AA"/>
    <w:rsid w:val="0080161D"/>
    <w:rsid w:val="008028FB"/>
    <w:rsid w:val="00804391"/>
    <w:rsid w:val="00823876"/>
    <w:rsid w:val="00827675"/>
    <w:rsid w:val="00827E2F"/>
    <w:rsid w:val="00836A2A"/>
    <w:rsid w:val="00836E4B"/>
    <w:rsid w:val="008437AF"/>
    <w:rsid w:val="00846F6F"/>
    <w:rsid w:val="00863A4B"/>
    <w:rsid w:val="00867B9B"/>
    <w:rsid w:val="0087686C"/>
    <w:rsid w:val="00877133"/>
    <w:rsid w:val="008840F4"/>
    <w:rsid w:val="008933F3"/>
    <w:rsid w:val="00894D9E"/>
    <w:rsid w:val="00895E1D"/>
    <w:rsid w:val="008B187E"/>
    <w:rsid w:val="008B2366"/>
    <w:rsid w:val="008B4C52"/>
    <w:rsid w:val="008C1514"/>
    <w:rsid w:val="008C355D"/>
    <w:rsid w:val="008E05FA"/>
    <w:rsid w:val="008E11B1"/>
    <w:rsid w:val="008F1892"/>
    <w:rsid w:val="008F6782"/>
    <w:rsid w:val="009012EB"/>
    <w:rsid w:val="00902356"/>
    <w:rsid w:val="00903768"/>
    <w:rsid w:val="00904A99"/>
    <w:rsid w:val="00904AA8"/>
    <w:rsid w:val="00916087"/>
    <w:rsid w:val="0091676E"/>
    <w:rsid w:val="00917AFA"/>
    <w:rsid w:val="00922547"/>
    <w:rsid w:val="00923741"/>
    <w:rsid w:val="00932464"/>
    <w:rsid w:val="00932E4F"/>
    <w:rsid w:val="00933F3F"/>
    <w:rsid w:val="00933FD2"/>
    <w:rsid w:val="00936261"/>
    <w:rsid w:val="00936CB3"/>
    <w:rsid w:val="00961ED6"/>
    <w:rsid w:val="00986F06"/>
    <w:rsid w:val="00996B2C"/>
    <w:rsid w:val="009B3173"/>
    <w:rsid w:val="009B36D8"/>
    <w:rsid w:val="009B47E3"/>
    <w:rsid w:val="009C03E7"/>
    <w:rsid w:val="009C1B58"/>
    <w:rsid w:val="009D3FF3"/>
    <w:rsid w:val="009E176E"/>
    <w:rsid w:val="009E5D02"/>
    <w:rsid w:val="009F03D3"/>
    <w:rsid w:val="009F4CDE"/>
    <w:rsid w:val="009F5E62"/>
    <w:rsid w:val="009F64AA"/>
    <w:rsid w:val="00A10870"/>
    <w:rsid w:val="00A15486"/>
    <w:rsid w:val="00A156E3"/>
    <w:rsid w:val="00A20731"/>
    <w:rsid w:val="00A2131A"/>
    <w:rsid w:val="00A21450"/>
    <w:rsid w:val="00A31E45"/>
    <w:rsid w:val="00A410B9"/>
    <w:rsid w:val="00A41CAF"/>
    <w:rsid w:val="00A42B08"/>
    <w:rsid w:val="00A53A9C"/>
    <w:rsid w:val="00A62B8B"/>
    <w:rsid w:val="00A63FEB"/>
    <w:rsid w:val="00A71EFC"/>
    <w:rsid w:val="00A73868"/>
    <w:rsid w:val="00A93969"/>
    <w:rsid w:val="00A979A5"/>
    <w:rsid w:val="00AA7C2A"/>
    <w:rsid w:val="00AB7576"/>
    <w:rsid w:val="00AD0C25"/>
    <w:rsid w:val="00AD2673"/>
    <w:rsid w:val="00AD3977"/>
    <w:rsid w:val="00AD74EA"/>
    <w:rsid w:val="00AE0476"/>
    <w:rsid w:val="00AE3A31"/>
    <w:rsid w:val="00AE4B84"/>
    <w:rsid w:val="00AF2A11"/>
    <w:rsid w:val="00B040D2"/>
    <w:rsid w:val="00B043CF"/>
    <w:rsid w:val="00B04B2D"/>
    <w:rsid w:val="00B0569A"/>
    <w:rsid w:val="00B109DC"/>
    <w:rsid w:val="00B132E4"/>
    <w:rsid w:val="00B226CE"/>
    <w:rsid w:val="00B3747E"/>
    <w:rsid w:val="00B37DDF"/>
    <w:rsid w:val="00B42E92"/>
    <w:rsid w:val="00B51CE4"/>
    <w:rsid w:val="00B53684"/>
    <w:rsid w:val="00B54EFC"/>
    <w:rsid w:val="00B55ACB"/>
    <w:rsid w:val="00B56D58"/>
    <w:rsid w:val="00B62126"/>
    <w:rsid w:val="00B637FF"/>
    <w:rsid w:val="00B641BC"/>
    <w:rsid w:val="00B72697"/>
    <w:rsid w:val="00B72D64"/>
    <w:rsid w:val="00B80676"/>
    <w:rsid w:val="00B96124"/>
    <w:rsid w:val="00B97AB8"/>
    <w:rsid w:val="00BA0BD1"/>
    <w:rsid w:val="00BA63FD"/>
    <w:rsid w:val="00BB2BE1"/>
    <w:rsid w:val="00BB48E9"/>
    <w:rsid w:val="00BB4D91"/>
    <w:rsid w:val="00BB678F"/>
    <w:rsid w:val="00BC1E5E"/>
    <w:rsid w:val="00BD15F2"/>
    <w:rsid w:val="00BE187B"/>
    <w:rsid w:val="00BE6605"/>
    <w:rsid w:val="00BF073C"/>
    <w:rsid w:val="00BF0FB1"/>
    <w:rsid w:val="00BF224F"/>
    <w:rsid w:val="00BF2C6E"/>
    <w:rsid w:val="00BF70FD"/>
    <w:rsid w:val="00C0089B"/>
    <w:rsid w:val="00C018B2"/>
    <w:rsid w:val="00C1652A"/>
    <w:rsid w:val="00C21723"/>
    <w:rsid w:val="00C3085C"/>
    <w:rsid w:val="00C34E79"/>
    <w:rsid w:val="00C35F34"/>
    <w:rsid w:val="00C36F11"/>
    <w:rsid w:val="00C43D8F"/>
    <w:rsid w:val="00C4453C"/>
    <w:rsid w:val="00C4470F"/>
    <w:rsid w:val="00C44B30"/>
    <w:rsid w:val="00C4570B"/>
    <w:rsid w:val="00C53C2B"/>
    <w:rsid w:val="00C55432"/>
    <w:rsid w:val="00C57DD8"/>
    <w:rsid w:val="00C62034"/>
    <w:rsid w:val="00C63341"/>
    <w:rsid w:val="00C64750"/>
    <w:rsid w:val="00C66DA5"/>
    <w:rsid w:val="00C66E91"/>
    <w:rsid w:val="00C706DE"/>
    <w:rsid w:val="00C73246"/>
    <w:rsid w:val="00C82252"/>
    <w:rsid w:val="00C85F8C"/>
    <w:rsid w:val="00C94A3A"/>
    <w:rsid w:val="00C952D3"/>
    <w:rsid w:val="00CA4C15"/>
    <w:rsid w:val="00CA7C81"/>
    <w:rsid w:val="00CD50B2"/>
    <w:rsid w:val="00CE0A1C"/>
    <w:rsid w:val="00CE4EED"/>
    <w:rsid w:val="00D009B5"/>
    <w:rsid w:val="00D044E0"/>
    <w:rsid w:val="00D11D2B"/>
    <w:rsid w:val="00D15164"/>
    <w:rsid w:val="00D215F8"/>
    <w:rsid w:val="00D23FBF"/>
    <w:rsid w:val="00D24142"/>
    <w:rsid w:val="00D24443"/>
    <w:rsid w:val="00D268EA"/>
    <w:rsid w:val="00D30134"/>
    <w:rsid w:val="00D312E2"/>
    <w:rsid w:val="00D46149"/>
    <w:rsid w:val="00D51772"/>
    <w:rsid w:val="00D55ADF"/>
    <w:rsid w:val="00D67CFA"/>
    <w:rsid w:val="00D70516"/>
    <w:rsid w:val="00D72C4C"/>
    <w:rsid w:val="00D74EEC"/>
    <w:rsid w:val="00D80AF0"/>
    <w:rsid w:val="00D85A94"/>
    <w:rsid w:val="00D87D23"/>
    <w:rsid w:val="00D90048"/>
    <w:rsid w:val="00D94636"/>
    <w:rsid w:val="00DA1425"/>
    <w:rsid w:val="00DA234E"/>
    <w:rsid w:val="00DA6C8B"/>
    <w:rsid w:val="00DB3267"/>
    <w:rsid w:val="00DB4557"/>
    <w:rsid w:val="00DC36F6"/>
    <w:rsid w:val="00DC7EE7"/>
    <w:rsid w:val="00DD106D"/>
    <w:rsid w:val="00DD6AEC"/>
    <w:rsid w:val="00DE007E"/>
    <w:rsid w:val="00DE03FE"/>
    <w:rsid w:val="00DE222B"/>
    <w:rsid w:val="00DE748A"/>
    <w:rsid w:val="00DF5DC0"/>
    <w:rsid w:val="00E05433"/>
    <w:rsid w:val="00E14812"/>
    <w:rsid w:val="00E15211"/>
    <w:rsid w:val="00E21A59"/>
    <w:rsid w:val="00E21A74"/>
    <w:rsid w:val="00E252A3"/>
    <w:rsid w:val="00E31A88"/>
    <w:rsid w:val="00E31CAA"/>
    <w:rsid w:val="00E40E7F"/>
    <w:rsid w:val="00E42264"/>
    <w:rsid w:val="00E77814"/>
    <w:rsid w:val="00E94C08"/>
    <w:rsid w:val="00EA0A59"/>
    <w:rsid w:val="00EA3005"/>
    <w:rsid w:val="00EA34D8"/>
    <w:rsid w:val="00EA75B5"/>
    <w:rsid w:val="00EA76FA"/>
    <w:rsid w:val="00EB7A44"/>
    <w:rsid w:val="00EC045A"/>
    <w:rsid w:val="00EC0ACE"/>
    <w:rsid w:val="00EC52B7"/>
    <w:rsid w:val="00EC7F76"/>
    <w:rsid w:val="00ED4712"/>
    <w:rsid w:val="00ED6037"/>
    <w:rsid w:val="00EE54AA"/>
    <w:rsid w:val="00EE7259"/>
    <w:rsid w:val="00EE7761"/>
    <w:rsid w:val="00EE7E06"/>
    <w:rsid w:val="00EF4F3F"/>
    <w:rsid w:val="00EF6173"/>
    <w:rsid w:val="00EF7ED8"/>
    <w:rsid w:val="00F05E97"/>
    <w:rsid w:val="00F1112B"/>
    <w:rsid w:val="00F140D5"/>
    <w:rsid w:val="00F2311A"/>
    <w:rsid w:val="00F233EB"/>
    <w:rsid w:val="00F234EB"/>
    <w:rsid w:val="00F27FB0"/>
    <w:rsid w:val="00F47C94"/>
    <w:rsid w:val="00F603DF"/>
    <w:rsid w:val="00F64C27"/>
    <w:rsid w:val="00F66DA5"/>
    <w:rsid w:val="00F72013"/>
    <w:rsid w:val="00F73F7E"/>
    <w:rsid w:val="00F74238"/>
    <w:rsid w:val="00F74A3A"/>
    <w:rsid w:val="00F836D3"/>
    <w:rsid w:val="00F850AC"/>
    <w:rsid w:val="00F91A1C"/>
    <w:rsid w:val="00F9727E"/>
    <w:rsid w:val="00FA06A5"/>
    <w:rsid w:val="00FA09EB"/>
    <w:rsid w:val="00FB02FD"/>
    <w:rsid w:val="00FB26AF"/>
    <w:rsid w:val="00FB41F2"/>
    <w:rsid w:val="00FB43AB"/>
    <w:rsid w:val="00FB5C3D"/>
    <w:rsid w:val="00FB7FA1"/>
    <w:rsid w:val="00FC094D"/>
    <w:rsid w:val="00FC4B6A"/>
    <w:rsid w:val="00FC519A"/>
    <w:rsid w:val="00FC578A"/>
    <w:rsid w:val="00FE2A85"/>
    <w:rsid w:val="00FE5465"/>
    <w:rsid w:val="00FF118A"/>
    <w:rsid w:val="00FF55B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FF63"/>
  <w15:chartTrackingRefBased/>
  <w15:docId w15:val="{693350C7-BCE8-AE43-AFB9-4A30A666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432"/>
    <w:rPr>
      <w:color w:val="0000FF"/>
      <w:u w:val="single"/>
    </w:rPr>
  </w:style>
  <w:style w:type="paragraph" w:styleId="ListParagraph">
    <w:name w:val="List Paragraph"/>
    <w:basedOn w:val="Normal"/>
    <w:uiPriority w:val="34"/>
    <w:qFormat/>
    <w:rsid w:val="00C55432"/>
    <w:pPr>
      <w:spacing w:after="200" w:line="276" w:lineRule="auto"/>
      <w:ind w:left="720"/>
      <w:contextualSpacing/>
    </w:pPr>
    <w:rPr>
      <w:rFonts w:eastAsiaTheme="minorEastAsia"/>
      <w:sz w:val="22"/>
      <w:szCs w:val="22"/>
    </w:rPr>
  </w:style>
  <w:style w:type="paragraph" w:styleId="Subtitle">
    <w:name w:val="Subtitle"/>
    <w:basedOn w:val="Normal"/>
    <w:link w:val="SubtitleChar"/>
    <w:qFormat/>
    <w:rsid w:val="00A93969"/>
    <w:pPr>
      <w:spacing w:line="360" w:lineRule="auto"/>
      <w:jc w:val="both"/>
    </w:pPr>
    <w:rPr>
      <w:rFonts w:ascii="Times New Roman" w:eastAsia="Times New Roman" w:hAnsi="Times New Roman" w:cs="Times New Roman"/>
      <w:b/>
      <w:bCs/>
      <w:sz w:val="28"/>
      <w:szCs w:val="13"/>
      <w:lang w:val="en-GB" w:eastAsia="it-IT"/>
    </w:rPr>
  </w:style>
  <w:style w:type="character" w:customStyle="1" w:styleId="SubtitleChar">
    <w:name w:val="Subtitle Char"/>
    <w:basedOn w:val="DefaultParagraphFont"/>
    <w:link w:val="Subtitle"/>
    <w:rsid w:val="00A93969"/>
    <w:rPr>
      <w:rFonts w:ascii="Times New Roman" w:eastAsia="Times New Roman" w:hAnsi="Times New Roman" w:cs="Times New Roman"/>
      <w:b/>
      <w:bCs/>
      <w:sz w:val="28"/>
      <w:szCs w:val="13"/>
      <w:lang w:val="en-GB" w:eastAsia="it-IT"/>
    </w:rPr>
  </w:style>
  <w:style w:type="paragraph" w:styleId="BodyText">
    <w:name w:val="Body Text"/>
    <w:basedOn w:val="Normal"/>
    <w:link w:val="BodyTextChar"/>
    <w:semiHidden/>
    <w:rsid w:val="00A93969"/>
    <w:pPr>
      <w:autoSpaceDE w:val="0"/>
      <w:autoSpaceDN w:val="0"/>
      <w:adjustRightInd w:val="0"/>
      <w:spacing w:line="360" w:lineRule="auto"/>
      <w:jc w:val="both"/>
    </w:pPr>
    <w:rPr>
      <w:rFonts w:ascii="Times New Roman" w:eastAsia="Times New Roman" w:hAnsi="Times New Roman" w:cs="Times New Roman"/>
      <w:lang w:val="en-GB" w:eastAsia="it-IT" w:bidi="he-IL"/>
    </w:rPr>
  </w:style>
  <w:style w:type="character" w:customStyle="1" w:styleId="BodyTextChar">
    <w:name w:val="Body Text Char"/>
    <w:basedOn w:val="DefaultParagraphFont"/>
    <w:link w:val="BodyText"/>
    <w:semiHidden/>
    <w:rsid w:val="00A93969"/>
    <w:rPr>
      <w:rFonts w:ascii="Times New Roman" w:eastAsia="Times New Roman" w:hAnsi="Times New Roman" w:cs="Times New Roman"/>
      <w:lang w:val="en-GB" w:eastAsia="it-IT" w:bidi="he-IL"/>
    </w:rPr>
  </w:style>
  <w:style w:type="paragraph" w:customStyle="1" w:styleId="EndNoteBibliographyTitle">
    <w:name w:val="EndNote Bibliography Title"/>
    <w:basedOn w:val="Normal"/>
    <w:link w:val="EndNoteBibliographyTitleChar"/>
    <w:rsid w:val="00A93969"/>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A93969"/>
    <w:rPr>
      <w:rFonts w:ascii="Calibri" w:hAnsi="Calibri" w:cs="Calibri"/>
      <w:lang w:val="en-US"/>
    </w:rPr>
  </w:style>
  <w:style w:type="paragraph" w:customStyle="1" w:styleId="EndNoteBibliography">
    <w:name w:val="EndNote Bibliography"/>
    <w:basedOn w:val="Normal"/>
    <w:link w:val="EndNoteBibliographyChar"/>
    <w:rsid w:val="00A93969"/>
    <w:pPr>
      <w:jc w:val="both"/>
    </w:pPr>
    <w:rPr>
      <w:rFonts w:ascii="Calibri" w:hAnsi="Calibri" w:cs="Calibri"/>
    </w:rPr>
  </w:style>
  <w:style w:type="character" w:customStyle="1" w:styleId="EndNoteBibliographyChar">
    <w:name w:val="EndNote Bibliography Char"/>
    <w:basedOn w:val="DefaultParagraphFont"/>
    <w:link w:val="EndNoteBibliography"/>
    <w:rsid w:val="00A93969"/>
    <w:rPr>
      <w:rFonts w:ascii="Calibri" w:hAnsi="Calibri" w:cs="Calibri"/>
      <w:lang w:val="en-US"/>
    </w:rPr>
  </w:style>
  <w:style w:type="character" w:styleId="FollowedHyperlink">
    <w:name w:val="FollowedHyperlink"/>
    <w:basedOn w:val="DefaultParagraphFont"/>
    <w:uiPriority w:val="99"/>
    <w:semiHidden/>
    <w:unhideWhenUsed/>
    <w:rsid w:val="00554D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i.anwar@uoh.edu.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3155</Words>
  <Characters>17986</Characters>
  <Application>Microsoft Office Word</Application>
  <DocSecurity>0</DocSecurity>
  <Lines>149</Lines>
  <Paragraphs>42</Paragraphs>
  <ScaleCrop>false</ScaleCrop>
  <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Alqarni</dc:creator>
  <cp:keywords/>
  <dc:description/>
  <cp:lastModifiedBy>Hima Bhatt</cp:lastModifiedBy>
  <cp:revision>2</cp:revision>
  <dcterms:created xsi:type="dcterms:W3CDTF">2022-07-29T08:12:00Z</dcterms:created>
  <dcterms:modified xsi:type="dcterms:W3CDTF">2022-07-29T08:12:00Z</dcterms:modified>
</cp:coreProperties>
</file>