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C239" w14:textId="77777777" w:rsidR="00F242D6" w:rsidRPr="0075398B" w:rsidRDefault="00F242D6" w:rsidP="00F242D6">
      <w:pPr>
        <w:pStyle w:val="Title2"/>
        <w:spacing w:line="360" w:lineRule="auto"/>
        <w:rPr>
          <w:b w:val="0"/>
          <w:sz w:val="32"/>
          <w:szCs w:val="32"/>
        </w:rPr>
      </w:pPr>
      <w:r w:rsidRPr="0075398B">
        <w:rPr>
          <w:b w:val="0"/>
          <w:sz w:val="32"/>
          <w:szCs w:val="32"/>
        </w:rPr>
        <w:t xml:space="preserve">Supporting Information </w:t>
      </w:r>
    </w:p>
    <w:p w14:paraId="12D3EEF2" w14:textId="7B3F65AA" w:rsidR="00F242D6" w:rsidRPr="0075398B" w:rsidRDefault="00E11755" w:rsidP="00E11755">
      <w:pPr>
        <w:pStyle w:val="Titel"/>
        <w:jc w:val="both"/>
      </w:pPr>
      <w:r w:rsidRPr="0075398B">
        <w:t>Probing Oxygen Activation on Plasmonic Photocatalysts</w:t>
      </w:r>
    </w:p>
    <w:p w14:paraId="51216F72" w14:textId="77777777" w:rsidR="00E11755" w:rsidRPr="0075398B" w:rsidRDefault="00E11755" w:rsidP="00E11755">
      <w:pPr>
        <w:pStyle w:val="Abstract"/>
        <w:jc w:val="both"/>
        <w:rPr>
          <w:vertAlign w:val="superscript"/>
        </w:rPr>
      </w:pPr>
      <w:proofErr w:type="spellStart"/>
      <w:r w:rsidRPr="0075398B">
        <w:t>Fons</w:t>
      </w:r>
      <w:proofErr w:type="spellEnd"/>
      <w:r w:rsidRPr="0075398B">
        <w:t xml:space="preserve"> Dingenen</w:t>
      </w:r>
      <w:r w:rsidRPr="0075398B">
        <w:rPr>
          <w:vertAlign w:val="superscript"/>
        </w:rPr>
        <w:t>1,2</w:t>
      </w:r>
      <w:r w:rsidRPr="0075398B">
        <w:t xml:space="preserve">, </w:t>
      </w:r>
      <w:proofErr w:type="spellStart"/>
      <w:r w:rsidRPr="0075398B">
        <w:t>Rituraj</w:t>
      </w:r>
      <w:proofErr w:type="spellEnd"/>
      <w:r w:rsidRPr="0075398B">
        <w:t xml:space="preserve"> Borah</w:t>
      </w:r>
      <w:r w:rsidRPr="0075398B">
        <w:rPr>
          <w:vertAlign w:val="superscript"/>
        </w:rPr>
        <w:t>1,2</w:t>
      </w:r>
      <w:r w:rsidRPr="0075398B">
        <w:t xml:space="preserve">, </w:t>
      </w:r>
      <w:proofErr w:type="spellStart"/>
      <w:r w:rsidRPr="0075398B">
        <w:t>Rajeshreddy</w:t>
      </w:r>
      <w:proofErr w:type="spellEnd"/>
      <w:r w:rsidRPr="0075398B">
        <w:t xml:space="preserve"> Ninakanti</w:t>
      </w:r>
      <w:r w:rsidRPr="0075398B">
        <w:rPr>
          <w:vertAlign w:val="superscript"/>
        </w:rPr>
        <w:t>1-3</w:t>
      </w:r>
      <w:r w:rsidRPr="0075398B">
        <w:t>, Sammy W. Verbruggen</w:t>
      </w:r>
      <w:r w:rsidRPr="0075398B">
        <w:rPr>
          <w:vertAlign w:val="superscript"/>
        </w:rPr>
        <w:t>1,2*</w:t>
      </w:r>
    </w:p>
    <w:p w14:paraId="0ABD49F9" w14:textId="77777777" w:rsidR="00E11755" w:rsidRPr="0075398B" w:rsidRDefault="00E11755" w:rsidP="00E11755">
      <w:pPr>
        <w:spacing w:before="240"/>
        <w:rPr>
          <w:lang w:val="en-US"/>
        </w:rPr>
      </w:pPr>
      <w:r w:rsidRPr="0075398B">
        <w:rPr>
          <w:vertAlign w:val="superscript"/>
          <w:lang w:val="en-US"/>
        </w:rPr>
        <w:t>1</w:t>
      </w:r>
      <w:r w:rsidRPr="0075398B">
        <w:rPr>
          <w:lang w:val="en-US"/>
        </w:rPr>
        <w:t>Sustainable Energy, Air &amp; Water Technology (</w:t>
      </w:r>
      <w:proofErr w:type="spellStart"/>
      <w:r w:rsidRPr="0075398B">
        <w:rPr>
          <w:lang w:val="en-US"/>
        </w:rPr>
        <w:t>DuEL</w:t>
      </w:r>
      <w:proofErr w:type="spellEnd"/>
      <w:r w:rsidRPr="0075398B">
        <w:rPr>
          <w:lang w:val="en-US"/>
        </w:rPr>
        <w:t>), Department of Bioscience Engineering University of Antwerp, 2020 Antwerp, Belgium</w:t>
      </w:r>
    </w:p>
    <w:p w14:paraId="1ACB9BF8" w14:textId="77777777" w:rsidR="00E11755" w:rsidRPr="0075398B" w:rsidRDefault="00E11755" w:rsidP="00E11755">
      <w:pPr>
        <w:spacing w:before="240"/>
        <w:rPr>
          <w:lang w:val="en-US"/>
        </w:rPr>
      </w:pPr>
      <w:r w:rsidRPr="0075398B">
        <w:rPr>
          <w:vertAlign w:val="superscript"/>
          <w:lang w:val="en-US"/>
        </w:rPr>
        <w:t>2</w:t>
      </w:r>
      <w:r w:rsidRPr="0075398B">
        <w:rPr>
          <w:lang w:val="en-US"/>
        </w:rPr>
        <w:t>NANOlab Center of Excellence, University of Antwerp, 2020 Antwerp, Belgium</w:t>
      </w:r>
    </w:p>
    <w:p w14:paraId="102B29A7" w14:textId="77777777" w:rsidR="00E11755" w:rsidRPr="0075398B" w:rsidRDefault="00E11755" w:rsidP="00E11755">
      <w:pPr>
        <w:spacing w:before="240"/>
        <w:rPr>
          <w:b/>
          <w:lang w:val="en-US"/>
        </w:rPr>
      </w:pPr>
      <w:r w:rsidRPr="0075398B">
        <w:rPr>
          <w:vertAlign w:val="superscript"/>
          <w:lang w:val="en-US"/>
        </w:rPr>
        <w:t>3</w:t>
      </w:r>
      <w:r w:rsidRPr="0075398B">
        <w:rPr>
          <w:lang w:val="en-US"/>
        </w:rPr>
        <w:t xml:space="preserve">Electron Microscopy for Material Science (EMAT), Department of Physics, University of </w:t>
      </w:r>
      <w:proofErr w:type="spellStart"/>
      <w:r w:rsidRPr="0075398B">
        <w:rPr>
          <w:lang w:val="en-US"/>
        </w:rPr>
        <w:t>Antwerpen</w:t>
      </w:r>
      <w:proofErr w:type="spellEnd"/>
      <w:r w:rsidRPr="0075398B">
        <w:rPr>
          <w:lang w:val="en-US"/>
        </w:rPr>
        <w:t>, 2020 Antwerp, Belgium</w:t>
      </w:r>
      <w:r w:rsidRPr="0075398B">
        <w:rPr>
          <w:lang w:val="en-US"/>
        </w:rPr>
        <w:br/>
      </w:r>
    </w:p>
    <w:p w14:paraId="62E993C1" w14:textId="4BC497C6" w:rsidR="00E11755" w:rsidRPr="0075398B" w:rsidRDefault="00E11755" w:rsidP="00E11755">
      <w:pPr>
        <w:spacing w:before="240"/>
        <w:rPr>
          <w:lang w:val="en-US"/>
        </w:rPr>
      </w:pPr>
      <w:r w:rsidRPr="0075398B">
        <w:rPr>
          <w:b/>
          <w:lang w:val="en-US"/>
        </w:rPr>
        <w:t xml:space="preserve">* Correspondence: </w:t>
      </w:r>
      <w:r w:rsidRPr="0075398B">
        <w:rPr>
          <w:b/>
          <w:lang w:val="en-US"/>
        </w:rPr>
        <w:br/>
      </w:r>
      <w:r w:rsidRPr="0075398B">
        <w:rPr>
          <w:lang w:val="en-US"/>
        </w:rPr>
        <w:t>Sammy W. Verbruggen</w:t>
      </w:r>
      <w:r w:rsidRPr="0075398B">
        <w:rPr>
          <w:lang w:val="en-US"/>
        </w:rPr>
        <w:br/>
      </w:r>
      <w:hyperlink r:id="rId11" w:history="1">
        <w:r w:rsidRPr="0075398B">
          <w:rPr>
            <w:rStyle w:val="Hyperlink"/>
            <w:lang w:val="en-US"/>
          </w:rPr>
          <w:t>sammy.verbruggen@uantwerpen.be</w:t>
        </w:r>
      </w:hyperlink>
    </w:p>
    <w:p w14:paraId="1BCC4D4B" w14:textId="77777777" w:rsidR="00E11755" w:rsidRPr="0075398B" w:rsidRDefault="00E11755" w:rsidP="00E11755">
      <w:pPr>
        <w:spacing w:before="240"/>
        <w:rPr>
          <w:b/>
          <w:lang w:val="en-US"/>
        </w:rPr>
      </w:pPr>
    </w:p>
    <w:p w14:paraId="0923689F" w14:textId="77777777" w:rsidR="00004A23" w:rsidRPr="0075398B" w:rsidRDefault="00004A23" w:rsidP="004D01EA">
      <w:pPr>
        <w:spacing w:line="360" w:lineRule="auto"/>
        <w:rPr>
          <w:lang w:val="en-US"/>
        </w:rPr>
      </w:pPr>
    </w:p>
    <w:p w14:paraId="1DEB523F" w14:textId="2828C711" w:rsidR="00FD2284" w:rsidRPr="0075398B" w:rsidRDefault="00FD2284" w:rsidP="004D01EA">
      <w:pPr>
        <w:pStyle w:val="Head1"/>
      </w:pPr>
      <w:r w:rsidRPr="0075398B">
        <w:t xml:space="preserve">1. Estimation of </w:t>
      </w:r>
      <w:r w:rsidR="001C5CBA" w:rsidRPr="0075398B">
        <w:t>the XTT-</w:t>
      </w:r>
      <w:r w:rsidRPr="0075398B">
        <w:t>formazan absorption coefficient</w:t>
      </w:r>
      <w:r w:rsidR="001C5CBA" w:rsidRPr="0075398B">
        <w:t xml:space="preserve"> at </w:t>
      </w:r>
      <w:r w:rsidR="001C5CBA" w:rsidRPr="0075398B">
        <w:rPr>
          <w:rFonts w:ascii="Symbol" w:hAnsi="Symbol"/>
        </w:rPr>
        <w:t></w:t>
      </w:r>
      <w:r w:rsidR="001C5CBA" w:rsidRPr="0075398B">
        <w:t xml:space="preserve"> = 480 nm</w:t>
      </w:r>
    </w:p>
    <w:p w14:paraId="6428E4F8" w14:textId="69F7E9AC" w:rsidR="0075398B" w:rsidRDefault="00E313B9" w:rsidP="001C5CBA">
      <w:pPr>
        <w:jc w:val="both"/>
        <w:rPr>
          <w:lang w:val="en-US"/>
        </w:rPr>
      </w:pPr>
      <w:r w:rsidRPr="0075398B">
        <w:rPr>
          <w:lang w:val="en-US"/>
        </w:rPr>
        <w:t>Pau</w:t>
      </w:r>
      <w:r w:rsidR="006B25DB" w:rsidRPr="0075398B">
        <w:rPr>
          <w:lang w:val="en-US"/>
        </w:rPr>
        <w:t>l</w:t>
      </w:r>
      <w:r w:rsidRPr="0075398B">
        <w:rPr>
          <w:lang w:val="en-US"/>
        </w:rPr>
        <w:t xml:space="preserve">l </w:t>
      </w:r>
      <w:r w:rsidRPr="0075398B">
        <w:rPr>
          <w:i/>
          <w:lang w:val="en-US"/>
        </w:rPr>
        <w:t>et al</w:t>
      </w:r>
      <w:r w:rsidRPr="0075398B">
        <w:rPr>
          <w:lang w:val="en-US"/>
        </w:rPr>
        <w:t xml:space="preserve">. </w:t>
      </w:r>
      <w:r w:rsidR="001C5CBA" w:rsidRPr="0075398B">
        <w:rPr>
          <w:lang w:val="en-US"/>
        </w:rPr>
        <w:t>(1988) have</w:t>
      </w:r>
      <w:r w:rsidRPr="0075398B">
        <w:rPr>
          <w:lang w:val="en-US"/>
        </w:rPr>
        <w:t xml:space="preserve"> determined the molecular absorption </w:t>
      </w:r>
      <w:r w:rsidR="006371AB" w:rsidRPr="0075398B">
        <w:rPr>
          <w:lang w:val="en-US"/>
        </w:rPr>
        <w:t xml:space="preserve">coefficient (ε) </w:t>
      </w:r>
      <w:r w:rsidR="001C5CBA" w:rsidRPr="0075398B">
        <w:rPr>
          <w:lang w:val="en-US"/>
        </w:rPr>
        <w:t xml:space="preserve">of XTT-formazan </w:t>
      </w:r>
      <w:r w:rsidR="006371AB" w:rsidRPr="0075398B">
        <w:rPr>
          <w:lang w:val="en-US"/>
        </w:rPr>
        <w:t>to be</w:t>
      </w:r>
      <w:r w:rsidRPr="0075398B">
        <w:rPr>
          <w:lang w:val="en-US"/>
        </w:rPr>
        <w:t xml:space="preserve"> </w:t>
      </w:r>
      <w:r w:rsidR="006371AB" w:rsidRPr="0075398B">
        <w:rPr>
          <w:lang w:val="en-US"/>
        </w:rPr>
        <w:t>23823 M</w:t>
      </w:r>
      <w:r w:rsidR="006371AB" w:rsidRPr="0075398B">
        <w:rPr>
          <w:vertAlign w:val="superscript"/>
          <w:lang w:val="en-US"/>
        </w:rPr>
        <w:t>-1</w:t>
      </w:r>
      <w:r w:rsidR="006371AB" w:rsidRPr="0075398B">
        <w:rPr>
          <w:lang w:val="en-US"/>
        </w:rPr>
        <w:t>.cm</w:t>
      </w:r>
      <w:r w:rsidR="006371AB" w:rsidRPr="0075398B">
        <w:rPr>
          <w:vertAlign w:val="superscript"/>
          <w:lang w:val="en-US"/>
        </w:rPr>
        <w:t xml:space="preserve">-1 </w:t>
      </w:r>
      <w:r w:rsidR="00E11755" w:rsidRPr="0075398B">
        <w:rPr>
          <w:lang w:val="en-US"/>
        </w:rPr>
        <w:t>in water at 475 nm</w:t>
      </w:r>
      <w:r w:rsidR="00B74D68" w:rsidRPr="0075398B">
        <w:rPr>
          <w:lang w:val="en-US"/>
        </w:rPr>
        <w:t xml:space="preserve">. </w:t>
      </w:r>
      <w:r w:rsidR="006371AB" w:rsidRPr="0075398B">
        <w:rPr>
          <w:lang w:val="en-US"/>
        </w:rPr>
        <w:t>In order to extract the equivalent value in DMSO</w:t>
      </w:r>
      <w:r w:rsidR="001C5CBA" w:rsidRPr="0075398B">
        <w:rPr>
          <w:lang w:val="en-US"/>
        </w:rPr>
        <w:t xml:space="preserve"> as the solvent</w:t>
      </w:r>
      <w:r w:rsidR="00554D52" w:rsidRPr="0075398B">
        <w:rPr>
          <w:lang w:val="en-US"/>
        </w:rPr>
        <w:t xml:space="preserve"> (dimethyl sulfoxide, </w:t>
      </w:r>
      <w:proofErr w:type="spellStart"/>
      <w:r w:rsidR="00554D52" w:rsidRPr="0075398B">
        <w:rPr>
          <w:lang w:val="en-US"/>
        </w:rPr>
        <w:t>Emplura</w:t>
      </w:r>
      <w:proofErr w:type="spellEnd"/>
      <w:r w:rsidR="00554D52" w:rsidRPr="0075398B">
        <w:rPr>
          <w:lang w:val="en-US"/>
        </w:rPr>
        <w:t>, 99.0%)</w:t>
      </w:r>
      <w:r w:rsidR="006371AB" w:rsidRPr="0075398B">
        <w:rPr>
          <w:lang w:val="en-US"/>
        </w:rPr>
        <w:t>, formazan was first synthesized using the ascorbic acid reduction</w:t>
      </w:r>
      <w:r w:rsidR="002A0E79" w:rsidRPr="0075398B">
        <w:rPr>
          <w:lang w:val="en-US"/>
        </w:rPr>
        <w:t xml:space="preserve"> </w:t>
      </w:r>
      <w:r w:rsidR="001C5CBA" w:rsidRPr="0075398B">
        <w:rPr>
          <w:lang w:val="en-US"/>
        </w:rPr>
        <w:t xml:space="preserve">method </w:t>
      </w:r>
      <w:r w:rsidR="002A0E79" w:rsidRPr="0075398B">
        <w:rPr>
          <w:lang w:val="en-US"/>
        </w:rPr>
        <w:t>in water</w:t>
      </w:r>
      <w:r w:rsidR="006371AB" w:rsidRPr="0075398B">
        <w:rPr>
          <w:lang w:val="en-US"/>
        </w:rPr>
        <w:t>. Here, 27.1 mg of ascorbic acid</w:t>
      </w:r>
      <w:r w:rsidR="00554D52" w:rsidRPr="0075398B">
        <w:rPr>
          <w:lang w:val="en-US"/>
        </w:rPr>
        <w:t xml:space="preserve"> (Sigma-Aldrich, </w:t>
      </w:r>
      <w:hyperlink r:id="rId12" w:history="1">
        <w:r w:rsidR="00554D52" w:rsidRPr="0075398B">
          <w:rPr>
            <w:lang w:val="en-US"/>
          </w:rPr>
          <w:t>≥99.7%</w:t>
        </w:r>
      </w:hyperlink>
      <w:r w:rsidR="00554D52" w:rsidRPr="0075398B">
        <w:rPr>
          <w:lang w:val="en-US"/>
        </w:rPr>
        <w:t xml:space="preserve">) </w:t>
      </w:r>
      <w:r w:rsidR="006371AB" w:rsidRPr="0075398B">
        <w:rPr>
          <w:lang w:val="en-US"/>
        </w:rPr>
        <w:t>was mixed with 25.9 mg of sodium bicarbonate</w:t>
      </w:r>
      <w:r w:rsidR="00554D52" w:rsidRPr="0075398B">
        <w:rPr>
          <w:lang w:val="en-US"/>
        </w:rPr>
        <w:t xml:space="preserve"> (Sigma-Aldrich, </w:t>
      </w:r>
      <w:hyperlink r:id="rId13" w:history="1">
        <w:r w:rsidR="00554D52" w:rsidRPr="0075398B">
          <w:rPr>
            <w:lang w:val="en-US"/>
          </w:rPr>
          <w:t>≥99.7%</w:t>
        </w:r>
      </w:hyperlink>
      <w:r w:rsidR="00554D52" w:rsidRPr="0075398B">
        <w:rPr>
          <w:lang w:val="en-US"/>
        </w:rPr>
        <w:t>)</w:t>
      </w:r>
      <w:r w:rsidR="006371AB" w:rsidRPr="0075398B">
        <w:rPr>
          <w:lang w:val="en-US"/>
        </w:rPr>
        <w:t xml:space="preserve"> in 15 mL of demineralized water. 10 mg of XTT</w:t>
      </w:r>
      <w:r w:rsidR="00554D52" w:rsidRPr="0075398B">
        <w:rPr>
          <w:lang w:val="en-US"/>
        </w:rPr>
        <w:t xml:space="preserve"> (</w:t>
      </w:r>
      <w:r w:rsidR="00421391" w:rsidRPr="0075398B">
        <w:rPr>
          <w:lang w:val="en-US"/>
        </w:rPr>
        <w:t xml:space="preserve">2,3-bis(2-methoxy-4-nitro-5-sulphophenyl)-5-[(phenylamino)carbonyl]-2H-tetrazolium, sodium salt, </w:t>
      </w:r>
      <w:proofErr w:type="spellStart"/>
      <w:r w:rsidR="00554D52" w:rsidRPr="0075398B">
        <w:rPr>
          <w:lang w:val="en-US"/>
        </w:rPr>
        <w:t>Chem</w:t>
      </w:r>
      <w:proofErr w:type="spellEnd"/>
      <w:r w:rsidR="00554D52" w:rsidRPr="0075398B">
        <w:rPr>
          <w:lang w:val="en-US"/>
        </w:rPr>
        <w:t xml:space="preserve">-Lab, ≥ 85%) </w:t>
      </w:r>
      <w:r w:rsidR="006371AB" w:rsidRPr="0075398B">
        <w:rPr>
          <w:lang w:val="en-US"/>
        </w:rPr>
        <w:t>was added to 1.5</w:t>
      </w:r>
      <w:r w:rsidR="001C5CBA" w:rsidRPr="0075398B">
        <w:rPr>
          <w:lang w:val="en-US"/>
        </w:rPr>
        <w:t> </w:t>
      </w:r>
      <w:r w:rsidR="006371AB" w:rsidRPr="0075398B">
        <w:rPr>
          <w:lang w:val="en-US"/>
        </w:rPr>
        <w:t>mL of this solution. The resulting suspension was stirred at room temperature for several days</w:t>
      </w:r>
      <w:r w:rsidR="00E11755" w:rsidRPr="0075398B">
        <w:rPr>
          <w:lang w:val="en-US"/>
        </w:rPr>
        <w:t xml:space="preserve"> in the dark</w:t>
      </w:r>
      <w:r w:rsidR="006371AB" w:rsidRPr="0075398B">
        <w:rPr>
          <w:lang w:val="en-US"/>
        </w:rPr>
        <w:t xml:space="preserve"> forming a dark red solution. </w:t>
      </w:r>
      <w:r w:rsidR="002A0E79" w:rsidRPr="0075398B">
        <w:rPr>
          <w:lang w:val="en-US"/>
        </w:rPr>
        <w:t>Afterwards, the reaction mixture was diluted with 4.5 mL of ethanol to form a thick red suspension</w:t>
      </w:r>
      <w:r w:rsidR="006B25DB" w:rsidRPr="0075398B">
        <w:rPr>
          <w:lang w:val="en-US"/>
        </w:rPr>
        <w:t xml:space="preserve"> </w:t>
      </w:r>
      <w:r w:rsidR="006B25DB" w:rsidRPr="0075398B">
        <w:rPr>
          <w:lang w:val="en-US"/>
        </w:rPr>
        <w:fldChar w:fldCharType="begin" w:fldLock="1"/>
      </w:r>
      <w:r w:rsidR="006B25DB" w:rsidRPr="0075398B">
        <w:rPr>
          <w:lang w:val="en-US"/>
        </w:rPr>
        <w:instrText>ADDIN CSL_CITATION {"citationItems":[{"id":"ITEM-1","itemData":{"DOI":"https://doi.org/10.1002/jhet.5570250340","ISSN":"0022-152X","abstract":"Abstract A new tetrazolium salt, XTT, has been synthesized. XTT is reduced by a considerable variety of cell lines to a water-soluble formazan. XTT appears to merit further investigation as a reagent for broader application to cell culture assay systems.","author":[{"dropping-particle":"","family":"Paull","given":"Kenneth D","non-dropping-particle":"","parse-names":false,"suffix":""},{"dropping-particle":"","family":"Shoemaker","given":"Robert H","non-dropping-particle":"","parse-names":false,"suffix":""},{"dropping-particle":"","family":"Boyd","given":"Michael R","non-dropping-particle":"","parse-names":false,"suffix":""},{"dropping-particle":"","family":"Parsons","given":"Jack L","non-dropping-particle":"","parse-names":false,"suffix":""},{"dropping-particle":"","family":"Risbood","given":"Prabhakar A","non-dropping-particle":"","parse-names":false,"suffix":""},{"dropping-particle":"","family":"Barbera","given":"William A","non-dropping-particle":"","parse-names":false,"suffix":""},{"dropping-particle":"","family":"Sharma","given":"Mahenda N","non-dropping-particle":"","parse-names":false,"suffix":""},{"dropping-particle":"","family":"Baker","given":"David C","non-dropping-particle":"","parse-names":false,"suffix":""},{"dropping-particle":"","family":"Hand","given":"Elli","non-dropping-particle":"","parse-names":false,"suffix":""},{"dropping-particle":"","family":"Scudiero","given":"Dominic A","non-dropping-particle":"","parse-names":false,"suffix":""},{"dropping-particle":"","family":"Monks","given":"Anne","non-dropping-particle":"","parse-names":false,"suffix":""},{"dropping-particle":"","family":"Alley","given":"Michael C","non-dropping-particle":"","parse-names":false,"suffix":""},{"dropping-particle":"","family":"Grote","given":"Manfred","non-dropping-particle":"","parse-names":false,"suffix":""}],"container-title":"Journal of Heterocyclic Chemistry","id":"ITEM-1","issue":"3","issued":{"date-parts":[["1988","5","1"]]},"note":"https://doi.org/10.1002/jhet.5570250340","page":"911-914","publisher":"John Wiley &amp; Sons, Ltd","title":"The synthesis of XTT: A new tetrazolium reagent that is bioreducible to a water-soluble formazan","type":"article-journal","volume":"25"},"uris":["http://www.mendeley.com/documents/?uuid=ab95a8d0-acb3-4f46-aac1-2244ccacfc8d"]}],"mendeley":{"formattedCitation":"(Paull et al., 1988)","plainTextFormattedCitation":"(Paull et al., 1988)"},"properties":{"noteIndex":0},"schema":"https://github.com/citation-style-language/schema/raw/master/csl-citation.json"}</w:instrText>
      </w:r>
      <w:r w:rsidR="006B25DB" w:rsidRPr="0075398B">
        <w:rPr>
          <w:lang w:val="en-US"/>
        </w:rPr>
        <w:fldChar w:fldCharType="separate"/>
      </w:r>
      <w:r w:rsidR="006B25DB" w:rsidRPr="0075398B">
        <w:rPr>
          <w:lang w:val="en-US"/>
        </w:rPr>
        <w:t>(Paull et al., 1988)</w:t>
      </w:r>
      <w:r w:rsidR="006B25DB" w:rsidRPr="0075398B">
        <w:rPr>
          <w:lang w:val="en-US"/>
        </w:rPr>
        <w:fldChar w:fldCharType="end"/>
      </w:r>
      <w:r w:rsidR="002A0E79" w:rsidRPr="0075398B">
        <w:rPr>
          <w:lang w:val="en-US"/>
        </w:rPr>
        <w:t xml:space="preserve">. Finally, 10 µL of this suspension was dissolved in </w:t>
      </w:r>
      <w:r w:rsidR="0075398B" w:rsidRPr="0075398B">
        <w:rPr>
          <w:lang w:val="en-US"/>
        </w:rPr>
        <w:t xml:space="preserve">a cuvette </w:t>
      </w:r>
      <w:r w:rsidR="002A0E79" w:rsidRPr="0075398B">
        <w:rPr>
          <w:lang w:val="en-US"/>
        </w:rPr>
        <w:t xml:space="preserve">containing 0.99 mL of </w:t>
      </w:r>
      <w:r w:rsidR="0075398B" w:rsidRPr="0075398B">
        <w:rPr>
          <w:lang w:val="en-US"/>
        </w:rPr>
        <w:t>either</w:t>
      </w:r>
      <w:r w:rsidR="002A0E79" w:rsidRPr="0075398B">
        <w:rPr>
          <w:lang w:val="en-US"/>
        </w:rPr>
        <w:t xml:space="preserve"> water </w:t>
      </w:r>
      <w:r w:rsidR="0075398B" w:rsidRPr="0075398B">
        <w:rPr>
          <w:lang w:val="en-US"/>
        </w:rPr>
        <w:t>or</w:t>
      </w:r>
      <w:r w:rsidR="002A0E79" w:rsidRPr="0075398B">
        <w:rPr>
          <w:lang w:val="en-US"/>
        </w:rPr>
        <w:t xml:space="preserve"> DMSO.</w:t>
      </w:r>
      <w:r w:rsidR="00190B52" w:rsidRPr="0075398B">
        <w:rPr>
          <w:lang w:val="en-US"/>
        </w:rPr>
        <w:t xml:space="preserve"> Since</w:t>
      </w:r>
      <w:r w:rsidR="002A0E79" w:rsidRPr="0075398B">
        <w:rPr>
          <w:lang w:val="en-US"/>
        </w:rPr>
        <w:t xml:space="preserve"> 99</w:t>
      </w:r>
      <w:r w:rsidR="0075398B" w:rsidRPr="0075398B">
        <w:rPr>
          <w:lang w:val="en-US"/>
        </w:rPr>
        <w:t> </w:t>
      </w:r>
      <w:proofErr w:type="spellStart"/>
      <w:r w:rsidR="00190B52" w:rsidRPr="0075398B">
        <w:rPr>
          <w:lang w:val="en-US"/>
        </w:rPr>
        <w:t>vol</w:t>
      </w:r>
      <w:proofErr w:type="spellEnd"/>
      <w:r w:rsidR="00190B52" w:rsidRPr="0075398B">
        <w:rPr>
          <w:lang w:val="en-US"/>
        </w:rPr>
        <w:t>% of</w:t>
      </w:r>
      <w:r w:rsidR="006B25DB" w:rsidRPr="0075398B">
        <w:rPr>
          <w:lang w:val="en-US"/>
        </w:rPr>
        <w:t xml:space="preserve"> the</w:t>
      </w:r>
      <w:r w:rsidR="00190B52" w:rsidRPr="0075398B">
        <w:rPr>
          <w:lang w:val="en-US"/>
        </w:rPr>
        <w:t xml:space="preserve"> cuvet</w:t>
      </w:r>
      <w:r w:rsidR="0075398B" w:rsidRPr="0075398B">
        <w:rPr>
          <w:lang w:val="en-US"/>
        </w:rPr>
        <w:t>te</w:t>
      </w:r>
      <w:r w:rsidR="00190B52" w:rsidRPr="0075398B">
        <w:rPr>
          <w:lang w:val="en-US"/>
        </w:rPr>
        <w:t xml:space="preserve"> medium is </w:t>
      </w:r>
      <w:r w:rsidR="006B25DB" w:rsidRPr="0075398B">
        <w:rPr>
          <w:lang w:val="en-US"/>
        </w:rPr>
        <w:t xml:space="preserve">water or </w:t>
      </w:r>
      <w:r w:rsidR="00190B52" w:rsidRPr="0075398B">
        <w:rPr>
          <w:lang w:val="en-US"/>
        </w:rPr>
        <w:t xml:space="preserve">DMSO, the measured </w:t>
      </w:r>
      <w:r w:rsidR="000608DE" w:rsidRPr="0075398B">
        <w:rPr>
          <w:lang w:val="en-US"/>
        </w:rPr>
        <w:t xml:space="preserve">spectrum can be considered as </w:t>
      </w:r>
      <w:r w:rsidR="0075398B" w:rsidRPr="0075398B">
        <w:rPr>
          <w:lang w:val="en-US"/>
        </w:rPr>
        <w:t xml:space="preserve">the </w:t>
      </w:r>
      <w:r w:rsidR="000608DE" w:rsidRPr="0075398B">
        <w:rPr>
          <w:lang w:val="en-US"/>
        </w:rPr>
        <w:t xml:space="preserve">formazan </w:t>
      </w:r>
      <w:r w:rsidR="0075398B" w:rsidRPr="0075398B">
        <w:rPr>
          <w:lang w:val="en-US"/>
        </w:rPr>
        <w:t>absorbance</w:t>
      </w:r>
      <w:r w:rsidR="00E11755" w:rsidRPr="0075398B">
        <w:rPr>
          <w:lang w:val="en-US"/>
        </w:rPr>
        <w:t xml:space="preserve"> in</w:t>
      </w:r>
      <w:r w:rsidR="006B25DB" w:rsidRPr="0075398B">
        <w:rPr>
          <w:lang w:val="en-US"/>
        </w:rPr>
        <w:t xml:space="preserve"> that respective solvent</w:t>
      </w:r>
      <w:r w:rsidR="00190B52" w:rsidRPr="0075398B">
        <w:rPr>
          <w:lang w:val="en-US"/>
        </w:rPr>
        <w:t xml:space="preserve">. </w:t>
      </w:r>
      <w:r w:rsidR="002A0E79" w:rsidRPr="0075398B">
        <w:rPr>
          <w:lang w:val="en-US"/>
        </w:rPr>
        <w:t xml:space="preserve">A </w:t>
      </w:r>
      <w:r w:rsidR="001201F5">
        <w:rPr>
          <w:lang w:val="en-US"/>
        </w:rPr>
        <w:t>dilution series</w:t>
      </w:r>
      <w:r w:rsidR="0075398B">
        <w:rPr>
          <w:lang w:val="en-US"/>
        </w:rPr>
        <w:t xml:space="preserve"> with formazan concentrations</w:t>
      </w:r>
      <w:r w:rsidR="00114D89" w:rsidRPr="0075398B">
        <w:rPr>
          <w:lang w:val="en-US"/>
        </w:rPr>
        <w:t xml:space="preserve"> up to 0.25‰</w:t>
      </w:r>
      <w:r w:rsidR="002A0E79" w:rsidRPr="0075398B">
        <w:rPr>
          <w:lang w:val="en-US"/>
        </w:rPr>
        <w:t xml:space="preserve"> was </w:t>
      </w:r>
      <w:r w:rsidR="0075398B">
        <w:rPr>
          <w:lang w:val="en-US"/>
        </w:rPr>
        <w:t>established</w:t>
      </w:r>
      <w:r w:rsidR="002A0E79" w:rsidRPr="0075398B">
        <w:rPr>
          <w:lang w:val="en-US"/>
        </w:rPr>
        <w:t xml:space="preserve"> for both</w:t>
      </w:r>
      <w:r w:rsidR="000608DE" w:rsidRPr="0075398B">
        <w:rPr>
          <w:lang w:val="en-US"/>
        </w:rPr>
        <w:t xml:space="preserve"> the water and the DMSO </w:t>
      </w:r>
      <w:r w:rsidR="0075398B">
        <w:rPr>
          <w:lang w:val="en-US"/>
        </w:rPr>
        <w:t>solvent</w:t>
      </w:r>
      <w:r w:rsidR="000422D9" w:rsidRPr="0075398B">
        <w:rPr>
          <w:lang w:val="en-US"/>
        </w:rPr>
        <w:t xml:space="preserve"> (Figure S1A)</w:t>
      </w:r>
      <w:r w:rsidR="000608DE" w:rsidRPr="0075398B">
        <w:rPr>
          <w:lang w:val="en-US"/>
        </w:rPr>
        <w:t>. Note that a slight red</w:t>
      </w:r>
      <w:r w:rsidR="00F26C13" w:rsidRPr="0075398B">
        <w:rPr>
          <w:lang w:val="en-US"/>
        </w:rPr>
        <w:t>-</w:t>
      </w:r>
      <w:r w:rsidR="000608DE" w:rsidRPr="0075398B">
        <w:rPr>
          <w:lang w:val="en-US"/>
        </w:rPr>
        <w:t>shift can be</w:t>
      </w:r>
      <w:r w:rsidR="000422D9" w:rsidRPr="0075398B">
        <w:rPr>
          <w:lang w:val="en-US"/>
        </w:rPr>
        <w:t xml:space="preserve"> observed </w:t>
      </w:r>
      <w:r w:rsidR="0075398B">
        <w:rPr>
          <w:lang w:val="en-US"/>
        </w:rPr>
        <w:t xml:space="preserve">when </w:t>
      </w:r>
      <w:r w:rsidR="000422D9" w:rsidRPr="0075398B">
        <w:rPr>
          <w:lang w:val="en-US"/>
        </w:rPr>
        <w:t xml:space="preserve">comparing formazan </w:t>
      </w:r>
      <w:r w:rsidR="000608DE" w:rsidRPr="0075398B">
        <w:rPr>
          <w:lang w:val="en-US"/>
        </w:rPr>
        <w:t>and water</w:t>
      </w:r>
      <w:r w:rsidR="000422D9" w:rsidRPr="0075398B">
        <w:rPr>
          <w:lang w:val="en-US"/>
        </w:rPr>
        <w:t>, with maxima around 480 and 475 nm</w:t>
      </w:r>
      <w:r w:rsidR="0075398B">
        <w:rPr>
          <w:lang w:val="en-US"/>
        </w:rPr>
        <w:t>, respectively</w:t>
      </w:r>
      <w:r w:rsidR="000422D9" w:rsidRPr="0075398B">
        <w:rPr>
          <w:lang w:val="en-US"/>
        </w:rPr>
        <w:t xml:space="preserve"> (Figure S</w:t>
      </w:r>
      <w:r w:rsidR="006B25DB" w:rsidRPr="0075398B">
        <w:rPr>
          <w:lang w:val="en-US"/>
        </w:rPr>
        <w:t>1B)</w:t>
      </w:r>
      <w:r w:rsidR="000608DE" w:rsidRPr="0075398B">
        <w:rPr>
          <w:lang w:val="en-US"/>
        </w:rPr>
        <w:t>.</w:t>
      </w:r>
      <w:r w:rsidR="000422D9" w:rsidRPr="0075398B">
        <w:rPr>
          <w:lang w:val="en-US"/>
        </w:rPr>
        <w:t xml:space="preserve"> </w:t>
      </w:r>
      <w:r w:rsidR="0075398B">
        <w:rPr>
          <w:lang w:val="en-US"/>
        </w:rPr>
        <w:t>Consequently, the molecular absorption coefficient reported in water is corrected for the one in DMSO according to:</w:t>
      </w:r>
    </w:p>
    <w:p w14:paraId="511B8A50" w14:textId="77777777" w:rsidR="000422D9" w:rsidRPr="0075398B" w:rsidRDefault="000422D9" w:rsidP="00FD2284">
      <w:pPr>
        <w:rPr>
          <w:lang w:val="en-US"/>
        </w:rPr>
      </w:pPr>
    </w:p>
    <w:p w14:paraId="1C9BF6ED" w14:textId="355E58ED" w:rsidR="00FD2284" w:rsidRDefault="009C2C99" w:rsidP="00FD2284">
      <w:pPr>
        <w:rPr>
          <w:lang w:val="en-US"/>
        </w:rPr>
      </w:pPr>
      <m:oMath>
        <m:sSub>
          <m:sSubPr>
            <m:ctrlPr>
              <w:rPr>
                <w:rFonts w:ascii="Cambria Math" w:hAnsi="Cambria Math"/>
                <w:lang w:val="en-US"/>
              </w:rPr>
            </m:ctrlPr>
          </m:sSubPr>
          <m:e>
            <m:r>
              <m:rPr>
                <m:sty m:val="p"/>
              </m:rPr>
              <w:rPr>
                <w:rFonts w:ascii="Cambria Math" w:hAnsi="Cambria Math"/>
                <w:lang w:val="en-US"/>
              </w:rPr>
              <m:t>ε</m:t>
            </m:r>
          </m:e>
          <m:sub>
            <m:r>
              <w:rPr>
                <w:rFonts w:ascii="Cambria Math" w:hAnsi="Cambria Math"/>
                <w:lang w:val="en-US"/>
              </w:rPr>
              <m:t xml:space="preserve">DMSO,   480 nm </m:t>
            </m:r>
          </m:sub>
        </m:sSub>
        <m:r>
          <m:rPr>
            <m:sty m:val="p"/>
          </m:rPr>
          <w:rPr>
            <w:rFonts w:ascii="Cambria Math" w:hAnsi="Cambria Math"/>
            <w:vertAlign w:val="subscript"/>
            <w:lang w:val="en-US"/>
          </w:rPr>
          <m:t xml:space="preserve">= </m:t>
        </m:r>
        <m:f>
          <m:fPr>
            <m:ctrlPr>
              <w:rPr>
                <w:rFonts w:ascii="Cambria Math" w:hAnsi="Cambria Math"/>
                <w:vertAlign w:val="subscript"/>
                <w:lang w:val="en-US"/>
              </w:rPr>
            </m:ctrlPr>
          </m:fPr>
          <m:num>
            <m:r>
              <w:rPr>
                <w:rFonts w:ascii="Cambria Math" w:hAnsi="Cambria Math"/>
                <w:vertAlign w:val="subscript"/>
                <w:lang w:val="en-US"/>
              </w:rPr>
              <m:t>slope in DMSO</m:t>
            </m:r>
          </m:num>
          <m:den>
            <m:r>
              <w:rPr>
                <w:rFonts w:ascii="Cambria Math" w:hAnsi="Cambria Math"/>
                <w:vertAlign w:val="subscript"/>
                <w:lang w:val="en-US"/>
              </w:rPr>
              <m:t>slope in water</m:t>
            </m:r>
          </m:den>
        </m:f>
        <m:r>
          <m:rPr>
            <m:sty m:val="p"/>
          </m:rPr>
          <w:rPr>
            <w:rFonts w:ascii="Cambria Math" w:hAnsi="Cambria Math"/>
            <w:vertAlign w:val="subscript"/>
            <w:lang w:val="en-US"/>
          </w:rPr>
          <m:t>.</m:t>
        </m:r>
        <m:r>
          <m:rPr>
            <m:sty m:val="p"/>
          </m:rPr>
          <w:rPr>
            <w:rFonts w:ascii="Cambria Math"/>
            <w:vertAlign w:val="subscript"/>
            <w:lang w:val="en-US"/>
          </w:rPr>
          <m:t xml:space="preserve"> </m:t>
        </m:r>
        <m:sSub>
          <m:sSubPr>
            <m:ctrlPr>
              <w:rPr>
                <w:rFonts w:ascii="Cambria Math" w:hAnsi="Cambria Math"/>
                <w:lang w:val="en-US"/>
              </w:rPr>
            </m:ctrlPr>
          </m:sSubPr>
          <m:e>
            <m:r>
              <m:rPr>
                <m:sty m:val="p"/>
              </m:rPr>
              <w:rPr>
                <w:rFonts w:ascii="Cambria Math" w:hAnsi="Cambria Math"/>
                <w:lang w:val="en-US"/>
              </w:rPr>
              <m:t>ε</m:t>
            </m:r>
          </m:e>
          <m:sub>
            <m:r>
              <w:rPr>
                <w:rFonts w:ascii="Cambria Math" w:hAnsi="Cambria Math"/>
                <w:lang w:val="en-US"/>
              </w:rPr>
              <m:t xml:space="preserve">water,   475 nm </m:t>
            </m:r>
          </m:sub>
        </m:sSub>
      </m:oMath>
      <w:r w:rsidR="000608DE" w:rsidRPr="0075398B">
        <w:rPr>
          <w:lang w:val="en-US"/>
        </w:rPr>
        <w:t xml:space="preserve"> </w:t>
      </w:r>
      <w:r w:rsidR="000422D9" w:rsidRPr="0075398B">
        <w:rPr>
          <w:lang w:val="en-US"/>
        </w:rPr>
        <w:tab/>
      </w:r>
      <w:r w:rsidR="000422D9" w:rsidRPr="0075398B">
        <w:rPr>
          <w:lang w:val="en-US"/>
        </w:rPr>
        <w:tab/>
      </w:r>
      <w:r w:rsidR="000422D9" w:rsidRPr="0075398B">
        <w:rPr>
          <w:lang w:val="en-US"/>
        </w:rPr>
        <w:tab/>
      </w:r>
      <w:r w:rsidR="000422D9" w:rsidRPr="0075398B">
        <w:rPr>
          <w:lang w:val="en-US"/>
        </w:rPr>
        <w:tab/>
      </w:r>
      <w:r w:rsidR="000422D9" w:rsidRPr="0075398B">
        <w:rPr>
          <w:lang w:val="en-US"/>
        </w:rPr>
        <w:tab/>
      </w:r>
      <w:r w:rsidR="000422D9" w:rsidRPr="0075398B">
        <w:rPr>
          <w:lang w:val="en-US"/>
        </w:rPr>
        <w:tab/>
        <w:t>(1)</w:t>
      </w:r>
    </w:p>
    <w:p w14:paraId="7F8640E1" w14:textId="77777777" w:rsidR="0075398B" w:rsidRPr="0075398B" w:rsidRDefault="0075398B" w:rsidP="00FD2284">
      <w:pPr>
        <w:rPr>
          <w:lang w:val="en-US"/>
        </w:rPr>
      </w:pPr>
    </w:p>
    <w:p w14:paraId="3EDCBD7E" w14:textId="2605B989" w:rsidR="0075398B" w:rsidRPr="0075398B" w:rsidRDefault="0075398B" w:rsidP="0075398B">
      <w:pPr>
        <w:jc w:val="both"/>
        <w:rPr>
          <w:lang w:val="en-US"/>
        </w:rPr>
      </w:pPr>
      <w:r>
        <w:rPr>
          <w:lang w:val="en-US"/>
        </w:rPr>
        <w:t xml:space="preserve">This results in a corrected absorption coefficient, </w:t>
      </w:r>
      <w:proofErr w:type="spellStart"/>
      <w:r w:rsidRPr="0075398B">
        <w:rPr>
          <w:lang w:val="en-US"/>
        </w:rPr>
        <w:t>ε</w:t>
      </w:r>
      <w:r w:rsidRPr="0075398B">
        <w:rPr>
          <w:vertAlign w:val="subscript"/>
          <w:lang w:val="en-US"/>
        </w:rPr>
        <w:t>DMSO</w:t>
      </w:r>
      <w:proofErr w:type="spellEnd"/>
      <w:r w:rsidRPr="0075398B">
        <w:rPr>
          <w:vertAlign w:val="subscript"/>
          <w:lang w:val="en-US"/>
        </w:rPr>
        <w:t>, 480 nm</w:t>
      </w:r>
      <w:r w:rsidRPr="0075398B">
        <w:rPr>
          <w:lang w:val="en-US"/>
        </w:rPr>
        <w:t xml:space="preserve"> </w:t>
      </w:r>
      <w:r>
        <w:rPr>
          <w:lang w:val="en-US"/>
        </w:rPr>
        <w:t>of (</w:t>
      </w:r>
      <w:r w:rsidRPr="0075398B">
        <w:rPr>
          <w:lang w:val="en-US"/>
        </w:rPr>
        <w:t xml:space="preserve">26.1 </w:t>
      </w:r>
      <w:r w:rsidRPr="0075398B">
        <w:rPr>
          <w:lang w:val="en-US"/>
        </w:rPr>
        <w:sym w:font="Symbol" w:char="F0B1"/>
      </w:r>
      <w:r w:rsidRPr="0075398B">
        <w:rPr>
          <w:lang w:val="en-US"/>
        </w:rPr>
        <w:t xml:space="preserve"> 0.3).10</w:t>
      </w:r>
      <w:r w:rsidRPr="0075398B">
        <w:rPr>
          <w:vertAlign w:val="superscript"/>
          <w:lang w:val="en-US"/>
        </w:rPr>
        <w:t>3</w:t>
      </w:r>
      <w:r w:rsidRPr="0075398B">
        <w:rPr>
          <w:lang w:val="en-US"/>
        </w:rPr>
        <w:t xml:space="preserve"> M</w:t>
      </w:r>
      <w:r w:rsidRPr="0075398B">
        <w:rPr>
          <w:vertAlign w:val="superscript"/>
          <w:lang w:val="en-US"/>
        </w:rPr>
        <w:t>-1</w:t>
      </w:r>
      <w:r w:rsidRPr="0075398B">
        <w:rPr>
          <w:lang w:val="en-US"/>
        </w:rPr>
        <w:t>.cm</w:t>
      </w:r>
      <w:r w:rsidRPr="0075398B">
        <w:rPr>
          <w:vertAlign w:val="superscript"/>
          <w:lang w:val="en-US"/>
        </w:rPr>
        <w:t>-1</w:t>
      </w:r>
      <w:r>
        <w:rPr>
          <w:lang w:val="en-US"/>
        </w:rPr>
        <w:t>.</w:t>
      </w:r>
    </w:p>
    <w:p w14:paraId="23D82C07" w14:textId="77777777" w:rsidR="000422D9" w:rsidRPr="0075398B" w:rsidRDefault="000422D9" w:rsidP="00FD2284">
      <w:pPr>
        <w:rPr>
          <w:lang w:val="en-US"/>
        </w:rPr>
      </w:pPr>
    </w:p>
    <w:p w14:paraId="249F201C" w14:textId="78A644F0" w:rsidR="00FD2284" w:rsidRPr="0075398B" w:rsidRDefault="00F26C13" w:rsidP="00FD2284">
      <w:pPr>
        <w:rPr>
          <w:lang w:val="en-US"/>
        </w:rPr>
      </w:pPr>
      <w:r w:rsidRPr="0075398B">
        <w:rPr>
          <w:lang w:val="en-US" w:eastAsia="nl-BE"/>
        </w:rPr>
        <w:lastRenderedPageBreak/>
        <w:drawing>
          <wp:inline distT="0" distB="0" distL="0" distR="0" wp14:anchorId="1DAFAB8B" wp14:editId="10CCBEDA">
            <wp:extent cx="5657578" cy="265808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 1S Formazan MK.png"/>
                    <pic:cNvPicPr/>
                  </pic:nvPicPr>
                  <pic:blipFill>
                    <a:blip r:embed="rId14">
                      <a:extLst>
                        <a:ext uri="{28A0092B-C50C-407E-A947-70E740481C1C}">
                          <a14:useLocalDpi xmlns:a14="http://schemas.microsoft.com/office/drawing/2010/main" val="0"/>
                        </a:ext>
                      </a:extLst>
                    </a:blip>
                    <a:stretch>
                      <a:fillRect/>
                    </a:stretch>
                  </pic:blipFill>
                  <pic:spPr>
                    <a:xfrm>
                      <a:off x="0" y="0"/>
                      <a:ext cx="5657578" cy="2658086"/>
                    </a:xfrm>
                    <a:prstGeom prst="rect">
                      <a:avLst/>
                    </a:prstGeom>
                  </pic:spPr>
                </pic:pic>
              </a:graphicData>
            </a:graphic>
          </wp:inline>
        </w:drawing>
      </w:r>
    </w:p>
    <w:p w14:paraId="2E5654A2" w14:textId="3891232A" w:rsidR="000B7F2A" w:rsidRPr="0075398B" w:rsidRDefault="000B7F2A" w:rsidP="0075398B">
      <w:pPr>
        <w:jc w:val="both"/>
        <w:rPr>
          <w:lang w:val="en-US"/>
        </w:rPr>
      </w:pPr>
      <w:r w:rsidRPr="0075398B">
        <w:rPr>
          <w:b/>
          <w:bCs/>
          <w:lang w:val="en-US"/>
        </w:rPr>
        <w:t xml:space="preserve">Figure </w:t>
      </w:r>
      <w:r w:rsidR="0075398B" w:rsidRPr="0075398B">
        <w:rPr>
          <w:b/>
          <w:bCs/>
          <w:lang w:val="en-US"/>
        </w:rPr>
        <w:t>S</w:t>
      </w:r>
      <w:r w:rsidRPr="0075398B">
        <w:rPr>
          <w:b/>
          <w:bCs/>
          <w:lang w:val="en-US"/>
        </w:rPr>
        <w:t>1.</w:t>
      </w:r>
      <w:r w:rsidRPr="0075398B">
        <w:rPr>
          <w:lang w:val="en-US"/>
        </w:rPr>
        <w:t xml:space="preserve"> (A) Formazan </w:t>
      </w:r>
      <w:r w:rsidR="001201F5">
        <w:rPr>
          <w:lang w:val="en-US"/>
        </w:rPr>
        <w:t>dilution series</w:t>
      </w:r>
      <w:r w:rsidRPr="0075398B">
        <w:rPr>
          <w:lang w:val="en-US"/>
        </w:rPr>
        <w:t xml:space="preserve"> </w:t>
      </w:r>
      <w:r w:rsidR="0075398B">
        <w:rPr>
          <w:lang w:val="en-US"/>
        </w:rPr>
        <w:t xml:space="preserve">in </w:t>
      </w:r>
      <w:r w:rsidRPr="0075398B">
        <w:rPr>
          <w:lang w:val="en-US"/>
        </w:rPr>
        <w:t xml:space="preserve">DMSO (□, slope of 0.0545 </w:t>
      </w:r>
      <w:r w:rsidRPr="0075398B">
        <w:rPr>
          <w:lang w:val="en-US"/>
        </w:rPr>
        <w:sym w:font="Symbol" w:char="F0B1"/>
      </w:r>
      <w:r w:rsidRPr="0075398B">
        <w:rPr>
          <w:lang w:val="en-US"/>
        </w:rPr>
        <w:t xml:space="preserve"> 0.0004) and water </w:t>
      </w:r>
      <w:r w:rsidR="00F26C13" w:rsidRPr="0075398B">
        <w:rPr>
          <w:lang w:val="en-US"/>
        </w:rPr>
        <w:t>(</w:t>
      </w:r>
      <w:r w:rsidRPr="0075398B">
        <w:rPr>
          <w:lang w:val="en-US"/>
        </w:rPr>
        <w:t>○</w:t>
      </w:r>
      <w:r w:rsidR="00F26C13" w:rsidRPr="0075398B">
        <w:rPr>
          <w:lang w:val="en-US"/>
        </w:rPr>
        <w:t xml:space="preserve">, slope of 0.0498 </w:t>
      </w:r>
      <w:r w:rsidR="00F26C13" w:rsidRPr="0075398B">
        <w:rPr>
          <w:lang w:val="en-US"/>
        </w:rPr>
        <w:sym w:font="Symbol" w:char="F0B1"/>
      </w:r>
      <w:r w:rsidR="00F26C13" w:rsidRPr="0075398B">
        <w:rPr>
          <w:lang w:val="en-US"/>
        </w:rPr>
        <w:t xml:space="preserve"> 0.0003). (B) UV-VIS absorption spectrum for 1% formazan solutions in water (full) and DMSO (dashed line). Note that the small red-shift is indicated with a red arrow.</w:t>
      </w:r>
    </w:p>
    <w:p w14:paraId="3B2DF435" w14:textId="77777777" w:rsidR="00A96908" w:rsidRPr="0075398B" w:rsidRDefault="00A96908" w:rsidP="00FD2284">
      <w:pPr>
        <w:rPr>
          <w:lang w:val="en-US"/>
        </w:rPr>
      </w:pPr>
    </w:p>
    <w:p w14:paraId="4491A793" w14:textId="77777777" w:rsidR="000B7F2A" w:rsidRPr="0075398B" w:rsidRDefault="000B7F2A" w:rsidP="00FD2284">
      <w:pPr>
        <w:rPr>
          <w:lang w:val="en-US"/>
        </w:rPr>
      </w:pPr>
    </w:p>
    <w:p w14:paraId="59370DE6" w14:textId="63BE7DC1" w:rsidR="002D16A0" w:rsidRPr="0075398B" w:rsidRDefault="00FD2284" w:rsidP="004D01EA">
      <w:pPr>
        <w:pStyle w:val="Head1"/>
      </w:pPr>
      <w:r w:rsidRPr="0075398B">
        <w:t>2</w:t>
      </w:r>
      <w:r w:rsidR="002D16A0" w:rsidRPr="0075398B">
        <w:t xml:space="preserve">. </w:t>
      </w:r>
      <w:r w:rsidR="004D01EA" w:rsidRPr="0075398B">
        <w:t>Kinetic model</w:t>
      </w:r>
    </w:p>
    <w:p w14:paraId="0BC735EB" w14:textId="140E50EC" w:rsidR="004D01EA" w:rsidRPr="0075398B" w:rsidRDefault="004D01EA" w:rsidP="001C5CBA">
      <w:pPr>
        <w:jc w:val="both"/>
        <w:rPr>
          <w:lang w:val="en-US"/>
        </w:rPr>
      </w:pPr>
      <w:r w:rsidRPr="0075398B">
        <w:rPr>
          <w:lang w:val="en-US"/>
        </w:rPr>
        <w:t xml:space="preserve">The model is based on the one proposed by </w:t>
      </w:r>
      <w:proofErr w:type="spellStart"/>
      <w:r w:rsidRPr="0075398B">
        <w:rPr>
          <w:lang w:val="en-US"/>
        </w:rPr>
        <w:t>Oritani</w:t>
      </w:r>
      <w:proofErr w:type="spellEnd"/>
      <w:r w:rsidRPr="0075398B">
        <w:rPr>
          <w:lang w:val="en-US"/>
        </w:rPr>
        <w:t xml:space="preserve"> et al</w:t>
      </w:r>
      <w:r w:rsidRPr="0075398B">
        <w:rPr>
          <w:i/>
          <w:lang w:val="en-US"/>
        </w:rPr>
        <w:t>.</w:t>
      </w:r>
      <w:r w:rsidRPr="0075398B">
        <w:rPr>
          <w:lang w:val="en-US"/>
        </w:rPr>
        <w:t>, who studied the electron transfer between water soluble tetrazolium salts and superoxide</w:t>
      </w:r>
      <w:r w:rsidR="00B74D68" w:rsidRPr="0075398B">
        <w:rPr>
          <w:lang w:val="en-US"/>
        </w:rPr>
        <w:t xml:space="preserve"> </w:t>
      </w:r>
      <w:r w:rsidRPr="0075398B">
        <w:rPr>
          <w:lang w:val="en-US"/>
        </w:rPr>
        <w:fldChar w:fldCharType="begin" w:fldLock="1"/>
      </w:r>
      <w:r w:rsidR="006B25DB" w:rsidRPr="0075398B">
        <w:rPr>
          <w:lang w:val="en-US"/>
        </w:rPr>
        <w:instrText>ADDIN CSL_CITATION {"citationItems":[{"id":"ITEM-1","itemData":{"DOI":"10.1016/j.ica.2003.05.007","ISBN":"0020-1693","ISSN":"00201693","abstract":"The electrochemical behavior of water-soluble tetrazoliums (WST) has been studied by cyclic voltammetry. WST was reduced in a two-step process. The first reduction peak at -0.20 V versus Ag/AgCl corresponds to one-electron reduction reaction and is independent of pH. The second reduction peak at -0.47 V corresponds to one-electron/one-proton process. Since the first reduction peak potential is more positive than the formal potential of O2/O 2- redox couple, WST can be reduced by O2-. A possible mechanism is proposed for the reduction of WST dyes by O2-. Their reduced forms, which are called formazan, exhibited the absorbance maxima in the range of 435-537 nm with large molar extinction coefficients ((1-2)×104 M-1 cm -1). The electron-transfer reactions between O2- and WST dyes were quantitatively examined by stopped-flow spectroscopy using KO2/DMSO as O2- generating system and the second-order rate constants of the order of 104 M -1 s-1 were obtained. These values are comparable to that obtained for the conventional nitroblue tetrazolium (NBT). © 2003 Elsevier B.V. All rights reserved.","author":[{"dropping-particle":"","family":"Oritani","given":"Tadato","non-dropping-particle":"","parse-names":false,"suffix":""},{"dropping-particle":"","family":"Fukuhara","given":"Nobutaka","non-dropping-particle":"","parse-names":false,"suffix":""},{"dropping-particle":"","family":"Okajima","given":"Takeyoshi","non-dropping-particle":"","parse-names":false,"suffix":""},{"dropping-particle":"","family":"Kitamura","given":"Fusao","non-dropping-particle":"","parse-names":false,"suffix":""},{"dropping-particle":"","family":"Ohsaka","given":"Takeo","non-dropping-particle":"","parse-names":false,"suffix":""}],"container-title":"Inorganica Chimica Acta","id":"ITEM-1","issue":"2","issued":{"date-parts":[["2004"]]},"page":"436-442","title":"Electrochemical and spectroscopic studies on electron-transfer reaction between novel water-soluble tetrazolium salts and a superoxide ion","type":"article-journal","volume":"357"},"uris":["http://www.mendeley.com/documents/?uuid=ceaa3303-f3ec-4c4b-90bb-bb3d336093f2"]}],"mendeley":{"formattedCitation":"(Oritani et al., 2004)","plainTextFormattedCitation":"(Oritani et al., 2004)","previouslyFormattedCitation":"(Oritani et al., 2004)"},"properties":{"noteIndex":0},"schema":"https://github.com/citation-style-language/schema/raw/master/csl-citation.json"}</w:instrText>
      </w:r>
      <w:r w:rsidRPr="0075398B">
        <w:rPr>
          <w:lang w:val="en-US"/>
        </w:rPr>
        <w:fldChar w:fldCharType="separate"/>
      </w:r>
      <w:r w:rsidR="00B74D68" w:rsidRPr="0075398B">
        <w:rPr>
          <w:lang w:val="en-US"/>
        </w:rPr>
        <w:t>(</w:t>
      </w:r>
      <w:proofErr w:type="spellStart"/>
      <w:r w:rsidR="00B74D68" w:rsidRPr="0075398B">
        <w:rPr>
          <w:lang w:val="en-US"/>
        </w:rPr>
        <w:t>Oritani</w:t>
      </w:r>
      <w:proofErr w:type="spellEnd"/>
      <w:r w:rsidR="00B74D68" w:rsidRPr="0075398B">
        <w:rPr>
          <w:lang w:val="en-US"/>
        </w:rPr>
        <w:t xml:space="preserve"> et al., 2004)</w:t>
      </w:r>
      <w:r w:rsidRPr="0075398B">
        <w:rPr>
          <w:lang w:val="en-US"/>
        </w:rPr>
        <w:fldChar w:fldCharType="end"/>
      </w:r>
      <w:r w:rsidR="00B74D68" w:rsidRPr="0075398B">
        <w:rPr>
          <w:lang w:val="en-US"/>
        </w:rPr>
        <w:t>.</w:t>
      </w:r>
      <w:r w:rsidRPr="0075398B">
        <w:rPr>
          <w:lang w:val="en-US"/>
        </w:rPr>
        <w:t xml:space="preserve"> The goal is to obtain a model that can be used to fit the observed trends in formazan evolution during the XTT assay. From these fits relevant and quantitative information on the oxygen activation efficiency of the catalyst under study can then be extracted. The general idea behind the XTT assay is that plasmon excited nanoparticles activate oxygen by transferring a ‘hot’ electron to adsorbed O</w:t>
      </w:r>
      <w:r w:rsidRPr="0075398B">
        <w:rPr>
          <w:vertAlign w:val="subscript"/>
          <w:lang w:val="en-US"/>
        </w:rPr>
        <w:t>2</w:t>
      </w:r>
      <w:r w:rsidRPr="0075398B">
        <w:rPr>
          <w:lang w:val="en-US"/>
        </w:rPr>
        <w:t xml:space="preserve"> molecules on the nanoparticle surface thereby forming O</w:t>
      </w:r>
      <w:r w:rsidRPr="0075398B">
        <w:rPr>
          <w:vertAlign w:val="subscript"/>
          <w:lang w:val="en-US"/>
        </w:rPr>
        <w:t>2</w:t>
      </w:r>
      <w:r w:rsidRPr="0075398B">
        <w:rPr>
          <w:vertAlign w:val="superscript"/>
          <w:lang w:val="en-US"/>
        </w:rPr>
        <w:t>•-</w:t>
      </w:r>
      <w:r w:rsidRPr="0075398B">
        <w:rPr>
          <w:lang w:val="en-US"/>
        </w:rPr>
        <w:t xml:space="preserve">. This superoxide anion radical subsequently reacts with XTT forming formazan (F), of which the formation can be monitored using UV-VIS spectroscopy. The reactions are summarized in Equation </w:t>
      </w:r>
      <w:r w:rsidR="000422D9" w:rsidRPr="0075398B">
        <w:rPr>
          <w:lang w:val="en-US"/>
        </w:rPr>
        <w:t>2</w:t>
      </w:r>
      <w:r w:rsidRPr="0075398B">
        <w:rPr>
          <w:lang w:val="en-US"/>
        </w:rPr>
        <w:t xml:space="preserve"> and </w:t>
      </w:r>
      <w:r w:rsidR="000422D9" w:rsidRPr="0075398B">
        <w:rPr>
          <w:lang w:val="en-US"/>
        </w:rPr>
        <w:t>3</w:t>
      </w:r>
      <w:r w:rsidRPr="0075398B">
        <w:rPr>
          <w:lang w:val="en-US"/>
        </w:rPr>
        <w:t>.</w:t>
      </w:r>
    </w:p>
    <w:p w14:paraId="46D40F5F" w14:textId="77777777" w:rsidR="00B74D68" w:rsidRPr="0075398B" w:rsidRDefault="00B74D68" w:rsidP="00B74D68">
      <w:pPr>
        <w:rPr>
          <w:lang w:val="en-US"/>
        </w:rPr>
      </w:pPr>
    </w:p>
    <w:p w14:paraId="746C301D" w14:textId="0D626AF3" w:rsidR="004D01EA" w:rsidRPr="0075398B" w:rsidRDefault="004D01EA" w:rsidP="004D01EA">
      <w:pPr>
        <w:pStyle w:val="TAMainText"/>
        <w:spacing w:line="360" w:lineRule="auto"/>
        <w:ind w:firstLine="0"/>
        <w:jc w:val="left"/>
        <w:rPr>
          <w:rFonts w:ascii="Times New Roman" w:hAnsi="Times New Roman"/>
        </w:rPr>
      </w:pPr>
      <m:oMath>
        <m:r>
          <w:rPr>
            <w:rFonts w:ascii="Cambria Math" w:hAnsi="Cambria Math"/>
          </w:rPr>
          <m:t>Rainbow</m:t>
        </m:r>
        <m:r>
          <m:rPr>
            <m:sty m:val="p"/>
          </m:rPr>
          <w:rPr>
            <w:rFonts w:ascii="Cambria Math" w:hAnsi="Cambria Math"/>
          </w:rPr>
          <m:t xml:space="preserve"> </m:t>
        </m:r>
        <m:r>
          <w:rPr>
            <w:rFonts w:ascii="Cambria Math" w:hAnsi="Cambria Math"/>
          </w:rPr>
          <m:t>photocatalyst</m:t>
        </m:r>
        <m:r>
          <m:rPr>
            <m:sty m:val="p"/>
          </m:rPr>
          <w:rPr>
            <w:rFonts w:ascii="Cambria Math" w:hAnsi="Cambria Math"/>
          </w:rPr>
          <m:t xml:space="preserve"> </m:t>
        </m:r>
        <m:r>
          <w:rPr>
            <w:rFonts w:ascii="Cambria Math" w:hAnsi="Cambria Math"/>
          </w:rPr>
          <m:t>on</m:t>
        </m:r>
        <m:r>
          <m:rPr>
            <m:sty m:val="p"/>
          </m:rPr>
          <w:rPr>
            <w:rFonts w:ascii="Cambria Math" w:hAnsi="Cambria Math"/>
          </w:rPr>
          <m:t xml:space="preserve"> </m:t>
        </m:r>
        <m:r>
          <w:rPr>
            <w:rFonts w:ascii="Cambria Math" w:hAnsi="Cambria Math"/>
          </w:rPr>
          <m:t>Si</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box>
          <m:boxPr>
            <m:opEmu m:val="1"/>
            <m:ctrlPr>
              <w:rPr>
                <w:rFonts w:ascii="Cambria Math" w:hAnsi="Cambria Math"/>
              </w:rPr>
            </m:ctrlPr>
          </m:boxPr>
          <m:e>
            <m:groupChr>
              <m:groupChrPr>
                <m:chr m:val="→"/>
                <m:vertJc m:val="bot"/>
                <m:ctrlPr>
                  <w:rPr>
                    <w:rFonts w:ascii="Cambria Math" w:hAnsi="Cambria Math"/>
                  </w:rPr>
                </m:ctrlPr>
              </m:groupChrPr>
              <m:e>
                <m:r>
                  <w:rPr>
                    <w:rFonts w:ascii="Cambria Math" w:hAnsi="Cambria Math"/>
                  </w:rPr>
                  <m:t>hν</m:t>
                </m:r>
              </m:e>
            </m:groupChr>
          </m:e>
        </m:box>
        <m:sSubSup>
          <m:sSubSupPr>
            <m:ctrlPr>
              <w:rPr>
                <w:rFonts w:ascii="Cambria Math" w:hAnsi="Cambria Math"/>
              </w:rPr>
            </m:ctrlPr>
          </m:sSubSupPr>
          <m:e>
            <m:r>
              <w:rPr>
                <w:rFonts w:ascii="Cambria Math" w:hAnsi="Cambria Math"/>
              </w:rPr>
              <m:t>O</m:t>
            </m:r>
          </m:e>
          <m:sub>
            <m:r>
              <m:rPr>
                <m:sty m:val="p"/>
              </m:rPr>
              <w:rPr>
                <w:rFonts w:ascii="Cambria Math" w:hAnsi="Cambria Math"/>
              </w:rPr>
              <m:t>2</m:t>
            </m:r>
          </m:sub>
          <m:sup>
            <m:r>
              <m:rPr>
                <m:sty m:val="p"/>
              </m:rPr>
              <w:rPr>
                <w:rFonts w:ascii="Cambria Math" w:hAnsi="Cambria Math"/>
              </w:rPr>
              <m:t>•-</m:t>
            </m:r>
          </m:sup>
        </m:sSubSup>
      </m:oMath>
      <w:r w:rsidRPr="0075398B">
        <w:rPr>
          <w:rFonts w:ascii="Times New Roman" w:hAnsi="Times New Roman"/>
          <w:vertAlign w:val="superscript"/>
        </w:rPr>
        <w:tab/>
      </w:r>
      <w:r w:rsidRPr="0075398B">
        <w:rPr>
          <w:rFonts w:ascii="Times New Roman" w:hAnsi="Times New Roman"/>
          <w:vertAlign w:val="superscript"/>
        </w:rPr>
        <w:tab/>
      </w:r>
      <w:r w:rsidRPr="0075398B">
        <w:rPr>
          <w:rFonts w:ascii="Times New Roman" w:hAnsi="Times New Roman"/>
          <w:vertAlign w:val="superscript"/>
        </w:rPr>
        <w:tab/>
      </w:r>
      <w:r w:rsidRPr="0075398B">
        <w:rPr>
          <w:rFonts w:ascii="Times New Roman" w:hAnsi="Times New Roman"/>
          <w:vertAlign w:val="superscript"/>
        </w:rPr>
        <w:tab/>
      </w:r>
      <w:r w:rsidRPr="0075398B">
        <w:rPr>
          <w:rFonts w:ascii="Times New Roman" w:hAnsi="Times New Roman"/>
          <w:vertAlign w:val="superscript"/>
        </w:rPr>
        <w:tab/>
      </w:r>
      <w:r w:rsidRPr="0075398B">
        <w:rPr>
          <w:rFonts w:ascii="Times New Roman" w:hAnsi="Times New Roman"/>
          <w:vertAlign w:val="superscript"/>
        </w:rPr>
        <w:tab/>
      </w:r>
      <w:r w:rsidRPr="0075398B">
        <w:rPr>
          <w:rFonts w:ascii="Times New Roman" w:hAnsi="Times New Roman"/>
        </w:rPr>
        <w:t>(</w:t>
      </w:r>
      <w:r w:rsidR="000422D9" w:rsidRPr="0075398B">
        <w:rPr>
          <w:rFonts w:ascii="Times New Roman" w:hAnsi="Times New Roman"/>
        </w:rPr>
        <w:t>2</w:t>
      </w:r>
      <w:r w:rsidRPr="0075398B">
        <w:rPr>
          <w:rFonts w:ascii="Times New Roman" w:hAnsi="Times New Roman"/>
        </w:rPr>
        <w:t>)</w:t>
      </w:r>
    </w:p>
    <w:p w14:paraId="027BD96D" w14:textId="211031E7" w:rsidR="00401986" w:rsidRPr="0075398B" w:rsidRDefault="009C2C99" w:rsidP="000422D9">
      <w:pPr>
        <w:pStyle w:val="TAMainText"/>
        <w:spacing w:after="240" w:line="360" w:lineRule="auto"/>
        <w:ind w:firstLine="0"/>
        <w:jc w:val="left"/>
      </w:pPr>
      <m:oMath>
        <m:sSubSup>
          <m:sSubSupPr>
            <m:ctrlPr>
              <w:rPr>
                <w:rFonts w:ascii="Cambria Math" w:hAnsi="Cambria Math"/>
                <w:i/>
              </w:rPr>
            </m:ctrlPr>
          </m:sSubSupPr>
          <m:e>
            <m:r>
              <w:rPr>
                <w:rFonts w:ascii="Cambria Math" w:hAnsi="Cambria Math"/>
              </w:rPr>
              <m:t>2O</m:t>
            </m:r>
          </m:e>
          <m:sub>
            <m:r>
              <w:rPr>
                <w:rFonts w:ascii="Cambria Math" w:hAnsi="Cambria Math"/>
              </w:rPr>
              <m:t>2</m:t>
            </m:r>
          </m:sub>
          <m:sup>
            <m:r>
              <w:rPr>
                <w:rFonts w:ascii="Cambria Math" w:hAnsi="Cambria Math"/>
              </w:rPr>
              <m:t>•-</m:t>
            </m:r>
          </m:sup>
        </m:sSubSup>
        <m:r>
          <w:rPr>
            <w:rFonts w:ascii="Cambria Math" w:hAnsi="Cambria Math"/>
          </w:rPr>
          <m:t>+XTT</m:t>
        </m:r>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H</m:t>
                    </m:r>
                  </m:e>
                  <m:sup>
                    <m:r>
                      <w:rPr>
                        <w:rFonts w:ascii="Cambria Math" w:hAnsi="Cambria Math"/>
                      </w:rPr>
                      <m:t>+</m:t>
                    </m:r>
                  </m:sup>
                </m:sSup>
              </m:e>
            </m:groupChr>
          </m:e>
        </m:box>
        <m:r>
          <w:rPr>
            <w:rFonts w:ascii="Cambria Math" w:hAnsi="Cambria Math"/>
          </w:rPr>
          <m:t>2</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+F</m:t>
        </m:r>
      </m:oMath>
      <w:r w:rsidR="000422D9" w:rsidRPr="0075398B">
        <w:rPr>
          <w:rFonts w:ascii="Times New Roman" w:hAnsi="Times New Roman"/>
        </w:rPr>
        <w:tab/>
      </w:r>
      <w:r w:rsidR="000422D9" w:rsidRPr="0075398B">
        <w:rPr>
          <w:rFonts w:ascii="Times New Roman" w:hAnsi="Times New Roman"/>
        </w:rPr>
        <w:tab/>
      </w:r>
      <w:r w:rsidR="000422D9" w:rsidRPr="0075398B">
        <w:rPr>
          <w:rFonts w:ascii="Times New Roman" w:hAnsi="Times New Roman"/>
        </w:rPr>
        <w:tab/>
      </w:r>
      <w:r w:rsidR="000422D9" w:rsidRPr="0075398B">
        <w:rPr>
          <w:rFonts w:ascii="Times New Roman" w:hAnsi="Times New Roman"/>
        </w:rPr>
        <w:tab/>
      </w:r>
      <w:r w:rsidR="000422D9" w:rsidRPr="0075398B">
        <w:rPr>
          <w:rFonts w:ascii="Times New Roman" w:hAnsi="Times New Roman"/>
        </w:rPr>
        <w:tab/>
      </w:r>
      <w:r w:rsidR="000422D9" w:rsidRPr="0075398B">
        <w:rPr>
          <w:rFonts w:ascii="Times New Roman" w:hAnsi="Times New Roman"/>
        </w:rPr>
        <w:tab/>
      </w:r>
      <w:r w:rsidR="000422D9" w:rsidRPr="0075398B">
        <w:rPr>
          <w:rFonts w:ascii="Times New Roman" w:hAnsi="Times New Roman"/>
        </w:rPr>
        <w:tab/>
      </w:r>
      <w:r w:rsidR="000422D9" w:rsidRPr="0075398B">
        <w:rPr>
          <w:rFonts w:ascii="Times New Roman" w:hAnsi="Times New Roman"/>
        </w:rPr>
        <w:tab/>
      </w:r>
      <w:r w:rsidR="000422D9" w:rsidRPr="0075398B">
        <w:rPr>
          <w:rFonts w:ascii="Times New Roman" w:hAnsi="Times New Roman"/>
        </w:rPr>
        <w:tab/>
        <w:t>(3</w:t>
      </w:r>
      <w:r w:rsidR="004D01EA" w:rsidRPr="0075398B">
        <w:rPr>
          <w:rFonts w:ascii="Times New Roman" w:hAnsi="Times New Roman"/>
        </w:rPr>
        <w:t>)</w:t>
      </w:r>
    </w:p>
    <w:p w14:paraId="5A01A7A7" w14:textId="284A31C4" w:rsidR="004D01EA" w:rsidRPr="0075398B" w:rsidRDefault="004D01EA" w:rsidP="001C5CBA">
      <w:pPr>
        <w:jc w:val="both"/>
        <w:rPr>
          <w:lang w:val="en-US"/>
        </w:rPr>
      </w:pPr>
      <w:r w:rsidRPr="0075398B">
        <w:rPr>
          <w:lang w:val="en-US"/>
        </w:rPr>
        <w:t xml:space="preserve">The reduction of tetrazolium salts occurs via a two-electron process with the intermediary formation of a one-electron reduced </w:t>
      </w:r>
      <w:proofErr w:type="spellStart"/>
      <w:r w:rsidRPr="0075398B">
        <w:rPr>
          <w:lang w:val="en-US"/>
        </w:rPr>
        <w:t>tetrazolinyl</w:t>
      </w:r>
      <w:proofErr w:type="spellEnd"/>
      <w:r w:rsidRPr="0075398B">
        <w:rPr>
          <w:lang w:val="en-US"/>
        </w:rPr>
        <w:t xml:space="preserve"> radical. This one-electron reduced tetrazolium salt radical subsequently </w:t>
      </w:r>
      <w:proofErr w:type="spellStart"/>
      <w:r w:rsidRPr="0075398B">
        <w:rPr>
          <w:lang w:val="en-US"/>
        </w:rPr>
        <w:t>disproportionates</w:t>
      </w:r>
      <w:proofErr w:type="spellEnd"/>
      <w:r w:rsidRPr="0075398B">
        <w:rPr>
          <w:lang w:val="en-US"/>
        </w:rPr>
        <w:t xml:space="preserve"> into the original tetrazolium salt and its corresponding formazan (</w:t>
      </w:r>
      <w:r w:rsidRPr="0075398B">
        <w:rPr>
          <w:i/>
          <w:lang w:val="en-US"/>
        </w:rPr>
        <w:t xml:space="preserve">i.e. </w:t>
      </w:r>
      <w:r w:rsidRPr="0075398B">
        <w:rPr>
          <w:lang w:val="en-US"/>
        </w:rPr>
        <w:t>the two-electron reduced form).</w:t>
      </w:r>
      <w:r w:rsidRPr="0075398B">
        <w:rPr>
          <w:lang w:val="en-US"/>
        </w:rPr>
        <w:fldChar w:fldCharType="begin" w:fldLock="1"/>
      </w:r>
      <w:r w:rsidR="006B25DB" w:rsidRPr="0075398B">
        <w:rPr>
          <w:lang w:val="en-US"/>
        </w:rPr>
        <w:instrText>ADDIN CSL_CITATION {"citationItems":[{"id":"ITEM-1","itemData":{"DOI":"10.1021/j100445a006","ISSN":"0022-3654","abstract":"The reduction of nitro blue tetrazolium (NBT2+) by CO2- and O2- has been studied by the stopped-flow method and the pulse-radiolysis technique. Both reductants form the tetrazolinyl radical, and the rate constants are k (NBT(2+) + CO2-) = (6.4 +- 0.2) x 10^9 M^(-1) s^(-1) and k (NBT(2+) + O2-) = (5.88 +- 0.12) x 10^4 M^(-1) s^(-1). In the absence of other reactants, the tetrazolinyl radicals (NBT+) disappear by a pH-dependent second-order disproportionation reaction to produce monoformazan (MF+) and nitro blue tetrazolium (NBT2+) ions. The tetrazolinyl radical (NBT+) has an absorption maximum at 405 nm with a pH-independent molar extinction coefficient epsilon(405nm) = 15,000 +- 350 M^(-1) cm^(-1). Monoformazan (MF+) has an absorption maximum at 530 nm; its molar extinction coefficient varies from epsilon (530 nm) = 25,400 +- 1200 M^(-1) cm^(-1) at pH 9.5-11.0 to epsilon (530nm) = 12,800 +- 640 M^(-1) cm^(-1) at pH 5.7-6.7. Mechanisms for the overall reaction are discussed.","author":[{"dropping-particle":"","family":"Bielski","given":"Benon H. J.","non-dropping-particle":"","parse-names":false,"suffix":""},{"dropping-particle":"","family":"Shiue","given":"Grace G.","non-dropping-particle":"","parse-names":false,"suffix":""},{"dropping-particle":"","family":"Bajuk","given":"Stanley","non-dropping-particle":"","parse-names":false,"suffix":""}],"container-title":"The Journal of Physical Chemistry","id":"ITEM-1","issued":{"date-parts":[["1980"]]},"page":"830-833","title":"Reduction of nitro blue tetrazolium by CO2- and O2- radicals","type":"article-journal","volume":"84"},"uris":["http://www.mendeley.com/documents/?uuid=ff7ac519-3cda-4a36-95c9-83c7fc8cb7e8"]},{"id":"ITEM-2","itemData":{"DOI":"10.1016/0022-0728(91)85099-B","ISSN":"00220728","abstract":"Combined cyclic voltammetric and controlled-potential coulometric data enabled the study of the electrochemical behaviour of tetrazolium blue (TB2+) on the surface of a glassy carbon electrode. A mechanism is proposed for the reduction and reoxidation of this dye in a heterogeneous solvent-non-ionic micelles of Triton X-100 - in a aqueous buffer solution at pH 7.0. The mechanism of reduction is analogous to the one proposed previously on a dropping mercury electrode (M.I. Viseu, M.L.S. Simões Gonçalves, S.M.B. Costa and M.I.C. Ferreira, J. Electroanal. Chem., 282 (1990) 201). The reoxidation reaction consists of an irreversible diffusion-controlled process, with four electrons transferred, with a superimposed adsorption process. Controlled-potential coulometry also permitted the separation of the two reduced forms of tetrazolium blue: TBH+ in solution and TBH2 adsorbed on the electrode. © 1990.","author":[{"dropping-particle":"","family":"Viseu","given":"Maria Isabel","non-dropping-particle":"","parse-names":false,"suffix":""},{"dropping-particle":"","family":"Gonçalves","given":"M. L.S.Simões","non-dropping-particle":"","parse-names":false,"suffix":""},{"dropping-particle":"","family":"Costa","given":"Silvia M.B.","non-dropping-particle":"","parse-names":false,"suffix":""},{"dropping-particle":"","family":"Ferreira","given":"Maria Isabel C.","non-dropping-particle":"","parse-names":false,"suffix":""}],"container-title":"Journal of Electroanalytical Chemistry","id":"ITEM-2","issue":"1-2","issued":{"date-parts":[["1990"]]},"page":"201-214","title":"Mechanism of the electrochemical reduction of tetrazolium blue in non-ionic micelles","type":"article-journal","volume":"282"},"uris":["http://www.mendeley.com/documents/?uuid=669b7558-cb9f-4d74-8457-639fb38c6894"]},{"id":"ITEM-3","itemData":{"ISBN":"0005044804","author":[{"dropping-particle":"","family":"Neugebauer","given":"Franz A.","non-dropping-particle":"","parse-names":false,"suffix":""},{"dropping-particle":"","family":"Russel","given":"Glen A.","non-dropping-particle":"","parse-names":false,"suffix":""}],"container-title":"The Journal of Organic Chemistry","id":"ITEM-3","issue":"7","issued":{"date-parts":[["1968"]]},"page":"2744-2746","title":"Tetrazolinyl Radicals","type":"article-journal","volume":"33"},"uris":["http://www.mendeley.com/documents/?uuid=9a37d8bc-a155-4c27-bde4-0d0a40d25298"]},{"id":"ITEM-4","itemData":{"DOI":"10.1016/j.ica.2003.05.007","ISBN":"0020-1693","ISSN":"00201693","abstract":"The electrochemical behavior of water-soluble tetrazoliums (WST) has been studied by cyclic voltammetry. WST was reduced in a two-step process. The first reduction peak at -0.20 V versus Ag/AgCl corresponds to one-electron reduction reaction and is independent of pH. The second reduction peak at -0.47 V corresponds to one-electron/one-proton process. Since the first reduction peak potential is more positive than the formal potential of O2/O 2- redox couple, WST can be reduced by O2-. A possible mechanism is proposed for the reduction of WST dyes by O2-. Their reduced forms, which are called formazan, exhibited the absorbance maxima in the range of 435-537 nm with large molar extinction coefficients ((1-2)×104 M-1 cm -1). The electron-transfer reactions between O2- and WST dyes were quantitatively examined by stopped-flow spectroscopy using KO2/DMSO as O2- generating system and the second-order rate constants of the order of 104 M -1 s-1 were obtained. These values are comparable to that obtained for the conventional nitroblue tetrazolium (NBT). © 2003 Elsevier B.V. All rights reserved.","author":[{"dropping-particle":"","family":"Oritani","given":"Tadato","non-dropping-particle":"","parse-names":false,"suffix":""},{"dropping-particle":"","family":"Fukuhara","given":"Nobutaka","non-dropping-particle":"","parse-names":false,"suffix":""},{"dropping-particle":"","family":"Okajima","given":"Takeyoshi","non-dropping-particle":"","parse-names":false,"suffix":""},{"dropping-particle":"","family":"Kitamura","given":"Fusao","non-dropping-particle":"","parse-names":false,"suffix":""},{"dropping-particle":"","family":"Ohsaka","given":"Takeo","non-dropping-particle":"","parse-names":false,"suffix":""}],"container-title":"Inorganica Chimica Acta","id":"ITEM-4","issue":"2","issued":{"date-parts":[["2004"]]},"page":"436-442","title":"Electrochemical and spectroscopic studies on electron-transfer reaction between novel water-soluble tetrazolium salts and a superoxide ion","type":"article-journal","volume":"357"},"uris":["http://www.mendeley.com/documents/?uuid=ceaa3303-f3ec-4c4b-90bb-bb3d336093f2"]}],"mendeley":{"formattedCitation":"(Neugebauer and Russel, 1968; Bielski et al., 1980; Viseu et al., 1990; Oritani et al., 2004)","plainTextFormattedCitation":"(Neugebauer and Russel, 1968; Bielski et al., 1980; Viseu et al., 1990; Oritani et al., 2004)","previouslyFormattedCitation":"(Neugebauer and Russel, 1968; Bielski et al., 1980; Viseu et al., 1990; Oritani et al., 2004)"},"properties":{"noteIndex":0},"schema":"https://github.com/citation-style-language/schema/raw/master/csl-citation.json"}</w:instrText>
      </w:r>
      <w:r w:rsidRPr="0075398B">
        <w:rPr>
          <w:lang w:val="en-US"/>
        </w:rPr>
        <w:fldChar w:fldCharType="separate"/>
      </w:r>
      <w:r w:rsidR="00B74D68" w:rsidRPr="0075398B">
        <w:rPr>
          <w:lang w:val="en-US"/>
        </w:rPr>
        <w:t xml:space="preserve">(Neugebauer and Russel, 1968; </w:t>
      </w:r>
      <w:proofErr w:type="spellStart"/>
      <w:r w:rsidR="00B74D68" w:rsidRPr="0075398B">
        <w:rPr>
          <w:lang w:val="en-US"/>
        </w:rPr>
        <w:t>Bielski</w:t>
      </w:r>
      <w:proofErr w:type="spellEnd"/>
      <w:r w:rsidR="00B74D68" w:rsidRPr="0075398B">
        <w:rPr>
          <w:lang w:val="en-US"/>
        </w:rPr>
        <w:t xml:space="preserve"> et al., 1980; </w:t>
      </w:r>
      <w:proofErr w:type="spellStart"/>
      <w:r w:rsidR="00B74D68" w:rsidRPr="0075398B">
        <w:rPr>
          <w:lang w:val="en-US"/>
        </w:rPr>
        <w:t>Viseu</w:t>
      </w:r>
      <w:proofErr w:type="spellEnd"/>
      <w:r w:rsidR="00B74D68" w:rsidRPr="0075398B">
        <w:rPr>
          <w:lang w:val="en-US"/>
        </w:rPr>
        <w:t xml:space="preserve"> et al., 1990; </w:t>
      </w:r>
      <w:proofErr w:type="spellStart"/>
      <w:r w:rsidR="00B74D68" w:rsidRPr="0075398B">
        <w:rPr>
          <w:lang w:val="en-US"/>
        </w:rPr>
        <w:t>Oritani</w:t>
      </w:r>
      <w:proofErr w:type="spellEnd"/>
      <w:r w:rsidR="00B74D68" w:rsidRPr="0075398B">
        <w:rPr>
          <w:lang w:val="en-US"/>
        </w:rPr>
        <w:t xml:space="preserve"> et al., 2004)</w:t>
      </w:r>
      <w:r w:rsidRPr="0075398B">
        <w:rPr>
          <w:lang w:val="en-US"/>
        </w:rPr>
        <w:fldChar w:fldCharType="end"/>
      </w:r>
      <w:r w:rsidRPr="0075398B">
        <w:rPr>
          <w:lang w:val="en-US"/>
        </w:rPr>
        <w:t xml:space="preserve"> A possible scheme for this reaction step is shown in Figure S1. </w:t>
      </w:r>
    </w:p>
    <w:p w14:paraId="0C8988AA" w14:textId="0E9C2F3A" w:rsidR="004D01EA" w:rsidRPr="0075398B" w:rsidRDefault="004D01EA" w:rsidP="001C5CBA">
      <w:pPr>
        <w:jc w:val="both"/>
        <w:rPr>
          <w:lang w:val="en-US"/>
        </w:rPr>
      </w:pPr>
      <w:r w:rsidRPr="0075398B">
        <w:rPr>
          <w:lang w:val="en-US"/>
        </w:rPr>
        <w:t>Based on the reaction mechanism shown in Figure S</w:t>
      </w:r>
      <w:r w:rsidR="009C2C99">
        <w:rPr>
          <w:lang w:val="en-US"/>
        </w:rPr>
        <w:t>2</w:t>
      </w:r>
      <w:bookmarkStart w:id="0" w:name="_GoBack"/>
      <w:bookmarkEnd w:id="0"/>
      <w:r w:rsidRPr="0075398B">
        <w:rPr>
          <w:lang w:val="en-US"/>
        </w:rPr>
        <w:t xml:space="preserve">, Equation 2 can be further subdivided into two elementary reactions </w:t>
      </w:r>
      <w:r w:rsidR="00232C6F" w:rsidRPr="0075398B">
        <w:rPr>
          <w:lang w:val="en-US"/>
        </w:rPr>
        <w:t>(</w:t>
      </w:r>
      <w:r w:rsidR="000422D9" w:rsidRPr="0075398B">
        <w:rPr>
          <w:lang w:val="en-US"/>
        </w:rPr>
        <w:t>Equation 4 and 5</w:t>
      </w:r>
      <w:r w:rsidR="00232C6F" w:rsidRPr="0075398B">
        <w:rPr>
          <w:lang w:val="en-US"/>
        </w:rPr>
        <w:t>)</w:t>
      </w:r>
      <w:r w:rsidRPr="0075398B">
        <w:rPr>
          <w:lang w:val="en-US"/>
        </w:rPr>
        <w:t xml:space="preserve">. In addition, the zero-order photo-induced discoloration of the formed formazan product invokes the need for Equation </w:t>
      </w:r>
      <w:r w:rsidR="000422D9" w:rsidRPr="0075398B">
        <w:rPr>
          <w:lang w:val="en-US"/>
        </w:rPr>
        <w:t>6</w:t>
      </w:r>
      <w:r w:rsidRPr="0075398B">
        <w:rPr>
          <w:lang w:val="en-US"/>
        </w:rPr>
        <w:t xml:space="preserve">, with </w:t>
      </w:r>
      <w:proofErr w:type="spellStart"/>
      <w:r w:rsidRPr="0075398B">
        <w:rPr>
          <w:lang w:val="en-US"/>
        </w:rPr>
        <w:t>F</w:t>
      </w:r>
      <w:r w:rsidRPr="0075398B">
        <w:rPr>
          <w:vertAlign w:val="subscript"/>
          <w:lang w:val="en-US"/>
        </w:rPr>
        <w:t>d</w:t>
      </w:r>
      <w:proofErr w:type="spellEnd"/>
      <w:r w:rsidRPr="0075398B">
        <w:rPr>
          <w:lang w:val="en-US"/>
        </w:rPr>
        <w:t xml:space="preserve"> being a colorless formazan derivative.</w:t>
      </w:r>
    </w:p>
    <w:p w14:paraId="565B028C" w14:textId="77777777" w:rsidR="006B25DB" w:rsidRPr="0075398B" w:rsidRDefault="006B25DB" w:rsidP="00B74D68">
      <w:pPr>
        <w:rPr>
          <w:lang w:val="en-US"/>
        </w:rPr>
      </w:pPr>
    </w:p>
    <w:p w14:paraId="6802F07F" w14:textId="54FD2E2A" w:rsidR="004D01EA" w:rsidRPr="0075398B" w:rsidRDefault="009C2C99" w:rsidP="004D01EA">
      <w:pPr>
        <w:pStyle w:val="RSCB02ArticleText"/>
        <w:spacing w:line="276" w:lineRule="auto"/>
        <w:rPr>
          <w:rFonts w:ascii="Times New Roman" w:eastAsia="Times New Roman" w:hAnsi="Times New Roman"/>
          <w:w w:val="100"/>
          <w:sz w:val="24"/>
          <w:szCs w:val="20"/>
          <w:lang w:val="en-US"/>
        </w:rPr>
      </w:pPr>
      <m:oMath>
        <m:sSubSup>
          <m:sSubSupPr>
            <m:ctrlPr>
              <w:rPr>
                <w:rFonts w:ascii="Cambria Math" w:eastAsia="Times New Roman" w:hAnsi="Cambria Math"/>
                <w:w w:val="100"/>
                <w:sz w:val="24"/>
                <w:szCs w:val="20"/>
                <w:lang w:val="en-US"/>
              </w:rPr>
            </m:ctrlPr>
          </m:sSubSupPr>
          <m:e>
            <m:r>
              <w:rPr>
                <w:rFonts w:ascii="Cambria Math" w:eastAsia="Times New Roman" w:hAnsi="Cambria Math"/>
                <w:w w:val="100"/>
                <w:sz w:val="24"/>
                <w:szCs w:val="20"/>
                <w:lang w:val="en-US"/>
              </w:rPr>
              <m:t>O</m:t>
            </m:r>
          </m:e>
          <m:sub>
            <m:r>
              <m:rPr>
                <m:sty m:val="p"/>
              </m:rPr>
              <w:rPr>
                <w:rFonts w:ascii="Cambria Math" w:eastAsia="Times New Roman" w:hAnsi="Cambria Math"/>
                <w:w w:val="100"/>
                <w:sz w:val="24"/>
                <w:szCs w:val="20"/>
                <w:lang w:val="en-US"/>
              </w:rPr>
              <m:t>2</m:t>
            </m:r>
          </m:sub>
          <m:sup>
            <m:r>
              <m:rPr>
                <m:sty m:val="p"/>
              </m:rPr>
              <w:rPr>
                <w:rFonts w:ascii="Cambria Math" w:eastAsia="Times New Roman" w:hAnsi="Cambria Math"/>
                <w:w w:val="100"/>
                <w:sz w:val="24"/>
                <w:szCs w:val="20"/>
                <w:lang w:val="en-US"/>
              </w:rPr>
              <m:t>•-</m:t>
            </m:r>
          </m:sup>
        </m:sSubSup>
        <m:r>
          <m:rPr>
            <m:sty m:val="p"/>
          </m:rPr>
          <w:rPr>
            <w:rFonts w:ascii="Cambria Math" w:eastAsia="Times New Roman" w:hAnsi="Cambria Math"/>
            <w:w w:val="100"/>
            <w:sz w:val="24"/>
            <w:szCs w:val="20"/>
            <w:lang w:val="en-US"/>
          </w:rPr>
          <m:t>+</m:t>
        </m:r>
        <m:r>
          <w:rPr>
            <w:rFonts w:ascii="Cambria Math" w:eastAsia="Times New Roman" w:hAnsi="Cambria Math"/>
            <w:w w:val="100"/>
            <w:sz w:val="24"/>
            <w:szCs w:val="20"/>
            <w:lang w:val="en-US"/>
          </w:rPr>
          <m:t>XTT</m:t>
        </m:r>
        <m:box>
          <m:boxPr>
            <m:opEmu m:val="1"/>
            <m:ctrlPr>
              <w:rPr>
                <w:rFonts w:ascii="Cambria Math" w:eastAsia="Times New Roman" w:hAnsi="Cambria Math"/>
                <w:w w:val="100"/>
                <w:sz w:val="24"/>
                <w:szCs w:val="20"/>
                <w:lang w:val="en-US"/>
              </w:rPr>
            </m:ctrlPr>
          </m:boxPr>
          <m:e>
            <m:groupChr>
              <m:groupChrPr>
                <m:chr m:val="→"/>
                <m:vertJc m:val="bot"/>
                <m:ctrlPr>
                  <w:rPr>
                    <w:rFonts w:ascii="Cambria Math" w:eastAsia="Times New Roman" w:hAnsi="Cambria Math"/>
                    <w:w w:val="100"/>
                    <w:sz w:val="24"/>
                    <w:szCs w:val="20"/>
                    <w:lang w:val="en-US"/>
                  </w:rPr>
                </m:ctrlPr>
              </m:groupChrPr>
              <m:e>
                <m:sSub>
                  <m:sSubPr>
                    <m:ctrlPr>
                      <w:rPr>
                        <w:rFonts w:ascii="Cambria Math" w:eastAsia="Times New Roman" w:hAnsi="Cambria Math"/>
                        <w:w w:val="100"/>
                        <w:sz w:val="24"/>
                        <w:szCs w:val="20"/>
                        <w:lang w:val="en-US"/>
                      </w:rPr>
                    </m:ctrlPr>
                  </m:sSubPr>
                  <m:e>
                    <m:r>
                      <w:rPr>
                        <w:rFonts w:ascii="Cambria Math" w:eastAsia="Times New Roman" w:hAnsi="Cambria Math"/>
                        <w:w w:val="100"/>
                        <w:sz w:val="24"/>
                        <w:szCs w:val="20"/>
                        <w:lang w:val="en-US"/>
                      </w:rPr>
                      <m:t>k</m:t>
                    </m:r>
                  </m:e>
                  <m:sub>
                    <m:r>
                      <m:rPr>
                        <m:sty m:val="p"/>
                      </m:rPr>
                      <w:rPr>
                        <w:rFonts w:ascii="Cambria Math" w:eastAsia="Times New Roman" w:hAnsi="Cambria Math"/>
                        <w:w w:val="100"/>
                        <w:sz w:val="24"/>
                        <w:szCs w:val="20"/>
                        <w:lang w:val="en-US"/>
                      </w:rPr>
                      <m:t>1</m:t>
                    </m:r>
                  </m:sub>
                </m:sSub>
              </m:e>
            </m:groupChr>
            <m:sSub>
              <m:sSubPr>
                <m:ctrlPr>
                  <w:rPr>
                    <w:rFonts w:ascii="Cambria Math" w:eastAsia="Times New Roman" w:hAnsi="Cambria Math"/>
                    <w:w w:val="100"/>
                    <w:sz w:val="24"/>
                    <w:szCs w:val="20"/>
                    <w:lang w:val="en-US"/>
                  </w:rPr>
                </m:ctrlPr>
              </m:sSubPr>
              <m:e>
                <m:r>
                  <w:rPr>
                    <w:rFonts w:ascii="Cambria Math" w:eastAsia="Times New Roman" w:hAnsi="Cambria Math"/>
                    <w:w w:val="100"/>
                    <w:sz w:val="24"/>
                    <w:szCs w:val="20"/>
                    <w:lang w:val="en-US"/>
                  </w:rPr>
                  <m:t>O</m:t>
                </m:r>
              </m:e>
              <m:sub>
                <m:r>
                  <m:rPr>
                    <m:sty m:val="p"/>
                  </m:rPr>
                  <w:rPr>
                    <w:rFonts w:ascii="Cambria Math" w:eastAsia="Times New Roman" w:hAnsi="Cambria Math"/>
                    <w:w w:val="100"/>
                    <w:sz w:val="24"/>
                    <w:szCs w:val="20"/>
                    <w:lang w:val="en-US"/>
                  </w:rPr>
                  <m:t>2</m:t>
                </m:r>
              </m:sub>
            </m:sSub>
            <m:r>
              <m:rPr>
                <m:sty m:val="p"/>
              </m:rPr>
              <w:rPr>
                <w:rFonts w:ascii="Cambria Math" w:eastAsia="Times New Roman" w:hAnsi="Cambria Math"/>
                <w:w w:val="100"/>
                <w:sz w:val="24"/>
                <w:szCs w:val="20"/>
                <w:lang w:val="en-US"/>
              </w:rPr>
              <m:t>+</m:t>
            </m:r>
            <m:sSup>
              <m:sSupPr>
                <m:ctrlPr>
                  <w:rPr>
                    <w:rFonts w:ascii="Cambria Math" w:eastAsia="Times New Roman" w:hAnsi="Cambria Math"/>
                    <w:w w:val="100"/>
                    <w:sz w:val="24"/>
                    <w:szCs w:val="20"/>
                    <w:lang w:val="en-US"/>
                  </w:rPr>
                </m:ctrlPr>
              </m:sSupPr>
              <m:e>
                <m:r>
                  <w:rPr>
                    <w:rFonts w:ascii="Cambria Math" w:eastAsia="Times New Roman" w:hAnsi="Cambria Math"/>
                    <w:w w:val="100"/>
                    <w:sz w:val="24"/>
                    <w:szCs w:val="20"/>
                    <w:lang w:val="en-US"/>
                  </w:rPr>
                  <m:t>XTT</m:t>
                </m:r>
              </m:e>
              <m:sup>
                <m:r>
                  <m:rPr>
                    <m:sty m:val="p"/>
                  </m:rPr>
                  <w:rPr>
                    <w:rFonts w:ascii="Cambria Math" w:eastAsia="Times New Roman" w:hAnsi="Cambria Math"/>
                    <w:w w:val="100"/>
                    <w:sz w:val="24"/>
                    <w:szCs w:val="20"/>
                    <w:lang w:val="en-US"/>
                  </w:rPr>
                  <m:t>•</m:t>
                </m:r>
              </m:sup>
            </m:sSup>
          </m:e>
        </m:box>
      </m:oMath>
      <w:r w:rsidR="000422D9" w:rsidRPr="0075398B">
        <w:rPr>
          <w:rFonts w:ascii="Times New Roman" w:eastAsia="Times New Roman" w:hAnsi="Times New Roman"/>
          <w:w w:val="100"/>
          <w:sz w:val="24"/>
          <w:szCs w:val="20"/>
          <w:lang w:val="en-US"/>
        </w:rPr>
        <w:t xml:space="preserve"> </w:t>
      </w:r>
      <w:r w:rsidR="000422D9" w:rsidRPr="0075398B">
        <w:rPr>
          <w:rFonts w:ascii="Times New Roman" w:eastAsia="Times New Roman" w:hAnsi="Times New Roman"/>
          <w:w w:val="100"/>
          <w:sz w:val="24"/>
          <w:szCs w:val="20"/>
          <w:lang w:val="en-US"/>
        </w:rPr>
        <w:tab/>
      </w:r>
      <w:r w:rsidR="000422D9" w:rsidRPr="0075398B">
        <w:rPr>
          <w:rFonts w:ascii="Times New Roman" w:eastAsia="Times New Roman" w:hAnsi="Times New Roman"/>
          <w:w w:val="100"/>
          <w:sz w:val="24"/>
          <w:szCs w:val="20"/>
          <w:lang w:val="en-US"/>
        </w:rPr>
        <w:tab/>
      </w:r>
      <w:r w:rsidR="000422D9" w:rsidRPr="0075398B">
        <w:rPr>
          <w:rFonts w:ascii="Times New Roman" w:eastAsia="Times New Roman" w:hAnsi="Times New Roman"/>
          <w:w w:val="100"/>
          <w:sz w:val="24"/>
          <w:szCs w:val="20"/>
          <w:lang w:val="en-US"/>
        </w:rPr>
        <w:tab/>
      </w:r>
      <w:r w:rsidR="000422D9" w:rsidRPr="0075398B">
        <w:rPr>
          <w:rFonts w:ascii="Times New Roman" w:eastAsia="Times New Roman" w:hAnsi="Times New Roman"/>
          <w:w w:val="100"/>
          <w:sz w:val="24"/>
          <w:szCs w:val="20"/>
          <w:lang w:val="en-US"/>
        </w:rPr>
        <w:tab/>
      </w:r>
      <w:r w:rsidR="000422D9" w:rsidRPr="0075398B">
        <w:rPr>
          <w:rFonts w:ascii="Times New Roman" w:eastAsia="Times New Roman" w:hAnsi="Times New Roman"/>
          <w:w w:val="100"/>
          <w:sz w:val="24"/>
          <w:szCs w:val="20"/>
          <w:lang w:val="en-US"/>
        </w:rPr>
        <w:tab/>
      </w:r>
      <w:r w:rsidR="000422D9" w:rsidRPr="0075398B">
        <w:rPr>
          <w:rFonts w:ascii="Times New Roman" w:eastAsia="Times New Roman" w:hAnsi="Times New Roman"/>
          <w:w w:val="100"/>
          <w:sz w:val="24"/>
          <w:szCs w:val="20"/>
          <w:lang w:val="en-US"/>
        </w:rPr>
        <w:tab/>
        <w:t xml:space="preserve">     </w:t>
      </w:r>
      <w:r w:rsidR="000422D9" w:rsidRPr="0075398B">
        <w:rPr>
          <w:rFonts w:ascii="Times New Roman" w:eastAsia="Times New Roman" w:hAnsi="Times New Roman"/>
          <w:w w:val="100"/>
          <w:sz w:val="24"/>
          <w:szCs w:val="20"/>
          <w:lang w:val="en-US"/>
        </w:rPr>
        <w:tab/>
      </w:r>
      <w:r w:rsidR="000422D9" w:rsidRPr="0075398B">
        <w:rPr>
          <w:rFonts w:ascii="Times New Roman" w:eastAsia="Times New Roman" w:hAnsi="Times New Roman"/>
          <w:w w:val="100"/>
          <w:sz w:val="24"/>
          <w:szCs w:val="20"/>
          <w:lang w:val="en-US"/>
        </w:rPr>
        <w:tab/>
      </w:r>
      <w:r w:rsidR="000422D9" w:rsidRPr="0075398B">
        <w:rPr>
          <w:rFonts w:ascii="Times New Roman" w:eastAsia="Times New Roman" w:hAnsi="Times New Roman"/>
          <w:w w:val="100"/>
          <w:sz w:val="24"/>
          <w:szCs w:val="20"/>
          <w:lang w:val="en-US"/>
        </w:rPr>
        <w:tab/>
        <w:t>(4</w:t>
      </w:r>
      <w:r w:rsidR="004D01EA" w:rsidRPr="0075398B">
        <w:rPr>
          <w:rFonts w:ascii="Times New Roman" w:eastAsia="Times New Roman" w:hAnsi="Times New Roman"/>
          <w:w w:val="100"/>
          <w:sz w:val="24"/>
          <w:szCs w:val="20"/>
          <w:lang w:val="en-US"/>
        </w:rPr>
        <w:t>)</w:t>
      </w:r>
    </w:p>
    <w:p w14:paraId="53D137BD" w14:textId="77777777" w:rsidR="004D01EA" w:rsidRPr="0075398B" w:rsidRDefault="004D01EA" w:rsidP="004D01EA">
      <w:pPr>
        <w:pStyle w:val="RSCB02ArticleText"/>
        <w:spacing w:line="276" w:lineRule="auto"/>
        <w:ind w:left="720"/>
        <w:rPr>
          <w:rFonts w:ascii="Times New Roman" w:eastAsia="Times New Roman" w:hAnsi="Times New Roman"/>
          <w:w w:val="100"/>
          <w:sz w:val="24"/>
          <w:szCs w:val="20"/>
          <w:lang w:val="en-US"/>
        </w:rPr>
      </w:pPr>
    </w:p>
    <w:p w14:paraId="1C543450" w14:textId="47F427F3" w:rsidR="004D01EA" w:rsidRPr="0075398B" w:rsidRDefault="009C2C99" w:rsidP="004D01EA">
      <w:pPr>
        <w:pStyle w:val="RSCB02ArticleText"/>
        <w:spacing w:line="276" w:lineRule="auto"/>
        <w:rPr>
          <w:rFonts w:ascii="Times New Roman" w:eastAsiaTheme="minorEastAsia" w:hAnsi="Times New Roman"/>
          <w:sz w:val="24"/>
          <w:lang w:val="en-US"/>
        </w:rPr>
      </w:pPr>
      <m:oMath>
        <m:sSup>
          <m:sSupPr>
            <m:ctrlPr>
              <w:rPr>
                <w:rFonts w:ascii="Cambria Math" w:eastAsiaTheme="minorEastAsia" w:hAnsi="Cambria Math"/>
                <w:sz w:val="24"/>
                <w:lang w:val="en-US"/>
              </w:rPr>
            </m:ctrlPr>
          </m:sSupPr>
          <m:e>
            <m:r>
              <m:rPr>
                <m:sty m:val="p"/>
              </m:rPr>
              <w:rPr>
                <w:rFonts w:ascii="Cambria Math" w:eastAsiaTheme="minorEastAsia" w:hAnsi="Cambria Math"/>
                <w:sz w:val="24"/>
                <w:lang w:val="en-US"/>
              </w:rPr>
              <m:t>2</m:t>
            </m:r>
            <m:r>
              <w:rPr>
                <w:rFonts w:ascii="Cambria Math" w:eastAsiaTheme="minorEastAsia" w:hAnsi="Cambria Math"/>
                <w:sz w:val="24"/>
                <w:lang w:val="en-US"/>
              </w:rPr>
              <m:t>XTT</m:t>
            </m:r>
          </m:e>
          <m:sup>
            <m:r>
              <m:rPr>
                <m:sty m:val="p"/>
              </m:rPr>
              <w:rPr>
                <w:rFonts w:ascii="Cambria Math" w:eastAsiaTheme="minorEastAsia" w:hAnsi="Cambria Math"/>
                <w:sz w:val="24"/>
                <w:lang w:val="en-US"/>
              </w:rPr>
              <m:t>•</m:t>
            </m:r>
          </m:sup>
        </m:sSup>
        <m:box>
          <m:boxPr>
            <m:opEmu m:val="1"/>
            <m:ctrlPr>
              <w:rPr>
                <w:rFonts w:ascii="Cambria Math" w:eastAsiaTheme="minorEastAsia" w:hAnsi="Cambria Math"/>
                <w:sz w:val="24"/>
                <w:lang w:val="en-US"/>
              </w:rPr>
            </m:ctrlPr>
          </m:boxPr>
          <m:e>
            <m:groupChr>
              <m:groupChrPr>
                <m:chr m:val="→"/>
                <m:vertJc m:val="bot"/>
                <m:ctrlPr>
                  <w:rPr>
                    <w:rFonts w:ascii="Cambria Math" w:eastAsiaTheme="minorEastAsia" w:hAnsi="Cambria Math"/>
                    <w:sz w:val="24"/>
                    <w:lang w:val="en-US"/>
                  </w:rPr>
                </m:ctrlPr>
              </m:groupChrPr>
              <m:e>
                <m:sSub>
                  <m:sSubPr>
                    <m:ctrlPr>
                      <w:rPr>
                        <w:rFonts w:ascii="Cambria Math" w:eastAsiaTheme="minorEastAsia" w:hAnsi="Cambria Math"/>
                        <w:sz w:val="24"/>
                        <w:lang w:val="en-US"/>
                      </w:rPr>
                    </m:ctrlPr>
                  </m:sSubPr>
                  <m:e>
                    <m:r>
                      <w:rPr>
                        <w:rFonts w:ascii="Cambria Math" w:eastAsiaTheme="minorEastAsia" w:hAnsi="Cambria Math"/>
                        <w:sz w:val="24"/>
                        <w:lang w:val="en-US"/>
                      </w:rPr>
                      <m:t>k</m:t>
                    </m:r>
                  </m:e>
                  <m:sub>
                    <m:r>
                      <m:rPr>
                        <m:sty m:val="p"/>
                      </m:rPr>
                      <w:rPr>
                        <w:rFonts w:ascii="Cambria Math" w:eastAsiaTheme="minorEastAsia" w:hAnsi="Cambria Math"/>
                        <w:sz w:val="24"/>
                        <w:lang w:val="en-US"/>
                      </w:rPr>
                      <m:t>2</m:t>
                    </m:r>
                  </m:sub>
                </m:sSub>
                <m:r>
                  <m:rPr>
                    <m:sty m:val="p"/>
                  </m:rPr>
                  <w:rPr>
                    <w:rFonts w:ascii="Cambria Math" w:eastAsiaTheme="minorEastAsia" w:hAnsi="Cambria Math"/>
                    <w:sz w:val="24"/>
                    <w:lang w:val="en-US"/>
                  </w:rPr>
                  <m:t xml:space="preserve">,   </m:t>
                </m:r>
                <m:sSup>
                  <m:sSupPr>
                    <m:ctrlPr>
                      <w:rPr>
                        <w:rFonts w:ascii="Cambria Math" w:eastAsiaTheme="minorEastAsia" w:hAnsi="Cambria Math"/>
                        <w:sz w:val="24"/>
                        <w:lang w:val="en-US"/>
                      </w:rPr>
                    </m:ctrlPr>
                  </m:sSupPr>
                  <m:e>
                    <m:r>
                      <w:rPr>
                        <w:rFonts w:ascii="Cambria Math" w:eastAsiaTheme="minorEastAsia" w:hAnsi="Cambria Math"/>
                        <w:sz w:val="24"/>
                        <w:lang w:val="en-US"/>
                      </w:rPr>
                      <m:t>H</m:t>
                    </m:r>
                  </m:e>
                  <m:sup>
                    <m:r>
                      <m:rPr>
                        <m:sty m:val="p"/>
                      </m:rPr>
                      <w:rPr>
                        <w:rFonts w:ascii="Cambria Math" w:eastAsiaTheme="minorEastAsia" w:hAnsi="Cambria Math"/>
                        <w:sz w:val="24"/>
                        <w:lang w:val="en-US"/>
                      </w:rPr>
                      <m:t>+</m:t>
                    </m:r>
                  </m:sup>
                </m:sSup>
              </m:e>
            </m:groupChr>
            <m:r>
              <m:rPr>
                <m:sty m:val="p"/>
              </m:rPr>
              <w:rPr>
                <w:rFonts w:ascii="Cambria Math" w:eastAsiaTheme="minorEastAsia" w:hAnsi="Cambria Math"/>
                <w:sz w:val="24"/>
                <w:lang w:val="en-US"/>
              </w:rPr>
              <m:t xml:space="preserve"> </m:t>
            </m:r>
            <m:r>
              <w:rPr>
                <w:rFonts w:ascii="Cambria Math" w:eastAsiaTheme="minorEastAsia" w:hAnsi="Cambria Math"/>
                <w:sz w:val="24"/>
                <w:lang w:val="en-US"/>
              </w:rPr>
              <m:t>XTT</m:t>
            </m:r>
            <m:r>
              <m:rPr>
                <m:sty m:val="p"/>
              </m:rPr>
              <w:rPr>
                <w:rFonts w:ascii="Cambria Math" w:eastAsiaTheme="minorEastAsia" w:hAnsi="Cambria Math"/>
                <w:sz w:val="24"/>
                <w:lang w:val="en-US"/>
              </w:rPr>
              <m:t>+</m:t>
            </m:r>
            <m:r>
              <w:rPr>
                <w:rFonts w:ascii="Cambria Math" w:eastAsiaTheme="minorEastAsia" w:hAnsi="Cambria Math"/>
                <w:sz w:val="24"/>
                <w:lang w:val="en-US"/>
              </w:rPr>
              <m:t>F</m:t>
            </m:r>
          </m:e>
        </m:box>
      </m:oMath>
      <w:r w:rsidR="004D01EA" w:rsidRPr="0075398B">
        <w:rPr>
          <w:rFonts w:ascii="Times New Roman" w:eastAsiaTheme="minorEastAsia" w:hAnsi="Times New Roman"/>
          <w:sz w:val="24"/>
          <w:lang w:val="en-US"/>
        </w:rPr>
        <w:t xml:space="preserve"> </w:t>
      </w:r>
      <w:r w:rsidR="004D01EA" w:rsidRPr="0075398B">
        <w:rPr>
          <w:rFonts w:ascii="Times New Roman" w:eastAsiaTheme="minorEastAsia" w:hAnsi="Times New Roman"/>
          <w:sz w:val="24"/>
          <w:lang w:val="en-US"/>
        </w:rPr>
        <w:tab/>
      </w:r>
      <w:r w:rsidR="004D01EA" w:rsidRPr="0075398B">
        <w:rPr>
          <w:rFonts w:ascii="Times New Roman" w:eastAsiaTheme="minorEastAsia" w:hAnsi="Times New Roman"/>
          <w:sz w:val="24"/>
          <w:lang w:val="en-US"/>
        </w:rPr>
        <w:tab/>
      </w:r>
      <w:r w:rsidR="004D01EA" w:rsidRPr="0075398B">
        <w:rPr>
          <w:rFonts w:ascii="Times New Roman" w:eastAsiaTheme="minorEastAsia" w:hAnsi="Times New Roman"/>
          <w:sz w:val="24"/>
          <w:lang w:val="en-US"/>
        </w:rPr>
        <w:tab/>
      </w:r>
      <w:r w:rsidR="004D01EA" w:rsidRPr="0075398B">
        <w:rPr>
          <w:rFonts w:ascii="Times New Roman" w:eastAsiaTheme="minorEastAsia" w:hAnsi="Times New Roman"/>
          <w:sz w:val="24"/>
          <w:lang w:val="en-US"/>
        </w:rPr>
        <w:tab/>
      </w:r>
      <w:r w:rsidR="004D01EA" w:rsidRPr="0075398B">
        <w:rPr>
          <w:rFonts w:ascii="Times New Roman" w:eastAsiaTheme="minorEastAsia" w:hAnsi="Times New Roman"/>
          <w:sz w:val="24"/>
          <w:lang w:val="en-US"/>
        </w:rPr>
        <w:tab/>
      </w:r>
      <w:r w:rsidR="004D01EA" w:rsidRPr="0075398B">
        <w:rPr>
          <w:rFonts w:ascii="Times New Roman" w:eastAsiaTheme="minorEastAsia" w:hAnsi="Times New Roman"/>
          <w:sz w:val="24"/>
          <w:lang w:val="en-US"/>
        </w:rPr>
        <w:tab/>
      </w:r>
      <w:r w:rsidR="004D01EA" w:rsidRPr="0075398B">
        <w:rPr>
          <w:rFonts w:ascii="Times New Roman" w:eastAsiaTheme="minorEastAsia" w:hAnsi="Times New Roman"/>
          <w:sz w:val="24"/>
          <w:lang w:val="en-US"/>
        </w:rPr>
        <w:tab/>
        <w:t xml:space="preserve">    </w:t>
      </w:r>
      <w:r w:rsidR="004D01EA" w:rsidRPr="0075398B">
        <w:rPr>
          <w:rFonts w:ascii="Times New Roman" w:eastAsiaTheme="minorEastAsia" w:hAnsi="Times New Roman"/>
          <w:sz w:val="24"/>
          <w:lang w:val="en-US"/>
        </w:rPr>
        <w:tab/>
      </w:r>
      <w:r w:rsidR="000422D9" w:rsidRPr="0075398B">
        <w:rPr>
          <w:rFonts w:ascii="Times New Roman" w:eastAsiaTheme="minorEastAsia" w:hAnsi="Times New Roman"/>
          <w:sz w:val="24"/>
          <w:lang w:val="en-US"/>
        </w:rPr>
        <w:tab/>
        <w:t>(5</w:t>
      </w:r>
      <w:r w:rsidR="00232C6F" w:rsidRPr="0075398B">
        <w:rPr>
          <w:rFonts w:ascii="Times New Roman" w:eastAsiaTheme="minorEastAsia" w:hAnsi="Times New Roman"/>
          <w:sz w:val="24"/>
          <w:lang w:val="en-US"/>
        </w:rPr>
        <w:t>)</w:t>
      </w:r>
    </w:p>
    <w:p w14:paraId="6567B50E" w14:textId="77777777" w:rsidR="004D01EA" w:rsidRPr="0075398B" w:rsidRDefault="004D01EA" w:rsidP="004D01EA">
      <w:pPr>
        <w:pStyle w:val="RSCB02ArticleText"/>
        <w:spacing w:line="276" w:lineRule="auto"/>
        <w:ind w:left="720"/>
        <w:rPr>
          <w:rFonts w:ascii="Times New Roman" w:eastAsiaTheme="minorEastAsia" w:hAnsi="Times New Roman"/>
          <w:sz w:val="24"/>
          <w:lang w:val="en-US"/>
        </w:rPr>
      </w:pPr>
    </w:p>
    <w:p w14:paraId="5699CBAD" w14:textId="2C4901A9" w:rsidR="004D01EA" w:rsidRPr="0075398B" w:rsidRDefault="004D01EA" w:rsidP="004D01EA">
      <w:pPr>
        <w:pStyle w:val="RSCB02ArticleText"/>
        <w:spacing w:line="276" w:lineRule="auto"/>
        <w:rPr>
          <w:rFonts w:ascii="Times New Roman" w:eastAsiaTheme="minorEastAsia" w:hAnsi="Times New Roman"/>
          <w:sz w:val="24"/>
          <w:lang w:val="en-US"/>
        </w:rPr>
      </w:pPr>
      <m:oMath>
        <m:r>
          <w:rPr>
            <w:rFonts w:ascii="Cambria Math" w:eastAsiaTheme="minorEastAsia" w:hAnsi="Cambria Math"/>
            <w:sz w:val="24"/>
            <w:lang w:val="en-US"/>
          </w:rPr>
          <m:t>F</m:t>
        </m:r>
        <m:box>
          <m:boxPr>
            <m:opEmu m:val="1"/>
            <m:ctrlPr>
              <w:rPr>
                <w:rFonts w:ascii="Cambria Math" w:eastAsiaTheme="minorEastAsia" w:hAnsi="Cambria Math"/>
                <w:sz w:val="24"/>
                <w:lang w:val="en-US"/>
              </w:rPr>
            </m:ctrlPr>
          </m:boxPr>
          <m:e>
            <m:groupChr>
              <m:groupChrPr>
                <m:chr m:val="→"/>
                <m:vertJc m:val="bot"/>
                <m:ctrlPr>
                  <w:rPr>
                    <w:rFonts w:ascii="Cambria Math" w:eastAsiaTheme="minorEastAsia" w:hAnsi="Cambria Math"/>
                    <w:sz w:val="24"/>
                    <w:lang w:val="en-US"/>
                  </w:rPr>
                </m:ctrlPr>
              </m:groupChrPr>
              <m:e>
                <m:sSub>
                  <m:sSubPr>
                    <m:ctrlPr>
                      <w:rPr>
                        <w:rFonts w:ascii="Cambria Math" w:eastAsiaTheme="minorEastAsia" w:hAnsi="Cambria Math"/>
                        <w:sz w:val="24"/>
                        <w:lang w:val="en-US"/>
                      </w:rPr>
                    </m:ctrlPr>
                  </m:sSubPr>
                  <m:e>
                    <m:r>
                      <w:rPr>
                        <w:rFonts w:ascii="Cambria Math" w:eastAsiaTheme="minorEastAsia" w:hAnsi="Cambria Math"/>
                        <w:sz w:val="24"/>
                        <w:lang w:val="en-US"/>
                      </w:rPr>
                      <m:t>k</m:t>
                    </m:r>
                  </m:e>
                  <m:sub>
                    <m:r>
                      <m:rPr>
                        <m:sty m:val="p"/>
                      </m:rPr>
                      <w:rPr>
                        <w:rFonts w:ascii="Cambria Math" w:eastAsiaTheme="minorEastAsia" w:hAnsi="Cambria Math"/>
                        <w:sz w:val="24"/>
                        <w:lang w:val="en-US"/>
                      </w:rPr>
                      <m:t>3</m:t>
                    </m:r>
                  </m:sub>
                </m:sSub>
                <m:r>
                  <m:rPr>
                    <m:sty m:val="p"/>
                  </m:rPr>
                  <w:rPr>
                    <w:rFonts w:ascii="Cambria Math" w:eastAsiaTheme="minorEastAsia" w:hAnsi="Cambria Math"/>
                    <w:sz w:val="24"/>
                    <w:lang w:val="en-US"/>
                  </w:rPr>
                  <m:t xml:space="preserve">,   </m:t>
                </m:r>
                <m:r>
                  <w:rPr>
                    <w:rFonts w:ascii="Cambria Math" w:eastAsiaTheme="minorEastAsia" w:hAnsi="Cambria Math"/>
                    <w:sz w:val="24"/>
                    <w:lang w:val="en-US"/>
                  </w:rPr>
                  <m:t>hν</m:t>
                </m:r>
              </m:e>
            </m:groupChr>
            <m:r>
              <m:rPr>
                <m:sty m:val="p"/>
              </m:rPr>
              <w:rPr>
                <w:rFonts w:ascii="Cambria Math" w:eastAsiaTheme="minorEastAsia" w:hAnsi="Cambria Math"/>
                <w:sz w:val="24"/>
                <w:lang w:val="en-US"/>
              </w:rPr>
              <m:t xml:space="preserve"> </m:t>
            </m:r>
            <m:sSub>
              <m:sSubPr>
                <m:ctrlPr>
                  <w:rPr>
                    <w:rFonts w:ascii="Cambria Math" w:eastAsiaTheme="minorEastAsia" w:hAnsi="Cambria Math"/>
                    <w:sz w:val="24"/>
                    <w:lang w:val="en-US"/>
                  </w:rPr>
                </m:ctrlPr>
              </m:sSubPr>
              <m:e>
                <m:r>
                  <w:rPr>
                    <w:rFonts w:ascii="Cambria Math" w:eastAsiaTheme="minorEastAsia" w:hAnsi="Cambria Math"/>
                    <w:sz w:val="24"/>
                    <w:lang w:val="en-US"/>
                  </w:rPr>
                  <m:t>F</m:t>
                </m:r>
              </m:e>
              <m:sub>
                <m:r>
                  <w:rPr>
                    <w:rFonts w:ascii="Cambria Math" w:eastAsiaTheme="minorEastAsia" w:hAnsi="Cambria Math"/>
                    <w:sz w:val="24"/>
                    <w:lang w:val="en-US"/>
                  </w:rPr>
                  <m:t>d</m:t>
                </m:r>
              </m:sub>
            </m:sSub>
          </m:e>
        </m:box>
      </m:oMath>
      <w:r w:rsidRPr="0075398B">
        <w:rPr>
          <w:rFonts w:ascii="Times New Roman" w:eastAsiaTheme="minorEastAsia" w:hAnsi="Times New Roman"/>
          <w:sz w:val="24"/>
          <w:lang w:val="en-US"/>
        </w:rPr>
        <w:t xml:space="preserve"> </w:t>
      </w:r>
      <w:r w:rsidRPr="0075398B">
        <w:rPr>
          <w:rFonts w:ascii="Times New Roman" w:eastAsiaTheme="minorEastAsia" w:hAnsi="Times New Roman"/>
          <w:sz w:val="24"/>
          <w:lang w:val="en-US"/>
        </w:rPr>
        <w:tab/>
      </w:r>
      <w:r w:rsidRPr="0075398B">
        <w:rPr>
          <w:rFonts w:ascii="Times New Roman" w:eastAsiaTheme="minorEastAsia" w:hAnsi="Times New Roman"/>
          <w:sz w:val="24"/>
          <w:lang w:val="en-US"/>
        </w:rPr>
        <w:tab/>
      </w:r>
      <w:r w:rsidRPr="0075398B">
        <w:rPr>
          <w:rFonts w:ascii="Times New Roman" w:eastAsiaTheme="minorEastAsia" w:hAnsi="Times New Roman"/>
          <w:sz w:val="24"/>
          <w:lang w:val="en-US"/>
        </w:rPr>
        <w:tab/>
      </w:r>
      <w:r w:rsidRPr="0075398B">
        <w:rPr>
          <w:rFonts w:ascii="Times New Roman" w:eastAsiaTheme="minorEastAsia" w:hAnsi="Times New Roman"/>
          <w:sz w:val="24"/>
          <w:lang w:val="en-US"/>
        </w:rPr>
        <w:tab/>
      </w:r>
      <w:r w:rsidRPr="0075398B">
        <w:rPr>
          <w:rFonts w:ascii="Times New Roman" w:eastAsiaTheme="minorEastAsia" w:hAnsi="Times New Roman"/>
          <w:sz w:val="24"/>
          <w:lang w:val="en-US"/>
        </w:rPr>
        <w:tab/>
      </w:r>
      <w:r w:rsidRPr="0075398B">
        <w:rPr>
          <w:rFonts w:ascii="Times New Roman" w:eastAsiaTheme="minorEastAsia" w:hAnsi="Times New Roman"/>
          <w:sz w:val="24"/>
          <w:lang w:val="en-US"/>
        </w:rPr>
        <w:tab/>
        <w:t xml:space="preserve"> </w:t>
      </w:r>
      <w:r w:rsidRPr="0075398B">
        <w:rPr>
          <w:rFonts w:ascii="Times New Roman" w:eastAsiaTheme="minorEastAsia" w:hAnsi="Times New Roman"/>
          <w:sz w:val="24"/>
          <w:lang w:val="en-US"/>
        </w:rPr>
        <w:tab/>
      </w:r>
      <w:r w:rsidRPr="0075398B">
        <w:rPr>
          <w:rFonts w:ascii="Times New Roman" w:eastAsiaTheme="minorEastAsia" w:hAnsi="Times New Roman"/>
          <w:sz w:val="24"/>
          <w:lang w:val="en-US"/>
        </w:rPr>
        <w:tab/>
      </w:r>
      <w:r w:rsidR="000422D9" w:rsidRPr="0075398B">
        <w:rPr>
          <w:rFonts w:ascii="Times New Roman" w:eastAsiaTheme="minorEastAsia" w:hAnsi="Times New Roman"/>
          <w:sz w:val="24"/>
          <w:lang w:val="en-US"/>
        </w:rPr>
        <w:tab/>
      </w:r>
      <w:r w:rsidR="000422D9" w:rsidRPr="0075398B">
        <w:rPr>
          <w:rFonts w:ascii="Times New Roman" w:eastAsiaTheme="minorEastAsia" w:hAnsi="Times New Roman"/>
          <w:sz w:val="24"/>
          <w:lang w:val="en-US"/>
        </w:rPr>
        <w:tab/>
      </w:r>
      <w:r w:rsidR="000422D9" w:rsidRPr="0075398B">
        <w:rPr>
          <w:rFonts w:ascii="Times New Roman" w:eastAsiaTheme="minorEastAsia" w:hAnsi="Times New Roman"/>
          <w:sz w:val="24"/>
          <w:lang w:val="en-US"/>
        </w:rPr>
        <w:tab/>
        <w:t>(6</w:t>
      </w:r>
      <w:r w:rsidR="00232C6F" w:rsidRPr="0075398B">
        <w:rPr>
          <w:rFonts w:ascii="Times New Roman" w:eastAsiaTheme="minorEastAsia" w:hAnsi="Times New Roman"/>
          <w:sz w:val="24"/>
          <w:lang w:val="en-US"/>
        </w:rPr>
        <w:t>)</w:t>
      </w:r>
    </w:p>
    <w:p w14:paraId="7B5C5818" w14:textId="4E9F4D3F" w:rsidR="004D01EA" w:rsidRPr="0075398B" w:rsidRDefault="004D01EA" w:rsidP="001C5CBA">
      <w:pPr>
        <w:jc w:val="both"/>
        <w:rPr>
          <w:lang w:val="en-US"/>
        </w:rPr>
      </w:pPr>
      <w:r w:rsidRPr="0075398B">
        <w:rPr>
          <w:lang w:val="en-US"/>
        </w:rPr>
        <w:t xml:space="preserve">Assuming that the rate of change of the intermediate </w:t>
      </w:r>
      <w:proofErr w:type="spellStart"/>
      <w:r w:rsidRPr="0075398B">
        <w:rPr>
          <w:lang w:val="en-US"/>
        </w:rPr>
        <w:t>tetrazolinyl</w:t>
      </w:r>
      <w:proofErr w:type="spellEnd"/>
      <w:r w:rsidRPr="0075398B">
        <w:rPr>
          <w:lang w:val="en-US"/>
        </w:rPr>
        <w:t xml:space="preserve"> radical is zero (steady-state approximation), the kinetic equations can be simplified ultimately yielding the formazan </w:t>
      </w:r>
      <w:r w:rsidR="00232C6F" w:rsidRPr="0075398B">
        <w:rPr>
          <w:lang w:val="en-US"/>
        </w:rPr>
        <w:t>formation rate described by Equation</w:t>
      </w:r>
      <w:r w:rsidRPr="0075398B">
        <w:rPr>
          <w:lang w:val="en-US"/>
        </w:rPr>
        <w:t xml:space="preserve"> </w:t>
      </w:r>
      <w:r w:rsidR="000422D9" w:rsidRPr="0075398B">
        <w:rPr>
          <w:lang w:val="en-US"/>
        </w:rPr>
        <w:t>7</w:t>
      </w:r>
      <w:r w:rsidRPr="0075398B">
        <w:rPr>
          <w:lang w:val="en-US"/>
        </w:rPr>
        <w:t>.</w:t>
      </w:r>
    </w:p>
    <w:p w14:paraId="5063551C" w14:textId="77777777" w:rsidR="006B25DB" w:rsidRPr="0075398B" w:rsidRDefault="006B25DB" w:rsidP="00B74D68">
      <w:pPr>
        <w:rPr>
          <w:lang w:val="en-US"/>
        </w:rPr>
      </w:pPr>
    </w:p>
    <w:p w14:paraId="20AC9D70" w14:textId="70021F55" w:rsidR="004D01EA" w:rsidRPr="0075398B" w:rsidRDefault="009C2C99" w:rsidP="00232C6F">
      <w:pPr>
        <w:pStyle w:val="TAMainText"/>
        <w:spacing w:after="240" w:line="360" w:lineRule="auto"/>
        <w:ind w:firstLine="0"/>
        <w:jc w:val="left"/>
        <w:rPr>
          <w:rFonts w:ascii="Times New Roman" w:hAnsi="Times New Roman"/>
        </w:rPr>
      </w:pPr>
      <m:oMath>
        <m:f>
          <m:fPr>
            <m:ctrlPr>
              <w:rPr>
                <w:rFonts w:ascii="Cambria Math" w:eastAsiaTheme="minorEastAsia" w:hAnsi="Cambria Math"/>
                <w:i/>
              </w:rPr>
            </m:ctrlPr>
          </m:fPr>
          <m:num>
            <m:r>
              <w:rPr>
                <w:rFonts w:ascii="Cambria Math" w:eastAsiaTheme="minorEastAsia" w:hAnsi="Cambria Math"/>
              </w:rPr>
              <m:t>d</m:t>
            </m:r>
            <m:d>
              <m:dPr>
                <m:begChr m:val="["/>
                <m:endChr m:val="]"/>
                <m:ctrlPr>
                  <w:rPr>
                    <w:rFonts w:ascii="Cambria Math" w:eastAsiaTheme="minorEastAsia" w:hAnsi="Cambria Math"/>
                    <w:i/>
                  </w:rPr>
                </m:ctrlPr>
              </m:dPr>
              <m:e>
                <m:r>
                  <w:rPr>
                    <w:rFonts w:ascii="Cambria Math" w:eastAsiaTheme="minorEastAsia" w:hAnsi="Cambria Math"/>
                  </w:rPr>
                  <m:t>F</m:t>
                </m:r>
              </m:e>
            </m:d>
          </m:num>
          <m:den>
            <m:r>
              <w:rPr>
                <w:rFonts w:ascii="Cambria Math" w:eastAsiaTheme="minorEastAsia" w:hAnsi="Cambria Math"/>
              </w:rPr>
              <m:t>dt</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d>
          <m:dPr>
            <m:begChr m:val="["/>
            <m:endChr m:val="]"/>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2</m:t>
                </m:r>
              </m:sub>
              <m:sup>
                <m:r>
                  <w:rPr>
                    <w:rFonts w:ascii="Cambria Math" w:hAnsi="Cambria Math"/>
                  </w:rPr>
                  <m:t>•-</m:t>
                </m:r>
              </m:sup>
            </m:sSubSup>
          </m:e>
        </m:d>
        <m:d>
          <m:dPr>
            <m:begChr m:val="["/>
            <m:endChr m:val="]"/>
            <m:ctrlPr>
              <w:rPr>
                <w:rFonts w:ascii="Cambria Math" w:eastAsiaTheme="minorEastAsia" w:hAnsi="Cambria Math"/>
                <w:i/>
              </w:rPr>
            </m:ctrlPr>
          </m:dPr>
          <m:e>
            <m:r>
              <w:rPr>
                <w:rFonts w:ascii="Cambria Math" w:eastAsiaTheme="minorEastAsia" w:hAnsi="Cambria Math"/>
              </w:rPr>
              <m:t>XTT</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3</m:t>
            </m:r>
          </m:sub>
        </m:sSub>
      </m:oMath>
      <w:r w:rsidR="00232C6F" w:rsidRPr="0075398B">
        <w:rPr>
          <w:rFonts w:eastAsiaTheme="minorEastAsia"/>
        </w:rPr>
        <w:t xml:space="preserve"> </w:t>
      </w:r>
      <w:r w:rsidR="004D01EA" w:rsidRPr="0075398B">
        <w:rPr>
          <w:rFonts w:ascii="Times New Roman" w:hAnsi="Times New Roman"/>
        </w:rPr>
        <w:tab/>
      </w:r>
      <w:r w:rsidR="004D01EA" w:rsidRPr="0075398B">
        <w:rPr>
          <w:rFonts w:ascii="Times New Roman" w:hAnsi="Times New Roman"/>
        </w:rPr>
        <w:tab/>
      </w:r>
      <w:r w:rsidR="004D01EA" w:rsidRPr="0075398B">
        <w:rPr>
          <w:rFonts w:ascii="Times New Roman" w:hAnsi="Times New Roman"/>
        </w:rPr>
        <w:tab/>
      </w:r>
      <w:r w:rsidR="004D01EA" w:rsidRPr="0075398B">
        <w:rPr>
          <w:rFonts w:ascii="Times New Roman" w:hAnsi="Times New Roman"/>
        </w:rPr>
        <w:tab/>
      </w:r>
      <w:r w:rsidR="004D01EA" w:rsidRPr="0075398B">
        <w:rPr>
          <w:rFonts w:ascii="Times New Roman" w:hAnsi="Times New Roman"/>
        </w:rPr>
        <w:tab/>
      </w:r>
      <w:r w:rsidR="004D01EA" w:rsidRPr="0075398B">
        <w:rPr>
          <w:rFonts w:ascii="Times New Roman" w:hAnsi="Times New Roman"/>
        </w:rPr>
        <w:tab/>
      </w:r>
      <w:r w:rsidR="004D01EA" w:rsidRPr="0075398B">
        <w:rPr>
          <w:rFonts w:ascii="Times New Roman" w:hAnsi="Times New Roman"/>
        </w:rPr>
        <w:tab/>
      </w:r>
      <w:r w:rsidR="004D01EA" w:rsidRPr="0075398B">
        <w:rPr>
          <w:rFonts w:ascii="Times New Roman" w:hAnsi="Times New Roman"/>
        </w:rPr>
        <w:tab/>
      </w:r>
      <w:r w:rsidR="000422D9" w:rsidRPr="0075398B">
        <w:rPr>
          <w:rFonts w:ascii="Times New Roman" w:hAnsi="Times New Roman"/>
        </w:rPr>
        <w:tab/>
      </w:r>
      <w:r w:rsidR="00232C6F" w:rsidRPr="0075398B">
        <w:rPr>
          <w:rFonts w:ascii="Times New Roman" w:hAnsi="Times New Roman"/>
        </w:rPr>
        <w:t>(</w:t>
      </w:r>
      <w:r w:rsidR="000422D9" w:rsidRPr="0075398B">
        <w:rPr>
          <w:rFonts w:ascii="Times New Roman" w:hAnsi="Times New Roman"/>
        </w:rPr>
        <w:t>7</w:t>
      </w:r>
      <w:r w:rsidR="004D01EA" w:rsidRPr="0075398B">
        <w:rPr>
          <w:rFonts w:ascii="Times New Roman" w:hAnsi="Times New Roman"/>
        </w:rPr>
        <w:t>)</w:t>
      </w:r>
    </w:p>
    <w:p w14:paraId="11D7B656" w14:textId="087AB3E0" w:rsidR="00401986" w:rsidRPr="0075398B" w:rsidRDefault="004D01EA" w:rsidP="001C5CBA">
      <w:pPr>
        <w:jc w:val="both"/>
        <w:rPr>
          <w:lang w:val="en-US"/>
        </w:rPr>
      </w:pPr>
      <w:r w:rsidRPr="0075398B">
        <w:rPr>
          <w:lang w:val="en-US"/>
        </w:rPr>
        <w:t>Prior to each photoinduced oxidation reaction, the airtight sealed reaction vessel containing the plasmonic catalyst and probe molecule in DMSO, was saturated with oxygen. Since the catalyst is then illuminated during the entire experiment it is fair to assume that [O</w:t>
      </w:r>
      <w:r w:rsidRPr="0075398B">
        <w:rPr>
          <w:vertAlign w:val="subscript"/>
          <w:lang w:val="en-US"/>
        </w:rPr>
        <w:t>2</w:t>
      </w:r>
      <w:r w:rsidRPr="0075398B">
        <w:rPr>
          <w:vertAlign w:val="superscript"/>
          <w:lang w:val="en-US"/>
        </w:rPr>
        <w:t>•-</w:t>
      </w:r>
      <w:r w:rsidRPr="0075398B">
        <w:rPr>
          <w:lang w:val="en-US"/>
        </w:rPr>
        <w:t>] &gt;&gt; [XTT]. The product of k</w:t>
      </w:r>
      <w:r w:rsidRPr="0075398B">
        <w:rPr>
          <w:vertAlign w:val="subscript"/>
          <w:lang w:val="en-US"/>
        </w:rPr>
        <w:t>1</w:t>
      </w:r>
      <w:r w:rsidRPr="0075398B">
        <w:rPr>
          <w:lang w:val="en-US"/>
        </w:rPr>
        <w:t xml:space="preserve"> and [O</w:t>
      </w:r>
      <w:r w:rsidRPr="0075398B">
        <w:rPr>
          <w:vertAlign w:val="subscript"/>
          <w:lang w:val="en-US"/>
        </w:rPr>
        <w:t>2</w:t>
      </w:r>
      <w:r w:rsidRPr="0075398B">
        <w:rPr>
          <w:vertAlign w:val="superscript"/>
          <w:lang w:val="en-US"/>
        </w:rPr>
        <w:t>•-</w:t>
      </w:r>
      <w:r w:rsidRPr="0075398B">
        <w:rPr>
          <w:lang w:val="en-US"/>
        </w:rPr>
        <w:t>] can therefore be considered constant during the reaction, and is replaced by an apparen</w:t>
      </w:r>
      <w:r w:rsidR="00232C6F" w:rsidRPr="0075398B">
        <w:rPr>
          <w:lang w:val="en-US"/>
        </w:rPr>
        <w:t>t first order rate constant k’ (Equation</w:t>
      </w:r>
      <w:r w:rsidRPr="0075398B">
        <w:rPr>
          <w:lang w:val="en-US"/>
        </w:rPr>
        <w:t xml:space="preserve"> </w:t>
      </w:r>
      <w:r w:rsidR="000422D9" w:rsidRPr="0075398B">
        <w:rPr>
          <w:lang w:val="en-US"/>
        </w:rPr>
        <w:t>8</w:t>
      </w:r>
      <w:r w:rsidR="00232C6F" w:rsidRPr="0075398B">
        <w:rPr>
          <w:lang w:val="en-US"/>
        </w:rPr>
        <w:t>).</w:t>
      </w:r>
      <w:r w:rsidRPr="0075398B">
        <w:rPr>
          <w:lang w:val="en-US"/>
        </w:rPr>
        <w:t xml:space="preserve"> k’ thus only represents a quantitative measure for the oxygen activation efficiency of the plasmonic photocatalyst since k</w:t>
      </w:r>
      <w:r w:rsidRPr="0075398B">
        <w:rPr>
          <w:vertAlign w:val="subscript"/>
          <w:lang w:val="en-US"/>
        </w:rPr>
        <w:t>1</w:t>
      </w:r>
      <w:r w:rsidRPr="0075398B">
        <w:rPr>
          <w:lang w:val="en-US"/>
        </w:rPr>
        <w:t xml:space="preserve"> is a catalyst-independent constant for the general reaction between the superoxide anion and XTT. Thus, the greater k’, the more superoxide is formed, and the higher the catalytic activity. During the experiment, the sum of XTT and all its related species (XTT</w:t>
      </w:r>
      <w:r w:rsidRPr="0075398B">
        <w:rPr>
          <w:vertAlign w:val="superscript"/>
          <w:lang w:val="en-US"/>
        </w:rPr>
        <w:t>•</w:t>
      </w:r>
      <w:r w:rsidRPr="0075398B">
        <w:rPr>
          <w:lang w:val="en-US"/>
        </w:rPr>
        <w:t xml:space="preserve">, F and </w:t>
      </w:r>
      <w:proofErr w:type="spellStart"/>
      <w:r w:rsidRPr="0075398B">
        <w:rPr>
          <w:lang w:val="en-US"/>
        </w:rPr>
        <w:t>F</w:t>
      </w:r>
      <w:r w:rsidRPr="0075398B">
        <w:rPr>
          <w:vertAlign w:val="subscript"/>
          <w:lang w:val="en-US"/>
        </w:rPr>
        <w:t>d</w:t>
      </w:r>
      <w:proofErr w:type="spellEnd"/>
      <w:r w:rsidRPr="0075398B">
        <w:rPr>
          <w:lang w:val="en-US"/>
        </w:rPr>
        <w:t>) can also be considered constant and equal to the initial XTT concentration [XTT]</w:t>
      </w:r>
      <w:r w:rsidRPr="0075398B">
        <w:rPr>
          <w:vertAlign w:val="subscript"/>
          <w:lang w:val="en-US"/>
        </w:rPr>
        <w:t>0</w:t>
      </w:r>
      <w:r w:rsidRPr="0075398B">
        <w:rPr>
          <w:lang w:val="en-US"/>
        </w:rPr>
        <w:t xml:space="preserve"> (principle of conservation of mass). In addition, given the zero-order formazan discoloration, [</w:t>
      </w:r>
      <w:proofErr w:type="spellStart"/>
      <w:r w:rsidRPr="0075398B">
        <w:rPr>
          <w:lang w:val="en-US"/>
        </w:rPr>
        <w:t>F</w:t>
      </w:r>
      <w:r w:rsidRPr="0075398B">
        <w:rPr>
          <w:vertAlign w:val="subscript"/>
          <w:lang w:val="en-US"/>
        </w:rPr>
        <w:t>d</w:t>
      </w:r>
      <w:proofErr w:type="spellEnd"/>
      <w:r w:rsidRPr="0075398B">
        <w:rPr>
          <w:lang w:val="en-US"/>
        </w:rPr>
        <w:t>] can be rewritten as k</w:t>
      </w:r>
      <w:r w:rsidRPr="0075398B">
        <w:rPr>
          <w:vertAlign w:val="subscript"/>
          <w:lang w:val="en-US"/>
        </w:rPr>
        <w:t>3</w:t>
      </w:r>
      <w:r w:rsidRPr="0075398B">
        <w:rPr>
          <w:lang w:val="en-US"/>
        </w:rPr>
        <w:t>t u</w:t>
      </w:r>
      <w:r w:rsidR="00232C6F" w:rsidRPr="0075398B">
        <w:rPr>
          <w:lang w:val="en-US"/>
        </w:rPr>
        <w:t>ltimately yielding Equation</w:t>
      </w:r>
      <w:r w:rsidRPr="0075398B">
        <w:rPr>
          <w:lang w:val="en-US"/>
        </w:rPr>
        <w:t xml:space="preserve"> </w:t>
      </w:r>
      <w:r w:rsidR="000422D9" w:rsidRPr="0075398B">
        <w:rPr>
          <w:lang w:val="en-US"/>
        </w:rPr>
        <w:t>9</w:t>
      </w:r>
      <w:r w:rsidRPr="0075398B">
        <w:rPr>
          <w:lang w:val="en-US"/>
        </w:rPr>
        <w:t>.</w:t>
      </w:r>
    </w:p>
    <w:p w14:paraId="66533EF6" w14:textId="77777777" w:rsidR="00A93BC2" w:rsidRPr="0075398B" w:rsidRDefault="00A93BC2" w:rsidP="00B74D68">
      <w:pPr>
        <w:rPr>
          <w:rFonts w:eastAsia="Times New Roman"/>
          <w:szCs w:val="20"/>
          <w:lang w:val="en-US" w:eastAsia="en-US"/>
        </w:rPr>
      </w:pPr>
    </w:p>
    <w:p w14:paraId="105965A8" w14:textId="275211AF" w:rsidR="004D01EA" w:rsidRPr="0075398B" w:rsidRDefault="009C2C99" w:rsidP="00232C6F">
      <w:pPr>
        <w:pStyle w:val="TAMainText"/>
        <w:spacing w:after="240" w:line="360" w:lineRule="auto"/>
        <w:ind w:firstLine="0"/>
        <w:jc w:val="left"/>
        <w:rPr>
          <w:rFonts w:ascii="Times New Roman" w:hAnsi="Times New Roman"/>
        </w:rPr>
      </w:pP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O</m:t>
                </m:r>
              </m:e>
              <m:sub>
                <m:r>
                  <w:rPr>
                    <w:rFonts w:ascii="Cambria Math" w:hAnsi="Cambria Math"/>
                  </w:rPr>
                  <m:t>2</m:t>
                </m:r>
              </m:sub>
              <m:sup>
                <m:r>
                  <w:rPr>
                    <w:rFonts w:ascii="Cambria Math" w:hAnsi="Cambria Math"/>
                  </w:rPr>
                  <m:t>•-</m:t>
                </m:r>
              </m:sup>
            </m:sSubSup>
          </m:e>
        </m:d>
      </m:oMath>
      <w:r w:rsidR="004D01EA" w:rsidRPr="0075398B">
        <w:rPr>
          <w:rFonts w:ascii="Times New Roman" w:hAnsi="Times New Roman"/>
        </w:rPr>
        <w:tab/>
      </w:r>
      <w:r w:rsidR="004D01EA" w:rsidRPr="0075398B">
        <w:rPr>
          <w:rFonts w:ascii="Times New Roman" w:hAnsi="Times New Roman"/>
        </w:rPr>
        <w:tab/>
      </w:r>
      <w:r w:rsidR="004D01EA" w:rsidRPr="0075398B">
        <w:rPr>
          <w:rFonts w:ascii="Times New Roman" w:hAnsi="Times New Roman"/>
        </w:rPr>
        <w:tab/>
      </w:r>
      <w:r w:rsidR="004D01EA" w:rsidRPr="0075398B">
        <w:rPr>
          <w:rFonts w:ascii="Times New Roman" w:hAnsi="Times New Roman"/>
        </w:rPr>
        <w:tab/>
      </w:r>
      <w:r w:rsidR="004D01EA" w:rsidRPr="0075398B">
        <w:rPr>
          <w:rFonts w:ascii="Times New Roman" w:hAnsi="Times New Roman"/>
        </w:rPr>
        <w:tab/>
      </w:r>
      <w:r w:rsidR="004D01EA" w:rsidRPr="0075398B">
        <w:rPr>
          <w:rFonts w:ascii="Times New Roman" w:hAnsi="Times New Roman"/>
        </w:rPr>
        <w:tab/>
      </w:r>
      <w:r w:rsidR="004D01EA" w:rsidRPr="0075398B">
        <w:rPr>
          <w:rFonts w:ascii="Times New Roman" w:hAnsi="Times New Roman"/>
        </w:rPr>
        <w:tab/>
      </w:r>
      <w:r w:rsidR="004D01EA" w:rsidRPr="0075398B">
        <w:rPr>
          <w:rFonts w:ascii="Times New Roman" w:hAnsi="Times New Roman"/>
        </w:rPr>
        <w:tab/>
      </w:r>
      <w:r w:rsidR="004D01EA" w:rsidRPr="0075398B">
        <w:rPr>
          <w:rFonts w:ascii="Times New Roman" w:hAnsi="Times New Roman"/>
        </w:rPr>
        <w:tab/>
      </w:r>
      <w:r w:rsidR="00232C6F" w:rsidRPr="0075398B">
        <w:rPr>
          <w:rFonts w:ascii="Times New Roman" w:hAnsi="Times New Roman"/>
        </w:rPr>
        <w:tab/>
      </w:r>
      <w:r w:rsidR="00232C6F" w:rsidRPr="0075398B">
        <w:rPr>
          <w:rFonts w:ascii="Times New Roman" w:hAnsi="Times New Roman"/>
        </w:rPr>
        <w:tab/>
        <w:t>(</w:t>
      </w:r>
      <w:r w:rsidR="000422D9" w:rsidRPr="0075398B">
        <w:rPr>
          <w:rFonts w:ascii="Times New Roman" w:hAnsi="Times New Roman"/>
        </w:rPr>
        <w:t>8</w:t>
      </w:r>
      <w:r w:rsidR="004D01EA" w:rsidRPr="0075398B">
        <w:rPr>
          <w:rFonts w:ascii="Times New Roman" w:hAnsi="Times New Roman"/>
        </w:rPr>
        <w:t>)</w:t>
      </w:r>
    </w:p>
    <w:p w14:paraId="509D95DA" w14:textId="38A543B8" w:rsidR="004D01EA" w:rsidRPr="0075398B" w:rsidRDefault="009C2C99" w:rsidP="00232C6F">
      <w:pPr>
        <w:pStyle w:val="TAMainText"/>
        <w:spacing w:line="360" w:lineRule="auto"/>
        <w:ind w:firstLine="0"/>
        <w:jc w:val="left"/>
        <w:rPr>
          <w:rFonts w:ascii="Times New Roman" w:hAnsi="Times New Roman"/>
        </w:rPr>
      </w:pPr>
      <m:oMath>
        <m:sSub>
          <m:sSubPr>
            <m:ctrlPr>
              <w:rPr>
                <w:rFonts w:ascii="Cambria Math" w:eastAsiaTheme="minorEastAsia" w:hAnsi="Cambria Math"/>
                <w:i/>
              </w:rPr>
            </m:ctrlPr>
          </m:sSubPr>
          <m:e>
            <m:d>
              <m:dPr>
                <m:begChr m:val="["/>
                <m:endChr m:val="]"/>
                <m:ctrlPr>
                  <w:rPr>
                    <w:rFonts w:ascii="Cambria Math" w:eastAsiaTheme="minorEastAsia" w:hAnsi="Cambria Math"/>
                    <w:i/>
                  </w:rPr>
                </m:ctrlPr>
              </m:dPr>
              <m:e>
                <m:r>
                  <w:rPr>
                    <w:rFonts w:ascii="Cambria Math" w:eastAsiaTheme="minorEastAsia" w:hAnsi="Cambria Math"/>
                  </w:rPr>
                  <m:t>XTT</m:t>
                </m:r>
              </m:e>
            </m:d>
          </m:e>
          <m:sub>
            <m:r>
              <w:rPr>
                <w:rFonts w:ascii="Cambria Math" w:eastAsiaTheme="minorEastAsia" w:hAnsi="Cambria Math"/>
              </w:rPr>
              <m:t>0</m:t>
            </m:r>
          </m:sub>
        </m:sSub>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XTT</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F</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3</m:t>
            </m:r>
          </m:sub>
        </m:sSub>
        <m:r>
          <w:rPr>
            <w:rFonts w:ascii="Cambria Math" w:eastAsiaTheme="minorEastAsia" w:hAnsi="Cambria Math"/>
          </w:rPr>
          <m:t>t</m:t>
        </m:r>
      </m:oMath>
      <w:r w:rsidR="004D01EA" w:rsidRPr="0075398B">
        <w:rPr>
          <w:rFonts w:ascii="Times New Roman" w:hAnsi="Times New Roman"/>
        </w:rPr>
        <w:tab/>
      </w:r>
      <w:r w:rsidR="004D01EA" w:rsidRPr="0075398B">
        <w:rPr>
          <w:rFonts w:ascii="Times New Roman" w:hAnsi="Times New Roman"/>
        </w:rPr>
        <w:tab/>
      </w:r>
      <w:r w:rsidR="004D01EA" w:rsidRPr="0075398B">
        <w:rPr>
          <w:rFonts w:ascii="Times New Roman" w:hAnsi="Times New Roman"/>
        </w:rPr>
        <w:tab/>
      </w:r>
      <w:r w:rsidR="004D01EA" w:rsidRPr="0075398B">
        <w:rPr>
          <w:rFonts w:ascii="Times New Roman" w:hAnsi="Times New Roman"/>
        </w:rPr>
        <w:tab/>
      </w:r>
      <w:r w:rsidR="004D01EA" w:rsidRPr="0075398B">
        <w:rPr>
          <w:rFonts w:ascii="Times New Roman" w:hAnsi="Times New Roman"/>
        </w:rPr>
        <w:tab/>
      </w:r>
      <w:r w:rsidR="004D01EA" w:rsidRPr="0075398B">
        <w:rPr>
          <w:rFonts w:ascii="Times New Roman" w:hAnsi="Times New Roman"/>
        </w:rPr>
        <w:tab/>
      </w:r>
      <w:r w:rsidR="004D01EA" w:rsidRPr="0075398B">
        <w:rPr>
          <w:rFonts w:ascii="Times New Roman" w:hAnsi="Times New Roman"/>
        </w:rPr>
        <w:tab/>
      </w:r>
      <w:r w:rsidR="004D01EA" w:rsidRPr="0075398B">
        <w:rPr>
          <w:rFonts w:ascii="Times New Roman" w:hAnsi="Times New Roman"/>
        </w:rPr>
        <w:tab/>
      </w:r>
      <w:r w:rsidR="00232C6F" w:rsidRPr="0075398B">
        <w:rPr>
          <w:rFonts w:ascii="Times New Roman" w:hAnsi="Times New Roman"/>
        </w:rPr>
        <w:t>(</w:t>
      </w:r>
      <w:r w:rsidR="000422D9" w:rsidRPr="0075398B">
        <w:rPr>
          <w:rFonts w:ascii="Times New Roman" w:hAnsi="Times New Roman"/>
        </w:rPr>
        <w:t>9</w:t>
      </w:r>
      <w:r w:rsidR="004D01EA" w:rsidRPr="0075398B">
        <w:rPr>
          <w:rFonts w:ascii="Times New Roman" w:hAnsi="Times New Roman"/>
        </w:rPr>
        <w:t>)</w:t>
      </w:r>
    </w:p>
    <w:p w14:paraId="3723CB2D" w14:textId="77777777" w:rsidR="00A93BC2" w:rsidRPr="0075398B" w:rsidRDefault="00A93BC2" w:rsidP="00232C6F">
      <w:pPr>
        <w:pStyle w:val="TAMainText"/>
        <w:spacing w:line="360" w:lineRule="auto"/>
        <w:ind w:firstLine="0"/>
        <w:jc w:val="left"/>
        <w:rPr>
          <w:rFonts w:ascii="Times New Roman" w:hAnsi="Times New Roman"/>
        </w:rPr>
      </w:pPr>
    </w:p>
    <w:p w14:paraId="488AB266" w14:textId="767A68D1" w:rsidR="004D01EA" w:rsidRPr="0075398B" w:rsidRDefault="00232C6F" w:rsidP="001C5CBA">
      <w:pPr>
        <w:jc w:val="both"/>
        <w:rPr>
          <w:lang w:val="en-US"/>
        </w:rPr>
      </w:pPr>
      <w:r w:rsidRPr="0075398B">
        <w:rPr>
          <w:lang w:val="en-US"/>
        </w:rPr>
        <w:t>Substituting Equations 7 and 8 in Equation 6</w:t>
      </w:r>
      <w:r w:rsidR="004D01EA" w:rsidRPr="0075398B">
        <w:rPr>
          <w:lang w:val="en-US"/>
        </w:rPr>
        <w:t>, the following integrated rate equation is obtained</w:t>
      </w:r>
      <w:r w:rsidRPr="0075398B">
        <w:rPr>
          <w:lang w:val="en-US"/>
        </w:rPr>
        <w:t xml:space="preserve"> </w:t>
      </w:r>
      <w:r w:rsidR="000422D9" w:rsidRPr="0075398B">
        <w:rPr>
          <w:lang w:val="en-US"/>
        </w:rPr>
        <w:t>(Equation 10</w:t>
      </w:r>
      <w:r w:rsidRPr="0075398B">
        <w:rPr>
          <w:lang w:val="en-US"/>
        </w:rPr>
        <w:t>)</w:t>
      </w:r>
      <w:r w:rsidR="004D01EA" w:rsidRPr="0075398B">
        <w:rPr>
          <w:lang w:val="en-US"/>
        </w:rPr>
        <w:t>:</w:t>
      </w:r>
    </w:p>
    <w:p w14:paraId="51141C27" w14:textId="77777777" w:rsidR="00A93BC2" w:rsidRPr="0075398B" w:rsidRDefault="00A93BC2" w:rsidP="001C5CBA">
      <w:pPr>
        <w:jc w:val="both"/>
        <w:rPr>
          <w:lang w:val="en-US"/>
        </w:rPr>
      </w:pPr>
    </w:p>
    <w:p w14:paraId="0BEAC39B" w14:textId="2A631803" w:rsidR="004D01EA" w:rsidRPr="0075398B" w:rsidRDefault="009C2C99" w:rsidP="001C5CBA">
      <w:pPr>
        <w:pStyle w:val="TAMainText"/>
        <w:spacing w:after="240" w:line="360" w:lineRule="auto"/>
        <w:ind w:firstLine="0"/>
        <w:rPr>
          <w:rFonts w:ascii="Times New Roman" w:hAnsi="Times New Roman"/>
        </w:rPr>
      </w:pPr>
      <m:oMath>
        <m:d>
          <m:dPr>
            <m:begChr m:val="["/>
            <m:endChr m:val="]"/>
            <m:ctrlPr>
              <w:rPr>
                <w:rFonts w:ascii="Cambria Math" w:eastAsiaTheme="minorEastAsia" w:hAnsi="Cambria Math"/>
                <w:i/>
              </w:rPr>
            </m:ctrlPr>
          </m:dPr>
          <m:e>
            <m:r>
              <w:rPr>
                <w:rFonts w:ascii="Cambria Math" w:eastAsiaTheme="minorEastAsia" w:hAnsi="Cambria Math"/>
              </w:rPr>
              <m:t>F</m:t>
            </m:r>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d>
                  <m:dPr>
                    <m:begChr m:val="["/>
                    <m:endChr m:val="]"/>
                    <m:ctrlPr>
                      <w:rPr>
                        <w:rFonts w:ascii="Cambria Math" w:eastAsiaTheme="minorEastAsia" w:hAnsi="Cambria Math"/>
                        <w:i/>
                      </w:rPr>
                    </m:ctrlPr>
                  </m:dPr>
                  <m:e>
                    <m:r>
                      <w:rPr>
                        <w:rFonts w:ascii="Cambria Math" w:eastAsiaTheme="minorEastAsia" w:hAnsi="Cambria Math"/>
                      </w:rPr>
                      <m:t>XTT</m:t>
                    </m:r>
                  </m:e>
                </m:d>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3</m:t>
                </m:r>
              </m:sub>
            </m:sSub>
            <m:r>
              <w:rPr>
                <w:rFonts w:ascii="Cambria Math" w:eastAsiaTheme="minorEastAsia" w:hAnsi="Cambria Math"/>
              </w:rPr>
              <m:t>t</m:t>
            </m:r>
          </m:e>
        </m:d>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m:t>
                    </m:r>
                  </m:sup>
                </m:sSup>
                <m:r>
                  <w:rPr>
                    <w:rFonts w:ascii="Cambria Math" w:eastAsiaTheme="minorEastAsia" w:hAnsi="Cambria Math"/>
                  </w:rPr>
                  <m:t>t</m:t>
                </m:r>
              </m:sup>
            </m:sSup>
          </m:e>
        </m:d>
      </m:oMath>
      <w:r w:rsidR="00232C6F" w:rsidRPr="0075398B">
        <w:rPr>
          <w:rFonts w:ascii="Times New Roman" w:hAnsi="Times New Roman"/>
        </w:rPr>
        <w:tab/>
      </w:r>
      <w:r w:rsidR="00232C6F" w:rsidRPr="0075398B">
        <w:rPr>
          <w:rFonts w:ascii="Times New Roman" w:hAnsi="Times New Roman"/>
        </w:rPr>
        <w:tab/>
      </w:r>
      <w:r w:rsidR="00232C6F" w:rsidRPr="0075398B">
        <w:rPr>
          <w:rFonts w:ascii="Times New Roman" w:hAnsi="Times New Roman"/>
        </w:rPr>
        <w:tab/>
      </w:r>
      <w:r w:rsidR="00232C6F" w:rsidRPr="0075398B">
        <w:rPr>
          <w:rFonts w:ascii="Times New Roman" w:hAnsi="Times New Roman"/>
        </w:rPr>
        <w:tab/>
      </w:r>
      <w:r w:rsidR="00232C6F" w:rsidRPr="0075398B">
        <w:rPr>
          <w:rFonts w:ascii="Times New Roman" w:hAnsi="Times New Roman"/>
        </w:rPr>
        <w:tab/>
      </w:r>
      <w:r w:rsidR="00232C6F" w:rsidRPr="0075398B">
        <w:rPr>
          <w:rFonts w:ascii="Times New Roman" w:hAnsi="Times New Roman"/>
        </w:rPr>
        <w:tab/>
      </w:r>
      <w:r w:rsidR="00232C6F" w:rsidRPr="0075398B">
        <w:rPr>
          <w:rFonts w:ascii="Times New Roman" w:hAnsi="Times New Roman"/>
        </w:rPr>
        <w:tab/>
      </w:r>
      <w:r w:rsidR="00232C6F" w:rsidRPr="0075398B">
        <w:rPr>
          <w:rFonts w:ascii="Times New Roman" w:hAnsi="Times New Roman"/>
        </w:rPr>
        <w:tab/>
        <w:t>(</w:t>
      </w:r>
      <w:r w:rsidR="000422D9" w:rsidRPr="0075398B">
        <w:rPr>
          <w:rFonts w:ascii="Times New Roman" w:hAnsi="Times New Roman"/>
        </w:rPr>
        <w:t>10</w:t>
      </w:r>
      <w:r w:rsidR="004D01EA" w:rsidRPr="0075398B">
        <w:rPr>
          <w:rFonts w:ascii="Times New Roman" w:hAnsi="Times New Roman"/>
        </w:rPr>
        <w:t>)</w:t>
      </w:r>
    </w:p>
    <w:p w14:paraId="485ECEE6" w14:textId="0305186B" w:rsidR="004D01EA" w:rsidRPr="0075398B" w:rsidRDefault="00232C6F" w:rsidP="001C5CBA">
      <w:pPr>
        <w:jc w:val="both"/>
        <w:rPr>
          <w:lang w:val="en-US"/>
        </w:rPr>
      </w:pPr>
      <w:r w:rsidRPr="0075398B">
        <w:rPr>
          <w:lang w:val="en-US"/>
        </w:rPr>
        <w:t>Equation</w:t>
      </w:r>
      <w:r w:rsidR="004D01EA" w:rsidRPr="0075398B">
        <w:rPr>
          <w:lang w:val="en-US"/>
        </w:rPr>
        <w:t xml:space="preserve"> </w:t>
      </w:r>
      <w:r w:rsidR="00A93BC2" w:rsidRPr="0075398B">
        <w:rPr>
          <w:lang w:val="en-US"/>
        </w:rPr>
        <w:t>10</w:t>
      </w:r>
      <w:r w:rsidR="004D01EA" w:rsidRPr="0075398B">
        <w:rPr>
          <w:lang w:val="en-US"/>
        </w:rPr>
        <w:t xml:space="preserve"> thus represents a kinetic model for the formazan concentration, [F], as a function of time, that can be monitored using the absorption band at 480 nm</w:t>
      </w:r>
      <w:r w:rsidR="00A93BC2" w:rsidRPr="0075398B">
        <w:rPr>
          <w:lang w:val="en-US"/>
        </w:rPr>
        <w:t xml:space="preserve"> and the molecular absorption coefficient, estimated in 1</w:t>
      </w:r>
      <w:r w:rsidR="004D01EA" w:rsidRPr="0075398B">
        <w:rPr>
          <w:lang w:val="en-US"/>
        </w:rPr>
        <w:t>. In addition, the initial XTT concentration, [XTT]</w:t>
      </w:r>
      <w:r w:rsidR="004D01EA" w:rsidRPr="0075398B">
        <w:rPr>
          <w:vertAlign w:val="subscript"/>
          <w:lang w:val="en-US"/>
        </w:rPr>
        <w:t>0</w:t>
      </w:r>
      <w:r w:rsidR="004D01EA" w:rsidRPr="0075398B">
        <w:rPr>
          <w:lang w:val="en-US"/>
        </w:rPr>
        <w:t>, can also be described with this absorption band. Assuming no discoloration of the formed formazan would take place, the formazan concentration at t = infinity equals [XTT]</w:t>
      </w:r>
      <w:r w:rsidR="004D01EA" w:rsidRPr="0075398B">
        <w:rPr>
          <w:vertAlign w:val="subscript"/>
          <w:lang w:val="en-US"/>
        </w:rPr>
        <w:t>0</w:t>
      </w:r>
      <w:r w:rsidR="004D01EA" w:rsidRPr="0075398B">
        <w:rPr>
          <w:lang w:val="en-US"/>
        </w:rPr>
        <w:t xml:space="preserve"> as all XTT would be converted into formazan. [XTT]</w:t>
      </w:r>
      <w:r w:rsidR="004D01EA" w:rsidRPr="0075398B">
        <w:rPr>
          <w:vertAlign w:val="subscript"/>
          <w:lang w:val="en-US"/>
        </w:rPr>
        <w:t>0</w:t>
      </w:r>
      <w:r w:rsidR="004D01EA" w:rsidRPr="0075398B">
        <w:rPr>
          <w:lang w:val="en-US"/>
        </w:rPr>
        <w:t xml:space="preserve"> can therefore be substituted by the absorbance of formazan at 480 nm at t = infinity (in the absence of discolorati</w:t>
      </w:r>
      <w:r w:rsidR="000422D9" w:rsidRPr="0075398B">
        <w:rPr>
          <w:lang w:val="en-US"/>
        </w:rPr>
        <w:t>on), ultimately yielding (eq. 11</w:t>
      </w:r>
      <w:r w:rsidR="004D01EA" w:rsidRPr="0075398B">
        <w:rPr>
          <w:lang w:val="en-US"/>
        </w:rPr>
        <w:t>).</w:t>
      </w:r>
    </w:p>
    <w:p w14:paraId="0402769E" w14:textId="77777777" w:rsidR="000422D9" w:rsidRPr="0075398B" w:rsidRDefault="000422D9" w:rsidP="00B74D68">
      <w:pPr>
        <w:rPr>
          <w:lang w:val="en-US"/>
        </w:rPr>
      </w:pPr>
    </w:p>
    <w:p w14:paraId="0065D88A" w14:textId="5AF00D34" w:rsidR="00FD2284" w:rsidRPr="0075398B" w:rsidRDefault="009C2C99" w:rsidP="00FD2284">
      <w:pPr>
        <w:jc w:val="both"/>
        <w:rPr>
          <w:lang w:val="en-US"/>
        </w:rPr>
      </w:pPr>
      <m:oMath>
        <m:d>
          <m:dPr>
            <m:begChr m:val="["/>
            <m:endChr m:val="]"/>
            <m:ctrlPr>
              <w:rPr>
                <w:rFonts w:ascii="Cambria Math" w:hAnsi="Cambria Math"/>
                <w:i/>
                <w:lang w:val="en-US"/>
              </w:rPr>
            </m:ctrlPr>
          </m:dPr>
          <m:e>
            <m:r>
              <w:rPr>
                <w:rFonts w:ascii="Cambria Math" w:hAnsi="Cambria Math"/>
                <w:lang w:val="en-US"/>
              </w:rPr>
              <m:t>F</m:t>
            </m:r>
          </m:e>
        </m:d>
        <m:r>
          <w:rPr>
            <w:rFonts w:ascii="Cambria Math" w:hAnsi="Cambria Math"/>
            <w:lang w:val="en-US"/>
          </w:rPr>
          <m:t xml:space="preserve">=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Abs</m:t>
                </m:r>
              </m:e>
              <m:sub>
                <m:r>
                  <w:rPr>
                    <w:rFonts w:ascii="Cambria Math" w:hAnsi="Cambria Math"/>
                    <w:lang w:val="en-US"/>
                  </w:rPr>
                  <m:t>480 nm</m:t>
                </m:r>
              </m:sub>
            </m:sSub>
            <m:d>
              <m:dPr>
                <m:ctrlPr>
                  <w:rPr>
                    <w:rFonts w:ascii="Cambria Math" w:hAnsi="Cambria Math"/>
                    <w:i/>
                    <w:lang w:val="en-US"/>
                  </w:rPr>
                </m:ctrlPr>
              </m:dPr>
              <m:e>
                <m:r>
                  <w:rPr>
                    <w:rFonts w:ascii="Cambria Math" w:hAnsi="Cambria Math"/>
                    <w:lang w:val="en-US"/>
                  </w:rPr>
                  <m:t>t=t</m:t>
                </m:r>
              </m:e>
            </m:d>
          </m:num>
          <m:den>
            <m:sSub>
              <m:sSubPr>
                <m:ctrlPr>
                  <w:rPr>
                    <w:rFonts w:ascii="Cambria Math" w:hAnsi="Cambria Math"/>
                    <w:i/>
                    <w:lang w:val="en-US"/>
                  </w:rPr>
                </m:ctrlPr>
              </m:sSubPr>
              <m:e>
                <m:r>
                  <w:rPr>
                    <w:rFonts w:ascii="Cambria Math" w:hAnsi="Cambria Math"/>
                    <w:lang w:val="en-US"/>
                  </w:rPr>
                  <m:t>ε</m:t>
                </m:r>
              </m:e>
              <m:sub>
                <m:r>
                  <w:rPr>
                    <w:rFonts w:ascii="Cambria Math" w:hAnsi="Cambria Math"/>
                    <w:lang w:val="en-US"/>
                  </w:rPr>
                  <m:t>DMSO, 480 nm</m:t>
                </m:r>
              </m:sub>
            </m:sSub>
            <m:r>
              <w:rPr>
                <w:rFonts w:ascii="Cambria Math" w:hAnsi="Cambria Math"/>
                <w:lang w:val="en-US"/>
              </w:rPr>
              <m:t xml:space="preserve"> .  l</m:t>
            </m:r>
          </m:den>
        </m:f>
        <m:r>
          <w:rPr>
            <w:rFonts w:ascii="Cambria Math" w:hAnsi="Cambria Math"/>
            <w:lang w:val="en-US"/>
          </w:rPr>
          <m:t>=</m:t>
        </m:r>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Abs</m:t>
                    </m:r>
                  </m:e>
                  <m:sub>
                    <m:r>
                      <w:rPr>
                        <w:rFonts w:ascii="Cambria Math" w:hAnsi="Cambria Math"/>
                        <w:lang w:val="en-US"/>
                      </w:rPr>
                      <m:t>480 nm</m:t>
                    </m:r>
                  </m:sub>
                </m:sSub>
                <m:d>
                  <m:dPr>
                    <m:ctrlPr>
                      <w:rPr>
                        <w:rFonts w:ascii="Cambria Math" w:hAnsi="Cambria Math"/>
                        <w:i/>
                        <w:lang w:val="en-US"/>
                      </w:rPr>
                    </m:ctrlPr>
                  </m:dPr>
                  <m:e>
                    <m:r>
                      <w:rPr>
                        <w:rFonts w:ascii="Cambria Math" w:hAnsi="Cambria Math"/>
                        <w:lang w:val="en-US"/>
                      </w:rPr>
                      <m:t>t= ∞</m:t>
                    </m:r>
                  </m:e>
                </m:d>
              </m:num>
              <m:den>
                <m:sSub>
                  <m:sSubPr>
                    <m:ctrlPr>
                      <w:rPr>
                        <w:rFonts w:ascii="Cambria Math" w:hAnsi="Cambria Math"/>
                        <w:i/>
                        <w:lang w:val="en-US"/>
                      </w:rPr>
                    </m:ctrlPr>
                  </m:sSubPr>
                  <m:e>
                    <m:r>
                      <w:rPr>
                        <w:rFonts w:ascii="Cambria Math" w:hAnsi="Cambria Math"/>
                        <w:lang w:val="en-US"/>
                      </w:rPr>
                      <m:t>ε</m:t>
                    </m:r>
                  </m:e>
                  <m:sub>
                    <m:r>
                      <w:rPr>
                        <w:rFonts w:ascii="Cambria Math" w:hAnsi="Cambria Math"/>
                        <w:lang w:val="en-US"/>
                      </w:rPr>
                      <m:t xml:space="preserve">DMSO, 480 nm </m:t>
                    </m:r>
                  </m:sub>
                </m:sSub>
                <m:r>
                  <w:rPr>
                    <w:rFonts w:ascii="Cambria Math" w:hAnsi="Cambria Math"/>
                    <w:lang w:val="en-US"/>
                  </w:rPr>
                  <m:t>.  l</m:t>
                </m:r>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3</m:t>
                </m:r>
              </m:sub>
            </m:sSub>
            <m:r>
              <w:rPr>
                <w:rFonts w:ascii="Cambria Math" w:hAnsi="Cambria Math"/>
                <w:lang w:val="en-US"/>
              </w:rPr>
              <m:t>t</m:t>
            </m:r>
          </m:e>
        </m:d>
        <m:d>
          <m:dPr>
            <m:ctrlPr>
              <w:rPr>
                <w:rFonts w:ascii="Cambria Math" w:hAnsi="Cambria Math"/>
                <w:i/>
                <w:lang w:val="en-US"/>
              </w:rPr>
            </m:ctrlPr>
          </m:dPr>
          <m:e>
            <m:r>
              <w:rPr>
                <w:rFonts w:ascii="Cambria Math" w:hAnsi="Cambria Math"/>
                <w:lang w:val="en-US"/>
              </w:rPr>
              <m:t>1-</m:t>
            </m:r>
            <m:sSup>
              <m:sSupPr>
                <m:ctrlPr>
                  <w:rPr>
                    <w:rFonts w:ascii="Cambria Math" w:hAnsi="Cambria Math"/>
                    <w:i/>
                    <w:lang w:val="en-US"/>
                  </w:rPr>
                </m:ctrlPr>
              </m:sSupPr>
              <m:e>
                <m:r>
                  <w:rPr>
                    <w:rFonts w:ascii="Cambria Math" w:hAnsi="Cambria Math"/>
                    <w:lang w:val="en-US"/>
                  </w:rPr>
                  <m:t>e</m:t>
                </m:r>
              </m:e>
              <m:sup>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m:t>
                    </m:r>
                  </m:sup>
                </m:sSup>
                <m:r>
                  <w:rPr>
                    <w:rFonts w:ascii="Cambria Math" w:hAnsi="Cambria Math"/>
                    <w:lang w:val="en-US"/>
                  </w:rPr>
                  <m:t>t</m:t>
                </m:r>
              </m:sup>
            </m:sSup>
          </m:e>
        </m:d>
      </m:oMath>
      <w:r w:rsidR="00FD2284" w:rsidRPr="0075398B">
        <w:rPr>
          <w:lang w:val="en-US"/>
        </w:rPr>
        <w:tab/>
      </w:r>
      <w:r w:rsidR="00FD2284" w:rsidRPr="0075398B">
        <w:rPr>
          <w:lang w:val="en-US"/>
        </w:rPr>
        <w:tab/>
      </w:r>
      <w:r w:rsidR="00FD2284" w:rsidRPr="0075398B">
        <w:rPr>
          <w:lang w:val="en-US"/>
        </w:rPr>
        <w:tab/>
      </w:r>
      <w:r w:rsidR="00FD2284" w:rsidRPr="0075398B">
        <w:rPr>
          <w:lang w:val="en-US"/>
        </w:rPr>
        <w:tab/>
        <w:t>(</w:t>
      </w:r>
      <w:r w:rsidR="000422D9" w:rsidRPr="0075398B">
        <w:rPr>
          <w:lang w:val="en-US"/>
        </w:rPr>
        <w:t>11</w:t>
      </w:r>
      <w:r w:rsidR="00FD2284" w:rsidRPr="0075398B">
        <w:rPr>
          <w:lang w:val="en-US"/>
        </w:rPr>
        <w:t>)</w:t>
      </w:r>
    </w:p>
    <w:p w14:paraId="5753A27C" w14:textId="77777777" w:rsidR="00FD2284" w:rsidRPr="0075398B" w:rsidRDefault="00FD2284" w:rsidP="00FD2284">
      <w:pPr>
        <w:jc w:val="both"/>
        <w:rPr>
          <w:lang w:val="en-US"/>
        </w:rPr>
      </w:pPr>
    </w:p>
    <w:p w14:paraId="2CE3B3C1" w14:textId="77777777" w:rsidR="00FD2284" w:rsidRPr="0075398B" w:rsidRDefault="00FD2284" w:rsidP="00FD2284">
      <w:pPr>
        <w:jc w:val="both"/>
        <w:rPr>
          <w:lang w:val="en-US"/>
        </w:rPr>
      </w:pPr>
      <w:r w:rsidRPr="0075398B">
        <w:rPr>
          <w:lang w:val="en-US"/>
        </w:rPr>
        <w:t xml:space="preserve">With </w:t>
      </w:r>
      <w:proofErr w:type="spellStart"/>
      <w:r w:rsidRPr="0075398B">
        <w:rPr>
          <w:lang w:val="en-US"/>
        </w:rPr>
        <w:t>ε</w:t>
      </w:r>
      <w:r w:rsidRPr="0075398B">
        <w:rPr>
          <w:vertAlign w:val="subscript"/>
          <w:lang w:val="en-US"/>
        </w:rPr>
        <w:t>DMSO</w:t>
      </w:r>
      <w:proofErr w:type="spellEnd"/>
      <w:r w:rsidRPr="0075398B">
        <w:rPr>
          <w:vertAlign w:val="subscript"/>
          <w:lang w:val="en-US"/>
        </w:rPr>
        <w:t xml:space="preserve">, 480 nm </w:t>
      </w:r>
      <w:r w:rsidRPr="0075398B">
        <w:rPr>
          <w:lang w:val="en-US"/>
        </w:rPr>
        <w:t>the estimated molecular absorption coefficient for formazan and l the path length of light through the solution (1 cm).</w:t>
      </w:r>
    </w:p>
    <w:p w14:paraId="56D462EB" w14:textId="77777777" w:rsidR="00FD2284" w:rsidRPr="0075398B" w:rsidRDefault="00FD2284" w:rsidP="00FD2284">
      <w:pPr>
        <w:jc w:val="both"/>
        <w:rPr>
          <w:lang w:val="en-US"/>
        </w:rPr>
      </w:pPr>
    </w:p>
    <w:p w14:paraId="2B51689D" w14:textId="77777777" w:rsidR="004D01EA" w:rsidRPr="0075398B" w:rsidRDefault="004D01EA" w:rsidP="004D01EA">
      <w:pPr>
        <w:pStyle w:val="TAMainText"/>
        <w:spacing w:after="240" w:line="360" w:lineRule="auto"/>
        <w:jc w:val="left"/>
        <w:rPr>
          <w:rFonts w:ascii="Times New Roman" w:hAnsi="Times New Roman"/>
          <w:b/>
        </w:rPr>
      </w:pPr>
    </w:p>
    <w:p w14:paraId="6D270774" w14:textId="77777777" w:rsidR="004D01EA" w:rsidRPr="0075398B" w:rsidRDefault="004D01EA" w:rsidP="004D01EA">
      <w:pPr>
        <w:pStyle w:val="TAMainText"/>
        <w:spacing w:after="240" w:line="360" w:lineRule="auto"/>
        <w:jc w:val="center"/>
        <w:rPr>
          <w:rFonts w:ascii="Times New Roman" w:hAnsi="Times New Roman"/>
          <w:b/>
        </w:rPr>
      </w:pPr>
      <w:r w:rsidRPr="0075398B">
        <w:rPr>
          <w:rFonts w:ascii="Times New Roman" w:hAnsi="Times New Roman"/>
          <w:b/>
          <w:lang w:eastAsia="nl-BE"/>
        </w:rPr>
        <w:lastRenderedPageBreak/>
        <w:drawing>
          <wp:inline distT="0" distB="0" distL="0" distR="0" wp14:anchorId="33348984" wp14:editId="018C4D8C">
            <wp:extent cx="3060000" cy="212079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5"/>
                    <a:srcRect l="2464" r="2735"/>
                    <a:stretch/>
                  </pic:blipFill>
                  <pic:spPr>
                    <a:xfrm>
                      <a:off x="0" y="0"/>
                      <a:ext cx="3060000" cy="2120795"/>
                    </a:xfrm>
                    <a:prstGeom prst="rect">
                      <a:avLst/>
                    </a:prstGeom>
                  </pic:spPr>
                </pic:pic>
              </a:graphicData>
            </a:graphic>
          </wp:inline>
        </w:drawing>
      </w:r>
    </w:p>
    <w:p w14:paraId="0D55E4BB" w14:textId="00BA8BCA" w:rsidR="004D01EA" w:rsidRPr="0075398B" w:rsidRDefault="004D01EA" w:rsidP="004D01EA">
      <w:pPr>
        <w:pStyle w:val="VAFigureCaption"/>
        <w:spacing w:line="360" w:lineRule="auto"/>
        <w:rPr>
          <w:rFonts w:ascii="Times New Roman" w:hAnsi="Times New Roman"/>
        </w:rPr>
      </w:pPr>
      <w:bookmarkStart w:id="1" w:name="_Toc495587323"/>
      <w:bookmarkStart w:id="2" w:name="_Toc495594317"/>
      <w:bookmarkStart w:id="3" w:name="_Toc498612936"/>
      <w:r w:rsidRPr="0075398B">
        <w:rPr>
          <w:rFonts w:ascii="Times New Roman" w:hAnsi="Times New Roman"/>
          <w:b/>
        </w:rPr>
        <w:t>Figure S</w:t>
      </w:r>
      <w:r w:rsidR="0075398B" w:rsidRPr="0075398B">
        <w:rPr>
          <w:rFonts w:ascii="Times New Roman" w:hAnsi="Times New Roman"/>
          <w:b/>
        </w:rPr>
        <w:t>2</w:t>
      </w:r>
      <w:r w:rsidRPr="0075398B">
        <w:rPr>
          <w:rFonts w:ascii="Times New Roman" w:hAnsi="Times New Roman"/>
          <w:b/>
        </w:rPr>
        <w:t>.</w:t>
      </w:r>
      <w:r w:rsidRPr="0075398B">
        <w:rPr>
          <w:rFonts w:ascii="Times New Roman" w:hAnsi="Times New Roman"/>
        </w:rPr>
        <w:t xml:space="preserve"> Reaction mechanism of the reduction of a tetrazolium salt (XTT) to the one-electron reduced intermediate radical (XTT•) and its tw</w:t>
      </w:r>
      <w:r w:rsidR="004C6EBE" w:rsidRPr="0075398B">
        <w:rPr>
          <w:rFonts w:ascii="Times New Roman" w:hAnsi="Times New Roman"/>
        </w:rPr>
        <w:t>o-electron reduced formazan form</w:t>
      </w:r>
      <w:r w:rsidR="00232C6F" w:rsidRPr="0075398B">
        <w:rPr>
          <w:rFonts w:ascii="Times New Roman" w:hAnsi="Times New Roman"/>
        </w:rPr>
        <w:t>.</w:t>
      </w:r>
      <w:r w:rsidR="004C6EBE" w:rsidRPr="0075398B">
        <w:rPr>
          <w:rFonts w:ascii="Times New Roman" w:hAnsi="Times New Roman"/>
        </w:rPr>
        <w:t xml:space="preserve"> </w:t>
      </w:r>
      <w:r w:rsidR="00232C6F" w:rsidRPr="0075398B">
        <w:rPr>
          <w:rFonts w:ascii="Times New Roman" w:hAnsi="Times New Roman"/>
        </w:rPr>
        <w:t>A</w:t>
      </w:r>
      <w:r w:rsidRPr="0075398B">
        <w:rPr>
          <w:rFonts w:ascii="Times New Roman" w:hAnsi="Times New Roman"/>
        </w:rPr>
        <w:t xml:space="preserve">dapted </w:t>
      </w:r>
      <w:r w:rsidR="00CC2520" w:rsidRPr="0075398B">
        <w:rPr>
          <w:rFonts w:ascii="Times New Roman" w:hAnsi="Times New Roman"/>
        </w:rPr>
        <w:t>from ref</w:t>
      </w:r>
      <w:r w:rsidR="004C6EBE" w:rsidRPr="0075398B">
        <w:rPr>
          <w:rFonts w:ascii="Times New Roman" w:hAnsi="Times New Roman"/>
        </w:rPr>
        <w:t xml:space="preserve"> </w:t>
      </w:r>
      <w:r w:rsidRPr="0075398B">
        <w:rPr>
          <w:rFonts w:ascii="Times New Roman" w:hAnsi="Times New Roman"/>
          <w:vertAlign w:val="superscript"/>
        </w:rPr>
        <w:fldChar w:fldCharType="begin" w:fldLock="1"/>
      </w:r>
      <w:r w:rsidR="006B25DB" w:rsidRPr="0075398B">
        <w:rPr>
          <w:rFonts w:ascii="Times New Roman" w:hAnsi="Times New Roman"/>
          <w:vertAlign w:val="superscript"/>
        </w:rPr>
        <w:instrText>ADDIN CSL_CITATION {"citationItems":[{"id":"ITEM-1","itemData":{"DOI":"10.1016/j.ica.2003.05.007","ISBN":"0020-1693","ISSN":"00201693","abstract":"The electrochemical behavior of water-soluble tetrazoliums (WST) has been studied by cyclic voltammetry. WST was reduced in a two-step process. The first reduction peak at -0.20 V versus Ag/AgCl corresponds to one-electron reduction reaction and is independent of pH. The second reduction peak at -0.47 V corresponds to one-electron/one-proton process. Since the first reduction peak potential is more positive than the formal potential of O2/O 2- redox couple, WST can be reduced by O2-. A possible mechanism is proposed for the reduction of WST dyes by O2-. Their reduced forms, which are called formazan, exhibited the absorbance maxima in the range of 435-537 nm with large molar extinction coefficients ((1-2)×104 M-1 cm -1). The electron-transfer reactions between O2- and WST dyes were quantitatively examined by stopped-flow spectroscopy using KO2/DMSO as O2- generating system and the second-order rate constants of the order of 104 M -1 s-1 were obtained. These values are comparable to that obtained for the conventional nitroblue tetrazolium (NBT). © 2003 Elsevier B.V. All rights reserved.","author":[{"dropping-particle":"","family":"Oritani","given":"Tadato","non-dropping-particle":"","parse-names":false,"suffix":""},{"dropping-particle":"","family":"Fukuhara","given":"Nobutaka","non-dropping-particle":"","parse-names":false,"suffix":""},{"dropping-particle":"","family":"Okajima","given":"Takeyoshi","non-dropping-particle":"","parse-names":false,"suffix":""},{"dropping-particle":"","family":"Kitamura","given":"Fusao","non-dropping-particle":"","parse-names":false,"suffix":""},{"dropping-particle":"","family":"Ohsaka","given":"Takeo","non-dropping-particle":"","parse-names":false,"suffix":""}],"container-title":"Inorganica Chimica Acta","id":"ITEM-1","issue":"2","issued":{"date-parts":[["2004"]]},"page":"436-442","title":"Electrochemical and spectroscopic studies on electron-transfer reaction between novel water-soluble tetrazolium salts and a superoxide ion","type":"article-journal","volume":"357"},"uris":["http://www.mendeley.com/documents/?uuid=ceaa3303-f3ec-4c4b-90bb-bb3d336093f2"]}],"mendeley":{"formattedCitation":"(Oritani et al., 2004)","plainTextFormattedCitation":"(Oritani et al., 2004)","previouslyFormattedCitation":"(Oritani et al., 2004)"},"properties":{"noteIndex":0},"schema":"https://github.com/citation-style-language/schema/raw/master/csl-citation.json"}</w:instrText>
      </w:r>
      <w:r w:rsidRPr="0075398B">
        <w:rPr>
          <w:rFonts w:ascii="Times New Roman" w:hAnsi="Times New Roman"/>
          <w:vertAlign w:val="superscript"/>
        </w:rPr>
        <w:fldChar w:fldCharType="separate"/>
      </w:r>
      <w:r w:rsidR="00B74D68" w:rsidRPr="0075398B">
        <w:rPr>
          <w:rFonts w:ascii="Times New Roman" w:hAnsi="Times New Roman"/>
        </w:rPr>
        <w:t>(</w:t>
      </w:r>
      <w:proofErr w:type="spellStart"/>
      <w:r w:rsidR="00B74D68" w:rsidRPr="0075398B">
        <w:rPr>
          <w:rFonts w:ascii="Times New Roman" w:hAnsi="Times New Roman"/>
        </w:rPr>
        <w:t>Oritani</w:t>
      </w:r>
      <w:proofErr w:type="spellEnd"/>
      <w:r w:rsidR="00B74D68" w:rsidRPr="0075398B">
        <w:rPr>
          <w:rFonts w:ascii="Times New Roman" w:hAnsi="Times New Roman"/>
        </w:rPr>
        <w:t xml:space="preserve"> et al., 2004)</w:t>
      </w:r>
      <w:r w:rsidRPr="0075398B">
        <w:rPr>
          <w:rFonts w:ascii="Times New Roman" w:hAnsi="Times New Roman"/>
          <w:vertAlign w:val="superscript"/>
        </w:rPr>
        <w:fldChar w:fldCharType="end"/>
      </w:r>
      <w:r w:rsidR="00F242D6" w:rsidRPr="0075398B">
        <w:rPr>
          <w:rFonts w:ascii="Times New Roman" w:hAnsi="Times New Roman"/>
          <w:vertAlign w:val="superscript"/>
        </w:rPr>
        <w:t xml:space="preserve"> </w:t>
      </w:r>
      <w:bookmarkEnd w:id="1"/>
      <w:bookmarkEnd w:id="2"/>
      <w:bookmarkEnd w:id="3"/>
      <w:r w:rsidR="00CC2520" w:rsidRPr="0075398B">
        <w:rPr>
          <w:rFonts w:ascii="Times New Roman" w:hAnsi="Times New Roman"/>
        </w:rPr>
        <w:t>.</w:t>
      </w:r>
    </w:p>
    <w:p w14:paraId="1CEA3716" w14:textId="77777777" w:rsidR="00A20861" w:rsidRPr="0075398B" w:rsidRDefault="00A20861" w:rsidP="00A20861">
      <w:pPr>
        <w:pStyle w:val="MainText"/>
        <w:spacing w:line="360" w:lineRule="auto"/>
      </w:pPr>
    </w:p>
    <w:p w14:paraId="1414EE5D" w14:textId="77777777" w:rsidR="00401986" w:rsidRPr="0075398B" w:rsidRDefault="00401986">
      <w:pPr>
        <w:rPr>
          <w:lang w:val="en-US"/>
        </w:rPr>
      </w:pPr>
      <w:r w:rsidRPr="0075398B">
        <w:rPr>
          <w:lang w:val="en-US"/>
        </w:rPr>
        <w:br w:type="page"/>
      </w:r>
    </w:p>
    <w:p w14:paraId="292AA710" w14:textId="02EEB5DB" w:rsidR="00A20861" w:rsidRPr="0075398B" w:rsidRDefault="00A20861" w:rsidP="00B7583B">
      <w:pPr>
        <w:pStyle w:val="MainText"/>
        <w:spacing w:line="360" w:lineRule="auto"/>
        <w:rPr>
          <w:b/>
        </w:rPr>
      </w:pPr>
      <w:r w:rsidRPr="0075398B">
        <w:rPr>
          <w:b/>
        </w:rPr>
        <w:lastRenderedPageBreak/>
        <w:t>References</w:t>
      </w:r>
    </w:p>
    <w:p w14:paraId="1AC33A46" w14:textId="77777777" w:rsidR="006B25DB" w:rsidRPr="0075398B" w:rsidRDefault="006B25DB" w:rsidP="00B7583B">
      <w:pPr>
        <w:pStyle w:val="MainText"/>
        <w:spacing w:line="360" w:lineRule="auto"/>
        <w:rPr>
          <w:b/>
          <w:lang w:eastAsia="en-US"/>
        </w:rPr>
      </w:pPr>
    </w:p>
    <w:p w14:paraId="1DCEFAF7" w14:textId="02B7270A" w:rsidR="006B25DB" w:rsidRPr="0075398B" w:rsidRDefault="00A20861" w:rsidP="006B25DB">
      <w:pPr>
        <w:widowControl w:val="0"/>
        <w:autoSpaceDE w:val="0"/>
        <w:autoSpaceDN w:val="0"/>
        <w:adjustRightInd w:val="0"/>
        <w:spacing w:line="360" w:lineRule="auto"/>
        <w:ind w:left="480" w:hanging="480"/>
        <w:rPr>
          <w:lang w:val="en-US"/>
        </w:rPr>
      </w:pPr>
      <w:r w:rsidRPr="0075398B">
        <w:rPr>
          <w:lang w:val="en-US" w:eastAsia="en-US"/>
        </w:rPr>
        <w:fldChar w:fldCharType="begin" w:fldLock="1"/>
      </w:r>
      <w:r w:rsidRPr="0075398B">
        <w:rPr>
          <w:lang w:val="en-US" w:eastAsia="en-US"/>
        </w:rPr>
        <w:instrText xml:space="preserve">ADDIN Mendeley Bibliography CSL_BIBLIOGRAPHY </w:instrText>
      </w:r>
      <w:r w:rsidRPr="0075398B">
        <w:rPr>
          <w:lang w:val="en-US" w:eastAsia="en-US"/>
        </w:rPr>
        <w:fldChar w:fldCharType="separate"/>
      </w:r>
      <w:proofErr w:type="spellStart"/>
      <w:r w:rsidR="006B25DB" w:rsidRPr="0075398B">
        <w:rPr>
          <w:lang w:val="en-US"/>
        </w:rPr>
        <w:t>Bielski</w:t>
      </w:r>
      <w:proofErr w:type="spellEnd"/>
      <w:r w:rsidR="006B25DB" w:rsidRPr="0075398B">
        <w:rPr>
          <w:lang w:val="en-US"/>
        </w:rPr>
        <w:t xml:space="preserve">, B. H. J., Shiue, G. G., and </w:t>
      </w:r>
      <w:proofErr w:type="spellStart"/>
      <w:r w:rsidR="006B25DB" w:rsidRPr="0075398B">
        <w:rPr>
          <w:lang w:val="en-US"/>
        </w:rPr>
        <w:t>Bajuk</w:t>
      </w:r>
      <w:proofErr w:type="spellEnd"/>
      <w:r w:rsidR="006B25DB" w:rsidRPr="0075398B">
        <w:rPr>
          <w:lang w:val="en-US"/>
        </w:rPr>
        <w:t xml:space="preserve">, S. (1980). Reduction of nitro blue tetrazolium by CO2- and O2- radicals. </w:t>
      </w:r>
      <w:r w:rsidR="006B25DB" w:rsidRPr="0075398B">
        <w:rPr>
          <w:i/>
          <w:iCs/>
          <w:lang w:val="en-US"/>
        </w:rPr>
        <w:t>J. Phys. Chem.</w:t>
      </w:r>
      <w:r w:rsidR="006B25DB" w:rsidRPr="0075398B">
        <w:rPr>
          <w:lang w:val="en-US"/>
        </w:rPr>
        <w:t xml:space="preserve"> 84, 830–833. </w:t>
      </w:r>
      <w:proofErr w:type="spellStart"/>
      <w:r w:rsidR="006B25DB" w:rsidRPr="0075398B">
        <w:rPr>
          <w:lang w:val="en-US"/>
        </w:rPr>
        <w:t>doi</w:t>
      </w:r>
      <w:proofErr w:type="spellEnd"/>
      <w:r w:rsidR="006B25DB" w:rsidRPr="0075398B">
        <w:rPr>
          <w:lang w:val="en-US"/>
        </w:rPr>
        <w:t>: 10.1021/j100445a006.</w:t>
      </w:r>
    </w:p>
    <w:p w14:paraId="287EA562" w14:textId="77777777" w:rsidR="006B25DB" w:rsidRPr="0075398B" w:rsidRDefault="006B25DB" w:rsidP="006B25DB">
      <w:pPr>
        <w:widowControl w:val="0"/>
        <w:autoSpaceDE w:val="0"/>
        <w:autoSpaceDN w:val="0"/>
        <w:adjustRightInd w:val="0"/>
        <w:spacing w:line="360" w:lineRule="auto"/>
        <w:ind w:left="480" w:hanging="480"/>
        <w:rPr>
          <w:lang w:val="en-US"/>
        </w:rPr>
      </w:pPr>
      <w:r w:rsidRPr="0075398B">
        <w:rPr>
          <w:lang w:val="en-US"/>
        </w:rPr>
        <w:t xml:space="preserve">Neugebauer, F. A., and Russel, G. A. (1968). </w:t>
      </w:r>
      <w:proofErr w:type="spellStart"/>
      <w:r w:rsidRPr="0075398B">
        <w:rPr>
          <w:lang w:val="en-US"/>
        </w:rPr>
        <w:t>Tetrazolinyl</w:t>
      </w:r>
      <w:proofErr w:type="spellEnd"/>
      <w:r w:rsidRPr="0075398B">
        <w:rPr>
          <w:lang w:val="en-US"/>
        </w:rPr>
        <w:t xml:space="preserve"> Radicals. </w:t>
      </w:r>
      <w:r w:rsidRPr="0075398B">
        <w:rPr>
          <w:i/>
          <w:iCs/>
          <w:lang w:val="en-US"/>
        </w:rPr>
        <w:t>J. Org. Chem.</w:t>
      </w:r>
      <w:r w:rsidRPr="0075398B">
        <w:rPr>
          <w:lang w:val="en-US"/>
        </w:rPr>
        <w:t xml:space="preserve"> 33, 2744–2746.</w:t>
      </w:r>
    </w:p>
    <w:p w14:paraId="1D9B6E4E" w14:textId="77777777" w:rsidR="006B25DB" w:rsidRPr="0075398B" w:rsidRDefault="006B25DB" w:rsidP="006B25DB">
      <w:pPr>
        <w:widowControl w:val="0"/>
        <w:autoSpaceDE w:val="0"/>
        <w:autoSpaceDN w:val="0"/>
        <w:adjustRightInd w:val="0"/>
        <w:spacing w:line="360" w:lineRule="auto"/>
        <w:ind w:left="480" w:hanging="480"/>
        <w:rPr>
          <w:lang w:val="en-US"/>
        </w:rPr>
      </w:pPr>
      <w:proofErr w:type="spellStart"/>
      <w:r w:rsidRPr="0075398B">
        <w:rPr>
          <w:lang w:val="en-US"/>
        </w:rPr>
        <w:t>Oritani</w:t>
      </w:r>
      <w:proofErr w:type="spellEnd"/>
      <w:r w:rsidRPr="0075398B">
        <w:rPr>
          <w:lang w:val="en-US"/>
        </w:rPr>
        <w:t xml:space="preserve">, T., Fukuhara, N., </w:t>
      </w:r>
      <w:proofErr w:type="spellStart"/>
      <w:r w:rsidRPr="0075398B">
        <w:rPr>
          <w:lang w:val="en-US"/>
        </w:rPr>
        <w:t>Okajima</w:t>
      </w:r>
      <w:proofErr w:type="spellEnd"/>
      <w:r w:rsidRPr="0075398B">
        <w:rPr>
          <w:lang w:val="en-US"/>
        </w:rPr>
        <w:t xml:space="preserve">, T., Kitamura, F., and </w:t>
      </w:r>
      <w:proofErr w:type="spellStart"/>
      <w:r w:rsidRPr="0075398B">
        <w:rPr>
          <w:lang w:val="en-US"/>
        </w:rPr>
        <w:t>Ohsaka</w:t>
      </w:r>
      <w:proofErr w:type="spellEnd"/>
      <w:r w:rsidRPr="0075398B">
        <w:rPr>
          <w:lang w:val="en-US"/>
        </w:rPr>
        <w:t xml:space="preserve">, T. (2004). Electrochemical and spectroscopic studies on electron-transfer reaction between novel water-soluble tetrazolium salts and a superoxide ion. </w:t>
      </w:r>
      <w:proofErr w:type="spellStart"/>
      <w:r w:rsidRPr="0075398B">
        <w:rPr>
          <w:i/>
          <w:iCs/>
          <w:lang w:val="en-US"/>
        </w:rPr>
        <w:t>Inorganica</w:t>
      </w:r>
      <w:proofErr w:type="spellEnd"/>
      <w:r w:rsidRPr="0075398B">
        <w:rPr>
          <w:i/>
          <w:iCs/>
          <w:lang w:val="en-US"/>
        </w:rPr>
        <w:t xml:space="preserve"> </w:t>
      </w:r>
      <w:proofErr w:type="spellStart"/>
      <w:r w:rsidRPr="0075398B">
        <w:rPr>
          <w:i/>
          <w:iCs/>
          <w:lang w:val="en-US"/>
        </w:rPr>
        <w:t>Chim</w:t>
      </w:r>
      <w:proofErr w:type="spellEnd"/>
      <w:r w:rsidRPr="0075398B">
        <w:rPr>
          <w:i/>
          <w:iCs/>
          <w:lang w:val="en-US"/>
        </w:rPr>
        <w:t>. Acta</w:t>
      </w:r>
      <w:r w:rsidRPr="0075398B">
        <w:rPr>
          <w:lang w:val="en-US"/>
        </w:rPr>
        <w:t xml:space="preserve"> 357, 436–442. </w:t>
      </w:r>
      <w:proofErr w:type="spellStart"/>
      <w:r w:rsidRPr="0075398B">
        <w:rPr>
          <w:lang w:val="en-US"/>
        </w:rPr>
        <w:t>doi</w:t>
      </w:r>
      <w:proofErr w:type="spellEnd"/>
      <w:r w:rsidRPr="0075398B">
        <w:rPr>
          <w:lang w:val="en-US"/>
        </w:rPr>
        <w:t>: 10.1016/j.ica.2003.05.007.</w:t>
      </w:r>
    </w:p>
    <w:p w14:paraId="6EE367AC" w14:textId="77777777" w:rsidR="006B25DB" w:rsidRPr="0075398B" w:rsidRDefault="006B25DB" w:rsidP="006B25DB">
      <w:pPr>
        <w:widowControl w:val="0"/>
        <w:autoSpaceDE w:val="0"/>
        <w:autoSpaceDN w:val="0"/>
        <w:adjustRightInd w:val="0"/>
        <w:spacing w:line="360" w:lineRule="auto"/>
        <w:ind w:left="480" w:hanging="480"/>
        <w:rPr>
          <w:lang w:val="en-US"/>
        </w:rPr>
      </w:pPr>
      <w:r w:rsidRPr="0075398B">
        <w:rPr>
          <w:lang w:val="en-US"/>
        </w:rPr>
        <w:t xml:space="preserve">Paull, K. D., Shoemaker, R. H., Boyd, M. R., Parsons, J. L., </w:t>
      </w:r>
      <w:proofErr w:type="spellStart"/>
      <w:r w:rsidRPr="0075398B">
        <w:rPr>
          <w:lang w:val="en-US"/>
        </w:rPr>
        <w:t>Risbood</w:t>
      </w:r>
      <w:proofErr w:type="spellEnd"/>
      <w:r w:rsidRPr="0075398B">
        <w:rPr>
          <w:lang w:val="en-US"/>
        </w:rPr>
        <w:t xml:space="preserve">, P. A., </w:t>
      </w:r>
      <w:proofErr w:type="spellStart"/>
      <w:r w:rsidRPr="0075398B">
        <w:rPr>
          <w:lang w:val="en-US"/>
        </w:rPr>
        <w:t>Barbera</w:t>
      </w:r>
      <w:proofErr w:type="spellEnd"/>
      <w:r w:rsidRPr="0075398B">
        <w:rPr>
          <w:lang w:val="en-US"/>
        </w:rPr>
        <w:t xml:space="preserve">, W. A., et al. (1988). The synthesis of XTT: A new tetrazolium reagent that is </w:t>
      </w:r>
      <w:proofErr w:type="spellStart"/>
      <w:r w:rsidRPr="0075398B">
        <w:rPr>
          <w:lang w:val="en-US"/>
        </w:rPr>
        <w:t>bioreducible</w:t>
      </w:r>
      <w:proofErr w:type="spellEnd"/>
      <w:r w:rsidRPr="0075398B">
        <w:rPr>
          <w:lang w:val="en-US"/>
        </w:rPr>
        <w:t xml:space="preserve"> to a water-soluble formazan. </w:t>
      </w:r>
      <w:r w:rsidRPr="0075398B">
        <w:rPr>
          <w:i/>
          <w:iCs/>
          <w:lang w:val="en-US"/>
        </w:rPr>
        <w:t xml:space="preserve">J. </w:t>
      </w:r>
      <w:proofErr w:type="spellStart"/>
      <w:r w:rsidRPr="0075398B">
        <w:rPr>
          <w:i/>
          <w:iCs/>
          <w:lang w:val="en-US"/>
        </w:rPr>
        <w:t>Heterocycl</w:t>
      </w:r>
      <w:proofErr w:type="spellEnd"/>
      <w:r w:rsidRPr="0075398B">
        <w:rPr>
          <w:i/>
          <w:iCs/>
          <w:lang w:val="en-US"/>
        </w:rPr>
        <w:t>. Chem.</w:t>
      </w:r>
      <w:r w:rsidRPr="0075398B">
        <w:rPr>
          <w:lang w:val="en-US"/>
        </w:rPr>
        <w:t xml:space="preserve"> 25, 911–914. </w:t>
      </w:r>
      <w:proofErr w:type="spellStart"/>
      <w:r w:rsidRPr="0075398B">
        <w:rPr>
          <w:lang w:val="en-US"/>
        </w:rPr>
        <w:t>doi</w:t>
      </w:r>
      <w:proofErr w:type="spellEnd"/>
      <w:r w:rsidRPr="0075398B">
        <w:rPr>
          <w:lang w:val="en-US"/>
        </w:rPr>
        <w:t>: https://doi.org/10.1002/jhet.5570250340.</w:t>
      </w:r>
    </w:p>
    <w:p w14:paraId="250D1A50" w14:textId="77777777" w:rsidR="006B25DB" w:rsidRPr="0075398B" w:rsidRDefault="006B25DB" w:rsidP="006B25DB">
      <w:pPr>
        <w:widowControl w:val="0"/>
        <w:autoSpaceDE w:val="0"/>
        <w:autoSpaceDN w:val="0"/>
        <w:adjustRightInd w:val="0"/>
        <w:spacing w:line="360" w:lineRule="auto"/>
        <w:ind w:left="480" w:hanging="480"/>
        <w:rPr>
          <w:lang w:val="en-US"/>
        </w:rPr>
      </w:pPr>
      <w:proofErr w:type="spellStart"/>
      <w:r w:rsidRPr="0075398B">
        <w:rPr>
          <w:lang w:val="en-US"/>
        </w:rPr>
        <w:t>Viseu</w:t>
      </w:r>
      <w:proofErr w:type="spellEnd"/>
      <w:r w:rsidRPr="0075398B">
        <w:rPr>
          <w:lang w:val="en-US"/>
        </w:rPr>
        <w:t xml:space="preserve">, M. I., Gonçalves, M. L. S. S., Costa, S. M. B., and Ferreira, M. I. C. (1990). Mechanism of the electrochemical reduction of tetrazolium blue in non-ionic micelles. </w:t>
      </w:r>
      <w:r w:rsidRPr="0075398B">
        <w:rPr>
          <w:i/>
          <w:iCs/>
          <w:lang w:val="en-US"/>
        </w:rPr>
        <w:t xml:space="preserve">J. </w:t>
      </w:r>
      <w:proofErr w:type="spellStart"/>
      <w:r w:rsidRPr="0075398B">
        <w:rPr>
          <w:i/>
          <w:iCs/>
          <w:lang w:val="en-US"/>
        </w:rPr>
        <w:t>Electroanal</w:t>
      </w:r>
      <w:proofErr w:type="spellEnd"/>
      <w:r w:rsidRPr="0075398B">
        <w:rPr>
          <w:i/>
          <w:iCs/>
          <w:lang w:val="en-US"/>
        </w:rPr>
        <w:t>. Chem.</w:t>
      </w:r>
      <w:r w:rsidRPr="0075398B">
        <w:rPr>
          <w:lang w:val="en-US"/>
        </w:rPr>
        <w:t xml:space="preserve"> 282, 201–214. </w:t>
      </w:r>
      <w:proofErr w:type="spellStart"/>
      <w:r w:rsidRPr="0075398B">
        <w:rPr>
          <w:lang w:val="en-US"/>
        </w:rPr>
        <w:t>doi</w:t>
      </w:r>
      <w:proofErr w:type="spellEnd"/>
      <w:r w:rsidRPr="0075398B">
        <w:rPr>
          <w:lang w:val="en-US"/>
        </w:rPr>
        <w:t>: 10.1016/0022-0728(91)85099-B.</w:t>
      </w:r>
    </w:p>
    <w:p w14:paraId="1866A10F" w14:textId="692ABEBC" w:rsidR="00A20861" w:rsidRPr="001C5CBA" w:rsidRDefault="00A20861" w:rsidP="00B7583B">
      <w:pPr>
        <w:spacing w:line="360" w:lineRule="auto"/>
        <w:rPr>
          <w:lang w:val="en-US" w:eastAsia="en-US"/>
        </w:rPr>
      </w:pPr>
      <w:r w:rsidRPr="0075398B">
        <w:rPr>
          <w:lang w:val="en-US" w:eastAsia="en-US"/>
        </w:rPr>
        <w:fldChar w:fldCharType="end"/>
      </w:r>
    </w:p>
    <w:p w14:paraId="6D755A5D" w14:textId="77777777" w:rsidR="004D01EA" w:rsidRPr="001C5CBA" w:rsidRDefault="004D01EA" w:rsidP="004D01EA">
      <w:pPr>
        <w:pStyle w:val="Head1"/>
      </w:pPr>
    </w:p>
    <w:p w14:paraId="6549F4AE" w14:textId="77777777" w:rsidR="00C23B8E" w:rsidRPr="001C5CBA" w:rsidRDefault="00C23B8E" w:rsidP="004D01EA">
      <w:pPr>
        <w:spacing w:line="360" w:lineRule="auto"/>
        <w:rPr>
          <w:b/>
          <w:lang w:val="en-US"/>
        </w:rPr>
      </w:pPr>
    </w:p>
    <w:sectPr w:rsidR="00C23B8E" w:rsidRPr="001C5CBA" w:rsidSect="00A2086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20A51" w14:textId="77777777" w:rsidR="002F2BE8" w:rsidRDefault="002F2BE8">
      <w:r>
        <w:separator/>
      </w:r>
    </w:p>
  </w:endnote>
  <w:endnote w:type="continuationSeparator" w:id="0">
    <w:p w14:paraId="374FC43A" w14:textId="77777777" w:rsidR="002F2BE8" w:rsidRDefault="002F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F7403" w14:textId="77777777" w:rsidR="002F2BE8" w:rsidRDefault="002F2BE8">
      <w:r>
        <w:separator/>
      </w:r>
    </w:p>
  </w:footnote>
  <w:footnote w:type="continuationSeparator" w:id="0">
    <w:p w14:paraId="28F68E89" w14:textId="77777777" w:rsidR="002F2BE8" w:rsidRDefault="002F2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A0"/>
    <w:rsid w:val="000003BB"/>
    <w:rsid w:val="0000374D"/>
    <w:rsid w:val="00004A23"/>
    <w:rsid w:val="00006A0A"/>
    <w:rsid w:val="0000703E"/>
    <w:rsid w:val="000112FC"/>
    <w:rsid w:val="000118B0"/>
    <w:rsid w:val="00011F40"/>
    <w:rsid w:val="0001454A"/>
    <w:rsid w:val="0001683C"/>
    <w:rsid w:val="000172E7"/>
    <w:rsid w:val="000214A8"/>
    <w:rsid w:val="00023F64"/>
    <w:rsid w:val="00027FB5"/>
    <w:rsid w:val="000314D2"/>
    <w:rsid w:val="0003318F"/>
    <w:rsid w:val="0004094E"/>
    <w:rsid w:val="00040B7B"/>
    <w:rsid w:val="00041C1B"/>
    <w:rsid w:val="000422D9"/>
    <w:rsid w:val="000437F7"/>
    <w:rsid w:val="00050985"/>
    <w:rsid w:val="0005501E"/>
    <w:rsid w:val="00055883"/>
    <w:rsid w:val="0006044D"/>
    <w:rsid w:val="000608DE"/>
    <w:rsid w:val="00060D37"/>
    <w:rsid w:val="00062324"/>
    <w:rsid w:val="00063C0E"/>
    <w:rsid w:val="00072EA7"/>
    <w:rsid w:val="00076EAD"/>
    <w:rsid w:val="00077056"/>
    <w:rsid w:val="0008287E"/>
    <w:rsid w:val="00083031"/>
    <w:rsid w:val="0008740B"/>
    <w:rsid w:val="000904D3"/>
    <w:rsid w:val="0009309C"/>
    <w:rsid w:val="00093F1B"/>
    <w:rsid w:val="000A1F4B"/>
    <w:rsid w:val="000A21A9"/>
    <w:rsid w:val="000A3E93"/>
    <w:rsid w:val="000A472C"/>
    <w:rsid w:val="000A5773"/>
    <w:rsid w:val="000A682F"/>
    <w:rsid w:val="000B05A0"/>
    <w:rsid w:val="000B33EE"/>
    <w:rsid w:val="000B4293"/>
    <w:rsid w:val="000B7F2A"/>
    <w:rsid w:val="000C259E"/>
    <w:rsid w:val="000C3E0C"/>
    <w:rsid w:val="000C6252"/>
    <w:rsid w:val="000C6F8A"/>
    <w:rsid w:val="000D2D4B"/>
    <w:rsid w:val="000D45F4"/>
    <w:rsid w:val="000D5AB4"/>
    <w:rsid w:val="000D66DB"/>
    <w:rsid w:val="000D7EBA"/>
    <w:rsid w:val="000E788B"/>
    <w:rsid w:val="000E7A5B"/>
    <w:rsid w:val="000E7BBA"/>
    <w:rsid w:val="000F512F"/>
    <w:rsid w:val="001013F4"/>
    <w:rsid w:val="001054D4"/>
    <w:rsid w:val="0010686C"/>
    <w:rsid w:val="00107C5F"/>
    <w:rsid w:val="00107CCC"/>
    <w:rsid w:val="00110011"/>
    <w:rsid w:val="001105BD"/>
    <w:rsid w:val="00114D89"/>
    <w:rsid w:val="00116C82"/>
    <w:rsid w:val="001201F5"/>
    <w:rsid w:val="00120BE6"/>
    <w:rsid w:val="00120E85"/>
    <w:rsid w:val="00123ADA"/>
    <w:rsid w:val="00125573"/>
    <w:rsid w:val="0012642A"/>
    <w:rsid w:val="00126D17"/>
    <w:rsid w:val="001305BF"/>
    <w:rsid w:val="00131D58"/>
    <w:rsid w:val="001370B1"/>
    <w:rsid w:val="001377CA"/>
    <w:rsid w:val="00140B94"/>
    <w:rsid w:val="001450FB"/>
    <w:rsid w:val="0014658A"/>
    <w:rsid w:val="00147DB8"/>
    <w:rsid w:val="00151683"/>
    <w:rsid w:val="0015392F"/>
    <w:rsid w:val="0015563E"/>
    <w:rsid w:val="00155F66"/>
    <w:rsid w:val="0016390D"/>
    <w:rsid w:val="00164057"/>
    <w:rsid w:val="00165B37"/>
    <w:rsid w:val="00170369"/>
    <w:rsid w:val="00173757"/>
    <w:rsid w:val="00174176"/>
    <w:rsid w:val="00181D92"/>
    <w:rsid w:val="001823B6"/>
    <w:rsid w:val="001848EB"/>
    <w:rsid w:val="00187DB9"/>
    <w:rsid w:val="0019077D"/>
    <w:rsid w:val="00190B52"/>
    <w:rsid w:val="0019194D"/>
    <w:rsid w:val="0019723B"/>
    <w:rsid w:val="001A4240"/>
    <w:rsid w:val="001A6821"/>
    <w:rsid w:val="001A734D"/>
    <w:rsid w:val="001B4224"/>
    <w:rsid w:val="001B7472"/>
    <w:rsid w:val="001C10AC"/>
    <w:rsid w:val="001C55FB"/>
    <w:rsid w:val="001C5CBA"/>
    <w:rsid w:val="001D12BC"/>
    <w:rsid w:val="001D561D"/>
    <w:rsid w:val="001E18CC"/>
    <w:rsid w:val="001E3D2D"/>
    <w:rsid w:val="001E4605"/>
    <w:rsid w:val="001E5F4E"/>
    <w:rsid w:val="001F2689"/>
    <w:rsid w:val="001F2AB7"/>
    <w:rsid w:val="001F3C9B"/>
    <w:rsid w:val="001F3E77"/>
    <w:rsid w:val="001F4BD1"/>
    <w:rsid w:val="001F5110"/>
    <w:rsid w:val="001F5702"/>
    <w:rsid w:val="001F65A2"/>
    <w:rsid w:val="002002FC"/>
    <w:rsid w:val="00201F71"/>
    <w:rsid w:val="00203934"/>
    <w:rsid w:val="0020446B"/>
    <w:rsid w:val="00204BA7"/>
    <w:rsid w:val="002072AB"/>
    <w:rsid w:val="00210140"/>
    <w:rsid w:val="00211942"/>
    <w:rsid w:val="00214D95"/>
    <w:rsid w:val="00215531"/>
    <w:rsid w:val="002162B2"/>
    <w:rsid w:val="00216F54"/>
    <w:rsid w:val="00220933"/>
    <w:rsid w:val="00220C72"/>
    <w:rsid w:val="0022540C"/>
    <w:rsid w:val="00226AA4"/>
    <w:rsid w:val="00232C6F"/>
    <w:rsid w:val="00233C8A"/>
    <w:rsid w:val="00234287"/>
    <w:rsid w:val="00236036"/>
    <w:rsid w:val="00240D90"/>
    <w:rsid w:val="00253CB1"/>
    <w:rsid w:val="002543F9"/>
    <w:rsid w:val="00257ADD"/>
    <w:rsid w:val="00263723"/>
    <w:rsid w:val="00263CF8"/>
    <w:rsid w:val="00265635"/>
    <w:rsid w:val="00266389"/>
    <w:rsid w:val="002675F7"/>
    <w:rsid w:val="002725A5"/>
    <w:rsid w:val="0027314F"/>
    <w:rsid w:val="0028289F"/>
    <w:rsid w:val="00284157"/>
    <w:rsid w:val="00285631"/>
    <w:rsid w:val="00290D94"/>
    <w:rsid w:val="0029203C"/>
    <w:rsid w:val="00294873"/>
    <w:rsid w:val="002A0E79"/>
    <w:rsid w:val="002A4A81"/>
    <w:rsid w:val="002A73A2"/>
    <w:rsid w:val="002A7CE8"/>
    <w:rsid w:val="002B0671"/>
    <w:rsid w:val="002B262F"/>
    <w:rsid w:val="002B3553"/>
    <w:rsid w:val="002B5E06"/>
    <w:rsid w:val="002C0CFF"/>
    <w:rsid w:val="002D09B9"/>
    <w:rsid w:val="002D16A0"/>
    <w:rsid w:val="002D2930"/>
    <w:rsid w:val="002D2DFF"/>
    <w:rsid w:val="002D3D6D"/>
    <w:rsid w:val="002D5BF8"/>
    <w:rsid w:val="002D7ECC"/>
    <w:rsid w:val="002E1B8F"/>
    <w:rsid w:val="002E2DEF"/>
    <w:rsid w:val="002E4E3E"/>
    <w:rsid w:val="002E76B2"/>
    <w:rsid w:val="002E79A2"/>
    <w:rsid w:val="002F2BE8"/>
    <w:rsid w:val="002F4F4B"/>
    <w:rsid w:val="002F55FD"/>
    <w:rsid w:val="002F594C"/>
    <w:rsid w:val="00301984"/>
    <w:rsid w:val="00301B0B"/>
    <w:rsid w:val="00301E84"/>
    <w:rsid w:val="00302E7A"/>
    <w:rsid w:val="00303D1B"/>
    <w:rsid w:val="003046B7"/>
    <w:rsid w:val="00317A57"/>
    <w:rsid w:val="00320A99"/>
    <w:rsid w:val="0032144B"/>
    <w:rsid w:val="00321E38"/>
    <w:rsid w:val="00322D5B"/>
    <w:rsid w:val="00325AC2"/>
    <w:rsid w:val="00326A1C"/>
    <w:rsid w:val="00327FDC"/>
    <w:rsid w:val="003360E3"/>
    <w:rsid w:val="003371D5"/>
    <w:rsid w:val="003376CD"/>
    <w:rsid w:val="003452C3"/>
    <w:rsid w:val="003501A7"/>
    <w:rsid w:val="0035048A"/>
    <w:rsid w:val="0036263B"/>
    <w:rsid w:val="00363845"/>
    <w:rsid w:val="00363B62"/>
    <w:rsid w:val="003645B0"/>
    <w:rsid w:val="00364B2C"/>
    <w:rsid w:val="003664F1"/>
    <w:rsid w:val="00367E3F"/>
    <w:rsid w:val="00377EA5"/>
    <w:rsid w:val="00377F77"/>
    <w:rsid w:val="00383073"/>
    <w:rsid w:val="0038438F"/>
    <w:rsid w:val="00387C67"/>
    <w:rsid w:val="00387D98"/>
    <w:rsid w:val="00390B0F"/>
    <w:rsid w:val="00390B38"/>
    <w:rsid w:val="00390B6B"/>
    <w:rsid w:val="00391CFE"/>
    <w:rsid w:val="0039353B"/>
    <w:rsid w:val="00394F9E"/>
    <w:rsid w:val="00395426"/>
    <w:rsid w:val="00395B91"/>
    <w:rsid w:val="00396615"/>
    <w:rsid w:val="0039700D"/>
    <w:rsid w:val="00397089"/>
    <w:rsid w:val="003978A8"/>
    <w:rsid w:val="003A0F30"/>
    <w:rsid w:val="003A4C44"/>
    <w:rsid w:val="003A5AD0"/>
    <w:rsid w:val="003A6CE3"/>
    <w:rsid w:val="003A7899"/>
    <w:rsid w:val="003B15EE"/>
    <w:rsid w:val="003B517D"/>
    <w:rsid w:val="003B60EC"/>
    <w:rsid w:val="003C00ED"/>
    <w:rsid w:val="003C1C0A"/>
    <w:rsid w:val="003C35DF"/>
    <w:rsid w:val="003C4A68"/>
    <w:rsid w:val="003C554F"/>
    <w:rsid w:val="003C61DD"/>
    <w:rsid w:val="003D63E7"/>
    <w:rsid w:val="003E05F1"/>
    <w:rsid w:val="003E113B"/>
    <w:rsid w:val="003E5092"/>
    <w:rsid w:val="003E715D"/>
    <w:rsid w:val="003F103E"/>
    <w:rsid w:val="003F2E48"/>
    <w:rsid w:val="003F440C"/>
    <w:rsid w:val="003F525A"/>
    <w:rsid w:val="003F7BE6"/>
    <w:rsid w:val="004006A9"/>
    <w:rsid w:val="00401986"/>
    <w:rsid w:val="00404548"/>
    <w:rsid w:val="004052AE"/>
    <w:rsid w:val="004118A5"/>
    <w:rsid w:val="00413672"/>
    <w:rsid w:val="00414041"/>
    <w:rsid w:val="00414465"/>
    <w:rsid w:val="00414729"/>
    <w:rsid w:val="00414C80"/>
    <w:rsid w:val="00414F4B"/>
    <w:rsid w:val="00415EF9"/>
    <w:rsid w:val="00416629"/>
    <w:rsid w:val="00417DA1"/>
    <w:rsid w:val="00421391"/>
    <w:rsid w:val="00423478"/>
    <w:rsid w:val="00425B76"/>
    <w:rsid w:val="004260A2"/>
    <w:rsid w:val="00426FC6"/>
    <w:rsid w:val="004273BC"/>
    <w:rsid w:val="00427C5F"/>
    <w:rsid w:val="00441EAC"/>
    <w:rsid w:val="004507E5"/>
    <w:rsid w:val="004519AD"/>
    <w:rsid w:val="0045459A"/>
    <w:rsid w:val="004545DB"/>
    <w:rsid w:val="0045786A"/>
    <w:rsid w:val="00460F76"/>
    <w:rsid w:val="00462F12"/>
    <w:rsid w:val="00463050"/>
    <w:rsid w:val="0046340F"/>
    <w:rsid w:val="00466168"/>
    <w:rsid w:val="0046778B"/>
    <w:rsid w:val="004714D4"/>
    <w:rsid w:val="00475712"/>
    <w:rsid w:val="00480CCE"/>
    <w:rsid w:val="00482FAA"/>
    <w:rsid w:val="00487211"/>
    <w:rsid w:val="0049075F"/>
    <w:rsid w:val="00492DA8"/>
    <w:rsid w:val="004A0888"/>
    <w:rsid w:val="004A43B6"/>
    <w:rsid w:val="004A70EE"/>
    <w:rsid w:val="004A774E"/>
    <w:rsid w:val="004A7D3E"/>
    <w:rsid w:val="004A7FF9"/>
    <w:rsid w:val="004B379D"/>
    <w:rsid w:val="004B5F0C"/>
    <w:rsid w:val="004B6031"/>
    <w:rsid w:val="004C046E"/>
    <w:rsid w:val="004C1609"/>
    <w:rsid w:val="004C216B"/>
    <w:rsid w:val="004C5DD3"/>
    <w:rsid w:val="004C6EBE"/>
    <w:rsid w:val="004D01EA"/>
    <w:rsid w:val="004D30F9"/>
    <w:rsid w:val="004D4A32"/>
    <w:rsid w:val="004D64AB"/>
    <w:rsid w:val="004E7CE8"/>
    <w:rsid w:val="004F271D"/>
    <w:rsid w:val="004F5114"/>
    <w:rsid w:val="004F756C"/>
    <w:rsid w:val="005001FA"/>
    <w:rsid w:val="005019AF"/>
    <w:rsid w:val="0050488D"/>
    <w:rsid w:val="00504D12"/>
    <w:rsid w:val="0050527A"/>
    <w:rsid w:val="0050535A"/>
    <w:rsid w:val="005106F5"/>
    <w:rsid w:val="00511192"/>
    <w:rsid w:val="005118AD"/>
    <w:rsid w:val="00512353"/>
    <w:rsid w:val="005220C2"/>
    <w:rsid w:val="00522E88"/>
    <w:rsid w:val="00523369"/>
    <w:rsid w:val="0052398F"/>
    <w:rsid w:val="00532960"/>
    <w:rsid w:val="00545A73"/>
    <w:rsid w:val="00546DEB"/>
    <w:rsid w:val="00546F0F"/>
    <w:rsid w:val="005477E7"/>
    <w:rsid w:val="00550159"/>
    <w:rsid w:val="00551897"/>
    <w:rsid w:val="00551FFD"/>
    <w:rsid w:val="00552A0F"/>
    <w:rsid w:val="00554D52"/>
    <w:rsid w:val="005551ED"/>
    <w:rsid w:val="00556419"/>
    <w:rsid w:val="005572B4"/>
    <w:rsid w:val="005572DD"/>
    <w:rsid w:val="00560564"/>
    <w:rsid w:val="00562E2B"/>
    <w:rsid w:val="00564668"/>
    <w:rsid w:val="00570353"/>
    <w:rsid w:val="005715F5"/>
    <w:rsid w:val="0057171E"/>
    <w:rsid w:val="00571EEC"/>
    <w:rsid w:val="00572666"/>
    <w:rsid w:val="0057267E"/>
    <w:rsid w:val="005726BD"/>
    <w:rsid w:val="00574A5A"/>
    <w:rsid w:val="005753B8"/>
    <w:rsid w:val="00583ED5"/>
    <w:rsid w:val="00587437"/>
    <w:rsid w:val="00592678"/>
    <w:rsid w:val="00594644"/>
    <w:rsid w:val="0059526F"/>
    <w:rsid w:val="00596F36"/>
    <w:rsid w:val="005A1741"/>
    <w:rsid w:val="005A235F"/>
    <w:rsid w:val="005A751F"/>
    <w:rsid w:val="005A7719"/>
    <w:rsid w:val="005A77C2"/>
    <w:rsid w:val="005B291B"/>
    <w:rsid w:val="005B76C5"/>
    <w:rsid w:val="005B7AF0"/>
    <w:rsid w:val="005B7B8A"/>
    <w:rsid w:val="005C09C6"/>
    <w:rsid w:val="005C458D"/>
    <w:rsid w:val="005C491E"/>
    <w:rsid w:val="005C5E0A"/>
    <w:rsid w:val="005C6C0C"/>
    <w:rsid w:val="005D2276"/>
    <w:rsid w:val="005D25FD"/>
    <w:rsid w:val="005D2808"/>
    <w:rsid w:val="005E0858"/>
    <w:rsid w:val="005E2794"/>
    <w:rsid w:val="005E3CBF"/>
    <w:rsid w:val="005E6F9D"/>
    <w:rsid w:val="005E7B5A"/>
    <w:rsid w:val="005F01FC"/>
    <w:rsid w:val="005F0C89"/>
    <w:rsid w:val="005F3701"/>
    <w:rsid w:val="005F41DF"/>
    <w:rsid w:val="005F4521"/>
    <w:rsid w:val="005F5478"/>
    <w:rsid w:val="006006FC"/>
    <w:rsid w:val="006045BA"/>
    <w:rsid w:val="0060583A"/>
    <w:rsid w:val="00611649"/>
    <w:rsid w:val="00611A0E"/>
    <w:rsid w:val="00614154"/>
    <w:rsid w:val="00614BD3"/>
    <w:rsid w:val="00623A77"/>
    <w:rsid w:val="006256F5"/>
    <w:rsid w:val="0063097B"/>
    <w:rsid w:val="006364B8"/>
    <w:rsid w:val="00636A64"/>
    <w:rsid w:val="00636B93"/>
    <w:rsid w:val="006371AB"/>
    <w:rsid w:val="00640550"/>
    <w:rsid w:val="0064326A"/>
    <w:rsid w:val="00644D5D"/>
    <w:rsid w:val="0064695B"/>
    <w:rsid w:val="00646DC7"/>
    <w:rsid w:val="006511FB"/>
    <w:rsid w:val="00651A9D"/>
    <w:rsid w:val="00654C93"/>
    <w:rsid w:val="00656092"/>
    <w:rsid w:val="0065741C"/>
    <w:rsid w:val="00660B85"/>
    <w:rsid w:val="006622E0"/>
    <w:rsid w:val="00662DCE"/>
    <w:rsid w:val="00664F6D"/>
    <w:rsid w:val="006650B8"/>
    <w:rsid w:val="00666329"/>
    <w:rsid w:val="006672EE"/>
    <w:rsid w:val="0067011F"/>
    <w:rsid w:val="0067015E"/>
    <w:rsid w:val="00680453"/>
    <w:rsid w:val="00682526"/>
    <w:rsid w:val="00683555"/>
    <w:rsid w:val="00686F1D"/>
    <w:rsid w:val="00692F7A"/>
    <w:rsid w:val="00695E06"/>
    <w:rsid w:val="00696315"/>
    <w:rsid w:val="006A0D51"/>
    <w:rsid w:val="006A1C05"/>
    <w:rsid w:val="006A225B"/>
    <w:rsid w:val="006A30D2"/>
    <w:rsid w:val="006A5A6A"/>
    <w:rsid w:val="006A5FE3"/>
    <w:rsid w:val="006B23B2"/>
    <w:rsid w:val="006B25DB"/>
    <w:rsid w:val="006B4845"/>
    <w:rsid w:val="006B635C"/>
    <w:rsid w:val="006C1708"/>
    <w:rsid w:val="006C1C29"/>
    <w:rsid w:val="006C3782"/>
    <w:rsid w:val="006C3CDE"/>
    <w:rsid w:val="006C4745"/>
    <w:rsid w:val="006D0EE8"/>
    <w:rsid w:val="006D3162"/>
    <w:rsid w:val="006D37E7"/>
    <w:rsid w:val="006D5146"/>
    <w:rsid w:val="006D59D6"/>
    <w:rsid w:val="006D5C04"/>
    <w:rsid w:val="006D7508"/>
    <w:rsid w:val="006E0F2F"/>
    <w:rsid w:val="006E19D7"/>
    <w:rsid w:val="006E71B9"/>
    <w:rsid w:val="006F39B2"/>
    <w:rsid w:val="006F5384"/>
    <w:rsid w:val="006F6604"/>
    <w:rsid w:val="006F6896"/>
    <w:rsid w:val="006F71D8"/>
    <w:rsid w:val="006F7D1A"/>
    <w:rsid w:val="00702F6F"/>
    <w:rsid w:val="0070346C"/>
    <w:rsid w:val="007051A0"/>
    <w:rsid w:val="00706496"/>
    <w:rsid w:val="00711A12"/>
    <w:rsid w:val="00711F11"/>
    <w:rsid w:val="007154C4"/>
    <w:rsid w:val="00715DB9"/>
    <w:rsid w:val="007174BE"/>
    <w:rsid w:val="007218A0"/>
    <w:rsid w:val="007238AF"/>
    <w:rsid w:val="00726908"/>
    <w:rsid w:val="007270C7"/>
    <w:rsid w:val="00730F3A"/>
    <w:rsid w:val="00735F34"/>
    <w:rsid w:val="00736944"/>
    <w:rsid w:val="00741200"/>
    <w:rsid w:val="00741333"/>
    <w:rsid w:val="00742FF2"/>
    <w:rsid w:val="00744D6A"/>
    <w:rsid w:val="00746138"/>
    <w:rsid w:val="0074620A"/>
    <w:rsid w:val="00751D50"/>
    <w:rsid w:val="007527D5"/>
    <w:rsid w:val="00752F3C"/>
    <w:rsid w:val="0075398B"/>
    <w:rsid w:val="007561FC"/>
    <w:rsid w:val="00761D34"/>
    <w:rsid w:val="00762D2D"/>
    <w:rsid w:val="00764622"/>
    <w:rsid w:val="00764CAD"/>
    <w:rsid w:val="00770FA1"/>
    <w:rsid w:val="00773884"/>
    <w:rsid w:val="00774813"/>
    <w:rsid w:val="0078052A"/>
    <w:rsid w:val="007812FB"/>
    <w:rsid w:val="00784032"/>
    <w:rsid w:val="00786E79"/>
    <w:rsid w:val="00787925"/>
    <w:rsid w:val="00790E31"/>
    <w:rsid w:val="00791578"/>
    <w:rsid w:val="00793B87"/>
    <w:rsid w:val="0079566E"/>
    <w:rsid w:val="00796509"/>
    <w:rsid w:val="0079691E"/>
    <w:rsid w:val="00797723"/>
    <w:rsid w:val="007B1EEE"/>
    <w:rsid w:val="007B249B"/>
    <w:rsid w:val="007B6D4D"/>
    <w:rsid w:val="007B6FAF"/>
    <w:rsid w:val="007B7A09"/>
    <w:rsid w:val="007C0F7A"/>
    <w:rsid w:val="007D24A9"/>
    <w:rsid w:val="007D27FA"/>
    <w:rsid w:val="007D30B5"/>
    <w:rsid w:val="007D6218"/>
    <w:rsid w:val="007D6699"/>
    <w:rsid w:val="007D79F1"/>
    <w:rsid w:val="007D7E30"/>
    <w:rsid w:val="007E0A75"/>
    <w:rsid w:val="007E6419"/>
    <w:rsid w:val="007F6815"/>
    <w:rsid w:val="007F6BA8"/>
    <w:rsid w:val="0080681B"/>
    <w:rsid w:val="0080738C"/>
    <w:rsid w:val="00810B77"/>
    <w:rsid w:val="00817436"/>
    <w:rsid w:val="00822217"/>
    <w:rsid w:val="0082542D"/>
    <w:rsid w:val="00827834"/>
    <w:rsid w:val="00832835"/>
    <w:rsid w:val="00835110"/>
    <w:rsid w:val="008351FC"/>
    <w:rsid w:val="00841F50"/>
    <w:rsid w:val="00843A0E"/>
    <w:rsid w:val="00845DFE"/>
    <w:rsid w:val="00846E17"/>
    <w:rsid w:val="0085200A"/>
    <w:rsid w:val="00854283"/>
    <w:rsid w:val="008573E3"/>
    <w:rsid w:val="00861E81"/>
    <w:rsid w:val="008645FF"/>
    <w:rsid w:val="00866D42"/>
    <w:rsid w:val="0087030E"/>
    <w:rsid w:val="00870AAC"/>
    <w:rsid w:val="008734F7"/>
    <w:rsid w:val="00874E9F"/>
    <w:rsid w:val="00877842"/>
    <w:rsid w:val="008806F8"/>
    <w:rsid w:val="008808E2"/>
    <w:rsid w:val="00881456"/>
    <w:rsid w:val="00881ACB"/>
    <w:rsid w:val="00885FC9"/>
    <w:rsid w:val="00891328"/>
    <w:rsid w:val="00891A47"/>
    <w:rsid w:val="00892809"/>
    <w:rsid w:val="0089370F"/>
    <w:rsid w:val="008939AF"/>
    <w:rsid w:val="00893FED"/>
    <w:rsid w:val="0089449A"/>
    <w:rsid w:val="00895E48"/>
    <w:rsid w:val="00896687"/>
    <w:rsid w:val="008971F4"/>
    <w:rsid w:val="008A0E7D"/>
    <w:rsid w:val="008A3023"/>
    <w:rsid w:val="008A403F"/>
    <w:rsid w:val="008A6815"/>
    <w:rsid w:val="008B1031"/>
    <w:rsid w:val="008B2303"/>
    <w:rsid w:val="008B34A0"/>
    <w:rsid w:val="008B5740"/>
    <w:rsid w:val="008C0B84"/>
    <w:rsid w:val="008C41DA"/>
    <w:rsid w:val="008C553A"/>
    <w:rsid w:val="008C588E"/>
    <w:rsid w:val="008C6D5F"/>
    <w:rsid w:val="008C7226"/>
    <w:rsid w:val="008D7B80"/>
    <w:rsid w:val="008E243B"/>
    <w:rsid w:val="008E4184"/>
    <w:rsid w:val="008E549F"/>
    <w:rsid w:val="008E6301"/>
    <w:rsid w:val="008F10BC"/>
    <w:rsid w:val="008F2052"/>
    <w:rsid w:val="008F26ED"/>
    <w:rsid w:val="008F2A38"/>
    <w:rsid w:val="008F3012"/>
    <w:rsid w:val="008F592B"/>
    <w:rsid w:val="00901D14"/>
    <w:rsid w:val="00903775"/>
    <w:rsid w:val="009109F7"/>
    <w:rsid w:val="00912137"/>
    <w:rsid w:val="00915BED"/>
    <w:rsid w:val="00916B64"/>
    <w:rsid w:val="00917DF6"/>
    <w:rsid w:val="0092145D"/>
    <w:rsid w:val="009245DE"/>
    <w:rsid w:val="00930762"/>
    <w:rsid w:val="00930C0C"/>
    <w:rsid w:val="00936B81"/>
    <w:rsid w:val="00944701"/>
    <w:rsid w:val="00950ED1"/>
    <w:rsid w:val="00952A7A"/>
    <w:rsid w:val="00953A02"/>
    <w:rsid w:val="0095444E"/>
    <w:rsid w:val="00955C67"/>
    <w:rsid w:val="00957B65"/>
    <w:rsid w:val="00960AFF"/>
    <w:rsid w:val="00963F62"/>
    <w:rsid w:val="00965EFC"/>
    <w:rsid w:val="0097161B"/>
    <w:rsid w:val="009762D2"/>
    <w:rsid w:val="009762F1"/>
    <w:rsid w:val="0097692D"/>
    <w:rsid w:val="009776D2"/>
    <w:rsid w:val="00977EA8"/>
    <w:rsid w:val="0098140D"/>
    <w:rsid w:val="00981CED"/>
    <w:rsid w:val="00987225"/>
    <w:rsid w:val="00990870"/>
    <w:rsid w:val="00990DCF"/>
    <w:rsid w:val="009920F5"/>
    <w:rsid w:val="00992B56"/>
    <w:rsid w:val="00992CDA"/>
    <w:rsid w:val="00993342"/>
    <w:rsid w:val="00994A0B"/>
    <w:rsid w:val="00996CE4"/>
    <w:rsid w:val="009A0FB3"/>
    <w:rsid w:val="009A3F36"/>
    <w:rsid w:val="009A48D8"/>
    <w:rsid w:val="009A6C59"/>
    <w:rsid w:val="009A7878"/>
    <w:rsid w:val="009B0888"/>
    <w:rsid w:val="009B33DF"/>
    <w:rsid w:val="009B4270"/>
    <w:rsid w:val="009B44CC"/>
    <w:rsid w:val="009B5651"/>
    <w:rsid w:val="009B62E4"/>
    <w:rsid w:val="009B706A"/>
    <w:rsid w:val="009C2C99"/>
    <w:rsid w:val="009C4319"/>
    <w:rsid w:val="009D109E"/>
    <w:rsid w:val="009D1CD9"/>
    <w:rsid w:val="009D1F28"/>
    <w:rsid w:val="009D28E5"/>
    <w:rsid w:val="009D4830"/>
    <w:rsid w:val="009D520D"/>
    <w:rsid w:val="009D797A"/>
    <w:rsid w:val="009E026A"/>
    <w:rsid w:val="009E3B56"/>
    <w:rsid w:val="009E49B5"/>
    <w:rsid w:val="009E551E"/>
    <w:rsid w:val="009E7066"/>
    <w:rsid w:val="009F04AC"/>
    <w:rsid w:val="009F1EF8"/>
    <w:rsid w:val="009F4604"/>
    <w:rsid w:val="009F4B78"/>
    <w:rsid w:val="009F606B"/>
    <w:rsid w:val="009F6E66"/>
    <w:rsid w:val="009F7888"/>
    <w:rsid w:val="00A02AC3"/>
    <w:rsid w:val="00A06840"/>
    <w:rsid w:val="00A06EAD"/>
    <w:rsid w:val="00A1293C"/>
    <w:rsid w:val="00A14F9B"/>
    <w:rsid w:val="00A167F1"/>
    <w:rsid w:val="00A2085F"/>
    <w:rsid w:val="00A20861"/>
    <w:rsid w:val="00A20EC0"/>
    <w:rsid w:val="00A2150B"/>
    <w:rsid w:val="00A215D9"/>
    <w:rsid w:val="00A2292C"/>
    <w:rsid w:val="00A23FC3"/>
    <w:rsid w:val="00A25F1B"/>
    <w:rsid w:val="00A3288D"/>
    <w:rsid w:val="00A329DC"/>
    <w:rsid w:val="00A41135"/>
    <w:rsid w:val="00A41FEB"/>
    <w:rsid w:val="00A42FBA"/>
    <w:rsid w:val="00A44DA6"/>
    <w:rsid w:val="00A50921"/>
    <w:rsid w:val="00A5160D"/>
    <w:rsid w:val="00A56CA4"/>
    <w:rsid w:val="00A65F04"/>
    <w:rsid w:val="00A65F2E"/>
    <w:rsid w:val="00A7086D"/>
    <w:rsid w:val="00A71AD5"/>
    <w:rsid w:val="00A8073E"/>
    <w:rsid w:val="00A80883"/>
    <w:rsid w:val="00A81BED"/>
    <w:rsid w:val="00A82FC6"/>
    <w:rsid w:val="00A85A0D"/>
    <w:rsid w:val="00A92270"/>
    <w:rsid w:val="00A93BC2"/>
    <w:rsid w:val="00A96908"/>
    <w:rsid w:val="00AA10AE"/>
    <w:rsid w:val="00AA329F"/>
    <w:rsid w:val="00AA7B6A"/>
    <w:rsid w:val="00AB593E"/>
    <w:rsid w:val="00AB5D37"/>
    <w:rsid w:val="00AB683F"/>
    <w:rsid w:val="00AC4A2E"/>
    <w:rsid w:val="00AD1885"/>
    <w:rsid w:val="00AD50BA"/>
    <w:rsid w:val="00AE02E7"/>
    <w:rsid w:val="00AE0F75"/>
    <w:rsid w:val="00AE319E"/>
    <w:rsid w:val="00AE3B2C"/>
    <w:rsid w:val="00AE3B4E"/>
    <w:rsid w:val="00AE676F"/>
    <w:rsid w:val="00AE709C"/>
    <w:rsid w:val="00AE7DD9"/>
    <w:rsid w:val="00AF2B38"/>
    <w:rsid w:val="00B004C1"/>
    <w:rsid w:val="00B0168B"/>
    <w:rsid w:val="00B03458"/>
    <w:rsid w:val="00B04B8E"/>
    <w:rsid w:val="00B1072F"/>
    <w:rsid w:val="00B15820"/>
    <w:rsid w:val="00B215D8"/>
    <w:rsid w:val="00B2218A"/>
    <w:rsid w:val="00B246ED"/>
    <w:rsid w:val="00B26DD0"/>
    <w:rsid w:val="00B338C8"/>
    <w:rsid w:val="00B341CC"/>
    <w:rsid w:val="00B35321"/>
    <w:rsid w:val="00B35505"/>
    <w:rsid w:val="00B35CB3"/>
    <w:rsid w:val="00B35E0A"/>
    <w:rsid w:val="00B40124"/>
    <w:rsid w:val="00B40B86"/>
    <w:rsid w:val="00B42E03"/>
    <w:rsid w:val="00B443E2"/>
    <w:rsid w:val="00B46222"/>
    <w:rsid w:val="00B54092"/>
    <w:rsid w:val="00B5444C"/>
    <w:rsid w:val="00B5568B"/>
    <w:rsid w:val="00B557BF"/>
    <w:rsid w:val="00B55BD6"/>
    <w:rsid w:val="00B56147"/>
    <w:rsid w:val="00B5720A"/>
    <w:rsid w:val="00B604A0"/>
    <w:rsid w:val="00B60761"/>
    <w:rsid w:val="00B620A5"/>
    <w:rsid w:val="00B62BB1"/>
    <w:rsid w:val="00B63559"/>
    <w:rsid w:val="00B73979"/>
    <w:rsid w:val="00B74D68"/>
    <w:rsid w:val="00B751B0"/>
    <w:rsid w:val="00B7583B"/>
    <w:rsid w:val="00B762E0"/>
    <w:rsid w:val="00B86188"/>
    <w:rsid w:val="00B86C54"/>
    <w:rsid w:val="00B874C4"/>
    <w:rsid w:val="00B97AA2"/>
    <w:rsid w:val="00B97B8E"/>
    <w:rsid w:val="00BA00A8"/>
    <w:rsid w:val="00BA0378"/>
    <w:rsid w:val="00BA37A4"/>
    <w:rsid w:val="00BA4FB0"/>
    <w:rsid w:val="00BA6138"/>
    <w:rsid w:val="00BB1930"/>
    <w:rsid w:val="00BB3478"/>
    <w:rsid w:val="00BC2247"/>
    <w:rsid w:val="00BC5572"/>
    <w:rsid w:val="00BD497C"/>
    <w:rsid w:val="00BD57EE"/>
    <w:rsid w:val="00BE4E8A"/>
    <w:rsid w:val="00BF2A79"/>
    <w:rsid w:val="00BF375F"/>
    <w:rsid w:val="00C02372"/>
    <w:rsid w:val="00C044C3"/>
    <w:rsid w:val="00C10453"/>
    <w:rsid w:val="00C12E60"/>
    <w:rsid w:val="00C13BCA"/>
    <w:rsid w:val="00C141B9"/>
    <w:rsid w:val="00C158CF"/>
    <w:rsid w:val="00C16518"/>
    <w:rsid w:val="00C1787D"/>
    <w:rsid w:val="00C20F14"/>
    <w:rsid w:val="00C22B7C"/>
    <w:rsid w:val="00C23B8E"/>
    <w:rsid w:val="00C3184D"/>
    <w:rsid w:val="00C331FD"/>
    <w:rsid w:val="00C34DCB"/>
    <w:rsid w:val="00C36D0C"/>
    <w:rsid w:val="00C3708D"/>
    <w:rsid w:val="00C4138A"/>
    <w:rsid w:val="00C440B4"/>
    <w:rsid w:val="00C446F9"/>
    <w:rsid w:val="00C462CB"/>
    <w:rsid w:val="00C46F39"/>
    <w:rsid w:val="00C47AFE"/>
    <w:rsid w:val="00C5067F"/>
    <w:rsid w:val="00C515C3"/>
    <w:rsid w:val="00C51AA2"/>
    <w:rsid w:val="00C52E43"/>
    <w:rsid w:val="00C56CD4"/>
    <w:rsid w:val="00C609C3"/>
    <w:rsid w:val="00C60E16"/>
    <w:rsid w:val="00C65E4E"/>
    <w:rsid w:val="00C66610"/>
    <w:rsid w:val="00C66648"/>
    <w:rsid w:val="00C66FEF"/>
    <w:rsid w:val="00C70CB4"/>
    <w:rsid w:val="00C727A7"/>
    <w:rsid w:val="00C728D5"/>
    <w:rsid w:val="00C72CF7"/>
    <w:rsid w:val="00C75119"/>
    <w:rsid w:val="00C76DD6"/>
    <w:rsid w:val="00C90B62"/>
    <w:rsid w:val="00C91C08"/>
    <w:rsid w:val="00C959F3"/>
    <w:rsid w:val="00C97F0E"/>
    <w:rsid w:val="00CA06AC"/>
    <w:rsid w:val="00CA1D9E"/>
    <w:rsid w:val="00CA242A"/>
    <w:rsid w:val="00CA27BD"/>
    <w:rsid w:val="00CA2AB6"/>
    <w:rsid w:val="00CA36DE"/>
    <w:rsid w:val="00CA4BCC"/>
    <w:rsid w:val="00CA5313"/>
    <w:rsid w:val="00CB01D6"/>
    <w:rsid w:val="00CB311E"/>
    <w:rsid w:val="00CB71E1"/>
    <w:rsid w:val="00CC0ED3"/>
    <w:rsid w:val="00CC1894"/>
    <w:rsid w:val="00CC2520"/>
    <w:rsid w:val="00CC2EE2"/>
    <w:rsid w:val="00CC3D03"/>
    <w:rsid w:val="00CC45DB"/>
    <w:rsid w:val="00CC5651"/>
    <w:rsid w:val="00CC73FF"/>
    <w:rsid w:val="00CD141E"/>
    <w:rsid w:val="00CD45DA"/>
    <w:rsid w:val="00CE15FA"/>
    <w:rsid w:val="00CE2EA4"/>
    <w:rsid w:val="00CE5714"/>
    <w:rsid w:val="00CE6138"/>
    <w:rsid w:val="00CE6F59"/>
    <w:rsid w:val="00CE7AAB"/>
    <w:rsid w:val="00CF2673"/>
    <w:rsid w:val="00CF2DA1"/>
    <w:rsid w:val="00CF43B1"/>
    <w:rsid w:val="00D0614B"/>
    <w:rsid w:val="00D06AD1"/>
    <w:rsid w:val="00D17549"/>
    <w:rsid w:val="00D24D97"/>
    <w:rsid w:val="00D275F5"/>
    <w:rsid w:val="00D376F1"/>
    <w:rsid w:val="00D43CA8"/>
    <w:rsid w:val="00D4523D"/>
    <w:rsid w:val="00D4593F"/>
    <w:rsid w:val="00D45BD4"/>
    <w:rsid w:val="00D4775B"/>
    <w:rsid w:val="00D47AB8"/>
    <w:rsid w:val="00D55D94"/>
    <w:rsid w:val="00D56566"/>
    <w:rsid w:val="00D647A4"/>
    <w:rsid w:val="00D6487A"/>
    <w:rsid w:val="00D648BB"/>
    <w:rsid w:val="00D64E04"/>
    <w:rsid w:val="00D65A5E"/>
    <w:rsid w:val="00D669D1"/>
    <w:rsid w:val="00D7049A"/>
    <w:rsid w:val="00D704F6"/>
    <w:rsid w:val="00D722B1"/>
    <w:rsid w:val="00D74A82"/>
    <w:rsid w:val="00D753F6"/>
    <w:rsid w:val="00D7737D"/>
    <w:rsid w:val="00D80897"/>
    <w:rsid w:val="00D81375"/>
    <w:rsid w:val="00D8540E"/>
    <w:rsid w:val="00D85C4D"/>
    <w:rsid w:val="00D8730B"/>
    <w:rsid w:val="00D9072A"/>
    <w:rsid w:val="00D94852"/>
    <w:rsid w:val="00DA039C"/>
    <w:rsid w:val="00DA10B4"/>
    <w:rsid w:val="00DA6EBE"/>
    <w:rsid w:val="00DB27CC"/>
    <w:rsid w:val="00DB2A54"/>
    <w:rsid w:val="00DB4EF9"/>
    <w:rsid w:val="00DC29FE"/>
    <w:rsid w:val="00DC430C"/>
    <w:rsid w:val="00DC60FB"/>
    <w:rsid w:val="00DC7319"/>
    <w:rsid w:val="00DC742E"/>
    <w:rsid w:val="00DD38DC"/>
    <w:rsid w:val="00DD63FF"/>
    <w:rsid w:val="00DF1BBF"/>
    <w:rsid w:val="00DF3145"/>
    <w:rsid w:val="00DF4B0E"/>
    <w:rsid w:val="00E01E4B"/>
    <w:rsid w:val="00E062B0"/>
    <w:rsid w:val="00E0711E"/>
    <w:rsid w:val="00E0770C"/>
    <w:rsid w:val="00E11755"/>
    <w:rsid w:val="00E14DFA"/>
    <w:rsid w:val="00E17EA5"/>
    <w:rsid w:val="00E229DB"/>
    <w:rsid w:val="00E2571A"/>
    <w:rsid w:val="00E26EDC"/>
    <w:rsid w:val="00E2713C"/>
    <w:rsid w:val="00E30B42"/>
    <w:rsid w:val="00E313B9"/>
    <w:rsid w:val="00E342D7"/>
    <w:rsid w:val="00E34D1F"/>
    <w:rsid w:val="00E35C26"/>
    <w:rsid w:val="00E410EA"/>
    <w:rsid w:val="00E41D5C"/>
    <w:rsid w:val="00E437F7"/>
    <w:rsid w:val="00E529F9"/>
    <w:rsid w:val="00E55017"/>
    <w:rsid w:val="00E55416"/>
    <w:rsid w:val="00E557D1"/>
    <w:rsid w:val="00E56282"/>
    <w:rsid w:val="00E616BF"/>
    <w:rsid w:val="00E658AA"/>
    <w:rsid w:val="00E6656A"/>
    <w:rsid w:val="00E70D30"/>
    <w:rsid w:val="00E716BA"/>
    <w:rsid w:val="00E75977"/>
    <w:rsid w:val="00E76431"/>
    <w:rsid w:val="00E7686D"/>
    <w:rsid w:val="00E813BA"/>
    <w:rsid w:val="00E8590C"/>
    <w:rsid w:val="00E85F76"/>
    <w:rsid w:val="00E93590"/>
    <w:rsid w:val="00E94506"/>
    <w:rsid w:val="00E95A7B"/>
    <w:rsid w:val="00E969E9"/>
    <w:rsid w:val="00EA01A0"/>
    <w:rsid w:val="00EA155A"/>
    <w:rsid w:val="00EA24D4"/>
    <w:rsid w:val="00EA2851"/>
    <w:rsid w:val="00EA3515"/>
    <w:rsid w:val="00EA55FE"/>
    <w:rsid w:val="00EB0B4F"/>
    <w:rsid w:val="00EB1B59"/>
    <w:rsid w:val="00EB4384"/>
    <w:rsid w:val="00EB6065"/>
    <w:rsid w:val="00EC0826"/>
    <w:rsid w:val="00EC4E99"/>
    <w:rsid w:val="00EC7E23"/>
    <w:rsid w:val="00ED3A21"/>
    <w:rsid w:val="00ED54F9"/>
    <w:rsid w:val="00ED6982"/>
    <w:rsid w:val="00EE0218"/>
    <w:rsid w:val="00EE0E54"/>
    <w:rsid w:val="00EE1033"/>
    <w:rsid w:val="00EE114E"/>
    <w:rsid w:val="00EF24BB"/>
    <w:rsid w:val="00EF2B90"/>
    <w:rsid w:val="00EF32F6"/>
    <w:rsid w:val="00EF4114"/>
    <w:rsid w:val="00EF448F"/>
    <w:rsid w:val="00EF4634"/>
    <w:rsid w:val="00EF472E"/>
    <w:rsid w:val="00EF4A5A"/>
    <w:rsid w:val="00EF4EC4"/>
    <w:rsid w:val="00EF66A9"/>
    <w:rsid w:val="00EF74D8"/>
    <w:rsid w:val="00F01898"/>
    <w:rsid w:val="00F05EE0"/>
    <w:rsid w:val="00F06985"/>
    <w:rsid w:val="00F07DE8"/>
    <w:rsid w:val="00F156B3"/>
    <w:rsid w:val="00F15FD8"/>
    <w:rsid w:val="00F21A1A"/>
    <w:rsid w:val="00F22813"/>
    <w:rsid w:val="00F22FC8"/>
    <w:rsid w:val="00F242D6"/>
    <w:rsid w:val="00F26C13"/>
    <w:rsid w:val="00F27F36"/>
    <w:rsid w:val="00F32B8C"/>
    <w:rsid w:val="00F33383"/>
    <w:rsid w:val="00F33D5B"/>
    <w:rsid w:val="00F4030B"/>
    <w:rsid w:val="00F42F65"/>
    <w:rsid w:val="00F444F5"/>
    <w:rsid w:val="00F4602E"/>
    <w:rsid w:val="00F46BCF"/>
    <w:rsid w:val="00F515AF"/>
    <w:rsid w:val="00F53E05"/>
    <w:rsid w:val="00F5550A"/>
    <w:rsid w:val="00F55A56"/>
    <w:rsid w:val="00F56088"/>
    <w:rsid w:val="00F6031D"/>
    <w:rsid w:val="00F61303"/>
    <w:rsid w:val="00F65606"/>
    <w:rsid w:val="00F66614"/>
    <w:rsid w:val="00F67764"/>
    <w:rsid w:val="00F71232"/>
    <w:rsid w:val="00F74722"/>
    <w:rsid w:val="00F75F45"/>
    <w:rsid w:val="00F82957"/>
    <w:rsid w:val="00F83BD2"/>
    <w:rsid w:val="00F857CA"/>
    <w:rsid w:val="00F92C2B"/>
    <w:rsid w:val="00F94241"/>
    <w:rsid w:val="00F945CD"/>
    <w:rsid w:val="00F95ECF"/>
    <w:rsid w:val="00F9792C"/>
    <w:rsid w:val="00F97AAA"/>
    <w:rsid w:val="00FA4AD8"/>
    <w:rsid w:val="00FB3597"/>
    <w:rsid w:val="00FB53CA"/>
    <w:rsid w:val="00FC3750"/>
    <w:rsid w:val="00FC487C"/>
    <w:rsid w:val="00FC51A5"/>
    <w:rsid w:val="00FD0B36"/>
    <w:rsid w:val="00FD168A"/>
    <w:rsid w:val="00FD2284"/>
    <w:rsid w:val="00FD3643"/>
    <w:rsid w:val="00FD553C"/>
    <w:rsid w:val="00FD6F5E"/>
    <w:rsid w:val="00FE087D"/>
    <w:rsid w:val="00FE133D"/>
    <w:rsid w:val="00FE2090"/>
    <w:rsid w:val="00FE359D"/>
    <w:rsid w:val="00FE47EA"/>
    <w:rsid w:val="00FE4D5F"/>
    <w:rsid w:val="00FE7BC4"/>
    <w:rsid w:val="00FF29D4"/>
    <w:rsid w:val="00FF388D"/>
    <w:rsid w:val="00FF3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6A46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04A23"/>
    <w:rPr>
      <w:sz w:val="24"/>
      <w:szCs w:val="24"/>
      <w:lang w:val="de-DE"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istory">
    <w:name w:val="History"/>
    <w:basedOn w:val="Standaard"/>
    <w:rsid w:val="005B291B"/>
    <w:pPr>
      <w:spacing w:before="230" w:after="460" w:line="180" w:lineRule="exact"/>
      <w:jc w:val="right"/>
    </w:pPr>
    <w:rPr>
      <w:rFonts w:ascii="Arial" w:hAnsi="Arial"/>
      <w:sz w:val="14"/>
      <w:szCs w:val="16"/>
    </w:rPr>
  </w:style>
  <w:style w:type="paragraph" w:customStyle="1" w:styleId="References">
    <w:name w:val="References"/>
    <w:basedOn w:val="Standaard"/>
    <w:rsid w:val="005B291B"/>
    <w:pPr>
      <w:spacing w:line="200" w:lineRule="exact"/>
      <w:ind w:left="425" w:hanging="425"/>
      <w:jc w:val="both"/>
    </w:pPr>
    <w:rPr>
      <w:sz w:val="15"/>
      <w:szCs w:val="14"/>
      <w:lang w:val="en-GB"/>
    </w:rPr>
  </w:style>
  <w:style w:type="paragraph" w:customStyle="1" w:styleId="HExperimentalSection">
    <w:name w:val="HExperimental_Section"/>
    <w:basedOn w:val="Standaard"/>
    <w:rsid w:val="005B291B"/>
    <w:pPr>
      <w:spacing w:before="460" w:after="230" w:line="230" w:lineRule="atLeast"/>
    </w:pPr>
    <w:rPr>
      <w:i/>
      <w:szCs w:val="20"/>
    </w:rPr>
  </w:style>
  <w:style w:type="paragraph" w:customStyle="1" w:styleId="ExperimentalSection">
    <w:name w:val="ExperimentalSection"/>
    <w:basedOn w:val="Standaard"/>
    <w:rsid w:val="005B291B"/>
    <w:pPr>
      <w:spacing w:after="240" w:line="200" w:lineRule="exact"/>
      <w:ind w:firstLine="170"/>
      <w:jc w:val="both"/>
    </w:pPr>
    <w:rPr>
      <w:sz w:val="16"/>
      <w:szCs w:val="14"/>
      <w:lang w:val="en-GB"/>
    </w:rPr>
  </w:style>
  <w:style w:type="paragraph" w:customStyle="1" w:styleId="FNB">
    <w:name w:val="FNB"/>
    <w:basedOn w:val="Standaard"/>
    <w:link w:val="FNBChar"/>
    <w:rsid w:val="005B291B"/>
    <w:pPr>
      <w:widowControl w:val="0"/>
      <w:spacing w:after="40" w:line="160" w:lineRule="exact"/>
      <w:ind w:left="567" w:right="4434" w:hanging="567"/>
      <w:jc w:val="both"/>
    </w:pPr>
    <w:rPr>
      <w:rFonts w:ascii="Times" w:hAnsi="Times"/>
      <w:sz w:val="14"/>
      <w:szCs w:val="3276"/>
      <w:lang w:val="en-GB" w:eastAsia="de-DE"/>
    </w:rPr>
  </w:style>
  <w:style w:type="character" w:customStyle="1" w:styleId="FNBChar">
    <w:name w:val="FNB Char"/>
    <w:link w:val="FNB"/>
    <w:rsid w:val="005B291B"/>
    <w:rPr>
      <w:rFonts w:ascii="Times" w:hAnsi="Times"/>
      <w:sz w:val="14"/>
      <w:szCs w:val="3276"/>
      <w:lang w:val="en-GB" w:eastAsia="de-DE" w:bidi="ar-SA"/>
    </w:rPr>
  </w:style>
  <w:style w:type="paragraph" w:customStyle="1" w:styleId="Ack">
    <w:name w:val="Ack"/>
    <w:basedOn w:val="Standaard"/>
    <w:rsid w:val="005B291B"/>
  </w:style>
  <w:style w:type="paragraph" w:customStyle="1" w:styleId="TableCaption">
    <w:name w:val="TableCaption"/>
    <w:basedOn w:val="Standaard"/>
    <w:rsid w:val="006511FB"/>
    <w:pPr>
      <w:spacing w:after="120" w:line="190" w:lineRule="exact"/>
      <w:jc w:val="both"/>
    </w:pPr>
    <w:rPr>
      <w:rFonts w:ascii="Arial" w:hAnsi="Arial"/>
      <w:sz w:val="16"/>
      <w:szCs w:val="14"/>
      <w:lang w:val="en-GB"/>
    </w:rPr>
  </w:style>
  <w:style w:type="paragraph" w:customStyle="1" w:styleId="TableHead">
    <w:name w:val="TableHead"/>
    <w:basedOn w:val="TableCaption"/>
    <w:rsid w:val="006511FB"/>
    <w:pPr>
      <w:pBdr>
        <w:top w:val="single" w:sz="4" w:space="4" w:color="FFFFFF"/>
        <w:left w:val="single" w:sz="4" w:space="4" w:color="FFFFFF"/>
        <w:bottom w:val="single" w:sz="4" w:space="4" w:color="FFFFFF"/>
        <w:right w:val="single" w:sz="4" w:space="4" w:color="FFFFFF"/>
      </w:pBdr>
      <w:spacing w:after="0"/>
    </w:pPr>
  </w:style>
  <w:style w:type="paragraph" w:customStyle="1" w:styleId="TableBody">
    <w:name w:val="TableBody"/>
    <w:basedOn w:val="TableHead"/>
    <w:rsid w:val="006511FB"/>
  </w:style>
  <w:style w:type="paragraph" w:customStyle="1" w:styleId="TableFoot">
    <w:name w:val="TableFoot"/>
    <w:basedOn w:val="TableBody"/>
    <w:rsid w:val="006511FB"/>
    <w:pPr>
      <w:spacing w:before="60" w:after="60"/>
    </w:pPr>
  </w:style>
  <w:style w:type="paragraph" w:customStyle="1" w:styleId="SchemeCaption">
    <w:name w:val="SchemeCaption"/>
    <w:basedOn w:val="Standaard"/>
    <w:rsid w:val="006511FB"/>
    <w:pPr>
      <w:spacing w:before="230" w:after="460" w:line="190" w:lineRule="exact"/>
      <w:jc w:val="both"/>
    </w:pPr>
    <w:rPr>
      <w:rFonts w:ascii="Arial" w:hAnsi="Arial"/>
      <w:sz w:val="16"/>
      <w:szCs w:val="14"/>
      <w:lang w:val="en-GB"/>
    </w:rPr>
  </w:style>
  <w:style w:type="paragraph" w:styleId="Voetnoottekst">
    <w:name w:val="footnote text"/>
    <w:basedOn w:val="Standaard"/>
    <w:semiHidden/>
    <w:rsid w:val="00D81375"/>
    <w:pPr>
      <w:keepLines/>
      <w:widowControl w:val="0"/>
      <w:jc w:val="both"/>
    </w:pPr>
    <w:rPr>
      <w:rFonts w:eastAsia="Times New Roman"/>
      <w:sz w:val="20"/>
      <w:szCs w:val="20"/>
      <w:lang w:val="en-GB" w:eastAsia="ro-RO"/>
    </w:rPr>
  </w:style>
  <w:style w:type="paragraph" w:customStyle="1" w:styleId="STOE">
    <w:name w:val="STOE"/>
    <w:basedOn w:val="Standaard"/>
    <w:link w:val="STOEChar1"/>
    <w:rsid w:val="00D81375"/>
    <w:pPr>
      <w:widowControl w:val="0"/>
      <w:spacing w:line="236" w:lineRule="exact"/>
      <w:ind w:right="4434"/>
      <w:jc w:val="both"/>
    </w:pPr>
    <w:rPr>
      <w:rFonts w:ascii="Times" w:hAnsi="Times"/>
      <w:sz w:val="18"/>
      <w:szCs w:val="3276"/>
      <w:lang w:val="en-GB" w:eastAsia="de-DE"/>
    </w:rPr>
  </w:style>
  <w:style w:type="character" w:customStyle="1" w:styleId="STOEChar1">
    <w:name w:val="STOE Char1"/>
    <w:link w:val="STOE"/>
    <w:rsid w:val="00D81375"/>
    <w:rPr>
      <w:rFonts w:ascii="Times" w:hAnsi="Times"/>
      <w:sz w:val="18"/>
      <w:szCs w:val="3276"/>
      <w:lang w:val="en-GB" w:eastAsia="de-DE" w:bidi="ar-SA"/>
    </w:rPr>
  </w:style>
  <w:style w:type="paragraph" w:styleId="Ballontekst">
    <w:name w:val="Balloon Text"/>
    <w:basedOn w:val="Standaard"/>
    <w:semiHidden/>
    <w:rsid w:val="00D81375"/>
    <w:rPr>
      <w:rFonts w:ascii="Tahoma" w:hAnsi="Tahoma" w:cs="Tahoma"/>
      <w:sz w:val="16"/>
      <w:szCs w:val="16"/>
    </w:rPr>
  </w:style>
  <w:style w:type="paragraph" w:styleId="Koptekst">
    <w:name w:val="header"/>
    <w:basedOn w:val="Standaard"/>
    <w:link w:val="KoptekstChar"/>
    <w:rsid w:val="00881456"/>
    <w:pPr>
      <w:tabs>
        <w:tab w:val="center" w:pos="4536"/>
        <w:tab w:val="right" w:pos="9072"/>
      </w:tabs>
    </w:pPr>
    <w:rPr>
      <w:lang w:val="x-none"/>
    </w:rPr>
  </w:style>
  <w:style w:type="paragraph" w:styleId="Voettekst">
    <w:name w:val="footer"/>
    <w:basedOn w:val="Standaard"/>
    <w:link w:val="VoettekstChar"/>
    <w:uiPriority w:val="99"/>
    <w:rsid w:val="00881456"/>
    <w:pPr>
      <w:tabs>
        <w:tab w:val="center" w:pos="4536"/>
        <w:tab w:val="right" w:pos="9072"/>
      </w:tabs>
    </w:pPr>
  </w:style>
  <w:style w:type="paragraph" w:customStyle="1" w:styleId="Title1">
    <w:name w:val="Title1"/>
    <w:basedOn w:val="Standaard"/>
    <w:rsid w:val="00004A23"/>
    <w:rPr>
      <w:b/>
      <w:lang w:val="en-US"/>
    </w:rPr>
  </w:style>
  <w:style w:type="paragraph" w:customStyle="1" w:styleId="AuthorsFull">
    <w:name w:val="Authors Full"/>
    <w:basedOn w:val="Standaard"/>
    <w:rsid w:val="00004A23"/>
    <w:rPr>
      <w:i/>
      <w:lang w:val="en-US"/>
    </w:rPr>
  </w:style>
  <w:style w:type="paragraph" w:customStyle="1" w:styleId="dedication">
    <w:name w:val="dedication"/>
    <w:basedOn w:val="Standaard"/>
    <w:rsid w:val="00004A23"/>
    <w:rPr>
      <w:i/>
      <w:lang w:val="en-US"/>
    </w:rPr>
  </w:style>
  <w:style w:type="paragraph" w:customStyle="1" w:styleId="Addresses">
    <w:name w:val="Addresses"/>
    <w:basedOn w:val="Standaard"/>
    <w:rsid w:val="00004A23"/>
    <w:rPr>
      <w:lang w:val="en-US"/>
    </w:rPr>
  </w:style>
  <w:style w:type="paragraph" w:customStyle="1" w:styleId="Acknowledgements">
    <w:name w:val="Acknowledgements"/>
    <w:basedOn w:val="Standaard"/>
    <w:rsid w:val="00004A23"/>
    <w:rPr>
      <w:lang w:val="en-US"/>
    </w:rPr>
  </w:style>
  <w:style w:type="paragraph" w:customStyle="1" w:styleId="Abstract">
    <w:name w:val="Abstract"/>
    <w:aliases w:val="Author List,Keywords"/>
    <w:basedOn w:val="Standaard"/>
    <w:autoRedefine/>
    <w:uiPriority w:val="1"/>
    <w:qFormat/>
    <w:rsid w:val="00004A23"/>
    <w:pPr>
      <w:spacing w:line="480" w:lineRule="auto"/>
    </w:pPr>
    <w:rPr>
      <w:lang w:val="en-US"/>
    </w:rPr>
  </w:style>
  <w:style w:type="paragraph" w:customStyle="1" w:styleId="Head1">
    <w:name w:val="Head 1"/>
    <w:basedOn w:val="Standaard"/>
    <w:autoRedefine/>
    <w:rsid w:val="004D01EA"/>
    <w:pPr>
      <w:spacing w:after="240" w:line="360" w:lineRule="auto"/>
    </w:pPr>
    <w:rPr>
      <w:b/>
      <w:lang w:val="en-US"/>
    </w:rPr>
  </w:style>
  <w:style w:type="paragraph" w:customStyle="1" w:styleId="Head2">
    <w:name w:val="Head 2"/>
    <w:basedOn w:val="Standaard"/>
    <w:autoRedefine/>
    <w:rsid w:val="00004A23"/>
    <w:pPr>
      <w:spacing w:line="360" w:lineRule="auto"/>
    </w:pPr>
    <w:rPr>
      <w:i/>
      <w:lang w:val="en-US"/>
    </w:rPr>
  </w:style>
  <w:style w:type="paragraph" w:customStyle="1" w:styleId="dates">
    <w:name w:val="dates"/>
    <w:basedOn w:val="Standaard"/>
    <w:rsid w:val="00004A23"/>
    <w:pPr>
      <w:jc w:val="right"/>
    </w:pPr>
    <w:rPr>
      <w:lang w:val="en-US"/>
    </w:rPr>
  </w:style>
  <w:style w:type="paragraph" w:customStyle="1" w:styleId="Literature">
    <w:name w:val="Literature"/>
    <w:basedOn w:val="Standaard"/>
    <w:rsid w:val="00004A23"/>
    <w:pPr>
      <w:spacing w:line="480" w:lineRule="auto"/>
    </w:pPr>
  </w:style>
  <w:style w:type="paragraph" w:customStyle="1" w:styleId="Legend">
    <w:name w:val="Legend"/>
    <w:basedOn w:val="Standaard"/>
    <w:rsid w:val="00004A23"/>
    <w:rPr>
      <w:lang w:val="en-US"/>
    </w:rPr>
  </w:style>
  <w:style w:type="paragraph" w:customStyle="1" w:styleId="MainText">
    <w:name w:val="Main Text"/>
    <w:basedOn w:val="Standaard"/>
    <w:link w:val="MainTextChar"/>
    <w:rsid w:val="00004A23"/>
    <w:pPr>
      <w:spacing w:line="480" w:lineRule="auto"/>
    </w:pPr>
    <w:rPr>
      <w:lang w:val="en-US"/>
    </w:rPr>
  </w:style>
  <w:style w:type="paragraph" w:customStyle="1" w:styleId="Tableofcontents">
    <w:name w:val="Table of contents"/>
    <w:basedOn w:val="Standaard"/>
    <w:autoRedefine/>
    <w:rsid w:val="00004A23"/>
    <w:rPr>
      <w:lang w:val="en-US"/>
    </w:rPr>
  </w:style>
  <w:style w:type="paragraph" w:customStyle="1" w:styleId="ExperimentalText">
    <w:name w:val="Experimental Text"/>
    <w:basedOn w:val="Standaard"/>
    <w:link w:val="ExperimentalTextChar"/>
    <w:rsid w:val="00004A23"/>
    <w:pPr>
      <w:spacing w:line="480" w:lineRule="auto"/>
    </w:pPr>
    <w:rPr>
      <w:lang w:val="en-US"/>
    </w:rPr>
  </w:style>
  <w:style w:type="character" w:customStyle="1" w:styleId="ExperimentalTextChar">
    <w:name w:val="Experimental Text Char"/>
    <w:link w:val="ExperimentalText"/>
    <w:rsid w:val="00004A23"/>
    <w:rPr>
      <w:rFonts w:eastAsia="MS Mincho"/>
      <w:sz w:val="24"/>
      <w:szCs w:val="24"/>
      <w:lang w:val="en-US" w:eastAsia="ja-JP" w:bidi="ar-SA"/>
    </w:rPr>
  </w:style>
  <w:style w:type="character" w:customStyle="1" w:styleId="MainTextChar">
    <w:name w:val="Main Text Char"/>
    <w:link w:val="MainText"/>
    <w:rsid w:val="00004A23"/>
    <w:rPr>
      <w:rFonts w:eastAsia="MS Mincho"/>
      <w:sz w:val="24"/>
      <w:szCs w:val="24"/>
      <w:lang w:val="en-US" w:eastAsia="ja-JP" w:bidi="ar-SA"/>
    </w:rPr>
  </w:style>
  <w:style w:type="paragraph" w:customStyle="1" w:styleId="Title2">
    <w:name w:val="Title2"/>
    <w:basedOn w:val="Standaard"/>
    <w:rsid w:val="002D16A0"/>
    <w:rPr>
      <w:b/>
      <w:lang w:val="en-US"/>
    </w:rPr>
  </w:style>
  <w:style w:type="paragraph" w:customStyle="1" w:styleId="Dedication0">
    <w:name w:val="Dedication"/>
    <w:basedOn w:val="Standaard"/>
    <w:autoRedefine/>
    <w:rsid w:val="00322D5B"/>
    <w:rPr>
      <w:lang w:val="en-US"/>
    </w:rPr>
  </w:style>
  <w:style w:type="paragraph" w:customStyle="1" w:styleId="Maintext0">
    <w:name w:val="Main text"/>
    <w:basedOn w:val="Standaard"/>
    <w:link w:val="MaintextChar0"/>
    <w:autoRedefine/>
    <w:rsid w:val="0019723B"/>
    <w:pPr>
      <w:spacing w:line="480" w:lineRule="auto"/>
    </w:pPr>
    <w:rPr>
      <w:lang w:val="en-US"/>
    </w:rPr>
  </w:style>
  <w:style w:type="character" w:customStyle="1" w:styleId="MaintextChar0">
    <w:name w:val="Main text Char"/>
    <w:link w:val="Maintext0"/>
    <w:rsid w:val="0019723B"/>
    <w:rPr>
      <w:sz w:val="24"/>
      <w:szCs w:val="24"/>
      <w:lang w:val="en-US" w:eastAsia="ja-JP"/>
    </w:rPr>
  </w:style>
  <w:style w:type="paragraph" w:customStyle="1" w:styleId="Biography">
    <w:name w:val="Biography"/>
    <w:basedOn w:val="Standaard"/>
    <w:autoRedefine/>
    <w:rsid w:val="00562E2B"/>
    <w:rPr>
      <w:i/>
      <w:lang w:val="en-US"/>
    </w:rPr>
  </w:style>
  <w:style w:type="character" w:customStyle="1" w:styleId="KoptekstChar">
    <w:name w:val="Koptekst Char"/>
    <w:link w:val="Koptekst"/>
    <w:rsid w:val="00414465"/>
    <w:rPr>
      <w:sz w:val="24"/>
      <w:szCs w:val="24"/>
      <w:lang w:eastAsia="ja-JP"/>
    </w:rPr>
  </w:style>
  <w:style w:type="character" w:styleId="Verwijzingopmerking">
    <w:name w:val="annotation reference"/>
    <w:semiHidden/>
    <w:unhideWhenUsed/>
    <w:rsid w:val="00664F6D"/>
    <w:rPr>
      <w:sz w:val="16"/>
      <w:szCs w:val="16"/>
    </w:rPr>
  </w:style>
  <w:style w:type="paragraph" w:styleId="Tekstopmerking">
    <w:name w:val="annotation text"/>
    <w:basedOn w:val="Standaard"/>
    <w:link w:val="TekstopmerkingChar"/>
    <w:semiHidden/>
    <w:unhideWhenUsed/>
    <w:rsid w:val="00664F6D"/>
    <w:rPr>
      <w:sz w:val="20"/>
      <w:szCs w:val="20"/>
      <w:lang w:val="x-none"/>
    </w:rPr>
  </w:style>
  <w:style w:type="character" w:customStyle="1" w:styleId="TekstopmerkingChar">
    <w:name w:val="Tekst opmerking Char"/>
    <w:link w:val="Tekstopmerking"/>
    <w:semiHidden/>
    <w:rsid w:val="00664F6D"/>
    <w:rPr>
      <w:lang w:eastAsia="ja-JP"/>
    </w:rPr>
  </w:style>
  <w:style w:type="paragraph" w:styleId="Onderwerpvanopmerking">
    <w:name w:val="annotation subject"/>
    <w:basedOn w:val="Tekstopmerking"/>
    <w:next w:val="Tekstopmerking"/>
    <w:link w:val="OnderwerpvanopmerkingChar"/>
    <w:uiPriority w:val="99"/>
    <w:semiHidden/>
    <w:unhideWhenUsed/>
    <w:rsid w:val="00664F6D"/>
    <w:rPr>
      <w:b/>
      <w:bCs/>
    </w:rPr>
  </w:style>
  <w:style w:type="character" w:customStyle="1" w:styleId="OnderwerpvanopmerkingChar">
    <w:name w:val="Onderwerp van opmerking Char"/>
    <w:link w:val="Onderwerpvanopmerking"/>
    <w:uiPriority w:val="99"/>
    <w:semiHidden/>
    <w:rsid w:val="00664F6D"/>
    <w:rPr>
      <w:b/>
      <w:bCs/>
      <w:lang w:eastAsia="ja-JP"/>
    </w:rPr>
  </w:style>
  <w:style w:type="character" w:customStyle="1" w:styleId="VoettekstChar">
    <w:name w:val="Voettekst Char"/>
    <w:link w:val="Voettekst"/>
    <w:uiPriority w:val="99"/>
    <w:rsid w:val="007B7A09"/>
    <w:rPr>
      <w:sz w:val="24"/>
      <w:szCs w:val="24"/>
      <w:lang w:eastAsia="ja-JP"/>
    </w:rPr>
  </w:style>
  <w:style w:type="paragraph" w:customStyle="1" w:styleId="AFTitleRunningHead">
    <w:name w:val="AF_Title_Running_Head"/>
    <w:basedOn w:val="Standaard"/>
    <w:next w:val="Standaard"/>
    <w:rsid w:val="00994A0B"/>
    <w:pPr>
      <w:spacing w:after="200" w:line="480" w:lineRule="auto"/>
      <w:jc w:val="both"/>
    </w:pPr>
    <w:rPr>
      <w:rFonts w:ascii="Times" w:eastAsia="Times New Roman" w:hAnsi="Times"/>
      <w:szCs w:val="20"/>
      <w:lang w:val="en-US" w:eastAsia="en-US"/>
    </w:rPr>
  </w:style>
  <w:style w:type="paragraph" w:customStyle="1" w:styleId="TAMainText">
    <w:name w:val="TA_Main_Text"/>
    <w:basedOn w:val="Standaard"/>
    <w:rsid w:val="004D01EA"/>
    <w:pPr>
      <w:spacing w:line="480" w:lineRule="auto"/>
      <w:ind w:firstLine="202"/>
      <w:jc w:val="both"/>
    </w:pPr>
    <w:rPr>
      <w:rFonts w:ascii="Times" w:eastAsia="Times New Roman" w:hAnsi="Times"/>
      <w:szCs w:val="20"/>
      <w:lang w:val="en-US" w:eastAsia="en-US"/>
    </w:rPr>
  </w:style>
  <w:style w:type="paragraph" w:customStyle="1" w:styleId="VAFigureCaption">
    <w:name w:val="VA_Figure_Caption"/>
    <w:basedOn w:val="Standaard"/>
    <w:next w:val="Standaard"/>
    <w:rsid w:val="004D01EA"/>
    <w:pPr>
      <w:spacing w:after="200" w:line="480" w:lineRule="auto"/>
      <w:jc w:val="both"/>
    </w:pPr>
    <w:rPr>
      <w:rFonts w:ascii="Times" w:eastAsia="Times New Roman" w:hAnsi="Times"/>
      <w:szCs w:val="20"/>
      <w:lang w:val="en-US" w:eastAsia="en-US"/>
    </w:rPr>
  </w:style>
  <w:style w:type="paragraph" w:customStyle="1" w:styleId="RSCB02ArticleText">
    <w:name w:val="RSC B02 Article Text"/>
    <w:basedOn w:val="Standaard"/>
    <w:link w:val="RSCB02ArticleTextChar"/>
    <w:qFormat/>
    <w:rsid w:val="004D01EA"/>
    <w:pPr>
      <w:spacing w:line="240" w:lineRule="exact"/>
      <w:jc w:val="both"/>
    </w:pPr>
    <w:rPr>
      <w:rFonts w:asciiTheme="minorHAnsi" w:eastAsiaTheme="minorHAnsi" w:hAnsiTheme="minorHAnsi"/>
      <w:w w:val="108"/>
      <w:sz w:val="18"/>
      <w:szCs w:val="18"/>
      <w:lang w:val="en-GB" w:eastAsia="en-US"/>
    </w:rPr>
  </w:style>
  <w:style w:type="character" w:customStyle="1" w:styleId="RSCB02ArticleTextChar">
    <w:name w:val="RSC B02 Article Text Char"/>
    <w:basedOn w:val="Standaardalinea-lettertype"/>
    <w:link w:val="RSCB02ArticleText"/>
    <w:rsid w:val="004D01EA"/>
    <w:rPr>
      <w:rFonts w:asciiTheme="minorHAnsi" w:eastAsiaTheme="minorHAnsi" w:hAnsiTheme="minorHAnsi"/>
      <w:w w:val="108"/>
      <w:sz w:val="18"/>
      <w:szCs w:val="18"/>
      <w:lang w:eastAsia="en-US"/>
    </w:rPr>
  </w:style>
  <w:style w:type="paragraph" w:customStyle="1" w:styleId="FACorrespondingAuthorFootnote">
    <w:name w:val="FA_Corresponding_Author_Footnote"/>
    <w:basedOn w:val="Standaard"/>
    <w:next w:val="Standaard"/>
    <w:rsid w:val="00CC2520"/>
    <w:pPr>
      <w:spacing w:after="200" w:line="480" w:lineRule="auto"/>
      <w:jc w:val="both"/>
    </w:pPr>
    <w:rPr>
      <w:rFonts w:ascii="Times" w:eastAsia="Times New Roman" w:hAnsi="Times"/>
      <w:szCs w:val="20"/>
      <w:lang w:val="en-US" w:eastAsia="en-US"/>
    </w:rPr>
  </w:style>
  <w:style w:type="character" w:styleId="Tekstvantijdelijkeaanduiding">
    <w:name w:val="Placeholder Text"/>
    <w:basedOn w:val="Standaardalinea-lettertype"/>
    <w:uiPriority w:val="99"/>
    <w:semiHidden/>
    <w:rsid w:val="000422D9"/>
    <w:rPr>
      <w:color w:val="808080"/>
    </w:rPr>
  </w:style>
  <w:style w:type="paragraph" w:styleId="Titel">
    <w:name w:val="Title"/>
    <w:basedOn w:val="Standaard"/>
    <w:next w:val="Standaard"/>
    <w:link w:val="TitelChar"/>
    <w:qFormat/>
    <w:rsid w:val="00E11755"/>
    <w:pPr>
      <w:suppressLineNumbers/>
      <w:spacing w:before="240" w:after="360"/>
      <w:jc w:val="center"/>
    </w:pPr>
    <w:rPr>
      <w:rFonts w:eastAsiaTheme="minorHAnsi"/>
      <w:b/>
      <w:sz w:val="32"/>
      <w:szCs w:val="32"/>
      <w:lang w:val="en-US" w:eastAsia="en-US"/>
    </w:rPr>
  </w:style>
  <w:style w:type="character" w:customStyle="1" w:styleId="TitelChar">
    <w:name w:val="Titel Char"/>
    <w:basedOn w:val="Standaardalinea-lettertype"/>
    <w:link w:val="Titel"/>
    <w:rsid w:val="00E11755"/>
    <w:rPr>
      <w:rFonts w:eastAsiaTheme="minorHAnsi"/>
      <w:b/>
      <w:sz w:val="32"/>
      <w:szCs w:val="32"/>
      <w:lang w:val="en-US" w:eastAsia="en-US"/>
    </w:rPr>
  </w:style>
  <w:style w:type="character" w:styleId="Hyperlink">
    <w:name w:val="Hyperlink"/>
    <w:basedOn w:val="Standaardalinea-lettertype"/>
    <w:uiPriority w:val="99"/>
    <w:unhideWhenUsed/>
    <w:rsid w:val="00E11755"/>
    <w:rPr>
      <w:color w:val="0563C1" w:themeColor="hyperlink"/>
      <w:u w:val="single"/>
    </w:rPr>
  </w:style>
  <w:style w:type="character" w:customStyle="1" w:styleId="jss1200">
    <w:name w:val="jss1200"/>
    <w:basedOn w:val="Standaardalinea-lettertype"/>
    <w:rsid w:val="0055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85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gmaaldrich.com/BE/en/product/sigald/s601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igmaaldrich.com/BE/en/product/sigald/s601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my.verbruggen@uantwerpen.be" TargetMode="Externa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70E23FA40F8E40AB1E64A1B3263CA7" ma:contentTypeVersion="8" ma:contentTypeDescription="Een nieuw document maken." ma:contentTypeScope="" ma:versionID="113c4c023dba38669b0891c1081d939b">
  <xsd:schema xmlns:xsd="http://www.w3.org/2001/XMLSchema" xmlns:xs="http://www.w3.org/2001/XMLSchema" xmlns:p="http://schemas.microsoft.com/office/2006/metadata/properties" xmlns:ns2="d11d6319-7e91-451d-b99a-ca8552a0e62f" targetNamespace="http://schemas.microsoft.com/office/2006/metadata/properties" ma:root="true" ma:fieldsID="2f47ea970e123f709a551d9fcdce70ac" ns2:_="">
    <xsd:import namespace="d11d6319-7e91-451d-b99a-ca8552a0e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d6319-7e91-451d-b99a-ca8552a0e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86F76-A765-4714-B899-7AC2DC4334A1}">
  <ds:schemaRefs>
    <ds:schemaRef ds:uri="http://schemas.microsoft.com/sharepoint/v3/contenttype/forms"/>
  </ds:schemaRefs>
</ds:datastoreItem>
</file>

<file path=customXml/itemProps2.xml><?xml version="1.0" encoding="utf-8"?>
<ds:datastoreItem xmlns:ds="http://schemas.openxmlformats.org/officeDocument/2006/customXml" ds:itemID="{96D19C85-73BE-4F5D-979F-58BFDE5BBE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AF55F0-DA31-4584-BE39-B0D7DBF0E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d6319-7e91-451d-b99a-ca8552a0e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19EBF-8207-4BE7-AD18-240ED1895C11}">
  <ds:schemaRefs>
    <ds:schemaRef ds:uri="urn:schemas-microsoft-com.VSTO2008Demos.ControlsStorage"/>
  </ds:schemaRefs>
</ds:datastoreItem>
</file>

<file path=customXml/itemProps5.xml><?xml version="1.0" encoding="utf-8"?>
<ds:datastoreItem xmlns:ds="http://schemas.openxmlformats.org/officeDocument/2006/customXml" ds:itemID="{44979B01-7AF3-F442-ACF5-C0385187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1227</Words>
  <Characters>22326</Characters>
  <Application>Microsoft Office Word</Application>
  <DocSecurity>0</DocSecurity>
  <Lines>186</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2022-08-26T12:20:00Z</dcterms:created>
  <dcterms:modified xsi:type="dcterms:W3CDTF">2022-08-26T12:59:00Z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0x010100E570E23FA40F8E40AB1E64A1B3263CA7</vt:lpwstr>
  </property>
  <property fmtid="{D5CDD505-2E9C-101B-9397-08002B2CF9AE}" pid="3" name="Mendeley Recent Style Id 0_1">
    <vt:lpwstr>http://www.zotero.org/styles/acs-applied-nano-materials</vt:lpwstr>
  </property>
  <property fmtid="{D5CDD505-2E9C-101B-9397-08002B2CF9AE}" pid="4" name="Mendeley Recent Style Name 0_1">
    <vt:lpwstr>ACS Applied Nano Materials</vt:lpwstr>
  </property>
  <property fmtid="{D5CDD505-2E9C-101B-9397-08002B2CF9AE}" pid="5" name="Mendeley Recent Style Id 1_1">
    <vt:lpwstr>http://www.zotero.org/styles/acs-nano</vt:lpwstr>
  </property>
  <property fmtid="{D5CDD505-2E9C-101B-9397-08002B2CF9AE}" pid="6" name="Mendeley Recent Style Name 1_1">
    <vt:lpwstr>ACS Nano</vt:lpwstr>
  </property>
  <property fmtid="{D5CDD505-2E9C-101B-9397-08002B2CF9AE}" pid="7" name="Mendeley Recent Style Id 2_1">
    <vt:lpwstr>http://www.zotero.org/styles/american-political-science-association</vt:lpwstr>
  </property>
  <property fmtid="{D5CDD505-2E9C-101B-9397-08002B2CF9AE}" pid="8" name="Mendeley Recent Style Name 2_1">
    <vt:lpwstr>American Political Science Association</vt:lpwstr>
  </property>
  <property fmtid="{D5CDD505-2E9C-101B-9397-08002B2CF9AE}" pid="9" name="Mendeley Recent Style Id 3_1">
    <vt:lpwstr>http://www.zotero.org/styles/frontiers-in-chemistry</vt:lpwstr>
  </property>
  <property fmtid="{D5CDD505-2E9C-101B-9397-08002B2CF9AE}" pid="10" name="Mendeley Recent Style Name 3_1">
    <vt:lpwstr>Frontiers in Chemistry</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http://www.zotero.org/styles/modern-humanities-research-association</vt:lpwstr>
  </property>
  <property fmtid="{D5CDD505-2E9C-101B-9397-08002B2CF9AE}" pid="14" name="Mendeley Recent Style Name 5_1">
    <vt:lpwstr>Modern Humanities Research Association 3rd edition (note with bibliography)</vt:lpwstr>
  </property>
  <property fmtid="{D5CDD505-2E9C-101B-9397-08002B2CF9AE}" pid="15" name="Mendeley Recent Style Id 6_1">
    <vt:lpwstr>http://www.zotero.org/styles/nature</vt:lpwstr>
  </property>
  <property fmtid="{D5CDD505-2E9C-101B-9397-08002B2CF9AE}" pid="16" name="Mendeley Recent Style Name 6_1">
    <vt:lpwstr>Nature</vt:lpwstr>
  </property>
  <property fmtid="{D5CDD505-2E9C-101B-9397-08002B2CF9AE}" pid="17" name="Mendeley Recent Style Id 7_1">
    <vt:lpwstr>http://www.zotero.org/styles/small</vt:lpwstr>
  </property>
  <property fmtid="{D5CDD505-2E9C-101B-9397-08002B2CF9AE}" pid="18" name="Mendeley Recent Style Name 7_1">
    <vt:lpwstr>Small</vt:lpwstr>
  </property>
  <property fmtid="{D5CDD505-2E9C-101B-9397-08002B2CF9AE}" pid="19" name="Mendeley Recent Style Id 8_1">
    <vt:lpwstr>http://www.zotero.org/styles/vancouver</vt:lpwstr>
  </property>
  <property fmtid="{D5CDD505-2E9C-101B-9397-08002B2CF9AE}" pid="20" name="Mendeley Recent Style Name 8_1">
    <vt:lpwstr>Vancouver</vt:lpwstr>
  </property>
  <property fmtid="{D5CDD505-2E9C-101B-9397-08002B2CF9AE}" pid="21" name="Mendeley Recent Style Id 9_1">
    <vt:lpwstr>http://www.zotero.org/styles/vancouver-superscript-only-year</vt:lpwstr>
  </property>
  <property fmtid="{D5CDD505-2E9C-101B-9397-08002B2CF9AE}" pid="22" name="Mendeley Recent Style Name 9_1">
    <vt:lpwstr>Vancouver (superscript, only year in date, no issue numbers)</vt:lpwstr>
  </property>
  <property fmtid="{D5CDD505-2E9C-101B-9397-08002B2CF9AE}" pid="23" name="Mendeley Document_1">
    <vt:lpwstr>True</vt:lpwstr>
  </property>
  <property fmtid="{D5CDD505-2E9C-101B-9397-08002B2CF9AE}" pid="24" name="Mendeley Unique User Id_1">
    <vt:lpwstr>907febd9-bcec-390e-80c9-7ad3009700e0</vt:lpwstr>
  </property>
  <property fmtid="{D5CDD505-2E9C-101B-9397-08002B2CF9AE}" pid="25" name="Mendeley Citation Style_1">
    <vt:lpwstr>http://www.zotero.org/styles/frontiers-in-chemistry</vt:lpwstr>
  </property>
</Properties>
</file>