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443B1" w14:textId="1F7DBFD6" w:rsidR="00EE195F" w:rsidRPr="00EE195F" w:rsidRDefault="00EE195F" w:rsidP="00EE195F">
      <w:pPr>
        <w:spacing w:line="480" w:lineRule="auto"/>
        <w:rPr>
          <w:rFonts w:ascii="Times New Roman" w:eastAsia="SimHei" w:hAnsi="Times New Roman" w:cs="Times New Roman"/>
          <w:color w:val="000000" w:themeColor="text1"/>
          <w:kern w:val="0"/>
          <w:sz w:val="20"/>
          <w:szCs w:val="20"/>
        </w:rPr>
      </w:pPr>
      <w:r w:rsidRPr="00337A01">
        <w:rPr>
          <w:rFonts w:ascii="Times New Roman" w:eastAsia="SimHei" w:hAnsi="Times New Roman" w:cs="Times New Roman" w:hint="eastAsia"/>
          <w:b/>
          <w:bCs/>
          <w:color w:val="000000" w:themeColor="text1"/>
          <w:kern w:val="0"/>
          <w:sz w:val="20"/>
          <w:szCs w:val="20"/>
        </w:rPr>
        <w:t>T</w:t>
      </w:r>
      <w:r w:rsidRPr="00337A01">
        <w:rPr>
          <w:rFonts w:ascii="Times New Roman" w:eastAsia="SimHei" w:hAnsi="Times New Roman" w:cs="Times New Roman"/>
          <w:b/>
          <w:bCs/>
          <w:color w:val="000000" w:themeColor="text1"/>
          <w:kern w:val="0"/>
          <w:sz w:val="20"/>
          <w:szCs w:val="20"/>
        </w:rPr>
        <w:t>able</w:t>
      </w:r>
      <w:r w:rsidRPr="00EE195F">
        <w:rPr>
          <w:rFonts w:ascii="Times New Roman" w:eastAsia="SimHei" w:hAnsi="Times New Roman" w:cs="Times New Roman"/>
          <w:b/>
          <w:bCs/>
          <w:color w:val="000000" w:themeColor="text1"/>
          <w:kern w:val="0"/>
          <w:sz w:val="20"/>
          <w:szCs w:val="20"/>
        </w:rPr>
        <w:t xml:space="preserve"> S</w:t>
      </w:r>
      <w:r w:rsidR="00225E1E">
        <w:rPr>
          <w:rFonts w:ascii="Times New Roman" w:eastAsia="SimHei" w:hAnsi="Times New Roman" w:cs="Times New Roman"/>
          <w:b/>
          <w:bCs/>
          <w:color w:val="000000" w:themeColor="text1"/>
          <w:kern w:val="0"/>
          <w:sz w:val="20"/>
          <w:szCs w:val="20"/>
        </w:rPr>
        <w:t>1</w:t>
      </w:r>
      <w:r>
        <w:rPr>
          <w:rFonts w:ascii="Times New Roman" w:eastAsia="SimHei" w:hAnsi="Times New Roman" w:cs="Times New Roman"/>
          <w:color w:val="000000" w:themeColor="text1"/>
          <w:kern w:val="0"/>
          <w:sz w:val="20"/>
          <w:szCs w:val="20"/>
        </w:rPr>
        <w:t xml:space="preserve"> </w:t>
      </w:r>
      <w:r w:rsidRPr="00337A01">
        <w:rPr>
          <w:rFonts w:ascii="Times New Roman" w:eastAsia="SimHei" w:hAnsi="Times New Roman" w:cs="Times New Roman"/>
          <w:color w:val="000000" w:themeColor="text1"/>
          <w:kern w:val="0"/>
          <w:sz w:val="20"/>
          <w:szCs w:val="20"/>
        </w:rPr>
        <w:t xml:space="preserve">Biomass and yield of wheat under different </w:t>
      </w:r>
      <w:r>
        <w:rPr>
          <w:rFonts w:ascii="Times New Roman" w:eastAsia="SimHei" w:hAnsi="Times New Roman" w:cs="Times New Roman" w:hint="eastAsia"/>
          <w:color w:val="000000" w:themeColor="text1"/>
          <w:kern w:val="0"/>
          <w:sz w:val="20"/>
          <w:szCs w:val="20"/>
        </w:rPr>
        <w:t>foliar</w:t>
      </w:r>
      <w:r>
        <w:rPr>
          <w:rFonts w:ascii="Times New Roman" w:eastAsia="SimHei" w:hAnsi="Times New Roman" w:cs="Times New Roman"/>
          <w:color w:val="000000" w:themeColor="text1"/>
          <w:kern w:val="0"/>
          <w:sz w:val="20"/>
          <w:szCs w:val="20"/>
        </w:rPr>
        <w:t xml:space="preserve"> and soil </w:t>
      </w:r>
      <w:r w:rsidRPr="00337A01">
        <w:rPr>
          <w:rFonts w:ascii="Times New Roman" w:eastAsia="SimHei" w:hAnsi="Times New Roman" w:cs="Times New Roman"/>
          <w:color w:val="000000" w:themeColor="text1"/>
          <w:kern w:val="0"/>
          <w:sz w:val="20"/>
          <w:szCs w:val="20"/>
        </w:rPr>
        <w:t>Se applications</w:t>
      </w:r>
      <w:r>
        <w:rPr>
          <w:rFonts w:ascii="Times New Roman" w:eastAsia="SimHei" w:hAnsi="Times New Roman" w:cs="Times New Roman" w:hint="eastAsia"/>
          <w:color w:val="000000" w:themeColor="text1"/>
          <w:kern w:val="0"/>
          <w:sz w:val="20"/>
          <w:szCs w:val="20"/>
        </w:rPr>
        <w:t>.</w:t>
      </w:r>
    </w:p>
    <w:p w14:paraId="6A056214" w14:textId="436D1F51" w:rsidR="004D4BCC" w:rsidRPr="004D4BCC" w:rsidRDefault="000704E0" w:rsidP="000704E0">
      <w:pPr>
        <w:widowControl/>
        <w:spacing w:line="480" w:lineRule="auto"/>
        <w:rPr>
          <w:rFonts w:ascii="Times New Roman" w:eastAsia="SimHei" w:hAnsi="Times New Roman" w:cs="Times New Roman"/>
          <w:color w:val="000000" w:themeColor="text1"/>
          <w:kern w:val="0"/>
          <w:sz w:val="20"/>
          <w:szCs w:val="20"/>
        </w:rPr>
      </w:pPr>
      <w:r>
        <w:rPr>
          <w:rFonts w:ascii="Times New Roman" w:eastAsia="SimHei" w:hAnsi="Times New Roman" w:cs="Times New Roman"/>
          <w:b/>
          <w:color w:val="000000" w:themeColor="text1"/>
          <w:kern w:val="0"/>
          <w:sz w:val="20"/>
          <w:szCs w:val="20"/>
        </w:rPr>
        <w:t>Figure</w:t>
      </w:r>
      <w:r w:rsidRPr="007418B5">
        <w:rPr>
          <w:rFonts w:ascii="Times New Roman" w:eastAsia="SimHei" w:hAnsi="Times New Roman" w:cs="Times New Roman"/>
          <w:b/>
          <w:color w:val="000000" w:themeColor="text1"/>
          <w:kern w:val="0"/>
          <w:sz w:val="20"/>
          <w:szCs w:val="20"/>
        </w:rPr>
        <w:t xml:space="preserve"> </w:t>
      </w:r>
      <w:r>
        <w:rPr>
          <w:rFonts w:ascii="Times New Roman" w:eastAsia="SimHei" w:hAnsi="Times New Roman" w:cs="Times New Roman"/>
          <w:b/>
          <w:color w:val="000000" w:themeColor="text1"/>
          <w:kern w:val="0"/>
          <w:sz w:val="20"/>
          <w:szCs w:val="20"/>
        </w:rPr>
        <w:t>S</w:t>
      </w:r>
      <w:r w:rsidR="00225E1E">
        <w:rPr>
          <w:rFonts w:ascii="Times New Roman" w:eastAsia="SimHei" w:hAnsi="Times New Roman" w:cs="Times New Roman"/>
          <w:b/>
          <w:color w:val="000000" w:themeColor="text1"/>
          <w:kern w:val="0"/>
          <w:sz w:val="20"/>
          <w:szCs w:val="20"/>
        </w:rPr>
        <w:t>1</w:t>
      </w:r>
      <w:r w:rsidRPr="007418B5">
        <w:rPr>
          <w:rFonts w:ascii="Times New Roman" w:eastAsia="SimHei" w:hAnsi="Times New Roman" w:cs="Times New Roman"/>
          <w:color w:val="000000" w:themeColor="text1"/>
          <w:kern w:val="0"/>
          <w:sz w:val="20"/>
          <w:szCs w:val="20"/>
        </w:rPr>
        <w:t xml:space="preserve"> </w:t>
      </w:r>
      <w:r w:rsidR="009812A3" w:rsidRPr="009812A3">
        <w:rPr>
          <w:rFonts w:ascii="Times New Roman" w:eastAsia="SimHei" w:hAnsi="Times New Roman" w:cs="Times New Roman"/>
          <w:color w:val="000000" w:themeColor="text1"/>
          <w:kern w:val="0"/>
          <w:sz w:val="20"/>
          <w:szCs w:val="20"/>
        </w:rPr>
        <w:t>Effective ear number of wheat under different Se treatments</w:t>
      </w:r>
      <w:r w:rsidR="00A865F0" w:rsidRPr="00A865F0">
        <w:rPr>
          <w:rFonts w:ascii="Times New Roman" w:eastAsia="SimHei" w:hAnsi="Times New Roman" w:cs="Times New Roman"/>
          <w:color w:val="000000" w:themeColor="text1"/>
          <w:kern w:val="0"/>
          <w:sz w:val="20"/>
          <w:szCs w:val="20"/>
        </w:rPr>
        <w:t xml:space="preserve"> of wheat</w:t>
      </w:r>
      <w:r>
        <w:rPr>
          <w:rFonts w:ascii="Times New Roman" w:eastAsia="SimHei" w:hAnsi="Times New Roman" w:cs="Times New Roman"/>
          <w:color w:val="000000" w:themeColor="text1"/>
          <w:kern w:val="0"/>
          <w:sz w:val="20"/>
          <w:szCs w:val="20"/>
        </w:rPr>
        <w:t xml:space="preserve"> </w:t>
      </w:r>
      <w:r w:rsidR="00A865F0">
        <w:rPr>
          <w:rFonts w:ascii="Times New Roman" w:eastAsia="SimHei" w:hAnsi="Times New Roman" w:cs="Times New Roman"/>
          <w:color w:val="000000" w:themeColor="text1"/>
          <w:kern w:val="0"/>
          <w:sz w:val="20"/>
          <w:szCs w:val="20"/>
        </w:rPr>
        <w:t>under different Se treatments</w:t>
      </w:r>
      <w:r w:rsidR="00B22F02">
        <w:rPr>
          <w:rFonts w:ascii="Times New Roman" w:eastAsia="SimHei" w:hAnsi="Times New Roman" w:cs="Times New Roman"/>
          <w:color w:val="000000" w:themeColor="text1"/>
          <w:kern w:val="0"/>
          <w:sz w:val="20"/>
          <w:szCs w:val="20"/>
        </w:rPr>
        <w:t>.</w:t>
      </w:r>
      <w:r w:rsidR="004D4BCC">
        <w:rPr>
          <w:rFonts w:ascii="Times New Roman" w:eastAsia="SimHei" w:hAnsi="Times New Roman" w:cs="Times New Roman"/>
          <w:color w:val="000000" w:themeColor="text1"/>
          <w:kern w:val="0"/>
          <w:sz w:val="20"/>
          <w:szCs w:val="20"/>
        </w:rPr>
        <w:t xml:space="preserve"> </w:t>
      </w:r>
    </w:p>
    <w:p w14:paraId="18C01145" w14:textId="1B6345A2" w:rsidR="00700B5E" w:rsidRDefault="00B22F02" w:rsidP="00FD63BE">
      <w:pPr>
        <w:widowControl/>
        <w:spacing w:line="480" w:lineRule="auto"/>
        <w:rPr>
          <w:rFonts w:ascii="Times New Roman" w:eastAsia="SimHei" w:hAnsi="Times New Roman" w:cs="Times New Roman"/>
          <w:color w:val="000000" w:themeColor="text1"/>
          <w:kern w:val="0"/>
          <w:sz w:val="20"/>
          <w:szCs w:val="20"/>
        </w:rPr>
      </w:pPr>
      <w:r w:rsidRPr="00B22F02">
        <w:rPr>
          <w:rFonts w:ascii="Times New Roman" w:eastAsia="SimHei" w:hAnsi="Times New Roman" w:cs="Times New Roman"/>
          <w:b/>
          <w:bCs/>
          <w:color w:val="000000" w:themeColor="text1"/>
          <w:kern w:val="0"/>
          <w:sz w:val="20"/>
          <w:szCs w:val="20"/>
        </w:rPr>
        <w:t>Figure S</w:t>
      </w:r>
      <w:r w:rsidR="00225E1E">
        <w:rPr>
          <w:rFonts w:ascii="Times New Roman" w:eastAsia="SimHei" w:hAnsi="Times New Roman" w:cs="Times New Roman"/>
          <w:b/>
          <w:bCs/>
          <w:color w:val="000000" w:themeColor="text1"/>
          <w:kern w:val="0"/>
          <w:sz w:val="20"/>
          <w:szCs w:val="20"/>
        </w:rPr>
        <w:t>2</w:t>
      </w:r>
      <w:r w:rsidRPr="00B22F02">
        <w:rPr>
          <w:rFonts w:ascii="Times New Roman" w:eastAsia="SimHei" w:hAnsi="Times New Roman" w:cs="Times New Roman"/>
          <w:b/>
          <w:bCs/>
          <w:color w:val="000000" w:themeColor="text1"/>
          <w:kern w:val="0"/>
          <w:sz w:val="20"/>
          <w:szCs w:val="20"/>
        </w:rPr>
        <w:t xml:space="preserve"> </w:t>
      </w:r>
      <w:r w:rsidRPr="00B22F02">
        <w:rPr>
          <w:rFonts w:ascii="Times New Roman" w:eastAsia="SimHei" w:hAnsi="Times New Roman" w:cs="Times New Roman"/>
          <w:color w:val="000000" w:themeColor="text1"/>
          <w:kern w:val="0"/>
          <w:sz w:val="20"/>
          <w:szCs w:val="20"/>
        </w:rPr>
        <w:t xml:space="preserve">The Se </w:t>
      </w:r>
      <w:r w:rsidR="00771BAD" w:rsidRPr="00B22F02">
        <w:rPr>
          <w:rFonts w:ascii="Times New Roman" w:eastAsia="SimHei" w:hAnsi="Times New Roman" w:cs="Times New Roman"/>
          <w:color w:val="000000" w:themeColor="text1"/>
          <w:kern w:val="0"/>
          <w:sz w:val="20"/>
          <w:szCs w:val="20"/>
        </w:rPr>
        <w:t xml:space="preserve">lost </w:t>
      </w:r>
      <w:r w:rsidR="00B4633E">
        <w:rPr>
          <w:rFonts w:ascii="Times New Roman" w:eastAsia="SimHei" w:hAnsi="Times New Roman" w:cs="Times New Roman"/>
          <w:color w:val="000000" w:themeColor="text1"/>
          <w:kern w:val="0"/>
          <w:sz w:val="20"/>
          <w:szCs w:val="20"/>
        </w:rPr>
        <w:t xml:space="preserve">content and proportion </w:t>
      </w:r>
      <w:r w:rsidRPr="00B22F02">
        <w:rPr>
          <w:rFonts w:ascii="Times New Roman" w:eastAsia="SimHei" w:hAnsi="Times New Roman" w:cs="Times New Roman"/>
          <w:color w:val="000000" w:themeColor="text1"/>
          <w:kern w:val="0"/>
          <w:sz w:val="20"/>
          <w:szCs w:val="20"/>
        </w:rPr>
        <w:t xml:space="preserve">in wheat flour </w:t>
      </w:r>
      <w:r>
        <w:rPr>
          <w:rFonts w:ascii="Times New Roman" w:eastAsia="SimHei" w:hAnsi="Times New Roman" w:cs="Times New Roman"/>
          <w:color w:val="000000" w:themeColor="text1"/>
          <w:kern w:val="0"/>
          <w:sz w:val="20"/>
          <w:szCs w:val="20"/>
        </w:rPr>
        <w:t>under different Se treatments.</w:t>
      </w:r>
    </w:p>
    <w:p w14:paraId="06BBF65A" w14:textId="444EBCCA" w:rsidR="00CA02F2" w:rsidRPr="00D500EC" w:rsidRDefault="00CA02F2" w:rsidP="00FD63BE">
      <w:pPr>
        <w:widowControl/>
        <w:spacing w:line="480" w:lineRule="auto"/>
        <w:rPr>
          <w:rFonts w:ascii="Times New Roman" w:eastAsia="SimHei" w:hAnsi="Times New Roman" w:cs="Times New Roman"/>
          <w:b/>
          <w:color w:val="000000" w:themeColor="text1"/>
          <w:kern w:val="0"/>
          <w:sz w:val="20"/>
          <w:szCs w:val="20"/>
        </w:rPr>
        <w:sectPr w:rsidR="00CA02F2" w:rsidRPr="00D500EC">
          <w:pgSz w:w="11906" w:h="16838"/>
          <w:pgMar w:top="1440" w:right="1800" w:bottom="1440" w:left="1800" w:header="851" w:footer="992" w:gutter="0"/>
          <w:cols w:space="425"/>
          <w:docGrid w:type="lines" w:linePitch="312"/>
        </w:sectPr>
      </w:pPr>
      <w:r w:rsidRPr="00CA02F2">
        <w:rPr>
          <w:rFonts w:ascii="Times New Roman" w:eastAsia="SimHei" w:hAnsi="Times New Roman" w:cs="Times New Roman"/>
          <w:b/>
          <w:color w:val="000000" w:themeColor="text1"/>
          <w:kern w:val="0"/>
          <w:sz w:val="20"/>
          <w:szCs w:val="20"/>
        </w:rPr>
        <w:t xml:space="preserve">Figure S3 </w:t>
      </w:r>
      <w:r w:rsidRPr="00CA02F2">
        <w:rPr>
          <w:rFonts w:ascii="Times New Roman" w:eastAsia="SimHei" w:hAnsi="Times New Roman" w:cs="Times New Roman"/>
          <w:bCs/>
          <w:color w:val="000000" w:themeColor="text1"/>
          <w:kern w:val="0"/>
          <w:sz w:val="20"/>
          <w:szCs w:val="20"/>
        </w:rPr>
        <w:t>Basic growth indicators of wheat under different Se treatments.</w:t>
      </w:r>
    </w:p>
    <w:p w14:paraId="1EDBC764" w14:textId="45060C86" w:rsidR="000E63E8" w:rsidRDefault="000E63E8" w:rsidP="000E63E8">
      <w:pPr>
        <w:adjustRightInd w:val="0"/>
        <w:snapToGrid w:val="0"/>
        <w:spacing w:line="480" w:lineRule="auto"/>
        <w:jc w:val="cente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lastRenderedPageBreak/>
        <w:t>T</w:t>
      </w:r>
      <w:r w:rsidRPr="00D500EC">
        <w:rPr>
          <w:rFonts w:ascii="Times New Roman" w:hAnsi="Times New Roman" w:cs="Times New Roman"/>
          <w:b/>
          <w:color w:val="000000" w:themeColor="text1"/>
          <w:sz w:val="20"/>
          <w:szCs w:val="20"/>
        </w:rPr>
        <w:t xml:space="preserve">able </w:t>
      </w:r>
      <w:r w:rsidR="00826853">
        <w:rPr>
          <w:rFonts w:ascii="Times New Roman" w:hAnsi="Times New Roman" w:cs="Times New Roman"/>
          <w:b/>
          <w:color w:val="000000" w:themeColor="text1"/>
          <w:sz w:val="20"/>
          <w:szCs w:val="20"/>
        </w:rPr>
        <w:t>S</w:t>
      </w:r>
      <w:r w:rsidR="00225E1E">
        <w:rPr>
          <w:rFonts w:ascii="Times New Roman" w:hAnsi="Times New Roman" w:cs="Times New Roman"/>
          <w:b/>
          <w:color w:val="000000" w:themeColor="text1"/>
          <w:sz w:val="20"/>
          <w:szCs w:val="20"/>
        </w:rPr>
        <w:t>1</w:t>
      </w:r>
      <w:r w:rsidRPr="00D500EC">
        <w:rPr>
          <w:rFonts w:ascii="Times New Roman" w:hAnsi="Times New Roman" w:cs="Times New Roman"/>
          <w:color w:val="000000" w:themeColor="text1"/>
          <w:sz w:val="20"/>
          <w:szCs w:val="20"/>
        </w:rPr>
        <w:t xml:space="preserve"> </w:t>
      </w:r>
      <w:r w:rsidRPr="00CF55F0">
        <w:rPr>
          <w:rFonts w:ascii="Times New Roman" w:hAnsi="Times New Roman" w:cs="Times New Roman"/>
          <w:color w:val="000000" w:themeColor="text1"/>
          <w:sz w:val="20"/>
          <w:szCs w:val="20"/>
        </w:rPr>
        <w:t xml:space="preserve">Biomass and yield of wheat under different </w:t>
      </w:r>
      <w:r>
        <w:rPr>
          <w:rFonts w:ascii="Times New Roman" w:hAnsi="Times New Roman" w:cs="Times New Roman"/>
          <w:color w:val="000000" w:themeColor="text1"/>
          <w:sz w:val="20"/>
          <w:szCs w:val="20"/>
        </w:rPr>
        <w:t xml:space="preserve">foliar </w:t>
      </w:r>
      <w:r>
        <w:rPr>
          <w:rFonts w:ascii="Times New Roman" w:hAnsi="Times New Roman" w:cs="Times New Roman" w:hint="eastAsia"/>
          <w:color w:val="000000" w:themeColor="text1"/>
          <w:sz w:val="20"/>
          <w:szCs w:val="20"/>
        </w:rPr>
        <w:t>and</w:t>
      </w:r>
      <w:r>
        <w:rPr>
          <w:rFonts w:ascii="Times New Roman" w:hAnsi="Times New Roman" w:cs="Times New Roman"/>
          <w:color w:val="000000" w:themeColor="text1"/>
          <w:sz w:val="20"/>
          <w:szCs w:val="20"/>
        </w:rPr>
        <w:t xml:space="preserve"> </w:t>
      </w:r>
      <w:r>
        <w:rPr>
          <w:rFonts w:ascii="Times New Roman" w:hAnsi="Times New Roman" w:cs="Times New Roman" w:hint="eastAsia"/>
          <w:color w:val="000000" w:themeColor="text1"/>
          <w:sz w:val="20"/>
          <w:szCs w:val="20"/>
        </w:rPr>
        <w:t>soil</w:t>
      </w:r>
      <w:r>
        <w:rPr>
          <w:rFonts w:ascii="Times New Roman" w:hAnsi="Times New Roman" w:cs="Times New Roman"/>
          <w:color w:val="000000" w:themeColor="text1"/>
          <w:sz w:val="20"/>
          <w:szCs w:val="20"/>
        </w:rPr>
        <w:t xml:space="preserve"> </w:t>
      </w:r>
      <w:r w:rsidRPr="00CF55F0">
        <w:rPr>
          <w:rFonts w:ascii="Times New Roman" w:hAnsi="Times New Roman" w:cs="Times New Roman"/>
          <w:color w:val="000000" w:themeColor="text1"/>
          <w:sz w:val="20"/>
          <w:szCs w:val="20"/>
        </w:rPr>
        <w:t>Se applications</w:t>
      </w:r>
      <w:r>
        <w:rPr>
          <w:rFonts w:ascii="Times New Roman" w:hAnsi="Times New Roman" w:cs="Times New Roman"/>
          <w:color w:val="000000" w:themeColor="text1"/>
          <w:sz w:val="20"/>
          <w:szCs w:val="20"/>
        </w:rPr>
        <w:t>.</w:t>
      </w:r>
    </w:p>
    <w:tbl>
      <w:tblPr>
        <w:tblpPr w:leftFromText="180" w:rightFromText="180" w:vertAnchor="text" w:horzAnchor="margin" w:tblpY="-28"/>
        <w:tblOverlap w:val="never"/>
        <w:tblW w:w="8444" w:type="dxa"/>
        <w:tblLook w:val="04A0" w:firstRow="1" w:lastRow="0" w:firstColumn="1" w:lastColumn="0" w:noHBand="0" w:noVBand="1"/>
      </w:tblPr>
      <w:tblGrid>
        <w:gridCol w:w="1449"/>
        <w:gridCol w:w="1014"/>
        <w:gridCol w:w="1097"/>
        <w:gridCol w:w="1260"/>
        <w:gridCol w:w="1876"/>
        <w:gridCol w:w="1748"/>
      </w:tblGrid>
      <w:tr w:rsidR="007B7CE0" w:rsidRPr="00F447CF" w14:paraId="3D06C1D5" w14:textId="77777777" w:rsidTr="007B7CE0">
        <w:trPr>
          <w:trHeight w:val="342"/>
        </w:trPr>
        <w:tc>
          <w:tcPr>
            <w:tcW w:w="1449" w:type="dxa"/>
            <w:vMerge w:val="restart"/>
            <w:tcBorders>
              <w:top w:val="single" w:sz="12" w:space="0" w:color="auto"/>
              <w:left w:val="nil"/>
              <w:bottom w:val="single" w:sz="4" w:space="0" w:color="000000"/>
              <w:right w:val="nil"/>
            </w:tcBorders>
            <w:shd w:val="clear" w:color="auto" w:fill="auto"/>
            <w:noWrap/>
            <w:vAlign w:val="center"/>
            <w:hideMark/>
          </w:tcPr>
          <w:p w14:paraId="7BD7DD09" w14:textId="77BC3ADB" w:rsidR="007B7CE0" w:rsidRPr="00F447CF" w:rsidRDefault="001B3DC1" w:rsidP="007B7CE0">
            <w:pPr>
              <w:widowControl/>
              <w:spacing w:line="340" w:lineRule="exact"/>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A</w:t>
            </w:r>
            <w:r w:rsidR="007B7CE0" w:rsidRPr="00F447CF">
              <w:rPr>
                <w:rFonts w:ascii="Times New Roman" w:hAnsi="Times New Roman" w:cs="Times New Roman"/>
                <w:color w:val="000000"/>
                <w:kern w:val="0"/>
                <w:sz w:val="20"/>
                <w:szCs w:val="20"/>
              </w:rPr>
              <w:t>pplication methods</w:t>
            </w:r>
          </w:p>
        </w:tc>
        <w:tc>
          <w:tcPr>
            <w:tcW w:w="1014" w:type="dxa"/>
            <w:vMerge w:val="restart"/>
            <w:tcBorders>
              <w:top w:val="single" w:sz="12" w:space="0" w:color="auto"/>
              <w:left w:val="nil"/>
              <w:bottom w:val="single" w:sz="4" w:space="0" w:color="000000"/>
              <w:right w:val="nil"/>
            </w:tcBorders>
            <w:shd w:val="clear" w:color="auto" w:fill="auto"/>
            <w:noWrap/>
            <w:vAlign w:val="center"/>
            <w:hideMark/>
          </w:tcPr>
          <w:p w14:paraId="234793A4" w14:textId="0CD23808"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 xml:space="preserve">Se </w:t>
            </w:r>
            <w:r w:rsidR="001F4B5C">
              <w:rPr>
                <w:rFonts w:ascii="Times New Roman" w:hAnsi="Times New Roman" w:cs="Times New Roman" w:hint="eastAsia"/>
                <w:color w:val="000000"/>
                <w:kern w:val="0"/>
                <w:sz w:val="20"/>
                <w:szCs w:val="20"/>
              </w:rPr>
              <w:t>species</w:t>
            </w:r>
          </w:p>
        </w:tc>
        <w:tc>
          <w:tcPr>
            <w:tcW w:w="1097" w:type="dxa"/>
            <w:vMerge w:val="restart"/>
            <w:tcBorders>
              <w:top w:val="single" w:sz="12" w:space="0" w:color="auto"/>
              <w:left w:val="nil"/>
              <w:bottom w:val="single" w:sz="4" w:space="0" w:color="000000"/>
              <w:right w:val="nil"/>
            </w:tcBorders>
            <w:shd w:val="clear" w:color="auto" w:fill="auto"/>
            <w:noWrap/>
            <w:vAlign w:val="center"/>
            <w:hideMark/>
          </w:tcPr>
          <w:p w14:paraId="0BF7BE3E"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Growth stages</w:t>
            </w:r>
          </w:p>
        </w:tc>
        <w:tc>
          <w:tcPr>
            <w:tcW w:w="1260" w:type="dxa"/>
            <w:vMerge w:val="restart"/>
            <w:tcBorders>
              <w:top w:val="single" w:sz="12" w:space="0" w:color="auto"/>
              <w:left w:val="nil"/>
              <w:bottom w:val="single" w:sz="4" w:space="0" w:color="000000"/>
              <w:right w:val="nil"/>
            </w:tcBorders>
            <w:shd w:val="clear" w:color="auto" w:fill="auto"/>
            <w:noWrap/>
            <w:vAlign w:val="center"/>
            <w:hideMark/>
          </w:tcPr>
          <w:p w14:paraId="3A4A04D3" w14:textId="75D8D5EB"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 xml:space="preserve">Se </w:t>
            </w:r>
            <w:r w:rsidR="001F4B5C">
              <w:rPr>
                <w:rFonts w:ascii="Times New Roman" w:hAnsi="Times New Roman" w:cs="Times New Roman" w:hint="eastAsia"/>
                <w:color w:val="000000"/>
                <w:kern w:val="0"/>
                <w:sz w:val="20"/>
                <w:szCs w:val="20"/>
              </w:rPr>
              <w:t>application</w:t>
            </w:r>
            <w:r w:rsidR="001F4B5C">
              <w:rPr>
                <w:rFonts w:ascii="Times New Roman" w:hAnsi="Times New Roman" w:cs="Times New Roman"/>
                <w:color w:val="000000"/>
                <w:kern w:val="0"/>
                <w:sz w:val="20"/>
                <w:szCs w:val="20"/>
              </w:rPr>
              <w:t xml:space="preserve"> </w:t>
            </w:r>
            <w:r w:rsidRPr="00F447CF">
              <w:rPr>
                <w:rFonts w:ascii="Times New Roman" w:hAnsi="Times New Roman" w:cs="Times New Roman"/>
                <w:color w:val="000000"/>
                <w:kern w:val="0"/>
                <w:sz w:val="20"/>
                <w:szCs w:val="20"/>
              </w:rPr>
              <w:t>rates</w:t>
            </w:r>
          </w:p>
        </w:tc>
        <w:tc>
          <w:tcPr>
            <w:tcW w:w="1876" w:type="dxa"/>
            <w:vMerge w:val="restart"/>
            <w:tcBorders>
              <w:top w:val="single" w:sz="12" w:space="0" w:color="auto"/>
              <w:left w:val="nil"/>
              <w:bottom w:val="single" w:sz="4" w:space="0" w:color="000000"/>
              <w:right w:val="nil"/>
            </w:tcBorders>
            <w:shd w:val="clear" w:color="auto" w:fill="auto"/>
            <w:noWrap/>
            <w:vAlign w:val="center"/>
            <w:hideMark/>
          </w:tcPr>
          <w:p w14:paraId="44A7E440" w14:textId="77777777" w:rsidR="007B7CE0" w:rsidRPr="00F447CF" w:rsidRDefault="007B7CE0" w:rsidP="007B7CE0">
            <w:pPr>
              <w:widowControl/>
              <w:spacing w:line="340" w:lineRule="exact"/>
              <w:jc w:val="center"/>
              <w:rPr>
                <w:rFonts w:ascii="Times New Roman" w:hAnsi="Times New Roman" w:cs="Times New Roman"/>
                <w:kern w:val="0"/>
                <w:sz w:val="20"/>
                <w:szCs w:val="20"/>
              </w:rPr>
            </w:pPr>
            <w:r w:rsidRPr="00F447CF">
              <w:rPr>
                <w:rFonts w:ascii="Times New Roman" w:hAnsi="Times New Roman" w:cs="Times New Roman"/>
                <w:kern w:val="0"/>
                <w:sz w:val="20"/>
                <w:szCs w:val="20"/>
              </w:rPr>
              <w:t>Grain yield (g pot</w:t>
            </w:r>
            <w:r w:rsidRPr="00F447CF">
              <w:rPr>
                <w:rFonts w:ascii="Times New Roman" w:hAnsi="Times New Roman" w:cs="Times New Roman"/>
                <w:kern w:val="0"/>
                <w:sz w:val="20"/>
                <w:szCs w:val="20"/>
                <w:vertAlign w:val="superscript"/>
              </w:rPr>
              <w:t>-1</w:t>
            </w:r>
            <w:r w:rsidRPr="00F447CF">
              <w:rPr>
                <w:rFonts w:ascii="Times New Roman" w:hAnsi="Times New Roman" w:cs="Times New Roman"/>
                <w:kern w:val="0"/>
                <w:sz w:val="20"/>
                <w:szCs w:val="20"/>
              </w:rPr>
              <w:t>)</w:t>
            </w:r>
          </w:p>
        </w:tc>
        <w:tc>
          <w:tcPr>
            <w:tcW w:w="1748" w:type="dxa"/>
            <w:vMerge w:val="restart"/>
            <w:tcBorders>
              <w:top w:val="single" w:sz="12" w:space="0" w:color="auto"/>
              <w:left w:val="nil"/>
              <w:bottom w:val="single" w:sz="4" w:space="0" w:color="000000"/>
              <w:right w:val="nil"/>
            </w:tcBorders>
            <w:shd w:val="clear" w:color="auto" w:fill="auto"/>
            <w:noWrap/>
            <w:vAlign w:val="center"/>
            <w:hideMark/>
          </w:tcPr>
          <w:p w14:paraId="77EC3DAB"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Biomass (g pot</w:t>
            </w:r>
            <w:r w:rsidRPr="00F447CF">
              <w:rPr>
                <w:rFonts w:ascii="Times New Roman" w:hAnsi="Times New Roman" w:cs="Times New Roman"/>
                <w:color w:val="000000"/>
                <w:kern w:val="0"/>
                <w:sz w:val="20"/>
                <w:szCs w:val="20"/>
                <w:vertAlign w:val="superscript"/>
              </w:rPr>
              <w:t>-1</w:t>
            </w:r>
            <w:r w:rsidRPr="00F447CF">
              <w:rPr>
                <w:rFonts w:ascii="Times New Roman" w:hAnsi="Times New Roman" w:cs="Times New Roman"/>
                <w:color w:val="000000"/>
                <w:kern w:val="0"/>
                <w:sz w:val="20"/>
                <w:szCs w:val="20"/>
              </w:rPr>
              <w:t>)</w:t>
            </w:r>
          </w:p>
        </w:tc>
      </w:tr>
      <w:tr w:rsidR="007B7CE0" w:rsidRPr="00F447CF" w14:paraId="4F857E7E" w14:textId="77777777" w:rsidTr="007B7CE0">
        <w:trPr>
          <w:trHeight w:val="314"/>
        </w:trPr>
        <w:tc>
          <w:tcPr>
            <w:tcW w:w="1449" w:type="dxa"/>
            <w:vMerge/>
            <w:tcBorders>
              <w:top w:val="single" w:sz="4" w:space="0" w:color="auto"/>
              <w:left w:val="nil"/>
              <w:bottom w:val="single" w:sz="12" w:space="0" w:color="auto"/>
              <w:right w:val="nil"/>
            </w:tcBorders>
            <w:vAlign w:val="center"/>
            <w:hideMark/>
          </w:tcPr>
          <w:p w14:paraId="4746D3D5"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single" w:sz="4" w:space="0" w:color="auto"/>
              <w:left w:val="nil"/>
              <w:bottom w:val="single" w:sz="12" w:space="0" w:color="auto"/>
              <w:right w:val="nil"/>
            </w:tcBorders>
            <w:vAlign w:val="center"/>
            <w:hideMark/>
          </w:tcPr>
          <w:p w14:paraId="033968DA"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top w:val="single" w:sz="4" w:space="0" w:color="auto"/>
              <w:left w:val="nil"/>
              <w:bottom w:val="single" w:sz="12" w:space="0" w:color="auto"/>
              <w:right w:val="nil"/>
            </w:tcBorders>
            <w:vAlign w:val="center"/>
            <w:hideMark/>
          </w:tcPr>
          <w:p w14:paraId="4C7817D6"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vMerge/>
            <w:tcBorders>
              <w:top w:val="single" w:sz="4" w:space="0" w:color="auto"/>
              <w:left w:val="nil"/>
              <w:bottom w:val="single" w:sz="12" w:space="0" w:color="auto"/>
              <w:right w:val="nil"/>
            </w:tcBorders>
            <w:vAlign w:val="center"/>
            <w:hideMark/>
          </w:tcPr>
          <w:p w14:paraId="36373FC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876" w:type="dxa"/>
            <w:vMerge/>
            <w:tcBorders>
              <w:top w:val="single" w:sz="4" w:space="0" w:color="auto"/>
              <w:left w:val="nil"/>
              <w:bottom w:val="single" w:sz="12" w:space="0" w:color="auto"/>
              <w:right w:val="nil"/>
            </w:tcBorders>
            <w:vAlign w:val="center"/>
            <w:hideMark/>
          </w:tcPr>
          <w:p w14:paraId="00961694" w14:textId="77777777" w:rsidR="007B7CE0" w:rsidRPr="00F447CF" w:rsidRDefault="007B7CE0" w:rsidP="007B7CE0">
            <w:pPr>
              <w:widowControl/>
              <w:spacing w:line="340" w:lineRule="exact"/>
              <w:jc w:val="center"/>
              <w:rPr>
                <w:rFonts w:ascii="Times New Roman" w:hAnsi="Times New Roman" w:cs="Times New Roman"/>
                <w:kern w:val="0"/>
                <w:sz w:val="20"/>
                <w:szCs w:val="20"/>
              </w:rPr>
            </w:pPr>
          </w:p>
        </w:tc>
        <w:tc>
          <w:tcPr>
            <w:tcW w:w="1748" w:type="dxa"/>
            <w:vMerge/>
            <w:tcBorders>
              <w:top w:val="single" w:sz="4" w:space="0" w:color="auto"/>
              <w:left w:val="nil"/>
              <w:bottom w:val="single" w:sz="4" w:space="0" w:color="000000"/>
              <w:right w:val="nil"/>
            </w:tcBorders>
            <w:vAlign w:val="center"/>
            <w:hideMark/>
          </w:tcPr>
          <w:p w14:paraId="18ECCD1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r>
      <w:tr w:rsidR="007B7CE0" w:rsidRPr="00F447CF" w14:paraId="5F76361D" w14:textId="77777777" w:rsidTr="007B7CE0">
        <w:trPr>
          <w:trHeight w:val="225"/>
        </w:trPr>
        <w:tc>
          <w:tcPr>
            <w:tcW w:w="4820" w:type="dxa"/>
            <w:gridSpan w:val="4"/>
            <w:tcBorders>
              <w:top w:val="single" w:sz="12" w:space="0" w:color="auto"/>
              <w:left w:val="nil"/>
              <w:bottom w:val="dashSmallGap" w:sz="8" w:space="0" w:color="auto"/>
              <w:right w:val="nil"/>
            </w:tcBorders>
            <w:shd w:val="clear" w:color="auto" w:fill="auto"/>
            <w:noWrap/>
            <w:vAlign w:val="center"/>
            <w:hideMark/>
          </w:tcPr>
          <w:p w14:paraId="4F528C8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CK</w:t>
            </w:r>
          </w:p>
        </w:tc>
        <w:tc>
          <w:tcPr>
            <w:tcW w:w="1876" w:type="dxa"/>
            <w:tcBorders>
              <w:top w:val="single" w:sz="12" w:space="0" w:color="auto"/>
              <w:left w:val="nil"/>
              <w:bottom w:val="dashSmallGap" w:sz="8" w:space="0" w:color="auto"/>
              <w:right w:val="nil"/>
            </w:tcBorders>
            <w:shd w:val="clear" w:color="auto" w:fill="auto"/>
            <w:noWrap/>
            <w:vAlign w:val="center"/>
            <w:hideMark/>
          </w:tcPr>
          <w:p w14:paraId="2CE572EE"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 xml:space="preserve">20.33 ± 0.22 </w:t>
            </w:r>
            <w:proofErr w:type="spellStart"/>
            <w:r w:rsidRPr="00F447CF">
              <w:rPr>
                <w:rFonts w:ascii="Times New Roman" w:hAnsi="Times New Roman" w:cs="Times New Roman"/>
                <w:color w:val="000000"/>
                <w:kern w:val="0"/>
                <w:sz w:val="20"/>
                <w:szCs w:val="20"/>
              </w:rPr>
              <w:t>Aab</w:t>
            </w:r>
            <w:proofErr w:type="spellEnd"/>
          </w:p>
        </w:tc>
        <w:tc>
          <w:tcPr>
            <w:tcW w:w="1748" w:type="dxa"/>
            <w:tcBorders>
              <w:top w:val="single" w:sz="12" w:space="0" w:color="auto"/>
              <w:left w:val="nil"/>
              <w:bottom w:val="dashSmallGap" w:sz="8" w:space="0" w:color="auto"/>
              <w:right w:val="nil"/>
            </w:tcBorders>
            <w:shd w:val="clear" w:color="auto" w:fill="auto"/>
            <w:noWrap/>
            <w:vAlign w:val="center"/>
            <w:hideMark/>
          </w:tcPr>
          <w:p w14:paraId="7976D92B"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41.10 ± 0.34 Ab</w:t>
            </w:r>
          </w:p>
        </w:tc>
      </w:tr>
      <w:tr w:rsidR="007B7CE0" w:rsidRPr="00F447CF" w14:paraId="2D11BE0F" w14:textId="77777777" w:rsidTr="007B7CE0">
        <w:trPr>
          <w:trHeight w:val="264"/>
        </w:trPr>
        <w:tc>
          <w:tcPr>
            <w:tcW w:w="1449" w:type="dxa"/>
            <w:vMerge w:val="restart"/>
            <w:tcBorders>
              <w:top w:val="dashSmallGap" w:sz="8" w:space="0" w:color="auto"/>
              <w:left w:val="nil"/>
              <w:bottom w:val="single" w:sz="4" w:space="0" w:color="000000"/>
              <w:right w:val="nil"/>
            </w:tcBorders>
            <w:shd w:val="clear" w:color="auto" w:fill="auto"/>
            <w:noWrap/>
            <w:vAlign w:val="center"/>
            <w:hideMark/>
          </w:tcPr>
          <w:p w14:paraId="5506DB2A"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Soil application</w:t>
            </w:r>
          </w:p>
        </w:tc>
        <w:tc>
          <w:tcPr>
            <w:tcW w:w="1014" w:type="dxa"/>
            <w:vMerge w:val="restart"/>
            <w:tcBorders>
              <w:top w:val="dashSmallGap" w:sz="8" w:space="0" w:color="auto"/>
              <w:left w:val="nil"/>
              <w:bottom w:val="nil"/>
              <w:right w:val="nil"/>
            </w:tcBorders>
            <w:shd w:val="clear" w:color="auto" w:fill="auto"/>
            <w:noWrap/>
            <w:vAlign w:val="center"/>
            <w:hideMark/>
          </w:tcPr>
          <w:p w14:paraId="0312B1EE"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Se(IV)</w:t>
            </w:r>
          </w:p>
        </w:tc>
        <w:tc>
          <w:tcPr>
            <w:tcW w:w="1097" w:type="dxa"/>
            <w:vMerge w:val="restart"/>
            <w:tcBorders>
              <w:top w:val="dashSmallGap" w:sz="8" w:space="0" w:color="auto"/>
              <w:left w:val="nil"/>
              <w:right w:val="nil"/>
            </w:tcBorders>
            <w:shd w:val="clear" w:color="auto" w:fill="auto"/>
            <w:noWrap/>
            <w:vAlign w:val="center"/>
            <w:hideMark/>
          </w:tcPr>
          <w:p w14:paraId="7F409880"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dashSmallGap" w:sz="8" w:space="0" w:color="auto"/>
              <w:left w:val="nil"/>
              <w:bottom w:val="nil"/>
              <w:right w:val="nil"/>
            </w:tcBorders>
            <w:shd w:val="clear" w:color="auto" w:fill="auto"/>
            <w:noWrap/>
            <w:vAlign w:val="center"/>
            <w:hideMark/>
          </w:tcPr>
          <w:p w14:paraId="6C276AAC"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0.5 mg kg</w:t>
            </w:r>
            <w:r w:rsidRPr="00F447CF">
              <w:rPr>
                <w:rFonts w:ascii="Times New Roman" w:hAnsi="Times New Roman" w:cs="Times New Roman"/>
                <w:color w:val="000000"/>
                <w:kern w:val="0"/>
                <w:sz w:val="20"/>
                <w:szCs w:val="20"/>
                <w:vertAlign w:val="superscript"/>
              </w:rPr>
              <w:t>-1</w:t>
            </w:r>
          </w:p>
        </w:tc>
        <w:tc>
          <w:tcPr>
            <w:tcW w:w="1876" w:type="dxa"/>
            <w:tcBorders>
              <w:top w:val="dashSmallGap" w:sz="8" w:space="0" w:color="auto"/>
              <w:left w:val="nil"/>
              <w:bottom w:val="nil"/>
              <w:right w:val="nil"/>
            </w:tcBorders>
            <w:shd w:val="clear" w:color="auto" w:fill="auto"/>
            <w:noWrap/>
            <w:vAlign w:val="center"/>
            <w:hideMark/>
          </w:tcPr>
          <w:p w14:paraId="3F344949"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19.41 ± 0.21 b</w:t>
            </w:r>
          </w:p>
        </w:tc>
        <w:tc>
          <w:tcPr>
            <w:tcW w:w="1748" w:type="dxa"/>
            <w:tcBorders>
              <w:top w:val="dashSmallGap" w:sz="8" w:space="0" w:color="auto"/>
              <w:left w:val="nil"/>
              <w:bottom w:val="nil"/>
              <w:right w:val="nil"/>
            </w:tcBorders>
            <w:shd w:val="clear" w:color="auto" w:fill="auto"/>
            <w:noWrap/>
            <w:vAlign w:val="center"/>
            <w:hideMark/>
          </w:tcPr>
          <w:p w14:paraId="53EC58A6"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44.37 ± 0.43 ab</w:t>
            </w:r>
          </w:p>
        </w:tc>
      </w:tr>
      <w:tr w:rsidR="007B7CE0" w:rsidRPr="00F447CF" w14:paraId="209C7C16" w14:textId="77777777" w:rsidTr="007B7CE0">
        <w:trPr>
          <w:trHeight w:val="264"/>
        </w:trPr>
        <w:tc>
          <w:tcPr>
            <w:tcW w:w="1449" w:type="dxa"/>
            <w:vMerge/>
            <w:tcBorders>
              <w:top w:val="nil"/>
              <w:left w:val="nil"/>
              <w:bottom w:val="single" w:sz="4" w:space="0" w:color="000000"/>
              <w:right w:val="nil"/>
            </w:tcBorders>
            <w:vAlign w:val="center"/>
            <w:hideMark/>
          </w:tcPr>
          <w:p w14:paraId="1CB5128E"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nil"/>
              <w:right w:val="nil"/>
            </w:tcBorders>
            <w:vAlign w:val="center"/>
            <w:hideMark/>
          </w:tcPr>
          <w:p w14:paraId="6995818A"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left w:val="nil"/>
              <w:right w:val="nil"/>
            </w:tcBorders>
            <w:vAlign w:val="center"/>
            <w:hideMark/>
          </w:tcPr>
          <w:p w14:paraId="27976E9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nil"/>
              <w:right w:val="nil"/>
            </w:tcBorders>
            <w:shd w:val="clear" w:color="auto" w:fill="auto"/>
            <w:noWrap/>
            <w:vAlign w:val="center"/>
            <w:hideMark/>
          </w:tcPr>
          <w:p w14:paraId="77796592"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 mg kg</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073A9B63"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19.42 ± 1.14 b</w:t>
            </w:r>
          </w:p>
        </w:tc>
        <w:tc>
          <w:tcPr>
            <w:tcW w:w="1748" w:type="dxa"/>
            <w:tcBorders>
              <w:top w:val="nil"/>
              <w:left w:val="nil"/>
              <w:bottom w:val="nil"/>
              <w:right w:val="nil"/>
            </w:tcBorders>
            <w:shd w:val="clear" w:color="auto" w:fill="auto"/>
            <w:noWrap/>
            <w:vAlign w:val="center"/>
            <w:hideMark/>
          </w:tcPr>
          <w:p w14:paraId="6E67D67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44.87 ± 4.05 ab</w:t>
            </w:r>
          </w:p>
        </w:tc>
      </w:tr>
      <w:tr w:rsidR="007B7CE0" w:rsidRPr="00F447CF" w14:paraId="741F34F2" w14:textId="77777777" w:rsidTr="007B7CE0">
        <w:trPr>
          <w:trHeight w:val="264"/>
        </w:trPr>
        <w:tc>
          <w:tcPr>
            <w:tcW w:w="1449" w:type="dxa"/>
            <w:vMerge/>
            <w:tcBorders>
              <w:top w:val="nil"/>
              <w:left w:val="nil"/>
              <w:bottom w:val="single" w:sz="4" w:space="0" w:color="000000"/>
              <w:right w:val="nil"/>
            </w:tcBorders>
            <w:vAlign w:val="center"/>
            <w:hideMark/>
          </w:tcPr>
          <w:p w14:paraId="2E51297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nil"/>
              <w:right w:val="nil"/>
            </w:tcBorders>
            <w:vAlign w:val="center"/>
            <w:hideMark/>
          </w:tcPr>
          <w:p w14:paraId="7AAF9888"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left w:val="nil"/>
              <w:right w:val="nil"/>
            </w:tcBorders>
            <w:vAlign w:val="center"/>
            <w:hideMark/>
          </w:tcPr>
          <w:p w14:paraId="3D7B9A5C"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nil"/>
              <w:right w:val="nil"/>
            </w:tcBorders>
            <w:shd w:val="clear" w:color="auto" w:fill="auto"/>
            <w:noWrap/>
            <w:vAlign w:val="center"/>
            <w:hideMark/>
          </w:tcPr>
          <w:p w14:paraId="49DD8620"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2 mg kg</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526F5722"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21.62 ± 1.38 a</w:t>
            </w:r>
          </w:p>
        </w:tc>
        <w:tc>
          <w:tcPr>
            <w:tcW w:w="1748" w:type="dxa"/>
            <w:tcBorders>
              <w:top w:val="nil"/>
              <w:left w:val="nil"/>
              <w:bottom w:val="nil"/>
              <w:right w:val="nil"/>
            </w:tcBorders>
            <w:shd w:val="clear" w:color="auto" w:fill="auto"/>
            <w:noWrap/>
            <w:vAlign w:val="center"/>
            <w:hideMark/>
          </w:tcPr>
          <w:p w14:paraId="146EA79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46.03 ± 1.83 a</w:t>
            </w:r>
          </w:p>
        </w:tc>
      </w:tr>
      <w:tr w:rsidR="007B7CE0" w:rsidRPr="00F447CF" w14:paraId="627EFB5A" w14:textId="77777777" w:rsidTr="007B7CE0">
        <w:trPr>
          <w:trHeight w:val="264"/>
        </w:trPr>
        <w:tc>
          <w:tcPr>
            <w:tcW w:w="1449" w:type="dxa"/>
            <w:vMerge/>
            <w:tcBorders>
              <w:top w:val="nil"/>
              <w:left w:val="nil"/>
              <w:bottom w:val="single" w:sz="4" w:space="0" w:color="000000"/>
              <w:right w:val="nil"/>
            </w:tcBorders>
            <w:vAlign w:val="center"/>
            <w:hideMark/>
          </w:tcPr>
          <w:p w14:paraId="6C3F2EDC"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val="restart"/>
            <w:tcBorders>
              <w:top w:val="nil"/>
              <w:left w:val="nil"/>
              <w:bottom w:val="single" w:sz="4" w:space="0" w:color="000000"/>
              <w:right w:val="nil"/>
            </w:tcBorders>
            <w:shd w:val="clear" w:color="auto" w:fill="auto"/>
            <w:noWrap/>
            <w:vAlign w:val="center"/>
            <w:hideMark/>
          </w:tcPr>
          <w:p w14:paraId="4EF58D0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Se(VI)</w:t>
            </w:r>
          </w:p>
        </w:tc>
        <w:tc>
          <w:tcPr>
            <w:tcW w:w="1097" w:type="dxa"/>
            <w:vMerge/>
            <w:tcBorders>
              <w:left w:val="nil"/>
              <w:right w:val="nil"/>
            </w:tcBorders>
            <w:shd w:val="clear" w:color="auto" w:fill="auto"/>
            <w:noWrap/>
            <w:vAlign w:val="center"/>
            <w:hideMark/>
          </w:tcPr>
          <w:p w14:paraId="3D2F4C89"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nil"/>
              <w:right w:val="nil"/>
            </w:tcBorders>
            <w:shd w:val="clear" w:color="auto" w:fill="auto"/>
            <w:noWrap/>
            <w:vAlign w:val="center"/>
            <w:hideMark/>
          </w:tcPr>
          <w:p w14:paraId="5A97F032"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0.5 mg kg</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11E6927F"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19.48 ± 0.42 A</w:t>
            </w:r>
          </w:p>
        </w:tc>
        <w:tc>
          <w:tcPr>
            <w:tcW w:w="1748" w:type="dxa"/>
            <w:tcBorders>
              <w:top w:val="nil"/>
              <w:left w:val="nil"/>
              <w:bottom w:val="nil"/>
              <w:right w:val="nil"/>
            </w:tcBorders>
            <w:shd w:val="clear" w:color="auto" w:fill="auto"/>
            <w:noWrap/>
            <w:vAlign w:val="center"/>
            <w:hideMark/>
          </w:tcPr>
          <w:p w14:paraId="558ECDEE"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40.11 ± 1.40 A</w:t>
            </w:r>
          </w:p>
        </w:tc>
      </w:tr>
      <w:tr w:rsidR="007B7CE0" w:rsidRPr="00F447CF" w14:paraId="7A6E27B8" w14:textId="77777777" w:rsidTr="007B7CE0">
        <w:trPr>
          <w:trHeight w:val="264"/>
        </w:trPr>
        <w:tc>
          <w:tcPr>
            <w:tcW w:w="1449" w:type="dxa"/>
            <w:vMerge/>
            <w:tcBorders>
              <w:top w:val="nil"/>
              <w:left w:val="nil"/>
              <w:bottom w:val="single" w:sz="4" w:space="0" w:color="000000"/>
              <w:right w:val="nil"/>
            </w:tcBorders>
            <w:vAlign w:val="center"/>
            <w:hideMark/>
          </w:tcPr>
          <w:p w14:paraId="3C7D8802"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single" w:sz="4" w:space="0" w:color="000000"/>
              <w:right w:val="nil"/>
            </w:tcBorders>
            <w:vAlign w:val="center"/>
            <w:hideMark/>
          </w:tcPr>
          <w:p w14:paraId="36D7862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left w:val="nil"/>
              <w:right w:val="nil"/>
            </w:tcBorders>
            <w:vAlign w:val="center"/>
            <w:hideMark/>
          </w:tcPr>
          <w:p w14:paraId="054330D6"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nil"/>
              <w:right w:val="nil"/>
            </w:tcBorders>
            <w:shd w:val="clear" w:color="auto" w:fill="auto"/>
            <w:noWrap/>
            <w:vAlign w:val="center"/>
            <w:hideMark/>
          </w:tcPr>
          <w:p w14:paraId="7DB535F7"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 mg kg</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2BE435B9"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15.24 ± 0.73 B</w:t>
            </w:r>
          </w:p>
        </w:tc>
        <w:tc>
          <w:tcPr>
            <w:tcW w:w="1748" w:type="dxa"/>
            <w:tcBorders>
              <w:top w:val="nil"/>
              <w:left w:val="nil"/>
              <w:bottom w:val="nil"/>
              <w:right w:val="nil"/>
            </w:tcBorders>
            <w:shd w:val="clear" w:color="auto" w:fill="auto"/>
            <w:noWrap/>
            <w:vAlign w:val="center"/>
            <w:hideMark/>
          </w:tcPr>
          <w:p w14:paraId="6CEDD0BF"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34.06 ± 2.33 B</w:t>
            </w:r>
          </w:p>
        </w:tc>
      </w:tr>
      <w:tr w:rsidR="007B7CE0" w:rsidRPr="00F447CF" w14:paraId="5BEC5B73" w14:textId="77777777" w:rsidTr="007B7CE0">
        <w:trPr>
          <w:trHeight w:val="264"/>
        </w:trPr>
        <w:tc>
          <w:tcPr>
            <w:tcW w:w="1449" w:type="dxa"/>
            <w:vMerge/>
            <w:tcBorders>
              <w:top w:val="nil"/>
              <w:left w:val="nil"/>
              <w:bottom w:val="dashSmallGap" w:sz="8" w:space="0" w:color="auto"/>
              <w:right w:val="nil"/>
            </w:tcBorders>
            <w:vAlign w:val="center"/>
            <w:hideMark/>
          </w:tcPr>
          <w:p w14:paraId="6EF6B34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dashSmallGap" w:sz="8" w:space="0" w:color="auto"/>
              <w:right w:val="nil"/>
            </w:tcBorders>
            <w:vAlign w:val="center"/>
            <w:hideMark/>
          </w:tcPr>
          <w:p w14:paraId="0947B6BC"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left w:val="nil"/>
              <w:bottom w:val="dashSmallGap" w:sz="8" w:space="0" w:color="auto"/>
              <w:right w:val="nil"/>
            </w:tcBorders>
            <w:vAlign w:val="center"/>
            <w:hideMark/>
          </w:tcPr>
          <w:p w14:paraId="1F39EFF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dashSmallGap" w:sz="8" w:space="0" w:color="auto"/>
              <w:right w:val="nil"/>
            </w:tcBorders>
            <w:shd w:val="clear" w:color="auto" w:fill="auto"/>
            <w:noWrap/>
            <w:vAlign w:val="center"/>
            <w:hideMark/>
          </w:tcPr>
          <w:p w14:paraId="0CB87E67"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2 mg kg</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dashSmallGap" w:sz="8" w:space="0" w:color="auto"/>
              <w:right w:val="nil"/>
            </w:tcBorders>
            <w:shd w:val="clear" w:color="auto" w:fill="auto"/>
            <w:noWrap/>
            <w:vAlign w:val="center"/>
            <w:hideMark/>
          </w:tcPr>
          <w:p w14:paraId="1CD5DF75"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7.65 ± 0.45 C</w:t>
            </w:r>
          </w:p>
        </w:tc>
        <w:tc>
          <w:tcPr>
            <w:tcW w:w="1748" w:type="dxa"/>
            <w:tcBorders>
              <w:top w:val="nil"/>
              <w:left w:val="nil"/>
              <w:bottom w:val="dashSmallGap" w:sz="8" w:space="0" w:color="auto"/>
              <w:right w:val="nil"/>
            </w:tcBorders>
            <w:shd w:val="clear" w:color="auto" w:fill="auto"/>
            <w:noWrap/>
            <w:vAlign w:val="center"/>
            <w:hideMark/>
          </w:tcPr>
          <w:p w14:paraId="53EA3B28"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16.69 ± 2.15 C</w:t>
            </w:r>
          </w:p>
        </w:tc>
      </w:tr>
      <w:tr w:rsidR="007B7CE0" w:rsidRPr="00F447CF" w14:paraId="3787CA7B" w14:textId="77777777" w:rsidTr="007B7CE0">
        <w:trPr>
          <w:trHeight w:val="225"/>
        </w:trPr>
        <w:tc>
          <w:tcPr>
            <w:tcW w:w="1449" w:type="dxa"/>
            <w:vMerge w:val="restart"/>
            <w:tcBorders>
              <w:top w:val="dashSmallGap" w:sz="8" w:space="0" w:color="auto"/>
              <w:left w:val="nil"/>
              <w:bottom w:val="single" w:sz="4" w:space="0" w:color="000000"/>
              <w:right w:val="nil"/>
            </w:tcBorders>
            <w:shd w:val="clear" w:color="auto" w:fill="auto"/>
            <w:noWrap/>
            <w:vAlign w:val="center"/>
            <w:hideMark/>
          </w:tcPr>
          <w:p w14:paraId="157D3687"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Foliar application</w:t>
            </w:r>
          </w:p>
        </w:tc>
        <w:tc>
          <w:tcPr>
            <w:tcW w:w="1014" w:type="dxa"/>
            <w:vMerge w:val="restart"/>
            <w:tcBorders>
              <w:top w:val="dashSmallGap" w:sz="8" w:space="0" w:color="auto"/>
              <w:left w:val="nil"/>
              <w:bottom w:val="nil"/>
              <w:right w:val="nil"/>
            </w:tcBorders>
            <w:shd w:val="clear" w:color="auto" w:fill="auto"/>
            <w:noWrap/>
            <w:vAlign w:val="center"/>
            <w:hideMark/>
          </w:tcPr>
          <w:p w14:paraId="7FA19428"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Se(IV)</w:t>
            </w:r>
          </w:p>
        </w:tc>
        <w:tc>
          <w:tcPr>
            <w:tcW w:w="1097" w:type="dxa"/>
            <w:vMerge w:val="restart"/>
            <w:tcBorders>
              <w:top w:val="dashSmallGap" w:sz="8" w:space="0" w:color="auto"/>
              <w:left w:val="nil"/>
              <w:bottom w:val="nil"/>
              <w:right w:val="nil"/>
            </w:tcBorders>
            <w:shd w:val="clear" w:color="auto" w:fill="auto"/>
            <w:noWrap/>
            <w:vAlign w:val="center"/>
            <w:hideMark/>
          </w:tcPr>
          <w:p w14:paraId="74BDCECB"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F1</w:t>
            </w:r>
          </w:p>
        </w:tc>
        <w:tc>
          <w:tcPr>
            <w:tcW w:w="1260" w:type="dxa"/>
            <w:tcBorders>
              <w:top w:val="dashSmallGap" w:sz="8" w:space="0" w:color="auto"/>
              <w:left w:val="nil"/>
              <w:bottom w:val="nil"/>
              <w:right w:val="nil"/>
            </w:tcBorders>
            <w:shd w:val="clear" w:color="auto" w:fill="auto"/>
            <w:noWrap/>
            <w:vAlign w:val="center"/>
            <w:hideMark/>
          </w:tcPr>
          <w:p w14:paraId="30B34326"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5 mg L</w:t>
            </w:r>
            <w:r w:rsidRPr="00F447CF">
              <w:rPr>
                <w:rFonts w:ascii="Times New Roman" w:hAnsi="Times New Roman" w:cs="Times New Roman"/>
                <w:color w:val="000000"/>
                <w:kern w:val="0"/>
                <w:sz w:val="20"/>
                <w:szCs w:val="20"/>
                <w:vertAlign w:val="superscript"/>
              </w:rPr>
              <w:t>-1</w:t>
            </w:r>
          </w:p>
        </w:tc>
        <w:tc>
          <w:tcPr>
            <w:tcW w:w="1876" w:type="dxa"/>
            <w:tcBorders>
              <w:top w:val="dashSmallGap" w:sz="8" w:space="0" w:color="auto"/>
              <w:left w:val="nil"/>
              <w:bottom w:val="nil"/>
              <w:right w:val="nil"/>
            </w:tcBorders>
            <w:shd w:val="clear" w:color="auto" w:fill="auto"/>
            <w:noWrap/>
            <w:vAlign w:val="center"/>
            <w:hideMark/>
          </w:tcPr>
          <w:p w14:paraId="6823D6F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19.77 ± 0.17 ab</w:t>
            </w:r>
          </w:p>
        </w:tc>
        <w:tc>
          <w:tcPr>
            <w:tcW w:w="1748" w:type="dxa"/>
            <w:tcBorders>
              <w:top w:val="dashSmallGap" w:sz="8" w:space="0" w:color="auto"/>
              <w:left w:val="nil"/>
              <w:bottom w:val="nil"/>
              <w:right w:val="nil"/>
            </w:tcBorders>
            <w:shd w:val="clear" w:color="auto" w:fill="auto"/>
            <w:noWrap/>
            <w:vAlign w:val="center"/>
            <w:hideMark/>
          </w:tcPr>
          <w:p w14:paraId="41FA39CA"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38.70 ± 0.90 a</w:t>
            </w:r>
          </w:p>
        </w:tc>
      </w:tr>
      <w:tr w:rsidR="007B7CE0" w:rsidRPr="00F447CF" w14:paraId="554A083A" w14:textId="77777777" w:rsidTr="007B7CE0">
        <w:trPr>
          <w:trHeight w:val="225"/>
        </w:trPr>
        <w:tc>
          <w:tcPr>
            <w:tcW w:w="1449" w:type="dxa"/>
            <w:vMerge/>
            <w:tcBorders>
              <w:top w:val="nil"/>
              <w:left w:val="nil"/>
              <w:bottom w:val="single" w:sz="4" w:space="0" w:color="000000"/>
              <w:right w:val="nil"/>
            </w:tcBorders>
            <w:vAlign w:val="center"/>
            <w:hideMark/>
          </w:tcPr>
          <w:p w14:paraId="6F6FB130"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nil"/>
              <w:right w:val="nil"/>
            </w:tcBorders>
            <w:vAlign w:val="center"/>
            <w:hideMark/>
          </w:tcPr>
          <w:p w14:paraId="2AED7CD8"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top w:val="nil"/>
              <w:left w:val="nil"/>
              <w:bottom w:val="nil"/>
              <w:right w:val="nil"/>
            </w:tcBorders>
            <w:vAlign w:val="center"/>
            <w:hideMark/>
          </w:tcPr>
          <w:p w14:paraId="73DB2E6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nil"/>
              <w:right w:val="nil"/>
            </w:tcBorders>
            <w:shd w:val="clear" w:color="auto" w:fill="auto"/>
            <w:noWrap/>
            <w:vAlign w:val="center"/>
            <w:hideMark/>
          </w:tcPr>
          <w:p w14:paraId="3A910223"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10 mg L</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680BB9FA"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19.47 ± 0.29 ab</w:t>
            </w:r>
          </w:p>
        </w:tc>
        <w:tc>
          <w:tcPr>
            <w:tcW w:w="1748" w:type="dxa"/>
            <w:tcBorders>
              <w:top w:val="nil"/>
              <w:left w:val="nil"/>
              <w:bottom w:val="nil"/>
              <w:right w:val="nil"/>
            </w:tcBorders>
            <w:shd w:val="clear" w:color="auto" w:fill="auto"/>
            <w:noWrap/>
            <w:vAlign w:val="center"/>
            <w:hideMark/>
          </w:tcPr>
          <w:p w14:paraId="24EA8DAE"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39.06 ± 2.82 a</w:t>
            </w:r>
          </w:p>
        </w:tc>
      </w:tr>
      <w:tr w:rsidR="007B7CE0" w:rsidRPr="00F447CF" w14:paraId="23E47814" w14:textId="77777777" w:rsidTr="007B7CE0">
        <w:trPr>
          <w:trHeight w:val="225"/>
        </w:trPr>
        <w:tc>
          <w:tcPr>
            <w:tcW w:w="1449" w:type="dxa"/>
            <w:vMerge/>
            <w:tcBorders>
              <w:top w:val="nil"/>
              <w:left w:val="nil"/>
              <w:bottom w:val="single" w:sz="4" w:space="0" w:color="000000"/>
              <w:right w:val="nil"/>
            </w:tcBorders>
            <w:vAlign w:val="center"/>
            <w:hideMark/>
          </w:tcPr>
          <w:p w14:paraId="142A85DF"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nil"/>
              <w:right w:val="nil"/>
            </w:tcBorders>
            <w:vAlign w:val="center"/>
            <w:hideMark/>
          </w:tcPr>
          <w:p w14:paraId="3E5E6599"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top w:val="nil"/>
              <w:left w:val="nil"/>
              <w:bottom w:val="nil"/>
              <w:right w:val="nil"/>
            </w:tcBorders>
            <w:vAlign w:val="center"/>
            <w:hideMark/>
          </w:tcPr>
          <w:p w14:paraId="466C7127"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nil"/>
              <w:right w:val="nil"/>
            </w:tcBorders>
            <w:shd w:val="clear" w:color="auto" w:fill="auto"/>
            <w:noWrap/>
            <w:vAlign w:val="center"/>
            <w:hideMark/>
          </w:tcPr>
          <w:p w14:paraId="493DC573"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20 mg L</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61CCB646"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18.19 ± 0.12 c</w:t>
            </w:r>
          </w:p>
        </w:tc>
        <w:tc>
          <w:tcPr>
            <w:tcW w:w="1748" w:type="dxa"/>
            <w:tcBorders>
              <w:top w:val="nil"/>
              <w:left w:val="nil"/>
              <w:bottom w:val="nil"/>
              <w:right w:val="nil"/>
            </w:tcBorders>
            <w:shd w:val="clear" w:color="auto" w:fill="auto"/>
            <w:noWrap/>
            <w:vAlign w:val="center"/>
            <w:hideMark/>
          </w:tcPr>
          <w:p w14:paraId="0579920C"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38.74 ± 0.49 a</w:t>
            </w:r>
          </w:p>
        </w:tc>
      </w:tr>
      <w:tr w:rsidR="007B7CE0" w:rsidRPr="00F447CF" w14:paraId="05B84F22" w14:textId="77777777" w:rsidTr="007B7CE0">
        <w:trPr>
          <w:trHeight w:val="225"/>
        </w:trPr>
        <w:tc>
          <w:tcPr>
            <w:tcW w:w="1449" w:type="dxa"/>
            <w:vMerge/>
            <w:tcBorders>
              <w:top w:val="nil"/>
              <w:left w:val="nil"/>
              <w:bottom w:val="single" w:sz="4" w:space="0" w:color="000000"/>
              <w:right w:val="nil"/>
            </w:tcBorders>
            <w:vAlign w:val="center"/>
            <w:hideMark/>
          </w:tcPr>
          <w:p w14:paraId="0EDF671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nil"/>
              <w:right w:val="nil"/>
            </w:tcBorders>
            <w:vAlign w:val="center"/>
            <w:hideMark/>
          </w:tcPr>
          <w:p w14:paraId="2B81BBD0"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val="restart"/>
            <w:tcBorders>
              <w:top w:val="nil"/>
              <w:left w:val="nil"/>
              <w:bottom w:val="nil"/>
              <w:right w:val="nil"/>
            </w:tcBorders>
            <w:shd w:val="clear" w:color="auto" w:fill="auto"/>
            <w:noWrap/>
            <w:vAlign w:val="center"/>
            <w:hideMark/>
          </w:tcPr>
          <w:p w14:paraId="2B0EDCBA"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F2</w:t>
            </w:r>
          </w:p>
        </w:tc>
        <w:tc>
          <w:tcPr>
            <w:tcW w:w="1260" w:type="dxa"/>
            <w:tcBorders>
              <w:top w:val="nil"/>
              <w:left w:val="nil"/>
              <w:bottom w:val="nil"/>
              <w:right w:val="nil"/>
            </w:tcBorders>
            <w:shd w:val="clear" w:color="auto" w:fill="auto"/>
            <w:noWrap/>
            <w:vAlign w:val="center"/>
            <w:hideMark/>
          </w:tcPr>
          <w:p w14:paraId="74368DF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5 mg L</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6BF0C74B"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19.34 ± 0.46 b</w:t>
            </w:r>
          </w:p>
        </w:tc>
        <w:tc>
          <w:tcPr>
            <w:tcW w:w="1748" w:type="dxa"/>
            <w:tcBorders>
              <w:top w:val="nil"/>
              <w:left w:val="nil"/>
              <w:bottom w:val="nil"/>
              <w:right w:val="nil"/>
            </w:tcBorders>
            <w:shd w:val="clear" w:color="auto" w:fill="auto"/>
            <w:noWrap/>
            <w:vAlign w:val="center"/>
            <w:hideMark/>
          </w:tcPr>
          <w:p w14:paraId="0F1A799E"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38.27 ± 3.55 a</w:t>
            </w:r>
          </w:p>
        </w:tc>
      </w:tr>
      <w:tr w:rsidR="007B7CE0" w:rsidRPr="00F447CF" w14:paraId="210C8DB4" w14:textId="77777777" w:rsidTr="007B7CE0">
        <w:trPr>
          <w:trHeight w:val="225"/>
        </w:trPr>
        <w:tc>
          <w:tcPr>
            <w:tcW w:w="1449" w:type="dxa"/>
            <w:vMerge/>
            <w:tcBorders>
              <w:top w:val="nil"/>
              <w:left w:val="nil"/>
              <w:bottom w:val="single" w:sz="4" w:space="0" w:color="000000"/>
              <w:right w:val="nil"/>
            </w:tcBorders>
            <w:vAlign w:val="center"/>
            <w:hideMark/>
          </w:tcPr>
          <w:p w14:paraId="0AC08FB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nil"/>
              <w:right w:val="nil"/>
            </w:tcBorders>
            <w:vAlign w:val="center"/>
            <w:hideMark/>
          </w:tcPr>
          <w:p w14:paraId="18551F98"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top w:val="nil"/>
              <w:left w:val="nil"/>
              <w:bottom w:val="nil"/>
              <w:right w:val="nil"/>
            </w:tcBorders>
            <w:vAlign w:val="center"/>
            <w:hideMark/>
          </w:tcPr>
          <w:p w14:paraId="14A9B6BB"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nil"/>
              <w:right w:val="nil"/>
            </w:tcBorders>
            <w:shd w:val="clear" w:color="auto" w:fill="auto"/>
            <w:noWrap/>
            <w:vAlign w:val="center"/>
            <w:hideMark/>
          </w:tcPr>
          <w:p w14:paraId="4DD3D35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10 mg L</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52606FC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19.22 ± 0.70 b</w:t>
            </w:r>
          </w:p>
        </w:tc>
        <w:tc>
          <w:tcPr>
            <w:tcW w:w="1748" w:type="dxa"/>
            <w:tcBorders>
              <w:top w:val="nil"/>
              <w:left w:val="nil"/>
              <w:bottom w:val="nil"/>
              <w:right w:val="nil"/>
            </w:tcBorders>
            <w:shd w:val="clear" w:color="auto" w:fill="auto"/>
            <w:noWrap/>
            <w:vAlign w:val="center"/>
            <w:hideMark/>
          </w:tcPr>
          <w:p w14:paraId="58ADDD38"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38.65 ± 0.49 a</w:t>
            </w:r>
          </w:p>
        </w:tc>
      </w:tr>
      <w:tr w:rsidR="007B7CE0" w:rsidRPr="00F447CF" w14:paraId="0E828993" w14:textId="77777777" w:rsidTr="007B7CE0">
        <w:trPr>
          <w:trHeight w:val="225"/>
        </w:trPr>
        <w:tc>
          <w:tcPr>
            <w:tcW w:w="1449" w:type="dxa"/>
            <w:vMerge/>
            <w:tcBorders>
              <w:top w:val="nil"/>
              <w:left w:val="nil"/>
              <w:bottom w:val="single" w:sz="4" w:space="0" w:color="000000"/>
              <w:right w:val="nil"/>
            </w:tcBorders>
            <w:vAlign w:val="center"/>
            <w:hideMark/>
          </w:tcPr>
          <w:p w14:paraId="79A4FC7E"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nil"/>
              <w:right w:val="nil"/>
            </w:tcBorders>
            <w:vAlign w:val="center"/>
            <w:hideMark/>
          </w:tcPr>
          <w:p w14:paraId="49776043"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top w:val="nil"/>
              <w:left w:val="nil"/>
              <w:bottom w:val="nil"/>
              <w:right w:val="nil"/>
            </w:tcBorders>
            <w:vAlign w:val="center"/>
            <w:hideMark/>
          </w:tcPr>
          <w:p w14:paraId="03B4D92A"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nil"/>
              <w:right w:val="nil"/>
            </w:tcBorders>
            <w:shd w:val="clear" w:color="auto" w:fill="auto"/>
            <w:noWrap/>
            <w:vAlign w:val="center"/>
            <w:hideMark/>
          </w:tcPr>
          <w:p w14:paraId="4BFBC62C"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20 mg L</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14EE5C6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18.22 ± 0.91 c</w:t>
            </w:r>
          </w:p>
        </w:tc>
        <w:tc>
          <w:tcPr>
            <w:tcW w:w="1748" w:type="dxa"/>
            <w:tcBorders>
              <w:top w:val="nil"/>
              <w:left w:val="nil"/>
              <w:bottom w:val="nil"/>
              <w:right w:val="nil"/>
            </w:tcBorders>
            <w:shd w:val="clear" w:color="auto" w:fill="auto"/>
            <w:noWrap/>
            <w:vAlign w:val="center"/>
            <w:hideMark/>
          </w:tcPr>
          <w:p w14:paraId="175AB947"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39.59 ± 3.02 a</w:t>
            </w:r>
          </w:p>
        </w:tc>
      </w:tr>
      <w:tr w:rsidR="007B7CE0" w:rsidRPr="00F447CF" w14:paraId="638112B9" w14:textId="77777777" w:rsidTr="007B7CE0">
        <w:trPr>
          <w:trHeight w:val="225"/>
        </w:trPr>
        <w:tc>
          <w:tcPr>
            <w:tcW w:w="1449" w:type="dxa"/>
            <w:vMerge/>
            <w:tcBorders>
              <w:top w:val="nil"/>
              <w:left w:val="nil"/>
              <w:bottom w:val="single" w:sz="4" w:space="0" w:color="000000"/>
              <w:right w:val="nil"/>
            </w:tcBorders>
            <w:vAlign w:val="center"/>
            <w:hideMark/>
          </w:tcPr>
          <w:p w14:paraId="40E48965"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val="restart"/>
            <w:tcBorders>
              <w:top w:val="nil"/>
              <w:left w:val="nil"/>
              <w:bottom w:val="single" w:sz="4" w:space="0" w:color="000000"/>
              <w:right w:val="nil"/>
            </w:tcBorders>
            <w:shd w:val="clear" w:color="auto" w:fill="auto"/>
            <w:noWrap/>
            <w:vAlign w:val="center"/>
            <w:hideMark/>
          </w:tcPr>
          <w:p w14:paraId="1A77BBF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Se(VI)</w:t>
            </w:r>
          </w:p>
        </w:tc>
        <w:tc>
          <w:tcPr>
            <w:tcW w:w="1097" w:type="dxa"/>
            <w:vMerge w:val="restart"/>
            <w:tcBorders>
              <w:top w:val="nil"/>
              <w:left w:val="nil"/>
              <w:bottom w:val="nil"/>
              <w:right w:val="nil"/>
            </w:tcBorders>
            <w:shd w:val="clear" w:color="auto" w:fill="auto"/>
            <w:noWrap/>
            <w:vAlign w:val="center"/>
            <w:hideMark/>
          </w:tcPr>
          <w:p w14:paraId="7E7399A5"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F1</w:t>
            </w:r>
          </w:p>
        </w:tc>
        <w:tc>
          <w:tcPr>
            <w:tcW w:w="1260" w:type="dxa"/>
            <w:tcBorders>
              <w:top w:val="nil"/>
              <w:left w:val="nil"/>
              <w:bottom w:val="nil"/>
              <w:right w:val="nil"/>
            </w:tcBorders>
            <w:shd w:val="clear" w:color="auto" w:fill="auto"/>
            <w:noWrap/>
            <w:vAlign w:val="center"/>
            <w:hideMark/>
          </w:tcPr>
          <w:p w14:paraId="33DA4CBF"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5 mg L</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58BF1453"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20.28 ± 0.77 A</w:t>
            </w:r>
          </w:p>
        </w:tc>
        <w:tc>
          <w:tcPr>
            <w:tcW w:w="1748" w:type="dxa"/>
            <w:tcBorders>
              <w:top w:val="nil"/>
              <w:left w:val="nil"/>
              <w:bottom w:val="nil"/>
              <w:right w:val="nil"/>
            </w:tcBorders>
            <w:shd w:val="clear" w:color="auto" w:fill="auto"/>
            <w:noWrap/>
            <w:vAlign w:val="center"/>
            <w:hideMark/>
          </w:tcPr>
          <w:p w14:paraId="357BA54C"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41.52 ± 2.76 A</w:t>
            </w:r>
          </w:p>
        </w:tc>
      </w:tr>
      <w:tr w:rsidR="007B7CE0" w:rsidRPr="00F447CF" w14:paraId="08B68C5F" w14:textId="77777777" w:rsidTr="007B7CE0">
        <w:trPr>
          <w:trHeight w:val="225"/>
        </w:trPr>
        <w:tc>
          <w:tcPr>
            <w:tcW w:w="1449" w:type="dxa"/>
            <w:vMerge/>
            <w:tcBorders>
              <w:top w:val="nil"/>
              <w:left w:val="nil"/>
              <w:bottom w:val="single" w:sz="4" w:space="0" w:color="000000"/>
              <w:right w:val="nil"/>
            </w:tcBorders>
            <w:vAlign w:val="center"/>
            <w:hideMark/>
          </w:tcPr>
          <w:p w14:paraId="69B8334C"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single" w:sz="4" w:space="0" w:color="000000"/>
              <w:right w:val="nil"/>
            </w:tcBorders>
            <w:vAlign w:val="center"/>
            <w:hideMark/>
          </w:tcPr>
          <w:p w14:paraId="5A94E09F"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top w:val="nil"/>
              <w:left w:val="nil"/>
              <w:bottom w:val="nil"/>
              <w:right w:val="nil"/>
            </w:tcBorders>
            <w:vAlign w:val="center"/>
            <w:hideMark/>
          </w:tcPr>
          <w:p w14:paraId="1C7A10D3"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nil"/>
              <w:right w:val="nil"/>
            </w:tcBorders>
            <w:shd w:val="clear" w:color="auto" w:fill="auto"/>
            <w:noWrap/>
            <w:vAlign w:val="center"/>
            <w:hideMark/>
          </w:tcPr>
          <w:p w14:paraId="11E4390F"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10 mg L</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7B6DB615"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19.67 ± 0.11 AB</w:t>
            </w:r>
          </w:p>
        </w:tc>
        <w:tc>
          <w:tcPr>
            <w:tcW w:w="1748" w:type="dxa"/>
            <w:tcBorders>
              <w:top w:val="nil"/>
              <w:left w:val="nil"/>
              <w:bottom w:val="nil"/>
              <w:right w:val="nil"/>
            </w:tcBorders>
            <w:shd w:val="clear" w:color="auto" w:fill="auto"/>
            <w:noWrap/>
            <w:vAlign w:val="center"/>
            <w:hideMark/>
          </w:tcPr>
          <w:p w14:paraId="3AEF485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39.76 ± 1.89 A</w:t>
            </w:r>
          </w:p>
        </w:tc>
      </w:tr>
      <w:tr w:rsidR="007B7CE0" w:rsidRPr="00F447CF" w14:paraId="7F13AA9B" w14:textId="77777777" w:rsidTr="007B7CE0">
        <w:trPr>
          <w:trHeight w:val="225"/>
        </w:trPr>
        <w:tc>
          <w:tcPr>
            <w:tcW w:w="1449" w:type="dxa"/>
            <w:vMerge/>
            <w:tcBorders>
              <w:top w:val="nil"/>
              <w:left w:val="nil"/>
              <w:bottom w:val="single" w:sz="4" w:space="0" w:color="000000"/>
              <w:right w:val="nil"/>
            </w:tcBorders>
            <w:vAlign w:val="center"/>
            <w:hideMark/>
          </w:tcPr>
          <w:p w14:paraId="5E33C16C"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single" w:sz="4" w:space="0" w:color="000000"/>
              <w:right w:val="nil"/>
            </w:tcBorders>
            <w:vAlign w:val="center"/>
            <w:hideMark/>
          </w:tcPr>
          <w:p w14:paraId="02902CD2"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top w:val="nil"/>
              <w:left w:val="nil"/>
              <w:bottom w:val="nil"/>
              <w:right w:val="nil"/>
            </w:tcBorders>
            <w:vAlign w:val="center"/>
            <w:hideMark/>
          </w:tcPr>
          <w:p w14:paraId="70142CEF"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nil"/>
              <w:right w:val="nil"/>
            </w:tcBorders>
            <w:shd w:val="clear" w:color="auto" w:fill="auto"/>
            <w:noWrap/>
            <w:vAlign w:val="center"/>
            <w:hideMark/>
          </w:tcPr>
          <w:p w14:paraId="510CB2F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20 mg L</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6F3A1B38"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18.85 ± 0.23 CD</w:t>
            </w:r>
          </w:p>
        </w:tc>
        <w:tc>
          <w:tcPr>
            <w:tcW w:w="1748" w:type="dxa"/>
            <w:tcBorders>
              <w:top w:val="nil"/>
              <w:left w:val="nil"/>
              <w:bottom w:val="nil"/>
              <w:right w:val="nil"/>
            </w:tcBorders>
            <w:shd w:val="clear" w:color="auto" w:fill="auto"/>
            <w:noWrap/>
            <w:vAlign w:val="center"/>
            <w:hideMark/>
          </w:tcPr>
          <w:p w14:paraId="233338B8"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38.92 ± 2.10 A</w:t>
            </w:r>
          </w:p>
        </w:tc>
      </w:tr>
      <w:tr w:rsidR="007B7CE0" w:rsidRPr="00F447CF" w14:paraId="4CD77CBE" w14:textId="77777777" w:rsidTr="007B7CE0">
        <w:trPr>
          <w:trHeight w:val="225"/>
        </w:trPr>
        <w:tc>
          <w:tcPr>
            <w:tcW w:w="1449" w:type="dxa"/>
            <w:vMerge/>
            <w:tcBorders>
              <w:top w:val="nil"/>
              <w:left w:val="nil"/>
              <w:bottom w:val="single" w:sz="4" w:space="0" w:color="000000"/>
              <w:right w:val="nil"/>
            </w:tcBorders>
            <w:vAlign w:val="center"/>
            <w:hideMark/>
          </w:tcPr>
          <w:p w14:paraId="3084EC4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single" w:sz="4" w:space="0" w:color="000000"/>
              <w:right w:val="nil"/>
            </w:tcBorders>
            <w:vAlign w:val="center"/>
            <w:hideMark/>
          </w:tcPr>
          <w:p w14:paraId="76683B79"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val="restart"/>
            <w:tcBorders>
              <w:top w:val="nil"/>
              <w:left w:val="nil"/>
              <w:bottom w:val="single" w:sz="4" w:space="0" w:color="000000"/>
              <w:right w:val="nil"/>
            </w:tcBorders>
            <w:shd w:val="clear" w:color="auto" w:fill="auto"/>
            <w:noWrap/>
            <w:vAlign w:val="center"/>
            <w:hideMark/>
          </w:tcPr>
          <w:p w14:paraId="17BE8433"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F2</w:t>
            </w:r>
          </w:p>
        </w:tc>
        <w:tc>
          <w:tcPr>
            <w:tcW w:w="1260" w:type="dxa"/>
            <w:tcBorders>
              <w:top w:val="nil"/>
              <w:left w:val="nil"/>
              <w:bottom w:val="nil"/>
              <w:right w:val="nil"/>
            </w:tcBorders>
            <w:shd w:val="clear" w:color="auto" w:fill="auto"/>
            <w:noWrap/>
            <w:vAlign w:val="center"/>
            <w:hideMark/>
          </w:tcPr>
          <w:p w14:paraId="02E25A18"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5 mg L</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40A6FBB9"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19.29 ± 0.20 BC</w:t>
            </w:r>
          </w:p>
        </w:tc>
        <w:tc>
          <w:tcPr>
            <w:tcW w:w="1748" w:type="dxa"/>
            <w:tcBorders>
              <w:top w:val="nil"/>
              <w:left w:val="nil"/>
              <w:bottom w:val="nil"/>
              <w:right w:val="nil"/>
            </w:tcBorders>
            <w:shd w:val="clear" w:color="auto" w:fill="auto"/>
            <w:noWrap/>
            <w:vAlign w:val="center"/>
            <w:hideMark/>
          </w:tcPr>
          <w:p w14:paraId="6113BA1B"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38.62 ± 0.36 A</w:t>
            </w:r>
          </w:p>
        </w:tc>
      </w:tr>
      <w:tr w:rsidR="007B7CE0" w:rsidRPr="00F447CF" w14:paraId="5600373D" w14:textId="77777777" w:rsidTr="007B7CE0">
        <w:trPr>
          <w:trHeight w:val="225"/>
        </w:trPr>
        <w:tc>
          <w:tcPr>
            <w:tcW w:w="1449" w:type="dxa"/>
            <w:vMerge/>
            <w:tcBorders>
              <w:top w:val="nil"/>
              <w:left w:val="nil"/>
              <w:bottom w:val="single" w:sz="4" w:space="0" w:color="000000"/>
              <w:right w:val="nil"/>
            </w:tcBorders>
            <w:vAlign w:val="center"/>
            <w:hideMark/>
          </w:tcPr>
          <w:p w14:paraId="01D96430"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single" w:sz="4" w:space="0" w:color="000000"/>
              <w:right w:val="nil"/>
            </w:tcBorders>
            <w:vAlign w:val="center"/>
            <w:hideMark/>
          </w:tcPr>
          <w:p w14:paraId="0BE52CC7"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top w:val="nil"/>
              <w:left w:val="nil"/>
              <w:bottom w:val="single" w:sz="4" w:space="0" w:color="000000"/>
              <w:right w:val="nil"/>
            </w:tcBorders>
            <w:vAlign w:val="center"/>
            <w:hideMark/>
          </w:tcPr>
          <w:p w14:paraId="71F38FA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nil"/>
              <w:right w:val="nil"/>
            </w:tcBorders>
            <w:shd w:val="clear" w:color="auto" w:fill="auto"/>
            <w:noWrap/>
            <w:vAlign w:val="center"/>
            <w:hideMark/>
          </w:tcPr>
          <w:p w14:paraId="27DA134F"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10 mg L</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nil"/>
              <w:right w:val="nil"/>
            </w:tcBorders>
            <w:shd w:val="clear" w:color="auto" w:fill="auto"/>
            <w:noWrap/>
            <w:vAlign w:val="center"/>
            <w:hideMark/>
          </w:tcPr>
          <w:p w14:paraId="742383C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19.65 ± 0.21 AB</w:t>
            </w:r>
          </w:p>
        </w:tc>
        <w:tc>
          <w:tcPr>
            <w:tcW w:w="1748" w:type="dxa"/>
            <w:tcBorders>
              <w:top w:val="nil"/>
              <w:left w:val="nil"/>
              <w:bottom w:val="nil"/>
              <w:right w:val="nil"/>
            </w:tcBorders>
            <w:shd w:val="clear" w:color="auto" w:fill="auto"/>
            <w:noWrap/>
            <w:vAlign w:val="center"/>
            <w:hideMark/>
          </w:tcPr>
          <w:p w14:paraId="11827CF3"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39.25 ± 1.69 A</w:t>
            </w:r>
          </w:p>
        </w:tc>
      </w:tr>
      <w:tr w:rsidR="007B7CE0" w:rsidRPr="00F447CF" w14:paraId="73A22949" w14:textId="77777777" w:rsidTr="007B7CE0">
        <w:trPr>
          <w:trHeight w:val="225"/>
        </w:trPr>
        <w:tc>
          <w:tcPr>
            <w:tcW w:w="1449" w:type="dxa"/>
            <w:vMerge/>
            <w:tcBorders>
              <w:top w:val="nil"/>
              <w:left w:val="nil"/>
              <w:bottom w:val="dashSmallGap" w:sz="8" w:space="0" w:color="auto"/>
              <w:right w:val="nil"/>
            </w:tcBorders>
            <w:vAlign w:val="center"/>
            <w:hideMark/>
          </w:tcPr>
          <w:p w14:paraId="61540B8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14" w:type="dxa"/>
            <w:vMerge/>
            <w:tcBorders>
              <w:top w:val="nil"/>
              <w:left w:val="nil"/>
              <w:bottom w:val="dashSmallGap" w:sz="8" w:space="0" w:color="auto"/>
              <w:right w:val="nil"/>
            </w:tcBorders>
            <w:vAlign w:val="center"/>
            <w:hideMark/>
          </w:tcPr>
          <w:p w14:paraId="704A46BA"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097" w:type="dxa"/>
            <w:vMerge/>
            <w:tcBorders>
              <w:top w:val="nil"/>
              <w:left w:val="nil"/>
              <w:bottom w:val="dashSmallGap" w:sz="8" w:space="0" w:color="auto"/>
              <w:right w:val="nil"/>
            </w:tcBorders>
            <w:vAlign w:val="center"/>
            <w:hideMark/>
          </w:tcPr>
          <w:p w14:paraId="6C8838D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p>
        </w:tc>
        <w:tc>
          <w:tcPr>
            <w:tcW w:w="1260" w:type="dxa"/>
            <w:tcBorders>
              <w:top w:val="nil"/>
              <w:left w:val="nil"/>
              <w:bottom w:val="dashSmallGap" w:sz="8" w:space="0" w:color="auto"/>
              <w:right w:val="nil"/>
            </w:tcBorders>
            <w:shd w:val="clear" w:color="auto" w:fill="auto"/>
            <w:noWrap/>
            <w:vAlign w:val="center"/>
            <w:hideMark/>
          </w:tcPr>
          <w:p w14:paraId="40FA7AAF"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20 mg L</w:t>
            </w:r>
            <w:r w:rsidRPr="00F447CF">
              <w:rPr>
                <w:rFonts w:ascii="Times New Roman" w:hAnsi="Times New Roman" w:cs="Times New Roman"/>
                <w:color w:val="000000"/>
                <w:kern w:val="0"/>
                <w:sz w:val="20"/>
                <w:szCs w:val="20"/>
                <w:vertAlign w:val="superscript"/>
              </w:rPr>
              <w:t>-1</w:t>
            </w:r>
          </w:p>
        </w:tc>
        <w:tc>
          <w:tcPr>
            <w:tcW w:w="1876" w:type="dxa"/>
            <w:tcBorders>
              <w:top w:val="nil"/>
              <w:left w:val="nil"/>
              <w:bottom w:val="dashSmallGap" w:sz="8" w:space="0" w:color="auto"/>
              <w:right w:val="nil"/>
            </w:tcBorders>
            <w:shd w:val="clear" w:color="auto" w:fill="auto"/>
            <w:noWrap/>
            <w:vAlign w:val="center"/>
            <w:hideMark/>
          </w:tcPr>
          <w:p w14:paraId="644163EA"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18.50 ±0.35 D</w:t>
            </w:r>
          </w:p>
        </w:tc>
        <w:tc>
          <w:tcPr>
            <w:tcW w:w="1748" w:type="dxa"/>
            <w:tcBorders>
              <w:top w:val="nil"/>
              <w:left w:val="nil"/>
              <w:bottom w:val="dashSmallGap" w:sz="8" w:space="0" w:color="auto"/>
              <w:right w:val="nil"/>
            </w:tcBorders>
            <w:shd w:val="clear" w:color="auto" w:fill="auto"/>
            <w:noWrap/>
            <w:vAlign w:val="center"/>
            <w:hideMark/>
          </w:tcPr>
          <w:p w14:paraId="3BA2E7C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39.64 ± 1.06 A</w:t>
            </w:r>
          </w:p>
        </w:tc>
      </w:tr>
      <w:tr w:rsidR="007B7CE0" w:rsidRPr="00F447CF" w14:paraId="230F0C83" w14:textId="77777777" w:rsidTr="007B7CE0">
        <w:trPr>
          <w:trHeight w:val="238"/>
        </w:trPr>
        <w:tc>
          <w:tcPr>
            <w:tcW w:w="4820" w:type="dxa"/>
            <w:gridSpan w:val="4"/>
            <w:tcBorders>
              <w:top w:val="dashSmallGap" w:sz="8" w:space="0" w:color="auto"/>
              <w:left w:val="nil"/>
              <w:bottom w:val="nil"/>
              <w:right w:val="nil"/>
            </w:tcBorders>
            <w:shd w:val="clear" w:color="auto" w:fill="auto"/>
            <w:noWrap/>
            <w:vAlign w:val="center"/>
            <w:hideMark/>
          </w:tcPr>
          <w:p w14:paraId="2F16C29E"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ANOVA (</w:t>
            </w:r>
            <w:r w:rsidRPr="00F447CF">
              <w:rPr>
                <w:rFonts w:ascii="Times New Roman" w:hAnsi="Times New Roman" w:cs="Times New Roman"/>
                <w:i/>
                <w:iCs/>
                <w:color w:val="000000"/>
                <w:kern w:val="0"/>
                <w:sz w:val="20"/>
                <w:szCs w:val="20"/>
              </w:rPr>
              <w:t>F</w:t>
            </w:r>
            <w:r w:rsidRPr="00F447CF">
              <w:rPr>
                <w:rFonts w:ascii="Times New Roman" w:hAnsi="Times New Roman" w:cs="Times New Roman"/>
                <w:color w:val="000000"/>
                <w:kern w:val="0"/>
                <w:sz w:val="20"/>
                <w:szCs w:val="20"/>
              </w:rPr>
              <w:t xml:space="preserve"> value)</w:t>
            </w:r>
          </w:p>
        </w:tc>
        <w:tc>
          <w:tcPr>
            <w:tcW w:w="1876" w:type="dxa"/>
            <w:tcBorders>
              <w:top w:val="dashSmallGap" w:sz="8" w:space="0" w:color="auto"/>
              <w:left w:val="nil"/>
              <w:bottom w:val="nil"/>
              <w:right w:val="nil"/>
            </w:tcBorders>
            <w:shd w:val="clear" w:color="auto" w:fill="auto"/>
            <w:noWrap/>
            <w:vAlign w:val="center"/>
            <w:hideMark/>
          </w:tcPr>
          <w:p w14:paraId="1734ECDC" w14:textId="77777777" w:rsidR="007B7CE0" w:rsidRPr="00F447CF" w:rsidRDefault="007B7CE0" w:rsidP="007B7CE0">
            <w:pPr>
              <w:widowControl/>
              <w:spacing w:line="340" w:lineRule="exact"/>
              <w:jc w:val="center"/>
              <w:rPr>
                <w:rFonts w:ascii="Times New Roman" w:hAnsi="Times New Roman" w:cs="Times New Roman"/>
                <w:kern w:val="0"/>
                <w:sz w:val="20"/>
                <w:szCs w:val="20"/>
              </w:rPr>
            </w:pPr>
          </w:p>
        </w:tc>
        <w:tc>
          <w:tcPr>
            <w:tcW w:w="1748" w:type="dxa"/>
            <w:tcBorders>
              <w:top w:val="dashSmallGap" w:sz="8" w:space="0" w:color="auto"/>
              <w:left w:val="nil"/>
              <w:bottom w:val="nil"/>
              <w:right w:val="nil"/>
            </w:tcBorders>
            <w:shd w:val="clear" w:color="auto" w:fill="auto"/>
            <w:noWrap/>
            <w:vAlign w:val="center"/>
            <w:hideMark/>
          </w:tcPr>
          <w:p w14:paraId="646F7602" w14:textId="77777777" w:rsidR="007B7CE0" w:rsidRPr="00F447CF" w:rsidRDefault="007B7CE0" w:rsidP="007B7CE0">
            <w:pPr>
              <w:widowControl/>
              <w:spacing w:line="340" w:lineRule="exact"/>
              <w:jc w:val="center"/>
              <w:rPr>
                <w:rFonts w:ascii="Times New Roman" w:hAnsi="Times New Roman" w:cs="Times New Roman"/>
                <w:kern w:val="0"/>
                <w:sz w:val="20"/>
                <w:szCs w:val="20"/>
              </w:rPr>
            </w:pPr>
          </w:p>
        </w:tc>
      </w:tr>
      <w:tr w:rsidR="007B7CE0" w:rsidRPr="00F447CF" w14:paraId="7BA68D30" w14:textId="77777777" w:rsidTr="007B7CE0">
        <w:trPr>
          <w:trHeight w:val="238"/>
        </w:trPr>
        <w:tc>
          <w:tcPr>
            <w:tcW w:w="4820" w:type="dxa"/>
            <w:gridSpan w:val="4"/>
            <w:tcBorders>
              <w:top w:val="nil"/>
              <w:left w:val="nil"/>
              <w:bottom w:val="nil"/>
              <w:right w:val="nil"/>
            </w:tcBorders>
            <w:shd w:val="clear" w:color="auto" w:fill="auto"/>
            <w:noWrap/>
            <w:vAlign w:val="center"/>
            <w:hideMark/>
          </w:tcPr>
          <w:p w14:paraId="135FB2A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Se sources (SS)</w:t>
            </w:r>
          </w:p>
        </w:tc>
        <w:tc>
          <w:tcPr>
            <w:tcW w:w="1876" w:type="dxa"/>
            <w:tcBorders>
              <w:top w:val="nil"/>
              <w:left w:val="nil"/>
              <w:bottom w:val="nil"/>
              <w:right w:val="nil"/>
            </w:tcBorders>
            <w:shd w:val="clear" w:color="auto" w:fill="auto"/>
            <w:noWrap/>
            <w:vAlign w:val="center"/>
            <w:hideMark/>
          </w:tcPr>
          <w:p w14:paraId="5955082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w:t>
            </w:r>
          </w:p>
        </w:tc>
        <w:tc>
          <w:tcPr>
            <w:tcW w:w="1748" w:type="dxa"/>
            <w:tcBorders>
              <w:top w:val="nil"/>
              <w:left w:val="nil"/>
              <w:bottom w:val="nil"/>
              <w:right w:val="nil"/>
            </w:tcBorders>
            <w:shd w:val="clear" w:color="auto" w:fill="auto"/>
            <w:noWrap/>
            <w:vAlign w:val="center"/>
            <w:hideMark/>
          </w:tcPr>
          <w:p w14:paraId="2E25CFE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w:t>
            </w:r>
          </w:p>
        </w:tc>
      </w:tr>
      <w:tr w:rsidR="007B7CE0" w:rsidRPr="00F447CF" w14:paraId="6237222F" w14:textId="77777777" w:rsidTr="007B7CE0">
        <w:trPr>
          <w:trHeight w:val="225"/>
        </w:trPr>
        <w:tc>
          <w:tcPr>
            <w:tcW w:w="4820" w:type="dxa"/>
            <w:gridSpan w:val="4"/>
            <w:tcBorders>
              <w:top w:val="nil"/>
              <w:left w:val="nil"/>
              <w:bottom w:val="nil"/>
              <w:right w:val="nil"/>
            </w:tcBorders>
            <w:shd w:val="clear" w:color="auto" w:fill="auto"/>
            <w:noWrap/>
            <w:vAlign w:val="center"/>
            <w:hideMark/>
          </w:tcPr>
          <w:p w14:paraId="3F835F53"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Se rates (SR)</w:t>
            </w:r>
          </w:p>
        </w:tc>
        <w:tc>
          <w:tcPr>
            <w:tcW w:w="1876" w:type="dxa"/>
            <w:tcBorders>
              <w:top w:val="nil"/>
              <w:left w:val="nil"/>
              <w:bottom w:val="nil"/>
              <w:right w:val="nil"/>
            </w:tcBorders>
            <w:shd w:val="clear" w:color="auto" w:fill="auto"/>
            <w:noWrap/>
            <w:vAlign w:val="center"/>
            <w:hideMark/>
          </w:tcPr>
          <w:p w14:paraId="2DECDAC8"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w:t>
            </w:r>
          </w:p>
        </w:tc>
        <w:tc>
          <w:tcPr>
            <w:tcW w:w="1748" w:type="dxa"/>
            <w:tcBorders>
              <w:top w:val="nil"/>
              <w:left w:val="nil"/>
              <w:bottom w:val="nil"/>
              <w:right w:val="nil"/>
            </w:tcBorders>
            <w:shd w:val="clear" w:color="auto" w:fill="auto"/>
            <w:noWrap/>
            <w:vAlign w:val="center"/>
            <w:hideMark/>
          </w:tcPr>
          <w:p w14:paraId="7291E626"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w:t>
            </w:r>
          </w:p>
        </w:tc>
      </w:tr>
      <w:tr w:rsidR="007B7CE0" w:rsidRPr="00F447CF" w14:paraId="70ADD9AC" w14:textId="77777777" w:rsidTr="007B7CE0">
        <w:trPr>
          <w:trHeight w:val="225"/>
        </w:trPr>
        <w:tc>
          <w:tcPr>
            <w:tcW w:w="4820" w:type="dxa"/>
            <w:gridSpan w:val="4"/>
            <w:tcBorders>
              <w:top w:val="nil"/>
              <w:left w:val="nil"/>
              <w:bottom w:val="nil"/>
              <w:right w:val="nil"/>
            </w:tcBorders>
            <w:shd w:val="clear" w:color="auto" w:fill="auto"/>
            <w:noWrap/>
            <w:vAlign w:val="center"/>
            <w:hideMark/>
          </w:tcPr>
          <w:p w14:paraId="782751F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Se rates (R)</w:t>
            </w:r>
          </w:p>
        </w:tc>
        <w:tc>
          <w:tcPr>
            <w:tcW w:w="1876" w:type="dxa"/>
            <w:tcBorders>
              <w:top w:val="nil"/>
              <w:left w:val="nil"/>
              <w:bottom w:val="nil"/>
              <w:right w:val="nil"/>
            </w:tcBorders>
            <w:shd w:val="clear" w:color="auto" w:fill="auto"/>
            <w:noWrap/>
            <w:vAlign w:val="center"/>
            <w:hideMark/>
          </w:tcPr>
          <w:p w14:paraId="177F87D5"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w:t>
            </w:r>
          </w:p>
        </w:tc>
        <w:tc>
          <w:tcPr>
            <w:tcW w:w="1748" w:type="dxa"/>
            <w:tcBorders>
              <w:top w:val="nil"/>
              <w:left w:val="nil"/>
              <w:bottom w:val="nil"/>
              <w:right w:val="nil"/>
            </w:tcBorders>
            <w:shd w:val="clear" w:color="auto" w:fill="auto"/>
            <w:noWrap/>
            <w:vAlign w:val="center"/>
            <w:hideMark/>
          </w:tcPr>
          <w:p w14:paraId="128AC4D5"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r>
      <w:tr w:rsidR="007B7CE0" w:rsidRPr="00F447CF" w14:paraId="286688F6" w14:textId="77777777" w:rsidTr="007B7CE0">
        <w:trPr>
          <w:trHeight w:val="225"/>
        </w:trPr>
        <w:tc>
          <w:tcPr>
            <w:tcW w:w="4820" w:type="dxa"/>
            <w:gridSpan w:val="4"/>
            <w:tcBorders>
              <w:top w:val="nil"/>
              <w:left w:val="nil"/>
              <w:bottom w:val="nil"/>
              <w:right w:val="nil"/>
            </w:tcBorders>
            <w:shd w:val="clear" w:color="auto" w:fill="auto"/>
            <w:noWrap/>
            <w:vAlign w:val="center"/>
            <w:hideMark/>
          </w:tcPr>
          <w:p w14:paraId="58848176"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Se sources (S)</w:t>
            </w:r>
          </w:p>
        </w:tc>
        <w:tc>
          <w:tcPr>
            <w:tcW w:w="1876" w:type="dxa"/>
            <w:tcBorders>
              <w:top w:val="nil"/>
              <w:left w:val="nil"/>
              <w:bottom w:val="nil"/>
              <w:right w:val="nil"/>
            </w:tcBorders>
            <w:shd w:val="clear" w:color="auto" w:fill="auto"/>
            <w:noWrap/>
            <w:vAlign w:val="center"/>
            <w:hideMark/>
          </w:tcPr>
          <w:p w14:paraId="6E676DF2"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c>
          <w:tcPr>
            <w:tcW w:w="1748" w:type="dxa"/>
            <w:tcBorders>
              <w:top w:val="nil"/>
              <w:left w:val="nil"/>
              <w:bottom w:val="nil"/>
              <w:right w:val="nil"/>
            </w:tcBorders>
            <w:shd w:val="clear" w:color="auto" w:fill="auto"/>
            <w:noWrap/>
            <w:vAlign w:val="center"/>
            <w:hideMark/>
          </w:tcPr>
          <w:p w14:paraId="10F1D43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r>
      <w:tr w:rsidR="007B7CE0" w:rsidRPr="00F447CF" w14:paraId="6C82A360" w14:textId="77777777" w:rsidTr="007B7CE0">
        <w:trPr>
          <w:trHeight w:val="225"/>
        </w:trPr>
        <w:tc>
          <w:tcPr>
            <w:tcW w:w="4820" w:type="dxa"/>
            <w:gridSpan w:val="4"/>
            <w:tcBorders>
              <w:top w:val="nil"/>
              <w:left w:val="nil"/>
              <w:bottom w:val="nil"/>
              <w:right w:val="nil"/>
            </w:tcBorders>
            <w:shd w:val="clear" w:color="auto" w:fill="auto"/>
            <w:noWrap/>
            <w:vAlign w:val="center"/>
            <w:hideMark/>
          </w:tcPr>
          <w:p w14:paraId="00A11672"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Growth stages (G)</w:t>
            </w:r>
          </w:p>
        </w:tc>
        <w:tc>
          <w:tcPr>
            <w:tcW w:w="1876" w:type="dxa"/>
            <w:tcBorders>
              <w:top w:val="nil"/>
              <w:left w:val="nil"/>
              <w:bottom w:val="nil"/>
              <w:right w:val="nil"/>
            </w:tcBorders>
            <w:shd w:val="clear" w:color="auto" w:fill="auto"/>
            <w:noWrap/>
            <w:vAlign w:val="center"/>
            <w:hideMark/>
          </w:tcPr>
          <w:p w14:paraId="3EE6B50F"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c>
          <w:tcPr>
            <w:tcW w:w="1748" w:type="dxa"/>
            <w:tcBorders>
              <w:top w:val="nil"/>
              <w:left w:val="nil"/>
              <w:bottom w:val="nil"/>
              <w:right w:val="nil"/>
            </w:tcBorders>
            <w:shd w:val="clear" w:color="auto" w:fill="auto"/>
            <w:noWrap/>
            <w:vAlign w:val="center"/>
            <w:hideMark/>
          </w:tcPr>
          <w:p w14:paraId="33BCC948"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r>
      <w:tr w:rsidR="007B7CE0" w:rsidRPr="00F447CF" w14:paraId="4D863119" w14:textId="77777777" w:rsidTr="007B7CE0">
        <w:trPr>
          <w:trHeight w:val="225"/>
        </w:trPr>
        <w:tc>
          <w:tcPr>
            <w:tcW w:w="4820" w:type="dxa"/>
            <w:gridSpan w:val="4"/>
            <w:tcBorders>
              <w:top w:val="nil"/>
              <w:left w:val="nil"/>
              <w:bottom w:val="nil"/>
              <w:right w:val="nil"/>
            </w:tcBorders>
            <w:shd w:val="clear" w:color="auto" w:fill="auto"/>
            <w:noWrap/>
            <w:vAlign w:val="center"/>
            <w:hideMark/>
          </w:tcPr>
          <w:p w14:paraId="6AC27A0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 × R</w:t>
            </w:r>
          </w:p>
        </w:tc>
        <w:tc>
          <w:tcPr>
            <w:tcW w:w="1876" w:type="dxa"/>
            <w:tcBorders>
              <w:top w:val="nil"/>
              <w:left w:val="nil"/>
              <w:bottom w:val="nil"/>
              <w:right w:val="nil"/>
            </w:tcBorders>
            <w:shd w:val="clear" w:color="auto" w:fill="auto"/>
            <w:noWrap/>
            <w:vAlign w:val="center"/>
            <w:hideMark/>
          </w:tcPr>
          <w:p w14:paraId="41CF7A5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c>
          <w:tcPr>
            <w:tcW w:w="1748" w:type="dxa"/>
            <w:tcBorders>
              <w:top w:val="nil"/>
              <w:left w:val="nil"/>
              <w:bottom w:val="nil"/>
              <w:right w:val="nil"/>
            </w:tcBorders>
            <w:shd w:val="clear" w:color="auto" w:fill="auto"/>
            <w:noWrap/>
            <w:vAlign w:val="center"/>
            <w:hideMark/>
          </w:tcPr>
          <w:p w14:paraId="4F96213E"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r>
      <w:tr w:rsidR="007B7CE0" w:rsidRPr="00F447CF" w14:paraId="6452A21C" w14:textId="77777777" w:rsidTr="007B7CE0">
        <w:trPr>
          <w:trHeight w:val="225"/>
        </w:trPr>
        <w:tc>
          <w:tcPr>
            <w:tcW w:w="4820" w:type="dxa"/>
            <w:gridSpan w:val="4"/>
            <w:tcBorders>
              <w:top w:val="nil"/>
              <w:left w:val="nil"/>
              <w:bottom w:val="nil"/>
              <w:right w:val="nil"/>
            </w:tcBorders>
            <w:shd w:val="clear" w:color="auto" w:fill="auto"/>
            <w:noWrap/>
            <w:vAlign w:val="center"/>
            <w:hideMark/>
          </w:tcPr>
          <w:p w14:paraId="3016634D"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 × G</w:t>
            </w:r>
          </w:p>
        </w:tc>
        <w:tc>
          <w:tcPr>
            <w:tcW w:w="1876" w:type="dxa"/>
            <w:tcBorders>
              <w:top w:val="nil"/>
              <w:left w:val="nil"/>
              <w:bottom w:val="nil"/>
              <w:right w:val="nil"/>
            </w:tcBorders>
            <w:shd w:val="clear" w:color="auto" w:fill="auto"/>
            <w:noWrap/>
            <w:vAlign w:val="center"/>
            <w:hideMark/>
          </w:tcPr>
          <w:p w14:paraId="65EC44EE"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c>
          <w:tcPr>
            <w:tcW w:w="1748" w:type="dxa"/>
            <w:tcBorders>
              <w:top w:val="nil"/>
              <w:left w:val="nil"/>
              <w:bottom w:val="nil"/>
              <w:right w:val="nil"/>
            </w:tcBorders>
            <w:shd w:val="clear" w:color="auto" w:fill="auto"/>
            <w:noWrap/>
            <w:vAlign w:val="center"/>
            <w:hideMark/>
          </w:tcPr>
          <w:p w14:paraId="341D5500"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r>
      <w:tr w:rsidR="007B7CE0" w:rsidRPr="00F447CF" w14:paraId="3415B975" w14:textId="77777777" w:rsidTr="007B7CE0">
        <w:trPr>
          <w:trHeight w:val="225"/>
        </w:trPr>
        <w:tc>
          <w:tcPr>
            <w:tcW w:w="4820" w:type="dxa"/>
            <w:gridSpan w:val="4"/>
            <w:tcBorders>
              <w:top w:val="nil"/>
              <w:left w:val="nil"/>
              <w:bottom w:val="nil"/>
              <w:right w:val="nil"/>
            </w:tcBorders>
            <w:shd w:val="clear" w:color="auto" w:fill="auto"/>
            <w:noWrap/>
            <w:vAlign w:val="center"/>
            <w:hideMark/>
          </w:tcPr>
          <w:p w14:paraId="5122067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G × R</w:t>
            </w:r>
          </w:p>
        </w:tc>
        <w:tc>
          <w:tcPr>
            <w:tcW w:w="1876" w:type="dxa"/>
            <w:tcBorders>
              <w:top w:val="nil"/>
              <w:left w:val="nil"/>
              <w:bottom w:val="nil"/>
              <w:right w:val="nil"/>
            </w:tcBorders>
            <w:shd w:val="clear" w:color="auto" w:fill="auto"/>
            <w:noWrap/>
            <w:vAlign w:val="center"/>
            <w:hideMark/>
          </w:tcPr>
          <w:p w14:paraId="215E7AC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c>
          <w:tcPr>
            <w:tcW w:w="1748" w:type="dxa"/>
            <w:tcBorders>
              <w:top w:val="nil"/>
              <w:left w:val="nil"/>
              <w:bottom w:val="nil"/>
              <w:right w:val="nil"/>
            </w:tcBorders>
            <w:shd w:val="clear" w:color="auto" w:fill="auto"/>
            <w:noWrap/>
            <w:vAlign w:val="center"/>
            <w:hideMark/>
          </w:tcPr>
          <w:p w14:paraId="409876E3"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r>
      <w:tr w:rsidR="007B7CE0" w:rsidRPr="00F447CF" w14:paraId="69B67481" w14:textId="77777777" w:rsidTr="007B7CE0">
        <w:trPr>
          <w:trHeight w:val="225"/>
        </w:trPr>
        <w:tc>
          <w:tcPr>
            <w:tcW w:w="4820" w:type="dxa"/>
            <w:gridSpan w:val="4"/>
            <w:tcBorders>
              <w:top w:val="nil"/>
              <w:left w:val="nil"/>
              <w:bottom w:val="nil"/>
              <w:right w:val="nil"/>
            </w:tcBorders>
            <w:shd w:val="clear" w:color="auto" w:fill="auto"/>
            <w:noWrap/>
            <w:vAlign w:val="center"/>
            <w:hideMark/>
          </w:tcPr>
          <w:p w14:paraId="407892EC"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SS × SR</w:t>
            </w:r>
          </w:p>
        </w:tc>
        <w:tc>
          <w:tcPr>
            <w:tcW w:w="1876" w:type="dxa"/>
            <w:tcBorders>
              <w:top w:val="nil"/>
              <w:left w:val="nil"/>
              <w:bottom w:val="nil"/>
              <w:right w:val="nil"/>
            </w:tcBorders>
            <w:shd w:val="clear" w:color="auto" w:fill="auto"/>
            <w:noWrap/>
            <w:vAlign w:val="center"/>
            <w:hideMark/>
          </w:tcPr>
          <w:p w14:paraId="6CA94445"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w:t>
            </w:r>
          </w:p>
        </w:tc>
        <w:tc>
          <w:tcPr>
            <w:tcW w:w="1748" w:type="dxa"/>
            <w:tcBorders>
              <w:top w:val="nil"/>
              <w:left w:val="nil"/>
              <w:bottom w:val="nil"/>
              <w:right w:val="nil"/>
            </w:tcBorders>
            <w:shd w:val="clear" w:color="auto" w:fill="auto"/>
            <w:noWrap/>
            <w:vAlign w:val="center"/>
            <w:hideMark/>
          </w:tcPr>
          <w:p w14:paraId="34ACF16B"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w:t>
            </w:r>
          </w:p>
        </w:tc>
      </w:tr>
      <w:tr w:rsidR="007B7CE0" w:rsidRPr="00F447CF" w14:paraId="5F2D93E6" w14:textId="77777777" w:rsidTr="007B7CE0">
        <w:trPr>
          <w:trHeight w:val="225"/>
        </w:trPr>
        <w:tc>
          <w:tcPr>
            <w:tcW w:w="4820" w:type="dxa"/>
            <w:gridSpan w:val="4"/>
            <w:tcBorders>
              <w:top w:val="nil"/>
              <w:left w:val="nil"/>
              <w:bottom w:val="single" w:sz="12" w:space="0" w:color="auto"/>
              <w:right w:val="nil"/>
            </w:tcBorders>
            <w:shd w:val="clear" w:color="auto" w:fill="auto"/>
            <w:noWrap/>
            <w:vAlign w:val="center"/>
            <w:hideMark/>
          </w:tcPr>
          <w:p w14:paraId="17A06284"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S × G × R</w:t>
            </w:r>
          </w:p>
        </w:tc>
        <w:tc>
          <w:tcPr>
            <w:tcW w:w="1876" w:type="dxa"/>
            <w:tcBorders>
              <w:top w:val="nil"/>
              <w:left w:val="nil"/>
              <w:bottom w:val="single" w:sz="12" w:space="0" w:color="auto"/>
              <w:right w:val="nil"/>
            </w:tcBorders>
            <w:shd w:val="clear" w:color="auto" w:fill="auto"/>
            <w:noWrap/>
            <w:vAlign w:val="center"/>
            <w:hideMark/>
          </w:tcPr>
          <w:p w14:paraId="7EF019C5"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c>
          <w:tcPr>
            <w:tcW w:w="1748" w:type="dxa"/>
            <w:tcBorders>
              <w:top w:val="nil"/>
              <w:left w:val="nil"/>
              <w:bottom w:val="single" w:sz="12" w:space="0" w:color="auto"/>
              <w:right w:val="nil"/>
            </w:tcBorders>
            <w:shd w:val="clear" w:color="auto" w:fill="auto"/>
            <w:noWrap/>
            <w:vAlign w:val="center"/>
            <w:hideMark/>
          </w:tcPr>
          <w:p w14:paraId="5C19A721" w14:textId="77777777" w:rsidR="007B7CE0" w:rsidRPr="00F447CF" w:rsidRDefault="007B7CE0" w:rsidP="007B7CE0">
            <w:pPr>
              <w:widowControl/>
              <w:spacing w:line="340" w:lineRule="exact"/>
              <w:jc w:val="center"/>
              <w:rPr>
                <w:rFonts w:ascii="Times New Roman" w:hAnsi="Times New Roman" w:cs="Times New Roman"/>
                <w:color w:val="000000"/>
                <w:kern w:val="0"/>
                <w:sz w:val="20"/>
                <w:szCs w:val="20"/>
              </w:rPr>
            </w:pPr>
            <w:r w:rsidRPr="00F447CF">
              <w:rPr>
                <w:rFonts w:ascii="Times New Roman" w:hAnsi="Times New Roman" w:cs="Times New Roman"/>
                <w:color w:val="000000"/>
                <w:kern w:val="0"/>
                <w:sz w:val="20"/>
                <w:szCs w:val="20"/>
              </w:rPr>
              <w:t>NS</w:t>
            </w:r>
          </w:p>
        </w:tc>
      </w:tr>
    </w:tbl>
    <w:p w14:paraId="4DFE437A" w14:textId="3533E0B4" w:rsidR="000E63E8" w:rsidRDefault="00AB611A" w:rsidP="00E837EE">
      <w:pPr>
        <w:adjustRightInd w:val="0"/>
        <w:snapToGrid w:val="0"/>
        <w:spacing w:line="480" w:lineRule="auto"/>
        <w:rPr>
          <w:rFonts w:ascii="Times New Roman" w:hAnsi="Times New Roman" w:cs="Times New Roman"/>
          <w:color w:val="000000" w:themeColor="text1"/>
          <w:sz w:val="20"/>
          <w:szCs w:val="20"/>
        </w:rPr>
      </w:pPr>
      <w:r w:rsidRPr="00225AF5">
        <w:rPr>
          <w:rFonts w:ascii="Times New Roman" w:hAnsi="Times New Roman" w:cs="Times New Roman"/>
          <w:color w:val="000000" w:themeColor="text1"/>
          <w:sz w:val="20"/>
          <w:szCs w:val="20"/>
        </w:rPr>
        <w:t>Note: F1 represents pre-flowering stage</w:t>
      </w:r>
      <w:r>
        <w:rPr>
          <w:rFonts w:ascii="Times New Roman" w:hAnsi="Times New Roman" w:cs="Times New Roman"/>
          <w:color w:val="000000" w:themeColor="text1"/>
          <w:sz w:val="20"/>
          <w:szCs w:val="20"/>
        </w:rPr>
        <w:t>,</w:t>
      </w:r>
      <w:r w:rsidRPr="00225AF5">
        <w:rPr>
          <w:rFonts w:ascii="Times New Roman" w:hAnsi="Times New Roman" w:cs="Times New Roman"/>
          <w:color w:val="000000" w:themeColor="text1"/>
          <w:sz w:val="20"/>
          <w:szCs w:val="20"/>
        </w:rPr>
        <w:t xml:space="preserve"> F2 represents pre-filling stage</w:t>
      </w:r>
      <w:r>
        <w:rPr>
          <w:rFonts w:ascii="Times New Roman" w:hAnsi="Times New Roman" w:cs="Times New Roman"/>
          <w:color w:val="000000" w:themeColor="text1"/>
          <w:sz w:val="20"/>
          <w:szCs w:val="20"/>
        </w:rPr>
        <w:t>.</w:t>
      </w:r>
      <w:r w:rsidRPr="00225AF5">
        <w:rPr>
          <w:rFonts w:ascii="Times New Roman" w:hAnsi="Times New Roman" w:cs="Times New Roman"/>
          <w:color w:val="000000" w:themeColor="text1"/>
          <w:sz w:val="20"/>
          <w:szCs w:val="20"/>
        </w:rPr>
        <w:t xml:space="preserve"> CK=control.</w:t>
      </w:r>
      <w:r>
        <w:rPr>
          <w:rFonts w:ascii="Times New Roman" w:hAnsi="Times New Roman" w:cs="Times New Roman"/>
          <w:color w:val="000000" w:themeColor="text1"/>
          <w:sz w:val="20"/>
          <w:szCs w:val="20"/>
        </w:rPr>
        <w:t xml:space="preserve"> </w:t>
      </w:r>
      <w:r w:rsidRPr="00225AF5">
        <w:rPr>
          <w:rFonts w:ascii="Times New Roman" w:hAnsi="Times New Roman" w:cs="Times New Roman"/>
          <w:color w:val="000000" w:themeColor="text1"/>
          <w:sz w:val="20"/>
          <w:szCs w:val="20"/>
        </w:rPr>
        <w:t>Different lowercase letters “a</w:t>
      </w:r>
      <w:r>
        <w:rPr>
          <w:rFonts w:ascii="Times New Roman" w:hAnsi="Times New Roman" w:cs="Times New Roman"/>
          <w:color w:val="000000" w:themeColor="text1"/>
          <w:sz w:val="20"/>
          <w:szCs w:val="20"/>
        </w:rPr>
        <w:t>-</w:t>
      </w:r>
      <w:r w:rsidRPr="00225AF5">
        <w:rPr>
          <w:rFonts w:ascii="Times New Roman" w:hAnsi="Times New Roman" w:cs="Times New Roman"/>
          <w:color w:val="000000" w:themeColor="text1"/>
          <w:sz w:val="20"/>
          <w:szCs w:val="20"/>
        </w:rPr>
        <w:t xml:space="preserve">d” indicate the difference of </w:t>
      </w:r>
      <w:r>
        <w:rPr>
          <w:rFonts w:ascii="Times New Roman" w:hAnsi="Times New Roman" w:cs="Times New Roman"/>
          <w:color w:val="000000" w:themeColor="text1"/>
          <w:sz w:val="20"/>
          <w:szCs w:val="20"/>
        </w:rPr>
        <w:t>Se(IV)</w:t>
      </w:r>
      <w:r w:rsidRPr="00225AF5">
        <w:rPr>
          <w:rFonts w:ascii="Times New Roman" w:hAnsi="Times New Roman" w:cs="Times New Roman"/>
          <w:color w:val="000000" w:themeColor="text1"/>
          <w:sz w:val="20"/>
          <w:szCs w:val="20"/>
        </w:rPr>
        <w:t xml:space="preserve"> treatment</w:t>
      </w:r>
      <w:r>
        <w:rPr>
          <w:rFonts w:ascii="Times New Roman" w:hAnsi="Times New Roman" w:cs="Times New Roman"/>
          <w:color w:val="000000" w:themeColor="text1"/>
          <w:sz w:val="20"/>
          <w:szCs w:val="20"/>
        </w:rPr>
        <w:t>s</w:t>
      </w:r>
      <w:r w:rsidRPr="00225AF5">
        <w:rPr>
          <w:rFonts w:ascii="Times New Roman" w:hAnsi="Times New Roman" w:cs="Times New Roman"/>
          <w:color w:val="000000" w:themeColor="text1"/>
          <w:sz w:val="20"/>
          <w:szCs w:val="20"/>
        </w:rPr>
        <w:t xml:space="preserve"> (</w:t>
      </w:r>
      <w:r w:rsidRPr="00486821">
        <w:rPr>
          <w:rFonts w:ascii="Times New Roman" w:hAnsi="Times New Roman" w:cs="Times New Roman"/>
          <w:i/>
          <w:iCs/>
          <w:color w:val="000000" w:themeColor="text1"/>
          <w:sz w:val="20"/>
          <w:szCs w:val="20"/>
        </w:rPr>
        <w:t>p</w:t>
      </w:r>
      <w:r w:rsidRPr="00225AF5">
        <w:rPr>
          <w:rFonts w:ascii="Times New Roman" w:hAnsi="Times New Roman" w:cs="Times New Roman"/>
          <w:color w:val="000000" w:themeColor="text1"/>
          <w:sz w:val="20"/>
          <w:szCs w:val="20"/>
        </w:rPr>
        <w:t xml:space="preserve"> &lt; 0.05). Different capital letters “A</w:t>
      </w:r>
      <w:r>
        <w:rPr>
          <w:rFonts w:ascii="Times New Roman" w:hAnsi="Times New Roman" w:cs="Times New Roman"/>
          <w:color w:val="000000" w:themeColor="text1"/>
          <w:sz w:val="20"/>
          <w:szCs w:val="20"/>
        </w:rPr>
        <w:t>-</w:t>
      </w:r>
      <w:r w:rsidRPr="00225AF5">
        <w:rPr>
          <w:rFonts w:ascii="Times New Roman" w:hAnsi="Times New Roman" w:cs="Times New Roman"/>
          <w:color w:val="000000" w:themeColor="text1"/>
          <w:sz w:val="20"/>
          <w:szCs w:val="20"/>
        </w:rPr>
        <w:t xml:space="preserve">D” denote the difference between </w:t>
      </w:r>
      <w:r>
        <w:rPr>
          <w:rFonts w:ascii="Times New Roman" w:hAnsi="Times New Roman" w:cs="Times New Roman"/>
          <w:color w:val="000000" w:themeColor="text1"/>
          <w:sz w:val="20"/>
          <w:szCs w:val="20"/>
        </w:rPr>
        <w:t>Se(VI)</w:t>
      </w:r>
      <w:r w:rsidRPr="00225AF5">
        <w:rPr>
          <w:rFonts w:ascii="Times New Roman" w:hAnsi="Times New Roman" w:cs="Times New Roman"/>
          <w:color w:val="000000" w:themeColor="text1"/>
          <w:sz w:val="20"/>
          <w:szCs w:val="20"/>
        </w:rPr>
        <w:t xml:space="preserve"> treatments (</w:t>
      </w:r>
      <w:r w:rsidRPr="00486821">
        <w:rPr>
          <w:rFonts w:ascii="Times New Roman" w:hAnsi="Times New Roman" w:cs="Times New Roman"/>
          <w:i/>
          <w:iCs/>
          <w:color w:val="000000" w:themeColor="text1"/>
          <w:sz w:val="20"/>
          <w:szCs w:val="20"/>
        </w:rPr>
        <w:t>p</w:t>
      </w:r>
      <w:r w:rsidRPr="00225AF5">
        <w:rPr>
          <w:rFonts w:ascii="Times New Roman" w:hAnsi="Times New Roman" w:cs="Times New Roman"/>
          <w:color w:val="000000" w:themeColor="text1"/>
          <w:sz w:val="20"/>
          <w:szCs w:val="20"/>
        </w:rPr>
        <w:t xml:space="preserve"> &lt; 0.05). “**” indicates a significant correlation of 99%</w:t>
      </w:r>
      <w:r w:rsidR="00291416">
        <w:rPr>
          <w:rFonts w:ascii="Times New Roman" w:hAnsi="Times New Roman" w:cs="Times New Roman"/>
          <w:color w:val="000000" w:themeColor="text1"/>
          <w:sz w:val="20"/>
          <w:szCs w:val="20"/>
        </w:rPr>
        <w:t>,</w:t>
      </w:r>
      <w:r w:rsidRPr="00225AF5">
        <w:rPr>
          <w:rFonts w:ascii="Times New Roman" w:hAnsi="Times New Roman" w:cs="Times New Roman"/>
          <w:color w:val="000000" w:themeColor="text1"/>
          <w:sz w:val="20"/>
          <w:szCs w:val="20"/>
        </w:rPr>
        <w:t xml:space="preserve"> “*” indicates a significant </w:t>
      </w:r>
      <w:r>
        <w:rPr>
          <w:rFonts w:ascii="Times New Roman" w:hAnsi="Times New Roman" w:cs="Times New Roman" w:hint="eastAsia"/>
          <w:color w:val="000000" w:themeColor="text1"/>
          <w:sz w:val="20"/>
          <w:szCs w:val="20"/>
        </w:rPr>
        <w:t>of</w:t>
      </w:r>
      <w:r>
        <w:rPr>
          <w:rFonts w:ascii="Times New Roman" w:hAnsi="Times New Roman" w:cs="Times New Roman"/>
          <w:color w:val="000000" w:themeColor="text1"/>
          <w:sz w:val="20"/>
          <w:szCs w:val="20"/>
        </w:rPr>
        <w:t xml:space="preserve"> </w:t>
      </w:r>
      <w:r w:rsidRPr="00225AF5">
        <w:rPr>
          <w:rFonts w:ascii="Times New Roman" w:hAnsi="Times New Roman" w:cs="Times New Roman"/>
          <w:color w:val="000000" w:themeColor="text1"/>
          <w:sz w:val="20"/>
          <w:szCs w:val="20"/>
        </w:rPr>
        <w:t xml:space="preserve">95% correlation, and “NS” indicates no correlation. </w:t>
      </w:r>
      <w:r>
        <w:rPr>
          <w:rFonts w:ascii="Times New Roman" w:hAnsi="Times New Roman" w:cs="Times New Roman"/>
          <w:color w:val="000000" w:themeColor="text1"/>
          <w:sz w:val="20"/>
          <w:szCs w:val="20"/>
        </w:rPr>
        <w:t xml:space="preserve">“SS” represents Se sources </w:t>
      </w:r>
      <w:r>
        <w:rPr>
          <w:rFonts w:ascii="Times New Roman" w:hAnsi="Times New Roman" w:cs="Times New Roman"/>
          <w:color w:val="000000" w:themeColor="text1"/>
          <w:sz w:val="20"/>
          <w:szCs w:val="20"/>
        </w:rPr>
        <w:lastRenderedPageBreak/>
        <w:t>in soil Se application. “SS” represents Se sources in soil Se application. “SR” represents Se rates in soil Se application. “R” represents Se rates in foliar Se application. “S” represents Se sources in foliar Se application. “G” represents growth stages of wheat in foliar Se application.</w:t>
      </w:r>
    </w:p>
    <w:p w14:paraId="2BDC6576" w14:textId="1912E3FB" w:rsidR="00FA0B90" w:rsidRPr="000E63E8" w:rsidRDefault="00FA0B90">
      <w:pPr>
        <w:adjustRightInd w:val="0"/>
        <w:snapToGrid w:val="0"/>
        <w:spacing w:line="480" w:lineRule="auto"/>
        <w:rPr>
          <w:rFonts w:ascii="Times New Roman" w:eastAsia="SimHei" w:hAnsi="Times New Roman" w:cs="Times New Roman"/>
          <w:color w:val="000000" w:themeColor="text1"/>
          <w:kern w:val="0"/>
          <w:sz w:val="20"/>
          <w:szCs w:val="20"/>
        </w:rPr>
        <w:sectPr w:rsidR="00FA0B90" w:rsidRPr="000E63E8" w:rsidSect="009A202A">
          <w:pgSz w:w="11906" w:h="16838"/>
          <w:pgMar w:top="1440" w:right="1800" w:bottom="1440" w:left="1800" w:header="851" w:footer="992" w:gutter="0"/>
          <w:cols w:space="425"/>
          <w:docGrid w:type="lines" w:linePitch="312"/>
        </w:sectPr>
        <w:pPrChange w:id="0" w:author="Reviewer" w:date="2021-12-28T11:09:00Z">
          <w:pPr>
            <w:widowControl/>
            <w:spacing w:afterLines="50" w:after="156" w:line="480" w:lineRule="auto"/>
            <w:jc w:val="left"/>
          </w:pPr>
        </w:pPrChange>
      </w:pPr>
    </w:p>
    <w:p w14:paraId="6D5EF46E" w14:textId="52D51761" w:rsidR="0042724B" w:rsidRDefault="005F620F" w:rsidP="00FD0E28">
      <w:pPr>
        <w:widowControl/>
        <w:spacing w:afterLines="50" w:after="156" w:line="480" w:lineRule="auto"/>
        <w:jc w:val="center"/>
        <w:rPr>
          <w:rFonts w:ascii="Times New Roman" w:eastAsia="SimHei" w:hAnsi="Times New Roman" w:cs="Times New Roman"/>
          <w:color w:val="000000" w:themeColor="text1"/>
          <w:kern w:val="0"/>
          <w:sz w:val="20"/>
          <w:szCs w:val="20"/>
        </w:rPr>
      </w:pPr>
      <w:r>
        <w:rPr>
          <w:rFonts w:ascii="Times New Roman" w:eastAsia="SimHei" w:hAnsi="Times New Roman" w:cs="Times New Roman"/>
          <w:b/>
          <w:noProof/>
          <w:color w:val="000000" w:themeColor="text1"/>
          <w:kern w:val="0"/>
          <w:sz w:val="20"/>
          <w:szCs w:val="20"/>
        </w:rPr>
        <w:lastRenderedPageBreak/>
        <w:drawing>
          <wp:anchor distT="0" distB="0" distL="114300" distR="114300" simplePos="0" relativeHeight="251658240" behindDoc="0" locked="0" layoutInCell="1" allowOverlap="1" wp14:anchorId="21D97CD6" wp14:editId="23F932FB">
            <wp:simplePos x="0" y="0"/>
            <wp:positionH relativeFrom="margin">
              <wp:align>right</wp:align>
            </wp:positionH>
            <wp:positionV relativeFrom="paragraph">
              <wp:posOffset>493</wp:posOffset>
            </wp:positionV>
            <wp:extent cx="5314599" cy="2083937"/>
            <wp:effectExtent l="0" t="0" r="635"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4599" cy="2083937"/>
                    </a:xfrm>
                    <a:prstGeom prst="rect">
                      <a:avLst/>
                    </a:prstGeom>
                    <a:noFill/>
                  </pic:spPr>
                </pic:pic>
              </a:graphicData>
            </a:graphic>
            <wp14:sizeRelH relativeFrom="page">
              <wp14:pctWidth>0</wp14:pctWidth>
            </wp14:sizeRelH>
            <wp14:sizeRelV relativeFrom="page">
              <wp14:pctHeight>0</wp14:pctHeight>
            </wp14:sizeRelV>
          </wp:anchor>
        </w:drawing>
      </w:r>
      <w:bookmarkStart w:id="1" w:name="OLE_LINK1"/>
      <w:r w:rsidR="00760A85">
        <w:rPr>
          <w:rFonts w:ascii="Times New Roman" w:eastAsia="SimHei" w:hAnsi="Times New Roman" w:cs="Times New Roman"/>
          <w:b/>
          <w:color w:val="000000" w:themeColor="text1"/>
          <w:kern w:val="0"/>
          <w:sz w:val="20"/>
          <w:szCs w:val="20"/>
        </w:rPr>
        <w:t>Figure</w:t>
      </w:r>
      <w:r w:rsidR="00760A85" w:rsidRPr="007418B5">
        <w:rPr>
          <w:rFonts w:ascii="Times New Roman" w:eastAsia="SimHei" w:hAnsi="Times New Roman" w:cs="Times New Roman"/>
          <w:b/>
          <w:color w:val="000000" w:themeColor="text1"/>
          <w:kern w:val="0"/>
          <w:sz w:val="20"/>
          <w:szCs w:val="20"/>
        </w:rPr>
        <w:t xml:space="preserve"> </w:t>
      </w:r>
      <w:r w:rsidR="00760A85">
        <w:rPr>
          <w:rFonts w:ascii="Times New Roman" w:eastAsia="SimHei" w:hAnsi="Times New Roman" w:cs="Times New Roman"/>
          <w:b/>
          <w:color w:val="000000" w:themeColor="text1"/>
          <w:kern w:val="0"/>
          <w:sz w:val="20"/>
          <w:szCs w:val="20"/>
        </w:rPr>
        <w:t>S</w:t>
      </w:r>
      <w:r w:rsidR="004A4728">
        <w:rPr>
          <w:rFonts w:ascii="Times New Roman" w:eastAsia="SimHei" w:hAnsi="Times New Roman" w:cs="Times New Roman"/>
          <w:b/>
          <w:color w:val="000000" w:themeColor="text1"/>
          <w:kern w:val="0"/>
          <w:sz w:val="20"/>
          <w:szCs w:val="20"/>
        </w:rPr>
        <w:t>1</w:t>
      </w:r>
      <w:r w:rsidR="00760A85" w:rsidRPr="007418B5">
        <w:rPr>
          <w:rFonts w:ascii="Times New Roman" w:eastAsia="SimHei" w:hAnsi="Times New Roman" w:cs="Times New Roman"/>
          <w:color w:val="000000" w:themeColor="text1"/>
          <w:kern w:val="0"/>
          <w:sz w:val="20"/>
          <w:szCs w:val="20"/>
        </w:rPr>
        <w:t xml:space="preserve"> </w:t>
      </w:r>
      <w:r w:rsidR="009812A3">
        <w:rPr>
          <w:rFonts w:ascii="Times New Roman" w:eastAsia="SimHei" w:hAnsi="Times New Roman" w:cs="Times New Roman"/>
          <w:color w:val="000000" w:themeColor="text1"/>
          <w:kern w:val="0"/>
          <w:sz w:val="20"/>
          <w:szCs w:val="20"/>
        </w:rPr>
        <w:t>Effective ear number</w:t>
      </w:r>
      <w:r w:rsidR="00760A85" w:rsidRPr="00A865F0">
        <w:rPr>
          <w:rFonts w:ascii="Times New Roman" w:eastAsia="SimHei" w:hAnsi="Times New Roman" w:cs="Times New Roman"/>
          <w:color w:val="000000" w:themeColor="text1"/>
          <w:kern w:val="0"/>
          <w:sz w:val="20"/>
          <w:szCs w:val="20"/>
        </w:rPr>
        <w:t xml:space="preserve"> of wheat</w:t>
      </w:r>
      <w:r w:rsidR="00760A85">
        <w:rPr>
          <w:rFonts w:ascii="Times New Roman" w:eastAsia="SimHei" w:hAnsi="Times New Roman" w:cs="Times New Roman"/>
          <w:color w:val="000000" w:themeColor="text1"/>
          <w:kern w:val="0"/>
          <w:sz w:val="20"/>
          <w:szCs w:val="20"/>
        </w:rPr>
        <w:t xml:space="preserve"> under different Se treatments</w:t>
      </w:r>
      <w:bookmarkEnd w:id="1"/>
      <w:r w:rsidR="006B7101">
        <w:rPr>
          <w:rFonts w:ascii="Times New Roman" w:eastAsia="SimHei" w:hAnsi="Times New Roman" w:cs="Times New Roman"/>
          <w:color w:val="000000" w:themeColor="text1"/>
          <w:kern w:val="0"/>
          <w:sz w:val="20"/>
          <w:szCs w:val="20"/>
        </w:rPr>
        <w:t>.</w:t>
      </w:r>
    </w:p>
    <w:p w14:paraId="118AF16F" w14:textId="6796C9EE" w:rsidR="007512ED" w:rsidRDefault="00760A85" w:rsidP="00FD0E28">
      <w:pPr>
        <w:widowControl/>
        <w:adjustRightInd w:val="0"/>
        <w:snapToGrid w:val="0"/>
        <w:spacing w:afterLines="50" w:after="156" w:line="480" w:lineRule="auto"/>
        <w:rPr>
          <w:rFonts w:ascii="Times New Roman" w:eastAsia="SimHei" w:hAnsi="Times New Roman" w:cs="Times New Roman"/>
          <w:color w:val="000000" w:themeColor="text1"/>
          <w:kern w:val="0"/>
          <w:sz w:val="20"/>
          <w:szCs w:val="20"/>
        </w:rPr>
        <w:sectPr w:rsidR="007512ED" w:rsidSect="009A202A">
          <w:pgSz w:w="11906" w:h="16838"/>
          <w:pgMar w:top="1440" w:right="1800" w:bottom="1440" w:left="1800" w:header="851" w:footer="992" w:gutter="0"/>
          <w:cols w:space="425"/>
          <w:docGrid w:type="lines" w:linePitch="312"/>
        </w:sectPr>
      </w:pPr>
      <w:r>
        <w:rPr>
          <w:rFonts w:ascii="Times New Roman" w:eastAsia="SimHei" w:hAnsi="Times New Roman" w:cs="Times New Roman" w:hint="eastAsia"/>
          <w:color w:val="000000" w:themeColor="text1"/>
          <w:kern w:val="0"/>
          <w:sz w:val="20"/>
          <w:szCs w:val="20"/>
        </w:rPr>
        <w:t>N</w:t>
      </w:r>
      <w:r>
        <w:rPr>
          <w:rFonts w:ascii="Times New Roman" w:eastAsia="SimHei" w:hAnsi="Times New Roman" w:cs="Times New Roman"/>
          <w:color w:val="000000" w:themeColor="text1"/>
          <w:kern w:val="0"/>
          <w:sz w:val="20"/>
          <w:szCs w:val="20"/>
        </w:rPr>
        <w:t xml:space="preserve">ote: </w:t>
      </w:r>
      <w:r w:rsidR="00B20A02">
        <w:rPr>
          <w:rFonts w:ascii="Times New Roman" w:eastAsia="SimHei" w:hAnsi="Times New Roman" w:cs="Times New Roman"/>
          <w:color w:val="000000" w:themeColor="text1"/>
          <w:kern w:val="0"/>
          <w:sz w:val="20"/>
          <w:szCs w:val="20"/>
        </w:rPr>
        <w:t xml:space="preserve">(a) and (b) represent the effective ear number of the wheat of soil and foliar Se application, respectively. </w:t>
      </w:r>
      <w:r w:rsidR="00B20A02" w:rsidRPr="000A2E47">
        <w:rPr>
          <w:rFonts w:ascii="Times New Roman" w:eastAsia="SimHei" w:hAnsi="Times New Roman" w:cs="Times New Roman"/>
          <w:color w:val="000000" w:themeColor="text1"/>
          <w:kern w:val="0"/>
          <w:sz w:val="20"/>
          <w:szCs w:val="20"/>
        </w:rPr>
        <w:t>F1 represents pre-flowering stage</w:t>
      </w:r>
      <w:r w:rsidR="00291416">
        <w:rPr>
          <w:rFonts w:ascii="Times New Roman" w:eastAsia="SimHei" w:hAnsi="Times New Roman" w:cs="Times New Roman"/>
          <w:color w:val="000000" w:themeColor="text1"/>
          <w:kern w:val="0"/>
          <w:sz w:val="20"/>
          <w:szCs w:val="20"/>
        </w:rPr>
        <w:t xml:space="preserve">, </w:t>
      </w:r>
      <w:r w:rsidR="00B20A02" w:rsidRPr="000A2E47">
        <w:rPr>
          <w:rFonts w:ascii="Times New Roman" w:eastAsia="SimHei" w:hAnsi="Times New Roman" w:cs="Times New Roman"/>
          <w:color w:val="000000" w:themeColor="text1"/>
          <w:kern w:val="0"/>
          <w:sz w:val="20"/>
          <w:szCs w:val="20"/>
        </w:rPr>
        <w:t>F2 represents pre-filling stage</w:t>
      </w:r>
      <w:r w:rsidR="00291416">
        <w:rPr>
          <w:rFonts w:ascii="Times New Roman" w:eastAsia="SimHei" w:hAnsi="Times New Roman" w:cs="Times New Roman"/>
          <w:color w:val="000000" w:themeColor="text1"/>
          <w:kern w:val="0"/>
          <w:sz w:val="20"/>
          <w:szCs w:val="20"/>
        </w:rPr>
        <w:t>.</w:t>
      </w:r>
      <w:r w:rsidR="00B20A02" w:rsidRPr="000A2E47">
        <w:rPr>
          <w:rFonts w:ascii="Times New Roman" w:eastAsia="SimHei" w:hAnsi="Times New Roman" w:cs="Times New Roman"/>
          <w:color w:val="000000" w:themeColor="text1"/>
          <w:kern w:val="0"/>
          <w:sz w:val="20"/>
          <w:szCs w:val="20"/>
        </w:rPr>
        <w:t xml:space="preserve"> Different lowercase letters “a</w:t>
      </w:r>
      <w:r w:rsidR="00761C36">
        <w:rPr>
          <w:rFonts w:ascii="Times New Roman" w:eastAsia="SimHei" w:hAnsi="Times New Roman" w:cs="Times New Roman" w:hint="eastAsia"/>
          <w:color w:val="000000" w:themeColor="text1"/>
          <w:kern w:val="0"/>
          <w:sz w:val="20"/>
          <w:szCs w:val="20"/>
        </w:rPr>
        <w:t>-</w:t>
      </w:r>
      <w:r w:rsidR="00B20A02">
        <w:rPr>
          <w:rFonts w:ascii="Times New Roman" w:eastAsia="SimHei" w:hAnsi="Times New Roman" w:cs="Times New Roman"/>
          <w:color w:val="000000" w:themeColor="text1"/>
          <w:kern w:val="0"/>
          <w:sz w:val="20"/>
          <w:szCs w:val="20"/>
        </w:rPr>
        <w:t>c</w:t>
      </w:r>
      <w:r w:rsidR="00B20A02" w:rsidRPr="000A2E47">
        <w:rPr>
          <w:rFonts w:ascii="Times New Roman" w:eastAsia="SimHei" w:hAnsi="Times New Roman" w:cs="Times New Roman"/>
          <w:color w:val="000000" w:themeColor="text1"/>
          <w:kern w:val="0"/>
          <w:sz w:val="20"/>
          <w:szCs w:val="20"/>
        </w:rPr>
        <w:t xml:space="preserve">” indicate the difference of </w:t>
      </w:r>
      <w:r w:rsidR="00B20A02">
        <w:rPr>
          <w:rFonts w:ascii="Times New Roman" w:eastAsia="SimHei" w:hAnsi="Times New Roman" w:cs="Times New Roman"/>
          <w:color w:val="000000" w:themeColor="text1"/>
          <w:kern w:val="0"/>
          <w:sz w:val="20"/>
          <w:szCs w:val="20"/>
        </w:rPr>
        <w:t>Se(IV)</w:t>
      </w:r>
      <w:r w:rsidR="00B20A02" w:rsidRPr="000A2E47">
        <w:rPr>
          <w:rFonts w:ascii="Times New Roman" w:eastAsia="SimHei" w:hAnsi="Times New Roman" w:cs="Times New Roman"/>
          <w:color w:val="000000" w:themeColor="text1"/>
          <w:kern w:val="0"/>
          <w:sz w:val="20"/>
          <w:szCs w:val="20"/>
        </w:rPr>
        <w:t xml:space="preserve"> treatment</w:t>
      </w:r>
      <w:r w:rsidR="00B20A02">
        <w:rPr>
          <w:rFonts w:ascii="Times New Roman" w:eastAsia="SimHei" w:hAnsi="Times New Roman" w:cs="Times New Roman"/>
          <w:color w:val="000000" w:themeColor="text1"/>
          <w:kern w:val="0"/>
          <w:sz w:val="20"/>
          <w:szCs w:val="20"/>
        </w:rPr>
        <w:t>s</w:t>
      </w:r>
      <w:r w:rsidR="00B20A02" w:rsidRPr="000A2E47">
        <w:rPr>
          <w:rFonts w:ascii="Times New Roman" w:eastAsia="SimHei" w:hAnsi="Times New Roman" w:cs="Times New Roman"/>
          <w:color w:val="000000" w:themeColor="text1"/>
          <w:kern w:val="0"/>
          <w:sz w:val="20"/>
          <w:szCs w:val="20"/>
        </w:rPr>
        <w:t xml:space="preserve"> (</w:t>
      </w:r>
      <w:r w:rsidR="00B20A02" w:rsidRPr="000A2E47">
        <w:rPr>
          <w:rFonts w:ascii="Times New Roman" w:eastAsia="SimHei" w:hAnsi="Times New Roman" w:cs="Times New Roman"/>
          <w:i/>
          <w:iCs/>
          <w:color w:val="000000" w:themeColor="text1"/>
          <w:kern w:val="0"/>
          <w:sz w:val="20"/>
          <w:szCs w:val="20"/>
        </w:rPr>
        <w:t>p</w:t>
      </w:r>
      <w:r w:rsidR="00B20A02" w:rsidRPr="000A2E47">
        <w:rPr>
          <w:rFonts w:ascii="Times New Roman" w:eastAsia="SimHei" w:hAnsi="Times New Roman" w:cs="Times New Roman"/>
          <w:color w:val="000000" w:themeColor="text1"/>
          <w:kern w:val="0"/>
          <w:sz w:val="20"/>
          <w:szCs w:val="20"/>
        </w:rPr>
        <w:t xml:space="preserve"> &lt; 0.05). Different capital letters “A~</w:t>
      </w:r>
      <w:r w:rsidR="00B20A02">
        <w:rPr>
          <w:rFonts w:ascii="Times New Roman" w:eastAsia="SimHei" w:hAnsi="Times New Roman" w:cs="Times New Roman"/>
          <w:color w:val="000000" w:themeColor="text1"/>
          <w:kern w:val="0"/>
          <w:sz w:val="20"/>
          <w:szCs w:val="20"/>
        </w:rPr>
        <w:t>D</w:t>
      </w:r>
      <w:r w:rsidR="00B20A02" w:rsidRPr="000A2E47">
        <w:rPr>
          <w:rFonts w:ascii="Times New Roman" w:eastAsia="SimHei" w:hAnsi="Times New Roman" w:cs="Times New Roman"/>
          <w:color w:val="000000" w:themeColor="text1"/>
          <w:kern w:val="0"/>
          <w:sz w:val="20"/>
          <w:szCs w:val="20"/>
        </w:rPr>
        <w:t xml:space="preserve">” denote the difference between </w:t>
      </w:r>
      <w:r w:rsidR="00B20A02">
        <w:rPr>
          <w:rFonts w:ascii="Times New Roman" w:eastAsia="SimHei" w:hAnsi="Times New Roman" w:cs="Times New Roman"/>
          <w:color w:val="000000" w:themeColor="text1"/>
          <w:kern w:val="0"/>
          <w:sz w:val="20"/>
          <w:szCs w:val="20"/>
        </w:rPr>
        <w:t>Se(VI)</w:t>
      </w:r>
      <w:r w:rsidR="00B20A02" w:rsidRPr="000A2E47">
        <w:rPr>
          <w:rFonts w:ascii="Times New Roman" w:eastAsia="SimHei" w:hAnsi="Times New Roman" w:cs="Times New Roman"/>
          <w:color w:val="000000" w:themeColor="text1"/>
          <w:kern w:val="0"/>
          <w:sz w:val="20"/>
          <w:szCs w:val="20"/>
        </w:rPr>
        <w:t xml:space="preserve"> treatments (</w:t>
      </w:r>
      <w:r w:rsidR="00B20A02" w:rsidRPr="000A2E47">
        <w:rPr>
          <w:rFonts w:ascii="Times New Roman" w:eastAsia="SimHei" w:hAnsi="Times New Roman" w:cs="Times New Roman"/>
          <w:i/>
          <w:iCs/>
          <w:color w:val="000000" w:themeColor="text1"/>
          <w:kern w:val="0"/>
          <w:sz w:val="20"/>
          <w:szCs w:val="20"/>
        </w:rPr>
        <w:t>p</w:t>
      </w:r>
      <w:r w:rsidR="00B20A02" w:rsidRPr="000A2E47">
        <w:rPr>
          <w:rFonts w:ascii="Times New Roman" w:eastAsia="SimHei" w:hAnsi="Times New Roman" w:cs="Times New Roman"/>
          <w:color w:val="000000" w:themeColor="text1"/>
          <w:kern w:val="0"/>
          <w:sz w:val="20"/>
          <w:szCs w:val="20"/>
        </w:rPr>
        <w:t xml:space="preserve"> &lt; 0.05)</w:t>
      </w:r>
      <w:r w:rsidR="000A2E47" w:rsidRPr="000A2E47">
        <w:rPr>
          <w:rFonts w:ascii="Times New Roman" w:eastAsia="SimHei" w:hAnsi="Times New Roman" w:cs="Times New Roman"/>
          <w:color w:val="000000" w:themeColor="text1"/>
          <w:kern w:val="0"/>
          <w:sz w:val="20"/>
          <w:szCs w:val="20"/>
        </w:rPr>
        <w:t>.</w:t>
      </w:r>
    </w:p>
    <w:p w14:paraId="4D8D137C" w14:textId="1A5CE307" w:rsidR="00AD39EB" w:rsidRDefault="007512ED" w:rsidP="00FD0E28">
      <w:pPr>
        <w:widowControl/>
        <w:adjustRightInd w:val="0"/>
        <w:snapToGrid w:val="0"/>
        <w:spacing w:afterLines="50" w:after="156" w:line="480" w:lineRule="auto"/>
        <w:rPr>
          <w:rFonts w:ascii="Times New Roman" w:eastAsia="SimHei" w:hAnsi="Times New Roman" w:cs="Times New Roman"/>
          <w:color w:val="000000" w:themeColor="text1"/>
          <w:kern w:val="0"/>
          <w:sz w:val="20"/>
          <w:szCs w:val="20"/>
        </w:rPr>
      </w:pPr>
      <w:r>
        <w:rPr>
          <w:noProof/>
        </w:rPr>
        <w:lastRenderedPageBreak/>
        <w:drawing>
          <wp:anchor distT="0" distB="0" distL="114300" distR="114300" simplePos="0" relativeHeight="251660288" behindDoc="0" locked="0" layoutInCell="1" allowOverlap="1" wp14:anchorId="787E43C1" wp14:editId="40A82EEB">
            <wp:simplePos x="0" y="0"/>
            <wp:positionH relativeFrom="margin">
              <wp:align>center</wp:align>
            </wp:positionH>
            <wp:positionV relativeFrom="paragraph">
              <wp:posOffset>5938</wp:posOffset>
            </wp:positionV>
            <wp:extent cx="4245390" cy="3304208"/>
            <wp:effectExtent l="0" t="0" r="3175" b="0"/>
            <wp:wrapSquare wrapText="bothSides"/>
            <wp:docPr id="1" name="图表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14:paraId="680C501B" w14:textId="77777777" w:rsidR="007512ED" w:rsidRDefault="007512ED" w:rsidP="00FD0E28">
      <w:pPr>
        <w:widowControl/>
        <w:adjustRightInd w:val="0"/>
        <w:snapToGrid w:val="0"/>
        <w:spacing w:afterLines="50" w:after="156" w:line="480" w:lineRule="auto"/>
        <w:rPr>
          <w:rFonts w:ascii="Times New Roman" w:eastAsia="SimHei" w:hAnsi="Times New Roman" w:cs="Times New Roman"/>
          <w:color w:val="000000" w:themeColor="text1"/>
          <w:kern w:val="0"/>
          <w:sz w:val="20"/>
          <w:szCs w:val="20"/>
        </w:rPr>
      </w:pPr>
    </w:p>
    <w:p w14:paraId="5B9510FF" w14:textId="77777777" w:rsidR="007512ED" w:rsidRDefault="007512ED" w:rsidP="00FD0E28">
      <w:pPr>
        <w:widowControl/>
        <w:adjustRightInd w:val="0"/>
        <w:snapToGrid w:val="0"/>
        <w:spacing w:afterLines="50" w:after="156" w:line="480" w:lineRule="auto"/>
        <w:rPr>
          <w:rFonts w:ascii="Times New Roman" w:eastAsia="SimHei" w:hAnsi="Times New Roman" w:cs="Times New Roman"/>
          <w:color w:val="000000" w:themeColor="text1"/>
          <w:kern w:val="0"/>
          <w:sz w:val="20"/>
          <w:szCs w:val="20"/>
        </w:rPr>
      </w:pPr>
    </w:p>
    <w:p w14:paraId="7AB3C2A3" w14:textId="77777777" w:rsidR="007512ED" w:rsidRDefault="007512ED" w:rsidP="00FD0E28">
      <w:pPr>
        <w:widowControl/>
        <w:adjustRightInd w:val="0"/>
        <w:snapToGrid w:val="0"/>
        <w:spacing w:afterLines="50" w:after="156" w:line="480" w:lineRule="auto"/>
        <w:rPr>
          <w:rFonts w:ascii="Times New Roman" w:eastAsia="SimHei" w:hAnsi="Times New Roman" w:cs="Times New Roman"/>
          <w:color w:val="000000" w:themeColor="text1"/>
          <w:kern w:val="0"/>
          <w:sz w:val="20"/>
          <w:szCs w:val="20"/>
        </w:rPr>
      </w:pPr>
    </w:p>
    <w:p w14:paraId="51521061" w14:textId="77777777" w:rsidR="007512ED" w:rsidRDefault="007512ED" w:rsidP="00FD0E28">
      <w:pPr>
        <w:widowControl/>
        <w:adjustRightInd w:val="0"/>
        <w:snapToGrid w:val="0"/>
        <w:spacing w:afterLines="50" w:after="156" w:line="480" w:lineRule="auto"/>
        <w:rPr>
          <w:rFonts w:ascii="Times New Roman" w:eastAsia="SimHei" w:hAnsi="Times New Roman" w:cs="Times New Roman"/>
          <w:color w:val="000000" w:themeColor="text1"/>
          <w:kern w:val="0"/>
          <w:sz w:val="20"/>
          <w:szCs w:val="20"/>
        </w:rPr>
      </w:pPr>
    </w:p>
    <w:p w14:paraId="66D056F5" w14:textId="77777777" w:rsidR="007512ED" w:rsidRDefault="007512ED" w:rsidP="00FD0E28">
      <w:pPr>
        <w:widowControl/>
        <w:adjustRightInd w:val="0"/>
        <w:snapToGrid w:val="0"/>
        <w:spacing w:afterLines="50" w:after="156" w:line="480" w:lineRule="auto"/>
        <w:rPr>
          <w:rFonts w:ascii="Times New Roman" w:eastAsia="SimHei" w:hAnsi="Times New Roman" w:cs="Times New Roman"/>
          <w:color w:val="000000" w:themeColor="text1"/>
          <w:kern w:val="0"/>
          <w:sz w:val="20"/>
          <w:szCs w:val="20"/>
        </w:rPr>
      </w:pPr>
    </w:p>
    <w:p w14:paraId="0E0CBEB3" w14:textId="77777777" w:rsidR="007512ED" w:rsidRDefault="007512ED" w:rsidP="00FD0E28">
      <w:pPr>
        <w:widowControl/>
        <w:adjustRightInd w:val="0"/>
        <w:snapToGrid w:val="0"/>
        <w:spacing w:afterLines="50" w:after="156" w:line="480" w:lineRule="auto"/>
        <w:rPr>
          <w:rFonts w:ascii="Times New Roman" w:eastAsia="SimHei" w:hAnsi="Times New Roman" w:cs="Times New Roman"/>
          <w:color w:val="000000" w:themeColor="text1"/>
          <w:kern w:val="0"/>
          <w:sz w:val="20"/>
          <w:szCs w:val="20"/>
        </w:rPr>
      </w:pPr>
    </w:p>
    <w:p w14:paraId="09F193AB" w14:textId="77777777" w:rsidR="007512ED" w:rsidRDefault="007512ED" w:rsidP="00FD0E28">
      <w:pPr>
        <w:widowControl/>
        <w:adjustRightInd w:val="0"/>
        <w:snapToGrid w:val="0"/>
        <w:spacing w:afterLines="50" w:after="156" w:line="480" w:lineRule="auto"/>
        <w:rPr>
          <w:rFonts w:ascii="Times New Roman" w:eastAsia="SimHei" w:hAnsi="Times New Roman" w:cs="Times New Roman"/>
          <w:color w:val="000000" w:themeColor="text1"/>
          <w:kern w:val="0"/>
          <w:sz w:val="20"/>
          <w:szCs w:val="20"/>
        </w:rPr>
      </w:pPr>
    </w:p>
    <w:p w14:paraId="24C10E1D" w14:textId="77777777" w:rsidR="007512ED" w:rsidRPr="0042724B" w:rsidRDefault="007512ED" w:rsidP="007512ED">
      <w:pPr>
        <w:widowControl/>
        <w:spacing w:afterLines="50" w:after="156" w:line="480" w:lineRule="auto"/>
        <w:ind w:firstLine="482"/>
        <w:jc w:val="center"/>
        <w:rPr>
          <w:rFonts w:ascii="Times New Roman" w:eastAsia="SimHei" w:hAnsi="Times New Roman" w:cs="Times New Roman"/>
          <w:color w:val="000000" w:themeColor="text1"/>
          <w:kern w:val="0"/>
          <w:sz w:val="20"/>
          <w:szCs w:val="20"/>
        </w:rPr>
      </w:pPr>
      <w:r w:rsidRPr="00622EFF">
        <w:rPr>
          <w:rFonts w:ascii="Times New Roman" w:eastAsia="SimHei" w:hAnsi="Times New Roman" w:cs="Times New Roman"/>
          <w:b/>
          <w:bCs/>
          <w:color w:val="000000" w:themeColor="text1"/>
          <w:kern w:val="0"/>
          <w:sz w:val="20"/>
          <w:szCs w:val="20"/>
        </w:rPr>
        <w:t>Figure S</w:t>
      </w:r>
      <w:r>
        <w:rPr>
          <w:rFonts w:ascii="Times New Roman" w:eastAsia="SimHei" w:hAnsi="Times New Roman" w:cs="Times New Roman"/>
          <w:b/>
          <w:bCs/>
          <w:color w:val="000000" w:themeColor="text1"/>
          <w:kern w:val="0"/>
          <w:sz w:val="20"/>
          <w:szCs w:val="20"/>
        </w:rPr>
        <w:t>2</w:t>
      </w:r>
      <w:r w:rsidRPr="00F4186A">
        <w:rPr>
          <w:rFonts w:ascii="Times New Roman" w:eastAsia="SimHei" w:hAnsi="Times New Roman" w:cs="Times New Roman"/>
          <w:color w:val="000000" w:themeColor="text1"/>
          <w:kern w:val="0"/>
          <w:sz w:val="20"/>
          <w:szCs w:val="20"/>
        </w:rPr>
        <w:t xml:space="preserve"> </w:t>
      </w:r>
      <w:r w:rsidRPr="00B22F02">
        <w:rPr>
          <w:rFonts w:ascii="Times New Roman" w:eastAsia="SimHei" w:hAnsi="Times New Roman" w:cs="Times New Roman"/>
          <w:color w:val="000000" w:themeColor="text1"/>
          <w:kern w:val="0"/>
          <w:sz w:val="20"/>
          <w:szCs w:val="20"/>
        </w:rPr>
        <w:t xml:space="preserve">The Se lost </w:t>
      </w:r>
      <w:r>
        <w:rPr>
          <w:rFonts w:ascii="Times New Roman" w:eastAsia="SimHei" w:hAnsi="Times New Roman" w:cs="Times New Roman"/>
          <w:color w:val="000000" w:themeColor="text1"/>
          <w:kern w:val="0"/>
          <w:sz w:val="20"/>
          <w:szCs w:val="20"/>
        </w:rPr>
        <w:t xml:space="preserve">content and proportion </w:t>
      </w:r>
      <w:r w:rsidRPr="00B22F02">
        <w:rPr>
          <w:rFonts w:ascii="Times New Roman" w:eastAsia="SimHei" w:hAnsi="Times New Roman" w:cs="Times New Roman"/>
          <w:color w:val="000000" w:themeColor="text1"/>
          <w:kern w:val="0"/>
          <w:sz w:val="20"/>
          <w:szCs w:val="20"/>
        </w:rPr>
        <w:t xml:space="preserve">in wheat flour </w:t>
      </w:r>
      <w:r>
        <w:rPr>
          <w:rFonts w:ascii="Times New Roman" w:eastAsia="SimHei" w:hAnsi="Times New Roman" w:cs="Times New Roman"/>
          <w:color w:val="000000" w:themeColor="text1"/>
          <w:kern w:val="0"/>
          <w:sz w:val="20"/>
          <w:szCs w:val="20"/>
        </w:rPr>
        <w:t>under different Se treatments</w:t>
      </w:r>
      <w:r w:rsidRPr="00F4186A">
        <w:rPr>
          <w:rFonts w:ascii="Times New Roman" w:eastAsia="SimHei" w:hAnsi="Times New Roman" w:cs="Times New Roman"/>
          <w:color w:val="000000" w:themeColor="text1"/>
          <w:kern w:val="0"/>
          <w:sz w:val="20"/>
          <w:szCs w:val="20"/>
        </w:rPr>
        <w:t>.</w:t>
      </w:r>
    </w:p>
    <w:p w14:paraId="028289BD" w14:textId="56EBAA73" w:rsidR="007512ED" w:rsidRPr="007512ED" w:rsidRDefault="007512ED" w:rsidP="00FD0E28">
      <w:pPr>
        <w:widowControl/>
        <w:adjustRightInd w:val="0"/>
        <w:snapToGrid w:val="0"/>
        <w:spacing w:afterLines="50" w:after="156" w:line="480" w:lineRule="auto"/>
        <w:rPr>
          <w:rFonts w:ascii="Times New Roman" w:eastAsia="SimHei" w:hAnsi="Times New Roman" w:cs="Times New Roman"/>
          <w:color w:val="000000" w:themeColor="text1"/>
          <w:kern w:val="0"/>
          <w:sz w:val="20"/>
          <w:szCs w:val="20"/>
        </w:rPr>
        <w:sectPr w:rsidR="007512ED" w:rsidRPr="007512ED" w:rsidSect="009A202A">
          <w:pgSz w:w="11906" w:h="16838"/>
          <w:pgMar w:top="1440" w:right="1800" w:bottom="1440" w:left="1800" w:header="851" w:footer="992" w:gutter="0"/>
          <w:cols w:space="425"/>
          <w:docGrid w:type="lines" w:linePitch="312"/>
        </w:sectPr>
      </w:pPr>
    </w:p>
    <w:p w14:paraId="47BA5EED" w14:textId="3741BE0E" w:rsidR="00102C6B" w:rsidRDefault="00AD39EB" w:rsidP="00434D23">
      <w:pPr>
        <w:widowControl/>
        <w:adjustRightInd w:val="0"/>
        <w:snapToGrid w:val="0"/>
        <w:spacing w:afterLines="50" w:after="156" w:line="360" w:lineRule="auto"/>
        <w:rPr>
          <w:rFonts w:ascii="Times New Roman" w:eastAsia="SimHei" w:hAnsi="Times New Roman" w:cs="Times New Roman"/>
          <w:color w:val="000000" w:themeColor="text1"/>
          <w:kern w:val="0"/>
          <w:sz w:val="20"/>
          <w:szCs w:val="20"/>
        </w:rPr>
      </w:pPr>
      <w:r>
        <w:rPr>
          <w:rFonts w:ascii="Times New Roman" w:eastAsia="SimHei" w:hAnsi="Times New Roman" w:cs="Times New Roman"/>
          <w:noProof/>
          <w:color w:val="000000" w:themeColor="text1"/>
          <w:kern w:val="0"/>
          <w:sz w:val="20"/>
          <w:szCs w:val="20"/>
        </w:rPr>
        <w:lastRenderedPageBreak/>
        <w:drawing>
          <wp:anchor distT="0" distB="0" distL="114300" distR="114300" simplePos="0" relativeHeight="251659264" behindDoc="0" locked="0" layoutInCell="1" allowOverlap="1" wp14:anchorId="1FF29EB5" wp14:editId="7879CAA9">
            <wp:simplePos x="0" y="0"/>
            <wp:positionH relativeFrom="margin">
              <wp:align>center</wp:align>
            </wp:positionH>
            <wp:positionV relativeFrom="paragraph">
              <wp:posOffset>0</wp:posOffset>
            </wp:positionV>
            <wp:extent cx="5672455" cy="4162425"/>
            <wp:effectExtent l="0" t="0" r="4445" b="952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72455" cy="4162425"/>
                    </a:xfrm>
                    <a:prstGeom prst="rect">
                      <a:avLst/>
                    </a:prstGeom>
                    <a:noFill/>
                  </pic:spPr>
                </pic:pic>
              </a:graphicData>
            </a:graphic>
            <wp14:sizeRelH relativeFrom="page">
              <wp14:pctWidth>0</wp14:pctWidth>
            </wp14:sizeRelH>
            <wp14:sizeRelV relativeFrom="page">
              <wp14:pctHeight>0</wp14:pctHeight>
            </wp14:sizeRelV>
          </wp:anchor>
        </w:drawing>
      </w:r>
    </w:p>
    <w:p w14:paraId="358975FE" w14:textId="71DC3523" w:rsidR="00B15DA0" w:rsidRDefault="002C5D09" w:rsidP="002C5D09">
      <w:pPr>
        <w:widowControl/>
        <w:adjustRightInd w:val="0"/>
        <w:snapToGrid w:val="0"/>
        <w:spacing w:afterLines="50" w:after="156" w:line="360" w:lineRule="auto"/>
        <w:jc w:val="center"/>
        <w:rPr>
          <w:rFonts w:ascii="Times New Roman" w:eastAsia="SimHei" w:hAnsi="Times New Roman" w:cs="Times New Roman"/>
          <w:color w:val="000000" w:themeColor="text1"/>
          <w:kern w:val="0"/>
          <w:sz w:val="20"/>
          <w:szCs w:val="20"/>
        </w:rPr>
      </w:pPr>
      <w:bookmarkStart w:id="2" w:name="_Hlk101872745"/>
      <w:r>
        <w:rPr>
          <w:rFonts w:ascii="Times New Roman" w:eastAsia="SimHei" w:hAnsi="Times New Roman" w:cs="Times New Roman"/>
          <w:b/>
          <w:color w:val="000000" w:themeColor="text1"/>
          <w:kern w:val="0"/>
          <w:sz w:val="20"/>
          <w:szCs w:val="20"/>
        </w:rPr>
        <w:t>Figure</w:t>
      </w:r>
      <w:r w:rsidRPr="007418B5">
        <w:rPr>
          <w:rFonts w:ascii="Times New Roman" w:eastAsia="SimHei" w:hAnsi="Times New Roman" w:cs="Times New Roman"/>
          <w:b/>
          <w:color w:val="000000" w:themeColor="text1"/>
          <w:kern w:val="0"/>
          <w:sz w:val="20"/>
          <w:szCs w:val="20"/>
        </w:rPr>
        <w:t xml:space="preserve"> </w:t>
      </w:r>
      <w:r>
        <w:rPr>
          <w:rFonts w:ascii="Times New Roman" w:eastAsia="SimHei" w:hAnsi="Times New Roman" w:cs="Times New Roman"/>
          <w:b/>
          <w:color w:val="000000" w:themeColor="text1"/>
          <w:kern w:val="0"/>
          <w:sz w:val="20"/>
          <w:szCs w:val="20"/>
        </w:rPr>
        <w:t>S</w:t>
      </w:r>
      <w:r w:rsidR="004E6E2D">
        <w:rPr>
          <w:rFonts w:ascii="Times New Roman" w:eastAsia="SimHei" w:hAnsi="Times New Roman" w:cs="Times New Roman"/>
          <w:b/>
          <w:color w:val="000000" w:themeColor="text1"/>
          <w:kern w:val="0"/>
          <w:sz w:val="20"/>
          <w:szCs w:val="20"/>
        </w:rPr>
        <w:t>3</w:t>
      </w:r>
      <w:r w:rsidRPr="007418B5">
        <w:rPr>
          <w:rFonts w:ascii="Times New Roman" w:eastAsia="SimHei" w:hAnsi="Times New Roman" w:cs="Times New Roman"/>
          <w:color w:val="000000" w:themeColor="text1"/>
          <w:kern w:val="0"/>
          <w:sz w:val="20"/>
          <w:szCs w:val="20"/>
        </w:rPr>
        <w:t xml:space="preserve"> </w:t>
      </w:r>
      <w:r w:rsidRPr="00A865F0">
        <w:rPr>
          <w:rFonts w:ascii="Times New Roman" w:eastAsia="SimHei" w:hAnsi="Times New Roman" w:cs="Times New Roman"/>
          <w:color w:val="000000" w:themeColor="text1"/>
          <w:kern w:val="0"/>
          <w:sz w:val="20"/>
          <w:szCs w:val="20"/>
        </w:rPr>
        <w:t>Basic growth indicators of wheat</w:t>
      </w:r>
      <w:r>
        <w:rPr>
          <w:rFonts w:ascii="Times New Roman" w:eastAsia="SimHei" w:hAnsi="Times New Roman" w:cs="Times New Roman"/>
          <w:color w:val="000000" w:themeColor="text1"/>
          <w:kern w:val="0"/>
          <w:sz w:val="20"/>
          <w:szCs w:val="20"/>
        </w:rPr>
        <w:t xml:space="preserve"> under different Se treatments.</w:t>
      </w:r>
    </w:p>
    <w:bookmarkEnd w:id="2"/>
    <w:p w14:paraId="0ACEDB21" w14:textId="341325E8" w:rsidR="00963DBB" w:rsidRDefault="002C5D09" w:rsidP="00080802">
      <w:pPr>
        <w:widowControl/>
        <w:adjustRightInd w:val="0"/>
        <w:snapToGrid w:val="0"/>
        <w:spacing w:afterLines="50" w:after="156" w:line="480" w:lineRule="auto"/>
        <w:rPr>
          <w:rFonts w:ascii="Times New Roman" w:eastAsia="SimHei" w:hAnsi="Times New Roman" w:cs="Times New Roman"/>
          <w:color w:val="000000" w:themeColor="text1"/>
          <w:kern w:val="0"/>
          <w:sz w:val="20"/>
          <w:szCs w:val="20"/>
        </w:rPr>
      </w:pPr>
      <w:r>
        <w:rPr>
          <w:rFonts w:ascii="Times New Roman" w:eastAsia="SimHei" w:hAnsi="Times New Roman" w:cs="Times New Roman" w:hint="eastAsia"/>
          <w:color w:val="000000" w:themeColor="text1"/>
          <w:kern w:val="0"/>
          <w:sz w:val="20"/>
          <w:szCs w:val="20"/>
        </w:rPr>
        <w:t>N</w:t>
      </w:r>
      <w:r>
        <w:rPr>
          <w:rFonts w:ascii="Times New Roman" w:eastAsia="SimHei" w:hAnsi="Times New Roman" w:cs="Times New Roman"/>
          <w:color w:val="000000" w:themeColor="text1"/>
          <w:kern w:val="0"/>
          <w:sz w:val="20"/>
          <w:szCs w:val="20"/>
        </w:rPr>
        <w:t>ote: (a) and (</w:t>
      </w:r>
      <w:r w:rsidR="00291416">
        <w:rPr>
          <w:rFonts w:ascii="Times New Roman" w:eastAsia="SimHei" w:hAnsi="Times New Roman" w:cs="Times New Roman"/>
          <w:color w:val="000000" w:themeColor="text1"/>
          <w:kern w:val="0"/>
          <w:sz w:val="20"/>
          <w:szCs w:val="20"/>
        </w:rPr>
        <w:t>c</w:t>
      </w:r>
      <w:r>
        <w:rPr>
          <w:rFonts w:ascii="Times New Roman" w:eastAsia="SimHei" w:hAnsi="Times New Roman" w:cs="Times New Roman"/>
          <w:color w:val="000000" w:themeColor="text1"/>
          <w:kern w:val="0"/>
          <w:sz w:val="20"/>
          <w:szCs w:val="20"/>
        </w:rPr>
        <w:t>) represent the height of the wheat of soil and foliar Se application, respectively; (</w:t>
      </w:r>
      <w:r w:rsidR="00291416">
        <w:rPr>
          <w:rFonts w:ascii="Times New Roman" w:eastAsia="SimHei" w:hAnsi="Times New Roman" w:cs="Times New Roman"/>
          <w:color w:val="000000" w:themeColor="text1"/>
          <w:kern w:val="0"/>
          <w:sz w:val="20"/>
          <w:szCs w:val="20"/>
        </w:rPr>
        <w:t>b</w:t>
      </w:r>
      <w:r>
        <w:rPr>
          <w:rFonts w:ascii="Times New Roman" w:eastAsia="SimHei" w:hAnsi="Times New Roman" w:cs="Times New Roman"/>
          <w:color w:val="000000" w:themeColor="text1"/>
          <w:kern w:val="0"/>
          <w:sz w:val="20"/>
          <w:szCs w:val="20"/>
        </w:rPr>
        <w:t xml:space="preserve">) and (d) represent the length of the rachis of the wheat of soil and foliar Se application, respectively. </w:t>
      </w:r>
      <w:r w:rsidRPr="000A2E47">
        <w:rPr>
          <w:rFonts w:ascii="Times New Roman" w:eastAsia="SimHei" w:hAnsi="Times New Roman" w:cs="Times New Roman"/>
          <w:color w:val="000000" w:themeColor="text1"/>
          <w:kern w:val="0"/>
          <w:sz w:val="20"/>
          <w:szCs w:val="20"/>
        </w:rPr>
        <w:t>F1 represents pre-flowering stage</w:t>
      </w:r>
      <w:r w:rsidR="00291416">
        <w:rPr>
          <w:rFonts w:ascii="Times New Roman" w:eastAsia="SimHei" w:hAnsi="Times New Roman" w:cs="Times New Roman"/>
          <w:color w:val="000000" w:themeColor="text1"/>
          <w:kern w:val="0"/>
          <w:sz w:val="20"/>
          <w:szCs w:val="20"/>
        </w:rPr>
        <w:t>,</w:t>
      </w:r>
      <w:r w:rsidRPr="000A2E47">
        <w:rPr>
          <w:rFonts w:ascii="Times New Roman" w:eastAsia="SimHei" w:hAnsi="Times New Roman" w:cs="Times New Roman"/>
          <w:color w:val="000000" w:themeColor="text1"/>
          <w:kern w:val="0"/>
          <w:sz w:val="20"/>
          <w:szCs w:val="20"/>
        </w:rPr>
        <w:t xml:space="preserve"> F2 represents pre-filling stage</w:t>
      </w:r>
      <w:r w:rsidR="00291416">
        <w:rPr>
          <w:rFonts w:ascii="Times New Roman" w:eastAsia="SimHei" w:hAnsi="Times New Roman" w:cs="Times New Roman"/>
          <w:color w:val="000000" w:themeColor="text1"/>
          <w:kern w:val="0"/>
          <w:sz w:val="20"/>
          <w:szCs w:val="20"/>
        </w:rPr>
        <w:t xml:space="preserve">. </w:t>
      </w:r>
      <w:r w:rsidRPr="000A2E47">
        <w:rPr>
          <w:rFonts w:ascii="Times New Roman" w:eastAsia="SimHei" w:hAnsi="Times New Roman" w:cs="Times New Roman"/>
          <w:color w:val="000000" w:themeColor="text1"/>
          <w:kern w:val="0"/>
          <w:sz w:val="20"/>
          <w:szCs w:val="20"/>
        </w:rPr>
        <w:t>Different lowercase letters “a</w:t>
      </w:r>
      <w:r>
        <w:rPr>
          <w:rFonts w:ascii="Times New Roman" w:eastAsia="SimHei" w:hAnsi="Times New Roman" w:cs="Times New Roman" w:hint="eastAsia"/>
          <w:color w:val="000000" w:themeColor="text1"/>
          <w:kern w:val="0"/>
          <w:sz w:val="20"/>
          <w:szCs w:val="20"/>
        </w:rPr>
        <w:t>-</w:t>
      </w:r>
      <w:r>
        <w:rPr>
          <w:rFonts w:ascii="Times New Roman" w:eastAsia="SimHei" w:hAnsi="Times New Roman" w:cs="Times New Roman"/>
          <w:color w:val="000000" w:themeColor="text1"/>
          <w:kern w:val="0"/>
          <w:sz w:val="20"/>
          <w:szCs w:val="20"/>
        </w:rPr>
        <w:t>c</w:t>
      </w:r>
      <w:r w:rsidRPr="000A2E47">
        <w:rPr>
          <w:rFonts w:ascii="Times New Roman" w:eastAsia="SimHei" w:hAnsi="Times New Roman" w:cs="Times New Roman"/>
          <w:color w:val="000000" w:themeColor="text1"/>
          <w:kern w:val="0"/>
          <w:sz w:val="20"/>
          <w:szCs w:val="20"/>
        </w:rPr>
        <w:t xml:space="preserve">” indicate the difference of </w:t>
      </w:r>
      <w:r>
        <w:rPr>
          <w:rFonts w:ascii="Times New Roman" w:eastAsia="SimHei" w:hAnsi="Times New Roman" w:cs="Times New Roman"/>
          <w:color w:val="000000" w:themeColor="text1"/>
          <w:kern w:val="0"/>
          <w:sz w:val="20"/>
          <w:szCs w:val="20"/>
        </w:rPr>
        <w:t>Se(IV)</w:t>
      </w:r>
      <w:r w:rsidRPr="000A2E47">
        <w:rPr>
          <w:rFonts w:ascii="Times New Roman" w:eastAsia="SimHei" w:hAnsi="Times New Roman" w:cs="Times New Roman"/>
          <w:color w:val="000000" w:themeColor="text1"/>
          <w:kern w:val="0"/>
          <w:sz w:val="20"/>
          <w:szCs w:val="20"/>
        </w:rPr>
        <w:t xml:space="preserve"> treatment</w:t>
      </w:r>
      <w:r>
        <w:rPr>
          <w:rFonts w:ascii="Times New Roman" w:eastAsia="SimHei" w:hAnsi="Times New Roman" w:cs="Times New Roman"/>
          <w:color w:val="000000" w:themeColor="text1"/>
          <w:kern w:val="0"/>
          <w:sz w:val="20"/>
          <w:szCs w:val="20"/>
        </w:rPr>
        <w:t>s</w:t>
      </w:r>
      <w:r w:rsidRPr="000A2E47">
        <w:rPr>
          <w:rFonts w:ascii="Times New Roman" w:eastAsia="SimHei" w:hAnsi="Times New Roman" w:cs="Times New Roman"/>
          <w:color w:val="000000" w:themeColor="text1"/>
          <w:kern w:val="0"/>
          <w:sz w:val="20"/>
          <w:szCs w:val="20"/>
        </w:rPr>
        <w:t xml:space="preserve"> (</w:t>
      </w:r>
      <w:r w:rsidRPr="000A2E47">
        <w:rPr>
          <w:rFonts w:ascii="Times New Roman" w:eastAsia="SimHei" w:hAnsi="Times New Roman" w:cs="Times New Roman"/>
          <w:i/>
          <w:iCs/>
          <w:color w:val="000000" w:themeColor="text1"/>
          <w:kern w:val="0"/>
          <w:sz w:val="20"/>
          <w:szCs w:val="20"/>
        </w:rPr>
        <w:t>p</w:t>
      </w:r>
      <w:r w:rsidRPr="000A2E47">
        <w:rPr>
          <w:rFonts w:ascii="Times New Roman" w:eastAsia="SimHei" w:hAnsi="Times New Roman" w:cs="Times New Roman"/>
          <w:color w:val="000000" w:themeColor="text1"/>
          <w:kern w:val="0"/>
          <w:sz w:val="20"/>
          <w:szCs w:val="20"/>
        </w:rPr>
        <w:t xml:space="preserve"> &lt; 0.05). Different capital letters “A</w:t>
      </w:r>
      <w:r w:rsidR="00291416">
        <w:rPr>
          <w:rFonts w:ascii="Times New Roman" w:eastAsia="SimHei" w:hAnsi="Times New Roman" w:cs="Times New Roman"/>
          <w:color w:val="000000" w:themeColor="text1"/>
          <w:kern w:val="0"/>
          <w:sz w:val="20"/>
          <w:szCs w:val="20"/>
        </w:rPr>
        <w:t>-</w:t>
      </w:r>
      <w:r>
        <w:rPr>
          <w:rFonts w:ascii="Times New Roman" w:eastAsia="SimHei" w:hAnsi="Times New Roman" w:cs="Times New Roman"/>
          <w:color w:val="000000" w:themeColor="text1"/>
          <w:kern w:val="0"/>
          <w:sz w:val="20"/>
          <w:szCs w:val="20"/>
        </w:rPr>
        <w:t>D</w:t>
      </w:r>
      <w:r w:rsidRPr="000A2E47">
        <w:rPr>
          <w:rFonts w:ascii="Times New Roman" w:eastAsia="SimHei" w:hAnsi="Times New Roman" w:cs="Times New Roman"/>
          <w:color w:val="000000" w:themeColor="text1"/>
          <w:kern w:val="0"/>
          <w:sz w:val="20"/>
          <w:szCs w:val="20"/>
        </w:rPr>
        <w:t xml:space="preserve">” denote the difference between </w:t>
      </w:r>
      <w:r>
        <w:rPr>
          <w:rFonts w:ascii="Times New Roman" w:eastAsia="SimHei" w:hAnsi="Times New Roman" w:cs="Times New Roman"/>
          <w:color w:val="000000" w:themeColor="text1"/>
          <w:kern w:val="0"/>
          <w:sz w:val="20"/>
          <w:szCs w:val="20"/>
        </w:rPr>
        <w:t>Se(VI)</w:t>
      </w:r>
      <w:r w:rsidRPr="000A2E47">
        <w:rPr>
          <w:rFonts w:ascii="Times New Roman" w:eastAsia="SimHei" w:hAnsi="Times New Roman" w:cs="Times New Roman"/>
          <w:color w:val="000000" w:themeColor="text1"/>
          <w:kern w:val="0"/>
          <w:sz w:val="20"/>
          <w:szCs w:val="20"/>
        </w:rPr>
        <w:t xml:space="preserve"> treatments (</w:t>
      </w:r>
      <w:r w:rsidRPr="000A2E47">
        <w:rPr>
          <w:rFonts w:ascii="Times New Roman" w:eastAsia="SimHei" w:hAnsi="Times New Roman" w:cs="Times New Roman"/>
          <w:i/>
          <w:iCs/>
          <w:color w:val="000000" w:themeColor="text1"/>
          <w:kern w:val="0"/>
          <w:sz w:val="20"/>
          <w:szCs w:val="20"/>
        </w:rPr>
        <w:t>p</w:t>
      </w:r>
      <w:r w:rsidRPr="000A2E47">
        <w:rPr>
          <w:rFonts w:ascii="Times New Roman" w:eastAsia="SimHei" w:hAnsi="Times New Roman" w:cs="Times New Roman"/>
          <w:color w:val="000000" w:themeColor="text1"/>
          <w:kern w:val="0"/>
          <w:sz w:val="20"/>
          <w:szCs w:val="20"/>
        </w:rPr>
        <w:t xml:space="preserve"> &lt; 0.05)</w:t>
      </w:r>
      <w:r w:rsidR="00080802">
        <w:rPr>
          <w:rFonts w:ascii="Times New Roman" w:eastAsia="SimHei" w:hAnsi="Times New Roman" w:cs="Times New Roman"/>
          <w:color w:val="000000" w:themeColor="text1"/>
          <w:kern w:val="0"/>
          <w:sz w:val="20"/>
          <w:szCs w:val="20"/>
        </w:rPr>
        <w:t>.</w:t>
      </w:r>
    </w:p>
    <w:sectPr w:rsidR="00963DBB" w:rsidSect="00963D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61D0C" w14:textId="77777777" w:rsidR="00510BB5" w:rsidRDefault="00510BB5" w:rsidP="0038485F">
      <w:r>
        <w:separator/>
      </w:r>
    </w:p>
  </w:endnote>
  <w:endnote w:type="continuationSeparator" w:id="0">
    <w:p w14:paraId="24C69FF6" w14:textId="77777777" w:rsidR="00510BB5" w:rsidRDefault="00510BB5" w:rsidP="00384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dvTimes">
    <w:altName w:val="Times New Roman"/>
    <w:panose1 w:val="00000000000000000000"/>
    <w:charset w:val="00"/>
    <w:family w:val="roman"/>
    <w:notTrueType/>
    <w:pitch w:val="default"/>
    <w:sig w:usb0="00000001" w:usb1="080E0000" w:usb2="00000010" w:usb3="00000000" w:csb0="00040000" w:csb1="00000000"/>
  </w:font>
  <w:font w:name="SimHei">
    <w:altName w:val="Microsoft YaHei"/>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EA980" w14:textId="77777777" w:rsidR="00510BB5" w:rsidRDefault="00510BB5" w:rsidP="0038485F">
      <w:r>
        <w:separator/>
      </w:r>
    </w:p>
  </w:footnote>
  <w:footnote w:type="continuationSeparator" w:id="0">
    <w:p w14:paraId="42231A19" w14:textId="77777777" w:rsidR="00510BB5" w:rsidRDefault="00510BB5" w:rsidP="003848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BD0492"/>
    <w:multiLevelType w:val="hybridMultilevel"/>
    <w:tmpl w:val="B7E686C8"/>
    <w:lvl w:ilvl="0" w:tplc="1AD6D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FA527E8"/>
    <w:multiLevelType w:val="hybridMultilevel"/>
    <w:tmpl w:val="4AF0600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378287426">
    <w:abstractNumId w:val="0"/>
  </w:num>
  <w:num w:numId="2" w16cid:durableId="11541399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99C"/>
    <w:rsid w:val="0000771D"/>
    <w:rsid w:val="0001134E"/>
    <w:rsid w:val="0002053C"/>
    <w:rsid w:val="00020932"/>
    <w:rsid w:val="00027982"/>
    <w:rsid w:val="00042870"/>
    <w:rsid w:val="000704E0"/>
    <w:rsid w:val="00070C5B"/>
    <w:rsid w:val="00076A57"/>
    <w:rsid w:val="00080802"/>
    <w:rsid w:val="000808E1"/>
    <w:rsid w:val="00084C7C"/>
    <w:rsid w:val="000A1C64"/>
    <w:rsid w:val="000A2E47"/>
    <w:rsid w:val="000A3A48"/>
    <w:rsid w:val="000C67EC"/>
    <w:rsid w:val="000E63E8"/>
    <w:rsid w:val="00102C6B"/>
    <w:rsid w:val="00134520"/>
    <w:rsid w:val="001428E1"/>
    <w:rsid w:val="001670EE"/>
    <w:rsid w:val="00171D2A"/>
    <w:rsid w:val="001822B9"/>
    <w:rsid w:val="0019212E"/>
    <w:rsid w:val="00193C98"/>
    <w:rsid w:val="001A4C20"/>
    <w:rsid w:val="001A7B31"/>
    <w:rsid w:val="001B3DC1"/>
    <w:rsid w:val="001E134F"/>
    <w:rsid w:val="001E7B77"/>
    <w:rsid w:val="001F4B5C"/>
    <w:rsid w:val="001F76F4"/>
    <w:rsid w:val="00200FBD"/>
    <w:rsid w:val="002032BA"/>
    <w:rsid w:val="0020563E"/>
    <w:rsid w:val="00207F6C"/>
    <w:rsid w:val="00214F43"/>
    <w:rsid w:val="00221C7D"/>
    <w:rsid w:val="00225E1E"/>
    <w:rsid w:val="00235567"/>
    <w:rsid w:val="00245303"/>
    <w:rsid w:val="00261EED"/>
    <w:rsid w:val="00286801"/>
    <w:rsid w:val="00291416"/>
    <w:rsid w:val="002A2872"/>
    <w:rsid w:val="002A4C44"/>
    <w:rsid w:val="002B2134"/>
    <w:rsid w:val="002C4932"/>
    <w:rsid w:val="002C5D09"/>
    <w:rsid w:val="003149B9"/>
    <w:rsid w:val="00346BD1"/>
    <w:rsid w:val="00360812"/>
    <w:rsid w:val="00360861"/>
    <w:rsid w:val="00374C34"/>
    <w:rsid w:val="0038485F"/>
    <w:rsid w:val="00390F74"/>
    <w:rsid w:val="003A36CA"/>
    <w:rsid w:val="003B190A"/>
    <w:rsid w:val="003E0905"/>
    <w:rsid w:val="00405AC6"/>
    <w:rsid w:val="004101CB"/>
    <w:rsid w:val="0042724B"/>
    <w:rsid w:val="00434D23"/>
    <w:rsid w:val="00444F9F"/>
    <w:rsid w:val="00457497"/>
    <w:rsid w:val="004659A0"/>
    <w:rsid w:val="00465FDA"/>
    <w:rsid w:val="00466269"/>
    <w:rsid w:val="00471EA1"/>
    <w:rsid w:val="00480652"/>
    <w:rsid w:val="004958EC"/>
    <w:rsid w:val="004A43B4"/>
    <w:rsid w:val="004A4728"/>
    <w:rsid w:val="004B7110"/>
    <w:rsid w:val="004C1858"/>
    <w:rsid w:val="004C4372"/>
    <w:rsid w:val="004D2191"/>
    <w:rsid w:val="004D4BCC"/>
    <w:rsid w:val="004E131D"/>
    <w:rsid w:val="004E6E2D"/>
    <w:rsid w:val="004E74BE"/>
    <w:rsid w:val="004E7E17"/>
    <w:rsid w:val="00510BB5"/>
    <w:rsid w:val="00514B6B"/>
    <w:rsid w:val="00520B50"/>
    <w:rsid w:val="005216BD"/>
    <w:rsid w:val="00521C1C"/>
    <w:rsid w:val="00534283"/>
    <w:rsid w:val="00537049"/>
    <w:rsid w:val="00551797"/>
    <w:rsid w:val="00551C8D"/>
    <w:rsid w:val="00556681"/>
    <w:rsid w:val="005607D8"/>
    <w:rsid w:val="00572CC8"/>
    <w:rsid w:val="00581895"/>
    <w:rsid w:val="00582DFB"/>
    <w:rsid w:val="005B23C6"/>
    <w:rsid w:val="005B5A60"/>
    <w:rsid w:val="005C021B"/>
    <w:rsid w:val="005F1D7A"/>
    <w:rsid w:val="005F620F"/>
    <w:rsid w:val="005F7F55"/>
    <w:rsid w:val="006012D7"/>
    <w:rsid w:val="00605583"/>
    <w:rsid w:val="00613431"/>
    <w:rsid w:val="00613AA5"/>
    <w:rsid w:val="00622EFF"/>
    <w:rsid w:val="006231BD"/>
    <w:rsid w:val="00644778"/>
    <w:rsid w:val="00653BCA"/>
    <w:rsid w:val="0065446D"/>
    <w:rsid w:val="00655034"/>
    <w:rsid w:val="00663956"/>
    <w:rsid w:val="00664E31"/>
    <w:rsid w:val="0066526A"/>
    <w:rsid w:val="00666675"/>
    <w:rsid w:val="006905DB"/>
    <w:rsid w:val="006908F4"/>
    <w:rsid w:val="00695DFB"/>
    <w:rsid w:val="006A2DBC"/>
    <w:rsid w:val="006B7101"/>
    <w:rsid w:val="006C30D2"/>
    <w:rsid w:val="006C7747"/>
    <w:rsid w:val="006D6BE7"/>
    <w:rsid w:val="006E6B5A"/>
    <w:rsid w:val="006F50E6"/>
    <w:rsid w:val="00700B5E"/>
    <w:rsid w:val="00710777"/>
    <w:rsid w:val="00721BBD"/>
    <w:rsid w:val="0072558E"/>
    <w:rsid w:val="007313A7"/>
    <w:rsid w:val="007418B5"/>
    <w:rsid w:val="007457C5"/>
    <w:rsid w:val="007512ED"/>
    <w:rsid w:val="007546CA"/>
    <w:rsid w:val="00755D69"/>
    <w:rsid w:val="00757C7E"/>
    <w:rsid w:val="00760A85"/>
    <w:rsid w:val="00761B09"/>
    <w:rsid w:val="00761C36"/>
    <w:rsid w:val="00771552"/>
    <w:rsid w:val="00771BAD"/>
    <w:rsid w:val="00775546"/>
    <w:rsid w:val="007821C6"/>
    <w:rsid w:val="00782B85"/>
    <w:rsid w:val="00784CDC"/>
    <w:rsid w:val="007954B4"/>
    <w:rsid w:val="0079589C"/>
    <w:rsid w:val="007A1B76"/>
    <w:rsid w:val="007A2E03"/>
    <w:rsid w:val="007B467A"/>
    <w:rsid w:val="007B7CE0"/>
    <w:rsid w:val="007C40D1"/>
    <w:rsid w:val="007C5341"/>
    <w:rsid w:val="007E2708"/>
    <w:rsid w:val="007E5FED"/>
    <w:rsid w:val="007E7156"/>
    <w:rsid w:val="007F243F"/>
    <w:rsid w:val="007F55E3"/>
    <w:rsid w:val="00820A14"/>
    <w:rsid w:val="0082622A"/>
    <w:rsid w:val="00826853"/>
    <w:rsid w:val="00826D3B"/>
    <w:rsid w:val="008476DE"/>
    <w:rsid w:val="00847E82"/>
    <w:rsid w:val="00860FF2"/>
    <w:rsid w:val="00871CD4"/>
    <w:rsid w:val="00874B74"/>
    <w:rsid w:val="008758CE"/>
    <w:rsid w:val="008801E5"/>
    <w:rsid w:val="00894028"/>
    <w:rsid w:val="008C4F9F"/>
    <w:rsid w:val="008D1A60"/>
    <w:rsid w:val="008F7EA3"/>
    <w:rsid w:val="009075DF"/>
    <w:rsid w:val="00910C6E"/>
    <w:rsid w:val="00923C79"/>
    <w:rsid w:val="009251CB"/>
    <w:rsid w:val="00963DBB"/>
    <w:rsid w:val="00975D2A"/>
    <w:rsid w:val="009812A3"/>
    <w:rsid w:val="00992BC4"/>
    <w:rsid w:val="009A202A"/>
    <w:rsid w:val="009A7F94"/>
    <w:rsid w:val="009B2DA4"/>
    <w:rsid w:val="009C0B93"/>
    <w:rsid w:val="009D3047"/>
    <w:rsid w:val="009D6F3F"/>
    <w:rsid w:val="009F0013"/>
    <w:rsid w:val="00A12DED"/>
    <w:rsid w:val="00A450FF"/>
    <w:rsid w:val="00A469B9"/>
    <w:rsid w:val="00A514B2"/>
    <w:rsid w:val="00A569BB"/>
    <w:rsid w:val="00A624AF"/>
    <w:rsid w:val="00A64787"/>
    <w:rsid w:val="00A865F0"/>
    <w:rsid w:val="00A91F82"/>
    <w:rsid w:val="00AA08C1"/>
    <w:rsid w:val="00AA57AB"/>
    <w:rsid w:val="00AB611A"/>
    <w:rsid w:val="00AC1BCF"/>
    <w:rsid w:val="00AC77BC"/>
    <w:rsid w:val="00AD2CDB"/>
    <w:rsid w:val="00AD39EB"/>
    <w:rsid w:val="00AF36E5"/>
    <w:rsid w:val="00AF5619"/>
    <w:rsid w:val="00B0017D"/>
    <w:rsid w:val="00B13BC8"/>
    <w:rsid w:val="00B15DA0"/>
    <w:rsid w:val="00B20A02"/>
    <w:rsid w:val="00B2193C"/>
    <w:rsid w:val="00B22F02"/>
    <w:rsid w:val="00B24F89"/>
    <w:rsid w:val="00B4633E"/>
    <w:rsid w:val="00B478EB"/>
    <w:rsid w:val="00B503BC"/>
    <w:rsid w:val="00B61360"/>
    <w:rsid w:val="00B62645"/>
    <w:rsid w:val="00B83136"/>
    <w:rsid w:val="00BA66D8"/>
    <w:rsid w:val="00BA6BB5"/>
    <w:rsid w:val="00BB75D9"/>
    <w:rsid w:val="00BC6728"/>
    <w:rsid w:val="00BC73C3"/>
    <w:rsid w:val="00BD4A12"/>
    <w:rsid w:val="00BD559E"/>
    <w:rsid w:val="00BE217C"/>
    <w:rsid w:val="00BE5C21"/>
    <w:rsid w:val="00C05276"/>
    <w:rsid w:val="00C507CD"/>
    <w:rsid w:val="00C51139"/>
    <w:rsid w:val="00C7250C"/>
    <w:rsid w:val="00C76E63"/>
    <w:rsid w:val="00C8707B"/>
    <w:rsid w:val="00C913A2"/>
    <w:rsid w:val="00CA02F2"/>
    <w:rsid w:val="00CA5209"/>
    <w:rsid w:val="00CD7E17"/>
    <w:rsid w:val="00CE1A0A"/>
    <w:rsid w:val="00CE604A"/>
    <w:rsid w:val="00CF0F6D"/>
    <w:rsid w:val="00CF4261"/>
    <w:rsid w:val="00D16676"/>
    <w:rsid w:val="00D47AC8"/>
    <w:rsid w:val="00D500EC"/>
    <w:rsid w:val="00D62BF3"/>
    <w:rsid w:val="00D64C17"/>
    <w:rsid w:val="00D676BA"/>
    <w:rsid w:val="00D73D76"/>
    <w:rsid w:val="00D75621"/>
    <w:rsid w:val="00D80891"/>
    <w:rsid w:val="00D82496"/>
    <w:rsid w:val="00D91B5A"/>
    <w:rsid w:val="00D97420"/>
    <w:rsid w:val="00DC64BB"/>
    <w:rsid w:val="00DC6EED"/>
    <w:rsid w:val="00E04749"/>
    <w:rsid w:val="00E21709"/>
    <w:rsid w:val="00E343C6"/>
    <w:rsid w:val="00E50534"/>
    <w:rsid w:val="00E52225"/>
    <w:rsid w:val="00E5317B"/>
    <w:rsid w:val="00E56F06"/>
    <w:rsid w:val="00E63A34"/>
    <w:rsid w:val="00E837EE"/>
    <w:rsid w:val="00EA06FC"/>
    <w:rsid w:val="00EB0753"/>
    <w:rsid w:val="00EC420D"/>
    <w:rsid w:val="00EC58A0"/>
    <w:rsid w:val="00EE195F"/>
    <w:rsid w:val="00EE4FE7"/>
    <w:rsid w:val="00F134BB"/>
    <w:rsid w:val="00F1464F"/>
    <w:rsid w:val="00F336F3"/>
    <w:rsid w:val="00F363D7"/>
    <w:rsid w:val="00F4186A"/>
    <w:rsid w:val="00F539AC"/>
    <w:rsid w:val="00F54A82"/>
    <w:rsid w:val="00F8599C"/>
    <w:rsid w:val="00F91FBA"/>
    <w:rsid w:val="00F97BC3"/>
    <w:rsid w:val="00F97BF3"/>
    <w:rsid w:val="00FA0B90"/>
    <w:rsid w:val="00FD0E28"/>
    <w:rsid w:val="00FD30F3"/>
    <w:rsid w:val="00FD3953"/>
    <w:rsid w:val="00FD63BE"/>
    <w:rsid w:val="00FE40CB"/>
    <w:rsid w:val="00FE7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166E4"/>
  <w15:chartTrackingRefBased/>
  <w15:docId w15:val="{9C306CFB-2F8F-4894-AF3E-C8ED4C99D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99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
    <w:name w:val="short_text"/>
    <w:basedOn w:val="DefaultParagraphFont"/>
    <w:rsid w:val="00D82496"/>
  </w:style>
  <w:style w:type="character" w:customStyle="1" w:styleId="Char">
    <w:name w:val="二级标题 Char"/>
    <w:basedOn w:val="DefaultParagraphFont"/>
    <w:link w:val="a"/>
    <w:locked/>
    <w:rsid w:val="00D82496"/>
    <w:rPr>
      <w:rFonts w:ascii="Times New Roman" w:eastAsiaTheme="majorEastAsia" w:hAnsi="Times New Roman" w:cs="Times New Roman"/>
      <w:sz w:val="24"/>
      <w:szCs w:val="24"/>
    </w:rPr>
  </w:style>
  <w:style w:type="paragraph" w:customStyle="1" w:styleId="a">
    <w:name w:val="二级标题"/>
    <w:basedOn w:val="Normal"/>
    <w:link w:val="Char"/>
    <w:qFormat/>
    <w:rsid w:val="00D82496"/>
    <w:pPr>
      <w:tabs>
        <w:tab w:val="num" w:pos="750"/>
      </w:tabs>
      <w:spacing w:beforeLines="20" w:afterLines="20" w:line="400" w:lineRule="exact"/>
      <w:jc w:val="left"/>
    </w:pPr>
    <w:rPr>
      <w:rFonts w:ascii="Times New Roman" w:eastAsiaTheme="majorEastAsia" w:hAnsi="Times New Roman" w:cs="Times New Roman"/>
      <w:sz w:val="24"/>
      <w:szCs w:val="24"/>
    </w:rPr>
  </w:style>
  <w:style w:type="character" w:styleId="CommentReference">
    <w:name w:val="annotation reference"/>
    <w:basedOn w:val="DefaultParagraphFont"/>
    <w:semiHidden/>
    <w:unhideWhenUsed/>
    <w:rsid w:val="00BE217C"/>
    <w:rPr>
      <w:sz w:val="21"/>
      <w:szCs w:val="21"/>
    </w:rPr>
  </w:style>
  <w:style w:type="paragraph" w:styleId="Header">
    <w:name w:val="header"/>
    <w:basedOn w:val="Normal"/>
    <w:link w:val="HeaderChar"/>
    <w:uiPriority w:val="99"/>
    <w:unhideWhenUsed/>
    <w:rsid w:val="0038485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8485F"/>
    <w:rPr>
      <w:sz w:val="18"/>
      <w:szCs w:val="18"/>
    </w:rPr>
  </w:style>
  <w:style w:type="paragraph" w:styleId="Footer">
    <w:name w:val="footer"/>
    <w:basedOn w:val="Normal"/>
    <w:link w:val="FooterChar"/>
    <w:uiPriority w:val="99"/>
    <w:unhideWhenUsed/>
    <w:rsid w:val="0038485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8485F"/>
    <w:rPr>
      <w:sz w:val="18"/>
      <w:szCs w:val="18"/>
    </w:rPr>
  </w:style>
  <w:style w:type="paragraph" w:styleId="BalloonText">
    <w:name w:val="Balloon Text"/>
    <w:basedOn w:val="Normal"/>
    <w:link w:val="BalloonTextChar"/>
    <w:uiPriority w:val="99"/>
    <w:semiHidden/>
    <w:unhideWhenUsed/>
    <w:rsid w:val="00655034"/>
    <w:rPr>
      <w:sz w:val="18"/>
      <w:szCs w:val="18"/>
    </w:rPr>
  </w:style>
  <w:style w:type="character" w:customStyle="1" w:styleId="BalloonTextChar">
    <w:name w:val="Balloon Text Char"/>
    <w:basedOn w:val="DefaultParagraphFont"/>
    <w:link w:val="BalloonText"/>
    <w:uiPriority w:val="99"/>
    <w:semiHidden/>
    <w:rsid w:val="00655034"/>
    <w:rPr>
      <w:sz w:val="18"/>
      <w:szCs w:val="18"/>
    </w:rPr>
  </w:style>
  <w:style w:type="paragraph" w:styleId="CommentText">
    <w:name w:val="annotation text"/>
    <w:basedOn w:val="Normal"/>
    <w:link w:val="CommentTextChar"/>
    <w:semiHidden/>
    <w:unhideWhenUsed/>
    <w:rsid w:val="00CA5209"/>
    <w:pPr>
      <w:jc w:val="left"/>
    </w:pPr>
  </w:style>
  <w:style w:type="character" w:customStyle="1" w:styleId="CommentTextChar">
    <w:name w:val="Comment Text Char"/>
    <w:basedOn w:val="DefaultParagraphFont"/>
    <w:link w:val="CommentText"/>
    <w:semiHidden/>
    <w:rsid w:val="00CA5209"/>
  </w:style>
  <w:style w:type="paragraph" w:styleId="CommentSubject">
    <w:name w:val="annotation subject"/>
    <w:basedOn w:val="CommentText"/>
    <w:next w:val="CommentText"/>
    <w:link w:val="CommentSubjectChar"/>
    <w:uiPriority w:val="99"/>
    <w:semiHidden/>
    <w:unhideWhenUsed/>
    <w:rsid w:val="00CA5209"/>
    <w:rPr>
      <w:b/>
      <w:bCs/>
    </w:rPr>
  </w:style>
  <w:style w:type="character" w:customStyle="1" w:styleId="CommentSubjectChar">
    <w:name w:val="Comment Subject Char"/>
    <w:basedOn w:val="CommentTextChar"/>
    <w:link w:val="CommentSubject"/>
    <w:uiPriority w:val="99"/>
    <w:semiHidden/>
    <w:rsid w:val="00CA5209"/>
    <w:rPr>
      <w:b/>
      <w:bCs/>
    </w:rPr>
  </w:style>
  <w:style w:type="table" w:styleId="TableGrid">
    <w:name w:val="Table Grid"/>
    <w:basedOn w:val="TableNormal"/>
    <w:uiPriority w:val="59"/>
    <w:rsid w:val="006D6BE7"/>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B23C6"/>
  </w:style>
  <w:style w:type="paragraph" w:styleId="ListParagraph">
    <w:name w:val="List Paragraph"/>
    <w:aliases w:val="Authors"/>
    <w:basedOn w:val="Normal"/>
    <w:uiPriority w:val="34"/>
    <w:qFormat/>
    <w:rsid w:val="007C5341"/>
    <w:pPr>
      <w:ind w:firstLineChars="200" w:firstLine="420"/>
    </w:pPr>
    <w:rPr>
      <w:rFonts w:ascii="Times New Roman" w:eastAsia="SimSun" w:hAnsi="Times New Roman" w:cs="Times New Roman"/>
      <w:szCs w:val="20"/>
    </w:rPr>
  </w:style>
  <w:style w:type="paragraph" w:styleId="NormalWeb">
    <w:name w:val="Normal (Web)"/>
    <w:basedOn w:val="Normal"/>
    <w:rsid w:val="007C5341"/>
    <w:pPr>
      <w:widowControl/>
      <w:spacing w:before="100" w:beforeAutospacing="1" w:after="100" w:afterAutospacing="1"/>
      <w:jc w:val="left"/>
    </w:pPr>
    <w:rPr>
      <w:rFonts w:ascii="SimSun" w:eastAsia="SimSun" w:hAnsi="SimSun" w:cs="SimSun"/>
      <w:kern w:val="0"/>
      <w:sz w:val="24"/>
      <w:szCs w:val="24"/>
    </w:rPr>
  </w:style>
  <w:style w:type="character" w:customStyle="1" w:styleId="fontstyle01">
    <w:name w:val="fontstyle01"/>
    <w:basedOn w:val="DefaultParagraphFont"/>
    <w:rsid w:val="00457497"/>
    <w:rPr>
      <w:rFonts w:ascii="AdvTimes" w:hAnsi="AdvTimes"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882481">
      <w:bodyDiv w:val="1"/>
      <w:marLeft w:val="0"/>
      <w:marRight w:val="0"/>
      <w:marTop w:val="0"/>
      <w:marBottom w:val="0"/>
      <w:divBdr>
        <w:top w:val="none" w:sz="0" w:space="0" w:color="auto"/>
        <w:left w:val="none" w:sz="0" w:space="0" w:color="auto"/>
        <w:bottom w:val="none" w:sz="0" w:space="0" w:color="auto"/>
        <w:right w:val="none" w:sz="0" w:space="0" w:color="auto"/>
      </w:divBdr>
    </w:div>
    <w:div w:id="1315836410">
      <w:bodyDiv w:val="1"/>
      <w:marLeft w:val="0"/>
      <w:marRight w:val="0"/>
      <w:marTop w:val="0"/>
      <w:marBottom w:val="0"/>
      <w:divBdr>
        <w:top w:val="none" w:sz="0" w:space="0" w:color="auto"/>
        <w:left w:val="none" w:sz="0" w:space="0" w:color="auto"/>
        <w:bottom w:val="none" w:sz="0" w:space="0" w:color="auto"/>
        <w:right w:val="none" w:sz="0" w:space="0" w:color="auto"/>
      </w:divBdr>
    </w:div>
    <w:div w:id="1447429374">
      <w:bodyDiv w:val="1"/>
      <w:marLeft w:val="0"/>
      <w:marRight w:val="0"/>
      <w:marTop w:val="0"/>
      <w:marBottom w:val="0"/>
      <w:divBdr>
        <w:top w:val="none" w:sz="0" w:space="0" w:color="auto"/>
        <w:left w:val="none" w:sz="0" w:space="0" w:color="auto"/>
        <w:bottom w:val="none" w:sz="0" w:space="0" w:color="auto"/>
        <w:right w:val="none" w:sz="0" w:space="0" w:color="auto"/>
      </w:divBdr>
    </w:div>
    <w:div w:id="213293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179022421968298"/>
          <c:y val="0.10155353416007708"/>
          <c:w val="0.76589312171555513"/>
          <c:h val="0.68939122476551118"/>
        </c:manualLayout>
      </c:layout>
      <c:barChart>
        <c:barDir val="col"/>
        <c:grouping val="clustered"/>
        <c:varyColors val="0"/>
        <c:ser>
          <c:idx val="0"/>
          <c:order val="0"/>
          <c:tx>
            <c:v>Lost Se content</c:v>
          </c:tx>
          <c:spPr>
            <a:solidFill>
              <a:schemeClr val="accent4">
                <a:lumMod val="60000"/>
                <a:lumOff val="40000"/>
              </a:schemeClr>
            </a:solidFill>
            <a:ln w="12700">
              <a:solidFill>
                <a:schemeClr val="tx1">
                  <a:lumMod val="95000"/>
                  <a:lumOff val="5000"/>
                  <a:alpha val="87000"/>
                </a:schemeClr>
              </a:solidFill>
            </a:ln>
            <a:effectLst/>
          </c:spPr>
          <c:invertIfNegative val="0"/>
          <c:cat>
            <c:strRef>
              <c:f>最后胃肠液图表!$D$2:$D$13</c:f>
              <c:strCache>
                <c:ptCount val="12"/>
                <c:pt idx="0">
                  <c:v>Se(IV)-0.5</c:v>
                </c:pt>
                <c:pt idx="1">
                  <c:v>Se(IV)-2</c:v>
                </c:pt>
                <c:pt idx="2">
                  <c:v>Se(VI)-0.5</c:v>
                </c:pt>
                <c:pt idx="3">
                  <c:v>Se(VI)-2</c:v>
                </c:pt>
                <c:pt idx="4">
                  <c:v>F1-Se(IV)-5</c:v>
                </c:pt>
                <c:pt idx="5">
                  <c:v>F1-Se(IV)-20</c:v>
                </c:pt>
                <c:pt idx="6">
                  <c:v>F2-Se(IV)-5</c:v>
                </c:pt>
                <c:pt idx="7">
                  <c:v>F2-Se(IV)-20</c:v>
                </c:pt>
                <c:pt idx="8">
                  <c:v>F1-Se(VI)-5</c:v>
                </c:pt>
                <c:pt idx="9">
                  <c:v>F1-Se(VI)-20</c:v>
                </c:pt>
                <c:pt idx="10">
                  <c:v>F2-Se(VI)-5</c:v>
                </c:pt>
                <c:pt idx="11">
                  <c:v>F2-Se(VI)-20</c:v>
                </c:pt>
              </c:strCache>
            </c:strRef>
          </c:cat>
          <c:val>
            <c:numRef>
              <c:f>最后胃肠液图表!$E$2:$E$13</c:f>
              <c:numCache>
                <c:formatCode>General</c:formatCode>
                <c:ptCount val="12"/>
                <c:pt idx="0">
                  <c:v>0.34620643261004247</c:v>
                </c:pt>
                <c:pt idx="1">
                  <c:v>1.6560064846427771</c:v>
                </c:pt>
                <c:pt idx="2">
                  <c:v>6.4473454684610161</c:v>
                </c:pt>
                <c:pt idx="3">
                  <c:v>61.559890804497002</c:v>
                </c:pt>
                <c:pt idx="4">
                  <c:v>0.89036029284948448</c:v>
                </c:pt>
                <c:pt idx="5">
                  <c:v>6.0480781868099776</c:v>
                </c:pt>
                <c:pt idx="6">
                  <c:v>5.9623016702610006</c:v>
                </c:pt>
                <c:pt idx="7">
                  <c:v>15.931724797307201</c:v>
                </c:pt>
                <c:pt idx="8">
                  <c:v>4.9519997434103917</c:v>
                </c:pt>
                <c:pt idx="9">
                  <c:v>6.4371095256368598</c:v>
                </c:pt>
                <c:pt idx="10">
                  <c:v>5.6365367712584113</c:v>
                </c:pt>
                <c:pt idx="11">
                  <c:v>8.3059443519768479</c:v>
                </c:pt>
              </c:numCache>
            </c:numRef>
          </c:val>
          <c:extLst>
            <c:ext xmlns:c16="http://schemas.microsoft.com/office/drawing/2014/chart" uri="{C3380CC4-5D6E-409C-BE32-E72D297353CC}">
              <c16:uniqueId val="{00000000-E613-4EDE-94B6-699654D41F78}"/>
            </c:ext>
          </c:extLst>
        </c:ser>
        <c:dLbls>
          <c:showLegendKey val="0"/>
          <c:showVal val="0"/>
          <c:showCatName val="0"/>
          <c:showSerName val="0"/>
          <c:showPercent val="0"/>
          <c:showBubbleSize val="0"/>
        </c:dLbls>
        <c:gapWidth val="75"/>
        <c:overlap val="-27"/>
        <c:axId val="229248944"/>
        <c:axId val="229246144"/>
      </c:barChart>
      <c:lineChart>
        <c:grouping val="standard"/>
        <c:varyColors val="0"/>
        <c:ser>
          <c:idx val="1"/>
          <c:order val="1"/>
          <c:tx>
            <c:v>Lost Se proportion</c:v>
          </c:tx>
          <c:spPr>
            <a:ln w="19050" cap="rnd">
              <a:solidFill>
                <a:schemeClr val="accent5">
                  <a:lumMod val="75000"/>
                </a:schemeClr>
              </a:solidFill>
              <a:prstDash val="sysDash"/>
              <a:bevel/>
            </a:ln>
            <a:effectLst/>
          </c:spPr>
          <c:marker>
            <c:symbol val="none"/>
          </c:marker>
          <c:cat>
            <c:strRef>
              <c:f>最后胃肠液图表!$D$2:$D$13</c:f>
              <c:strCache>
                <c:ptCount val="12"/>
                <c:pt idx="0">
                  <c:v>Se(IV)-0.5</c:v>
                </c:pt>
                <c:pt idx="1">
                  <c:v>Se(IV)-2</c:v>
                </c:pt>
                <c:pt idx="2">
                  <c:v>Se(VI)-0.5</c:v>
                </c:pt>
                <c:pt idx="3">
                  <c:v>Se(VI)-2</c:v>
                </c:pt>
                <c:pt idx="4">
                  <c:v>F1-Se(IV)-5</c:v>
                </c:pt>
                <c:pt idx="5">
                  <c:v>F1-Se(IV)-20</c:v>
                </c:pt>
                <c:pt idx="6">
                  <c:v>F2-Se(IV)-5</c:v>
                </c:pt>
                <c:pt idx="7">
                  <c:v>F2-Se(IV)-20</c:v>
                </c:pt>
                <c:pt idx="8">
                  <c:v>F1-Se(VI)-5</c:v>
                </c:pt>
                <c:pt idx="9">
                  <c:v>F1-Se(VI)-20</c:v>
                </c:pt>
                <c:pt idx="10">
                  <c:v>F2-Se(VI)-5</c:v>
                </c:pt>
                <c:pt idx="11">
                  <c:v>F2-Se(VI)-20</c:v>
                </c:pt>
              </c:strCache>
            </c:strRef>
          </c:cat>
          <c:val>
            <c:numRef>
              <c:f>最后胃肠液图表!$F$2:$F$13</c:f>
              <c:numCache>
                <c:formatCode>0_ </c:formatCode>
                <c:ptCount val="12"/>
                <c:pt idx="0">
                  <c:v>12</c:v>
                </c:pt>
                <c:pt idx="1">
                  <c:v>16</c:v>
                </c:pt>
                <c:pt idx="2">
                  <c:v>16</c:v>
                </c:pt>
                <c:pt idx="3">
                  <c:v>24</c:v>
                </c:pt>
                <c:pt idx="4">
                  <c:v>14</c:v>
                </c:pt>
                <c:pt idx="5">
                  <c:v>28</c:v>
                </c:pt>
                <c:pt idx="6">
                  <c:v>63</c:v>
                </c:pt>
                <c:pt idx="7">
                  <c:v>59</c:v>
                </c:pt>
                <c:pt idx="8">
                  <c:v>68</c:v>
                </c:pt>
                <c:pt idx="9">
                  <c:v>28</c:v>
                </c:pt>
                <c:pt idx="10">
                  <c:v>58.2</c:v>
                </c:pt>
                <c:pt idx="11">
                  <c:v>35</c:v>
                </c:pt>
              </c:numCache>
            </c:numRef>
          </c:val>
          <c:smooth val="1"/>
          <c:extLst>
            <c:ext xmlns:c16="http://schemas.microsoft.com/office/drawing/2014/chart" uri="{C3380CC4-5D6E-409C-BE32-E72D297353CC}">
              <c16:uniqueId val="{00000001-E613-4EDE-94B6-699654D41F78}"/>
            </c:ext>
          </c:extLst>
        </c:ser>
        <c:dLbls>
          <c:showLegendKey val="0"/>
          <c:showVal val="0"/>
          <c:showCatName val="0"/>
          <c:showSerName val="0"/>
          <c:showPercent val="0"/>
          <c:showBubbleSize val="0"/>
        </c:dLbls>
        <c:marker val="1"/>
        <c:smooth val="0"/>
        <c:axId val="44704560"/>
        <c:axId val="229248384"/>
      </c:lineChart>
      <c:catAx>
        <c:axId val="229248944"/>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229246144"/>
        <c:crosses val="autoZero"/>
        <c:auto val="1"/>
        <c:lblAlgn val="ctr"/>
        <c:lblOffset val="100"/>
        <c:noMultiLvlLbl val="0"/>
      </c:catAx>
      <c:valAx>
        <c:axId val="22924614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ltLang="zh-CN" b="0">
                    <a:solidFill>
                      <a:schemeClr val="tx1"/>
                    </a:solidFill>
                    <a:latin typeface="Times New Roman" panose="02020603050405020304" pitchFamily="18" charset="0"/>
                    <a:ea typeface="+mn-ea"/>
                    <a:cs typeface="Times New Roman" panose="02020603050405020304" pitchFamily="18" charset="0"/>
                  </a:rPr>
                  <a:t>Lost Se content (</a:t>
                </a:r>
                <a:r>
                  <a:rPr lang="en-US" altLang="zh-CN" sz="1000" b="0" i="0" u="none" strike="noStrike" baseline="0">
                    <a:solidFill>
                      <a:schemeClr val="tx1"/>
                    </a:solidFill>
                    <a:effectLst/>
                    <a:latin typeface="Times New Roman" panose="02020603050405020304" pitchFamily="18" charset="0"/>
                    <a:ea typeface="+mn-ea"/>
                    <a:cs typeface="Times New Roman" panose="02020603050405020304" pitchFamily="18" charset="0"/>
                  </a:rPr>
                  <a:t>μg g</a:t>
                </a:r>
                <a:r>
                  <a:rPr lang="en-US" altLang="zh-CN" sz="1000" b="0" i="0" u="none" strike="noStrike" baseline="30000">
                    <a:solidFill>
                      <a:schemeClr val="tx1"/>
                    </a:solidFill>
                    <a:effectLst/>
                    <a:latin typeface="Times New Roman" panose="02020603050405020304" pitchFamily="18" charset="0"/>
                    <a:ea typeface="+mn-ea"/>
                    <a:cs typeface="Times New Roman" panose="02020603050405020304" pitchFamily="18" charset="0"/>
                  </a:rPr>
                  <a:t>-1</a:t>
                </a:r>
                <a:r>
                  <a:rPr lang="en-US" altLang="zh-CN" b="0">
                    <a:solidFill>
                      <a:schemeClr val="tx1"/>
                    </a:solidFill>
                    <a:latin typeface="Times New Roman" panose="02020603050405020304" pitchFamily="18" charset="0"/>
                    <a:ea typeface="+mn-ea"/>
                    <a:cs typeface="Times New Roman" panose="02020603050405020304" pitchFamily="18" charset="0"/>
                  </a:rPr>
                  <a:t>)</a:t>
                </a:r>
                <a:endParaRPr lang="zh-CN" altLang="en-US" b="0">
                  <a:solidFill>
                    <a:schemeClr val="tx1"/>
                  </a:solidFill>
                  <a:latin typeface="Times New Roman" panose="02020603050405020304" pitchFamily="18" charset="0"/>
                  <a:ea typeface="+mn-ea"/>
                  <a:cs typeface="Times New Roman" panose="02020603050405020304" pitchFamily="18" charset="0"/>
                </a:endParaRPr>
              </a:p>
            </c:rich>
          </c:tx>
          <c:layout>
            <c:manualLayout>
              <c:xMode val="edge"/>
              <c:yMode val="edge"/>
              <c:x val="1.0592901947759805E-2"/>
              <c:y val="0.2573233888423489"/>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title>
        <c:numFmt formatCode="General" sourceLinked="1"/>
        <c:majorTickMark val="in"/>
        <c:minorTickMark val="none"/>
        <c:tickLblPos val="nextTo"/>
        <c:spPr>
          <a:noFill/>
          <a:ln w="9525">
            <a:solidFill>
              <a:schemeClr val="tx1"/>
            </a:solid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crossAx val="229248944"/>
        <c:crosses val="autoZero"/>
        <c:crossBetween val="between"/>
      </c:valAx>
      <c:valAx>
        <c:axId val="229248384"/>
        <c:scaling>
          <c:orientation val="minMax"/>
        </c:scaling>
        <c:delete val="0"/>
        <c:axPos val="r"/>
        <c:title>
          <c:tx>
            <c:rich>
              <a:bodyPr rot="540000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zh-CN" baseline="0">
                    <a:solidFill>
                      <a:schemeClr val="tx1"/>
                    </a:solidFill>
                    <a:latin typeface="Times New Roman" panose="02020603050405020304" pitchFamily="18" charset="0"/>
                    <a:ea typeface="+mn-ea"/>
                    <a:cs typeface="Times New Roman" panose="02020603050405020304" pitchFamily="18" charset="0"/>
                  </a:rPr>
                  <a:t>Lost Se proportion (%)</a:t>
                </a:r>
              </a:p>
            </c:rich>
          </c:tx>
          <c:layout>
            <c:manualLayout>
              <c:xMode val="edge"/>
              <c:yMode val="edge"/>
              <c:x val="0.94512212070033608"/>
              <c:y val="0.28367312227317404"/>
            </c:manualLayout>
          </c:layout>
          <c:overlay val="0"/>
          <c:spPr>
            <a:noFill/>
            <a:ln>
              <a:noFill/>
            </a:ln>
            <a:effectLst/>
          </c:spPr>
          <c:txPr>
            <a:bodyPr rot="540000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_ "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crossAx val="44704560"/>
        <c:crosses val="max"/>
        <c:crossBetween val="between"/>
      </c:valAx>
      <c:catAx>
        <c:axId val="44704560"/>
        <c:scaling>
          <c:orientation val="minMax"/>
        </c:scaling>
        <c:delete val="1"/>
        <c:axPos val="b"/>
        <c:numFmt formatCode="General" sourceLinked="1"/>
        <c:majorTickMark val="none"/>
        <c:minorTickMark val="none"/>
        <c:tickLblPos val="nextTo"/>
        <c:crossAx val="229248384"/>
        <c:crosses val="autoZero"/>
        <c:auto val="1"/>
        <c:lblAlgn val="ctr"/>
        <c:lblOffset val="100"/>
        <c:noMultiLvlLbl val="0"/>
      </c:catAx>
      <c:spPr>
        <a:noFill/>
        <a:ln w="25400">
          <a:noFill/>
        </a:ln>
        <a:effectLst/>
      </c:spPr>
    </c:plotArea>
    <c:legend>
      <c:legendPos val="t"/>
      <c:legendEntry>
        <c:idx val="0"/>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Entry>
      <c:legendEntry>
        <c:idx val="1"/>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Entry>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A8CAA-2993-48C4-A347-64B8C1746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515</Words>
  <Characters>2942</Characters>
  <Application>Microsoft Office Word</Application>
  <DocSecurity>0</DocSecurity>
  <Lines>24</Lines>
  <Paragraphs>6</Paragraphs>
  <ScaleCrop>false</ScaleCrop>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Laura Goodfellow</cp:lastModifiedBy>
  <cp:revision>2</cp:revision>
  <dcterms:created xsi:type="dcterms:W3CDTF">2022-09-12T08:14:00Z</dcterms:created>
  <dcterms:modified xsi:type="dcterms:W3CDTF">2022-09-12T08:14:00Z</dcterms:modified>
</cp:coreProperties>
</file>