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8482" w14:textId="77777777" w:rsidR="003B3A0A" w:rsidRPr="005E5AF9" w:rsidRDefault="003B3A0A" w:rsidP="003B3A0A">
      <w:pPr>
        <w:rPr>
          <w:lang w:val="en-GB"/>
        </w:rPr>
      </w:pPr>
      <w:r w:rsidRPr="005E5AF9">
        <w:rPr>
          <w:lang w:val="en-GB"/>
        </w:rPr>
        <w:t>Supplementary Table 1b</w:t>
      </w:r>
    </w:p>
    <w:p w14:paraId="60E13A61" w14:textId="77777777" w:rsidR="003B3A0A" w:rsidRPr="005E5AF9" w:rsidRDefault="003B3A0A" w:rsidP="003B3A0A">
      <w:pPr>
        <w:rPr>
          <w:lang w:val="en-GB"/>
        </w:rPr>
      </w:pPr>
      <w:r w:rsidRPr="005E5AF9">
        <w:rPr>
          <w:lang w:val="en-GB"/>
        </w:rPr>
        <w:t xml:space="preserve">Neuroprotective and Glutamate excitotoxicity- and muscle atrophy attenuating effects of </w:t>
      </w:r>
      <w:r w:rsidRPr="00F83896">
        <w:rPr>
          <w:i/>
          <w:iCs/>
          <w:lang w:val="en-GB"/>
        </w:rPr>
        <w:t>Ji Wu Li</w:t>
      </w:r>
      <w:r w:rsidRPr="005E5AF9">
        <w:rPr>
          <w:lang w:val="en-GB"/>
        </w:rPr>
        <w:t xml:space="preserve"> constituents</w:t>
      </w:r>
    </w:p>
    <w:p w14:paraId="3B897C32" w14:textId="77777777" w:rsidR="003B3A0A" w:rsidRPr="005E5AF9" w:rsidRDefault="003B3A0A" w:rsidP="003B3A0A">
      <w:pPr>
        <w:rPr>
          <w:lang w:val="en-GB"/>
        </w:rPr>
      </w:pPr>
      <w:r w:rsidRPr="005E5AF9">
        <w:rPr>
          <w:noProof/>
          <w:lang w:val="en-GB"/>
        </w:rPr>
        <w:drawing>
          <wp:inline distT="0" distB="0" distL="0" distR="0" wp14:anchorId="0BD7DC16" wp14:editId="7322DCA1">
            <wp:extent cx="5270500" cy="577659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0500" cy="5776595"/>
                    </a:xfrm>
                    <a:prstGeom prst="rect">
                      <a:avLst/>
                    </a:prstGeom>
                  </pic:spPr>
                </pic:pic>
              </a:graphicData>
            </a:graphic>
          </wp:inline>
        </w:drawing>
      </w:r>
    </w:p>
    <w:p w14:paraId="246E65A7" w14:textId="77777777" w:rsidR="003B3A0A" w:rsidRPr="00F83896" w:rsidRDefault="003B3A0A" w:rsidP="003B3A0A">
      <w:pPr>
        <w:rPr>
          <w:i/>
          <w:iCs/>
          <w:sz w:val="15"/>
          <w:szCs w:val="15"/>
          <w:lang w:val="en-GB"/>
        </w:rPr>
      </w:pPr>
      <w:r w:rsidRPr="00F83896">
        <w:rPr>
          <w:i/>
          <w:iCs/>
          <w:sz w:val="15"/>
          <w:szCs w:val="15"/>
          <w:lang w:val="en-GB"/>
        </w:rPr>
        <w:t>Abbreviations:</w:t>
      </w:r>
      <w:r w:rsidRPr="00F83896">
        <w:rPr>
          <w:sz w:val="15"/>
          <w:szCs w:val="15"/>
          <w:lang w:val="en-GB"/>
        </w:rPr>
        <w:t xml:space="preserve">ABTS, 2,2′-Azino-bis(3-Ethylbenzothiazoline-6-Sulfonic Acid); AChE, Acetylcholinesterase; AIF, apoptosis-inducing factor; AMPK, AMP-activated protein kinase; Bax, Bcl-2-associated X protein; Bcl-2, B-cell lymphoma 2; CARM1, co-activator-associated arginine methyltransferase 1; CAT, Catalase; COX2, Cyclooxygenase-2; DAPK1, Death Associated Protein Kinase 1; DNA, deoxyribonucleic acid; DPPH, 2,2-Diphenyl-1-picrylhydrazyl; ERK, Extracellular-signal Regulated Kinases; GLT-1, Glutamate transporter-1; GPx, Glutathione peroxidase; GSH, Glutathion in its reduced form; GSH-PX, Glutathionperoxidase; GSK3β, Glycogen synthase kinase 3 beta; </w:t>
      </w:r>
      <w:r w:rsidRPr="00F83896">
        <w:rPr>
          <w:rFonts w:ascii="Calibri" w:hAnsi="Calibri" w:cs="Calibri"/>
          <w:color w:val="000000" w:themeColor="text1"/>
          <w:sz w:val="15"/>
          <w:szCs w:val="15"/>
          <w:lang w:val="en-GB"/>
        </w:rPr>
        <w:t>HSP-16.2, Heat-shock-protein 16.2;</w:t>
      </w:r>
      <w:r w:rsidRPr="00F83896">
        <w:rPr>
          <w:sz w:val="15"/>
          <w:szCs w:val="15"/>
          <w:lang w:val="en-GB"/>
        </w:rPr>
        <w:t xml:space="preserve"> </w:t>
      </w:r>
      <w:r w:rsidRPr="00F83896">
        <w:rPr>
          <w:rFonts w:ascii="Calibri" w:hAnsi="Calibri" w:cs="Calibri"/>
          <w:color w:val="000000" w:themeColor="text1"/>
          <w:sz w:val="15"/>
          <w:szCs w:val="15"/>
          <w:lang w:val="en-GB"/>
        </w:rPr>
        <w:t>Iba1, Ionized calcium-binding adapter molecule 1;</w:t>
      </w:r>
      <w:r w:rsidRPr="00F83896">
        <w:rPr>
          <w:sz w:val="15"/>
          <w:szCs w:val="15"/>
          <w:lang w:val="en-GB"/>
        </w:rPr>
        <w:t xml:space="preserve"> </w:t>
      </w:r>
      <w:r w:rsidRPr="00F83896">
        <w:rPr>
          <w:rFonts w:ascii="Calibri" w:hAnsi="Calibri" w:cs="Calibri"/>
          <w:color w:val="000000" w:themeColor="text1"/>
          <w:sz w:val="15"/>
          <w:szCs w:val="15"/>
          <w:lang w:val="en-GB"/>
        </w:rPr>
        <w:t>IFN-γ, Interferone gamma;</w:t>
      </w:r>
      <w:r w:rsidRPr="00F83896">
        <w:rPr>
          <w:sz w:val="15"/>
          <w:szCs w:val="15"/>
          <w:lang w:val="en-GB"/>
        </w:rPr>
        <w:t xml:space="preserve"> </w:t>
      </w:r>
      <w:r w:rsidRPr="00F83896">
        <w:rPr>
          <w:rFonts w:ascii="Calibri" w:hAnsi="Calibri" w:cs="Calibri"/>
          <w:color w:val="000000" w:themeColor="text1"/>
          <w:sz w:val="15"/>
          <w:szCs w:val="15"/>
          <w:lang w:val="en-GB"/>
        </w:rPr>
        <w:t>IL, Interleukin;</w:t>
      </w:r>
      <w:r w:rsidRPr="00F83896">
        <w:rPr>
          <w:sz w:val="15"/>
          <w:szCs w:val="15"/>
          <w:lang w:val="en-GB"/>
        </w:rPr>
        <w:t xml:space="preserve"> </w:t>
      </w:r>
      <w:r w:rsidRPr="00F83896">
        <w:rPr>
          <w:rFonts w:ascii="Calibri" w:hAnsi="Calibri" w:cs="Calibri"/>
          <w:color w:val="000000" w:themeColor="text1"/>
          <w:sz w:val="15"/>
          <w:szCs w:val="15"/>
          <w:lang w:val="en-GB"/>
        </w:rPr>
        <w:t>I/R, ischemia/reperfusion;</w:t>
      </w:r>
      <w:r w:rsidRPr="00F83896">
        <w:rPr>
          <w:sz w:val="15"/>
          <w:szCs w:val="15"/>
          <w:lang w:val="en-GB"/>
        </w:rPr>
        <w:t xml:space="preserve"> iNOS, Inducible nitric oxide synthase;</w:t>
      </w:r>
      <w:r w:rsidRPr="00F83896">
        <w:rPr>
          <w:rFonts w:ascii="Calibri" w:hAnsi="Calibri" w:cs="Calibri"/>
          <w:color w:val="000000" w:themeColor="text1"/>
          <w:sz w:val="15"/>
          <w:szCs w:val="15"/>
          <w:lang w:val="en-GB"/>
        </w:rPr>
        <w:t xml:space="preserve"> IP-10, interferon-gamma induced protein 10; MDA, </w:t>
      </w:r>
      <w:r w:rsidRPr="00F83896">
        <w:rPr>
          <w:rFonts w:ascii="Calibri" w:hAnsi="Calibri" w:cs="Calibri"/>
          <w:noProof/>
          <w:sz w:val="15"/>
          <w:szCs w:val="15"/>
          <w:lang w:val="en-GB"/>
        </w:rPr>
        <w:t>Malondialdehyde;</w:t>
      </w:r>
      <w:r w:rsidRPr="00F83896">
        <w:rPr>
          <w:rFonts w:ascii="Calibri" w:hAnsi="Calibri" w:cs="Calibri"/>
          <w:color w:val="000000" w:themeColor="text1"/>
          <w:sz w:val="15"/>
          <w:szCs w:val="15"/>
          <w:lang w:val="en-GB"/>
        </w:rPr>
        <w:t xml:space="preserve"> </w:t>
      </w:r>
      <w:r w:rsidRPr="00F83896">
        <w:rPr>
          <w:rFonts w:ascii="Calibri" w:hAnsi="Calibri" w:cs="Calibri"/>
          <w:noProof/>
          <w:sz w:val="15"/>
          <w:szCs w:val="15"/>
          <w:lang w:val="en-GB"/>
        </w:rPr>
        <w:t>MEK, MAPK/ERK Kinase;</w:t>
      </w:r>
      <w:r w:rsidRPr="00F83896">
        <w:rPr>
          <w:rFonts w:ascii="Calibri" w:hAnsi="Calibri" w:cs="Calibri"/>
          <w:color w:val="000000" w:themeColor="text1"/>
          <w:sz w:val="15"/>
          <w:szCs w:val="15"/>
          <w:lang w:val="en-GB"/>
        </w:rPr>
        <w:t xml:space="preserve"> MMP, </w:t>
      </w:r>
      <w:r w:rsidRPr="00F83896">
        <w:rPr>
          <w:rFonts w:ascii="Calibri" w:hAnsi="Calibri" w:cs="Calibri"/>
          <w:noProof/>
          <w:sz w:val="15"/>
          <w:szCs w:val="15"/>
          <w:lang w:val="en-GB"/>
        </w:rPr>
        <w:t>Matrix metallopeptidase;</w:t>
      </w:r>
      <w:r w:rsidRPr="00F83896">
        <w:rPr>
          <w:rFonts w:ascii="Calibri" w:hAnsi="Calibri" w:cs="Calibri"/>
          <w:color w:val="000000" w:themeColor="text1"/>
          <w:sz w:val="15"/>
          <w:szCs w:val="15"/>
          <w:lang w:val="en-GB"/>
        </w:rPr>
        <w:t xml:space="preserve"> </w:t>
      </w:r>
      <w:r w:rsidRPr="00F83896">
        <w:rPr>
          <w:rFonts w:ascii="Calibri" w:hAnsi="Calibri" w:cs="Calibri"/>
          <w:noProof/>
          <w:sz w:val="15"/>
          <w:szCs w:val="15"/>
          <w:lang w:val="en-GB"/>
        </w:rPr>
        <w:t>mTOR, mammalian Target of Rapamycin;</w:t>
      </w:r>
      <w:r w:rsidRPr="00F83896">
        <w:rPr>
          <w:rFonts w:ascii="Calibri" w:hAnsi="Calibri" w:cs="Calibri"/>
          <w:color w:val="000000" w:themeColor="text1"/>
          <w:sz w:val="15"/>
          <w:szCs w:val="15"/>
          <w:lang w:val="en-GB"/>
        </w:rPr>
        <w:t xml:space="preserve"> </w:t>
      </w:r>
      <w:r w:rsidRPr="00F83896">
        <w:rPr>
          <w:sz w:val="15"/>
          <w:szCs w:val="15"/>
          <w:lang w:val="en-GB"/>
        </w:rPr>
        <w:t>NF-κB, Nuclear factor kappa B;</w:t>
      </w:r>
      <w:r w:rsidRPr="00F83896">
        <w:rPr>
          <w:rFonts w:ascii="Calibri" w:hAnsi="Calibri" w:cs="Calibri"/>
          <w:color w:val="000000" w:themeColor="text1"/>
          <w:sz w:val="15"/>
          <w:szCs w:val="15"/>
          <w:lang w:val="en-GB"/>
        </w:rPr>
        <w:t xml:space="preserve"> </w:t>
      </w:r>
      <w:r w:rsidRPr="00F83896">
        <w:rPr>
          <w:sz w:val="15"/>
          <w:szCs w:val="15"/>
          <w:lang w:val="en-GB"/>
        </w:rPr>
        <w:t xml:space="preserve">NMDAR, N-Methyl-d-aspartate receptor; </w:t>
      </w:r>
      <w:r w:rsidRPr="00F83896">
        <w:rPr>
          <w:rFonts w:ascii="Calibri" w:hAnsi="Calibri" w:cs="Calibri"/>
          <w:noProof/>
          <w:sz w:val="15"/>
          <w:szCs w:val="15"/>
          <w:lang w:val="en-GB"/>
        </w:rPr>
        <w:t xml:space="preserve">NO, Nitric oxide; NOX4, NADPH Oxidase 4; </w:t>
      </w:r>
      <w:r w:rsidRPr="00F83896">
        <w:rPr>
          <w:rFonts w:ascii="Calibri" w:hAnsi="Calibri" w:cs="Calibri"/>
          <w:color w:val="000000" w:themeColor="text1"/>
          <w:sz w:val="15"/>
          <w:szCs w:val="15"/>
          <w:lang w:val="en-GB"/>
        </w:rPr>
        <w:t>NQO1, NAD(P)H Quinone Dehydrogenase 1;</w:t>
      </w:r>
      <w:r w:rsidRPr="00F83896">
        <w:rPr>
          <w:rFonts w:ascii="Calibri" w:hAnsi="Calibri" w:cs="Calibri"/>
          <w:noProof/>
          <w:sz w:val="15"/>
          <w:szCs w:val="15"/>
          <w:lang w:val="en-GB"/>
        </w:rPr>
        <w:t xml:space="preserve"> </w:t>
      </w:r>
      <w:r w:rsidRPr="00F83896">
        <w:rPr>
          <w:rFonts w:ascii="Calibri" w:hAnsi="Calibri" w:cs="Calibri"/>
          <w:color w:val="000000" w:themeColor="text1"/>
          <w:sz w:val="15"/>
          <w:szCs w:val="15"/>
          <w:lang w:val="en-GB"/>
        </w:rPr>
        <w:t>ODG/R, Oxygen glucose deprivation and reperfusion;</w:t>
      </w:r>
      <w:r w:rsidRPr="00F83896">
        <w:rPr>
          <w:rFonts w:ascii="Calibri" w:hAnsi="Calibri" w:cs="Calibri"/>
          <w:noProof/>
          <w:sz w:val="15"/>
          <w:szCs w:val="15"/>
          <w:lang w:val="en-GB"/>
        </w:rPr>
        <w:t xml:space="preserve"> </w:t>
      </w:r>
      <w:r w:rsidRPr="00F83896">
        <w:rPr>
          <w:rFonts w:ascii="Calibri" w:hAnsi="Calibri" w:cs="Calibri"/>
          <w:color w:val="000000" w:themeColor="text1"/>
          <w:sz w:val="15"/>
          <w:szCs w:val="15"/>
          <w:lang w:val="en-GB"/>
        </w:rPr>
        <w:t>PCP, Poria cocos polysaccharide;</w:t>
      </w:r>
      <w:r w:rsidRPr="00F83896">
        <w:rPr>
          <w:rFonts w:ascii="Calibri" w:hAnsi="Calibri" w:cs="Calibri"/>
          <w:noProof/>
          <w:sz w:val="15"/>
          <w:szCs w:val="15"/>
          <w:lang w:val="en-GB"/>
        </w:rPr>
        <w:t xml:space="preserve"> </w:t>
      </w:r>
      <w:r w:rsidRPr="00F83896">
        <w:rPr>
          <w:rFonts w:ascii="Calibri" w:hAnsi="Calibri" w:cs="Calibri"/>
          <w:color w:val="000000" w:themeColor="text1"/>
          <w:sz w:val="15"/>
          <w:szCs w:val="15"/>
          <w:lang w:val="en-GB"/>
        </w:rPr>
        <w:t>PGE2, Prostaglandin E2;</w:t>
      </w:r>
      <w:r w:rsidRPr="00F83896">
        <w:rPr>
          <w:rFonts w:ascii="Calibri" w:hAnsi="Calibri" w:cs="Calibri"/>
          <w:noProof/>
          <w:sz w:val="15"/>
          <w:szCs w:val="15"/>
          <w:lang w:val="en-GB"/>
        </w:rPr>
        <w:t xml:space="preserve"> </w:t>
      </w:r>
      <w:r w:rsidRPr="00F83896">
        <w:rPr>
          <w:rFonts w:ascii="Calibri" w:hAnsi="Calibri" w:cs="Calibri"/>
          <w:color w:val="000000" w:themeColor="text1"/>
          <w:sz w:val="15"/>
          <w:szCs w:val="15"/>
          <w:lang w:val="en-GB"/>
        </w:rPr>
        <w:t>PI3K, Phosphoinositide 3-kinases;</w:t>
      </w:r>
      <w:r w:rsidRPr="00F83896">
        <w:rPr>
          <w:rFonts w:ascii="Calibri" w:hAnsi="Calibri" w:cs="Calibri"/>
          <w:noProof/>
          <w:sz w:val="15"/>
          <w:szCs w:val="15"/>
          <w:lang w:val="en-GB"/>
        </w:rPr>
        <w:t xml:space="preserve"> </w:t>
      </w:r>
      <w:r w:rsidRPr="00F83896">
        <w:rPr>
          <w:rFonts w:ascii="Calibri" w:hAnsi="Calibri" w:cs="Calibri"/>
          <w:color w:val="000000" w:themeColor="text1"/>
          <w:sz w:val="15"/>
          <w:szCs w:val="15"/>
          <w:lang w:val="en-GB"/>
        </w:rPr>
        <w:t>PON2, Paraoxonase 2;</w:t>
      </w:r>
    </w:p>
    <w:p w14:paraId="3A3E8931" w14:textId="77777777" w:rsidR="003B3A0A" w:rsidRPr="00F83896" w:rsidRDefault="003B3A0A" w:rsidP="003B3A0A">
      <w:pPr>
        <w:rPr>
          <w:rFonts w:ascii="Calibri" w:hAnsi="Calibri" w:cs="Calibri"/>
          <w:color w:val="000000" w:themeColor="text1"/>
          <w:sz w:val="15"/>
          <w:szCs w:val="15"/>
          <w:lang w:val="en-GB"/>
        </w:rPr>
      </w:pPr>
      <w:r w:rsidRPr="00F83896">
        <w:rPr>
          <w:rFonts w:ascii="Calibri" w:hAnsi="Calibri" w:cs="Calibri"/>
          <w:color w:val="000000" w:themeColor="text1"/>
          <w:sz w:val="15"/>
          <w:szCs w:val="15"/>
          <w:lang w:val="en-GB"/>
        </w:rPr>
        <w:t>ROS, Reactive oxygen species; SKP2, S-Phase-kinase-associated-protein; SOD, Superoxide Dismutase; STAT, signal transducer and activator of transcription; S100β, S100 calcium-binding protein B; XOD, xanthine oxidase; TNF-α, Tumor-necrosis-factor-alpha TXNIP, Thioredoxin-interacting-protein.</w:t>
      </w:r>
    </w:p>
    <w:p w14:paraId="0C21E842" w14:textId="77777777" w:rsidR="003B3A0A" w:rsidRPr="005E5AF9" w:rsidRDefault="003B3A0A" w:rsidP="003B3A0A">
      <w:pPr>
        <w:rPr>
          <w:rFonts w:ascii="Calibri" w:hAnsi="Calibri" w:cs="Calibri"/>
          <w:color w:val="000000" w:themeColor="text1"/>
          <w:sz w:val="10"/>
          <w:szCs w:val="10"/>
          <w:lang w:val="en-GB"/>
        </w:rPr>
      </w:pPr>
      <w:r w:rsidRPr="00F83896">
        <w:rPr>
          <w:rFonts w:ascii="Calibri" w:hAnsi="Calibri" w:cs="Calibri"/>
          <w:color w:val="000000" w:themeColor="text1"/>
          <w:sz w:val="15"/>
          <w:szCs w:val="15"/>
          <w:lang w:val="en-GB"/>
        </w:rPr>
        <w:t>A Literature search was performed from the databases from inception to February 2022 using MEDLINE, Google Scholar, Cochrane Database, CINHAL, CNKI, and Wanfang Med Online. The keywords “Ginseng Radix, Astragalus Radix, Cistanche deserticola Herba, Atractylodis macrocephalae Rhizoma, Poria cocos, Glycyrrhiza Radix, Rhodiola rosea Radix, Epimedii Herba” AND “neurodegeneration, glutamate excitotoxicity, neuroinflammation, oxidative stress, protein aggregation, mitochondrial dysfunction, axonal transport dysfunction, muscle atrophy, spasticity, ALS” were used as MeSH terms</w:t>
      </w:r>
      <w:r w:rsidRPr="005E5AF9">
        <w:rPr>
          <w:rFonts w:ascii="Calibri" w:hAnsi="Calibri" w:cs="Calibri"/>
          <w:color w:val="000000" w:themeColor="text1"/>
          <w:sz w:val="10"/>
          <w:szCs w:val="10"/>
          <w:lang w:val="en-GB"/>
        </w:rPr>
        <w:t>.</w:t>
      </w:r>
    </w:p>
    <w:p w14:paraId="4F7DF27B" w14:textId="77777777" w:rsidR="004B368A" w:rsidRPr="003B3A0A" w:rsidRDefault="004B368A" w:rsidP="003B3A0A">
      <w:pPr>
        <w:rPr>
          <w:lang w:val="en-GB"/>
        </w:rPr>
      </w:pPr>
    </w:p>
    <w:sectPr w:rsidR="004B368A" w:rsidRPr="003B3A0A" w:rsidSect="001B3B3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06"/>
    <w:rsid w:val="001B3B31"/>
    <w:rsid w:val="003B3A0A"/>
    <w:rsid w:val="004B368A"/>
    <w:rsid w:val="00CC2CF2"/>
    <w:rsid w:val="00F4131D"/>
    <w:rsid w:val="00F844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E5089A1"/>
  <w15:chartTrackingRefBased/>
  <w15:docId w15:val="{383B6A54-2A70-B449-9B01-67E91B1B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4406"/>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2000</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SVS</dc:creator>
  <cp:keywords/>
  <dc:description/>
  <cp:lastModifiedBy>SVS</cp:lastModifiedBy>
  <cp:revision>2</cp:revision>
  <dcterms:created xsi:type="dcterms:W3CDTF">2022-08-30T18:25:00Z</dcterms:created>
  <dcterms:modified xsi:type="dcterms:W3CDTF">2022-08-30T18:28:00Z</dcterms:modified>
</cp:coreProperties>
</file>