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71" w:rsidRDefault="00F56458" w:rsidP="008476F5">
      <w:pPr>
        <w:pStyle w:val="TableCaption"/>
        <w:ind w:left="0" w:firstLine="0"/>
        <w:jc w:val="both"/>
      </w:pPr>
      <w:bookmarkStart w:id="0" w:name="_GoBack"/>
      <w:bookmarkEnd w:id="0"/>
      <w:r w:rsidRPr="00F56458">
        <w:t>Additional</w:t>
      </w:r>
      <w:r>
        <w:t xml:space="preserve"> file 2 Table S2</w:t>
      </w:r>
      <w:r w:rsidR="008476F5">
        <w:t>.</w:t>
      </w:r>
      <w:r w:rsidR="00D52671">
        <w:t xml:space="preserve"> </w:t>
      </w:r>
      <w:r w:rsidR="008476F5">
        <w:rPr>
          <w:b w:val="0"/>
        </w:rPr>
        <w:t>E</w:t>
      </w:r>
      <w:r w:rsidR="008476F5" w:rsidRPr="0062648B">
        <w:rPr>
          <w:b w:val="0"/>
          <w:bCs/>
        </w:rPr>
        <w:t>chocardiography</w:t>
      </w:r>
      <w:r w:rsidR="008476F5" w:rsidRPr="00D52671">
        <w:rPr>
          <w:b w:val="0"/>
        </w:rPr>
        <w:t xml:space="preserve"> </w:t>
      </w:r>
      <w:r w:rsidR="008476F5">
        <w:rPr>
          <w:b w:val="0"/>
        </w:rPr>
        <w:t xml:space="preserve">and </w:t>
      </w:r>
      <w:r w:rsidR="008476F5" w:rsidRPr="008476F5">
        <w:rPr>
          <w:b w:val="0"/>
        </w:rPr>
        <w:t>PaO</w:t>
      </w:r>
      <w:r w:rsidR="008476F5" w:rsidRPr="008476F5">
        <w:rPr>
          <w:b w:val="0"/>
          <w:vertAlign w:val="subscript"/>
        </w:rPr>
        <w:t>2</w:t>
      </w:r>
      <w:r w:rsidR="008476F5" w:rsidRPr="008476F5">
        <w:rPr>
          <w:b w:val="0"/>
        </w:rPr>
        <w:t>/FiO</w:t>
      </w:r>
      <w:r w:rsidR="008476F5" w:rsidRPr="008476F5">
        <w:rPr>
          <w:b w:val="0"/>
          <w:vertAlign w:val="subscript"/>
        </w:rPr>
        <w:t>2</w:t>
      </w:r>
      <w:r w:rsidR="008476F5" w:rsidRPr="008476F5">
        <w:t xml:space="preserve"> </w:t>
      </w:r>
      <w:r w:rsidR="00D52671" w:rsidRPr="0062648B">
        <w:rPr>
          <w:b w:val="0"/>
          <w:bCs/>
        </w:rPr>
        <w:t xml:space="preserve">at </w:t>
      </w:r>
      <w:r w:rsidR="00D52671">
        <w:rPr>
          <w:b w:val="0"/>
          <w:bCs/>
        </w:rPr>
        <w:t xml:space="preserve">the baseline 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1664"/>
        <w:gridCol w:w="1664"/>
        <w:gridCol w:w="1793"/>
        <w:gridCol w:w="1920"/>
      </w:tblGrid>
      <w:tr w:rsidR="00D52671" w:rsidRPr="003A4724" w:rsidTr="008654E4">
        <w:tc>
          <w:tcPr>
            <w:tcW w:w="963" w:type="pct"/>
            <w:vMerge w:val="restart"/>
            <w:vAlign w:val="center"/>
          </w:tcPr>
          <w:p w:rsidR="00D52671" w:rsidRPr="00577FD3" w:rsidRDefault="00D52671" w:rsidP="008654E4">
            <w:pPr>
              <w:pStyle w:val="TableBody"/>
              <w:jc w:val="both"/>
            </w:pPr>
            <w:r>
              <w:t>Variables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71" w:rsidRPr="00577FD3" w:rsidRDefault="00D52671" w:rsidP="008476F5">
            <w:pPr>
              <w:pStyle w:val="TableBody"/>
            </w:pPr>
            <w:r>
              <w:t>Restrictive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71" w:rsidRPr="00577FD3" w:rsidRDefault="00D52671" w:rsidP="008654E4">
            <w:pPr>
              <w:pStyle w:val="TableBody"/>
              <w:jc w:val="both"/>
            </w:pPr>
            <w:r>
              <w:t>Liberal</w:t>
            </w:r>
          </w:p>
        </w:tc>
      </w:tr>
      <w:tr w:rsidR="00D52671" w:rsidRPr="003A4724" w:rsidTr="008654E4">
        <w:tc>
          <w:tcPr>
            <w:tcW w:w="963" w:type="pct"/>
            <w:vMerge/>
            <w:tcBorders>
              <w:bottom w:val="single" w:sz="4" w:space="0" w:color="auto"/>
            </w:tcBorders>
            <w:vAlign w:val="center"/>
          </w:tcPr>
          <w:p w:rsidR="00D52671" w:rsidRPr="00577FD3" w:rsidRDefault="00D52671" w:rsidP="008654E4">
            <w:pPr>
              <w:pStyle w:val="TableBody"/>
              <w:jc w:val="both"/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71" w:rsidRPr="00577FD3" w:rsidRDefault="00D52671" w:rsidP="008654E4">
            <w:pPr>
              <w:pStyle w:val="TableBody"/>
              <w:jc w:val="both"/>
            </w:pPr>
            <w:r>
              <w:t>PEEP3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71" w:rsidRPr="00577FD3" w:rsidRDefault="00D52671" w:rsidP="008654E4">
            <w:pPr>
              <w:pStyle w:val="TableBody"/>
              <w:jc w:val="both"/>
            </w:pPr>
            <w:r>
              <w:t>PEEP9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71" w:rsidRPr="00577FD3" w:rsidRDefault="00D52671" w:rsidP="008654E4">
            <w:pPr>
              <w:pStyle w:val="TableBody"/>
              <w:jc w:val="both"/>
            </w:pPr>
            <w:r>
              <w:t>PEEP3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71" w:rsidRPr="00577FD3" w:rsidRDefault="00D52671" w:rsidP="008654E4">
            <w:pPr>
              <w:pStyle w:val="TableBody"/>
              <w:jc w:val="both"/>
            </w:pPr>
            <w:r>
              <w:t>PEEP9</w:t>
            </w:r>
          </w:p>
        </w:tc>
      </w:tr>
      <w:tr w:rsidR="008476F5" w:rsidRPr="008476F5" w:rsidTr="008654E4">
        <w:tc>
          <w:tcPr>
            <w:tcW w:w="963" w:type="pct"/>
            <w:tcBorders>
              <w:top w:val="single" w:sz="4" w:space="0" w:color="auto"/>
              <w:bottom w:val="nil"/>
            </w:tcBorders>
            <w:vAlign w:val="center"/>
          </w:tcPr>
          <w:p w:rsidR="00D52671" w:rsidRPr="008476F5" w:rsidRDefault="00D52671" w:rsidP="008654E4">
            <w:pPr>
              <w:pStyle w:val="TableBody"/>
              <w:jc w:val="both"/>
            </w:pPr>
            <w:r w:rsidRPr="008476F5">
              <w:t>HR (bpm)</w:t>
            </w:r>
          </w:p>
        </w:tc>
        <w:tc>
          <w:tcPr>
            <w:tcW w:w="954" w:type="pct"/>
            <w:tcBorders>
              <w:top w:val="single" w:sz="4" w:space="0" w:color="auto"/>
              <w:bottom w:val="nil"/>
            </w:tcBorders>
            <w:vAlign w:val="center"/>
          </w:tcPr>
          <w:p w:rsidR="00D52671" w:rsidRPr="008476F5" w:rsidRDefault="00A50F98" w:rsidP="00A50F98">
            <w:pPr>
              <w:pStyle w:val="TableBody"/>
              <w:jc w:val="both"/>
            </w:pPr>
            <w:r w:rsidRPr="008476F5">
              <w:t>453</w:t>
            </w:r>
            <w:r w:rsidR="00D52671" w:rsidRPr="008476F5">
              <w:t xml:space="preserve"> ± </w:t>
            </w:r>
            <w:r w:rsidRPr="008476F5">
              <w:t>38</w:t>
            </w:r>
          </w:p>
        </w:tc>
        <w:tc>
          <w:tcPr>
            <w:tcW w:w="954" w:type="pct"/>
            <w:tcBorders>
              <w:top w:val="single" w:sz="4" w:space="0" w:color="auto"/>
              <w:bottom w:val="nil"/>
            </w:tcBorders>
            <w:vAlign w:val="center"/>
          </w:tcPr>
          <w:p w:rsidR="00D52671" w:rsidRPr="008476F5" w:rsidRDefault="00D52671" w:rsidP="00A50F98">
            <w:pPr>
              <w:pStyle w:val="TableBody"/>
              <w:jc w:val="both"/>
            </w:pPr>
            <w:r w:rsidRPr="008476F5">
              <w:t>42</w:t>
            </w:r>
            <w:r w:rsidR="00A50F98" w:rsidRPr="008476F5">
              <w:t>6</w:t>
            </w:r>
            <w:r w:rsidRPr="008476F5">
              <w:t xml:space="preserve"> ± 4</w:t>
            </w:r>
            <w:r w:rsidR="00A50F98" w:rsidRPr="008476F5">
              <w:t>1</w:t>
            </w:r>
          </w:p>
        </w:tc>
        <w:tc>
          <w:tcPr>
            <w:tcW w:w="1028" w:type="pct"/>
            <w:tcBorders>
              <w:top w:val="single" w:sz="4" w:space="0" w:color="auto"/>
              <w:bottom w:val="nil"/>
            </w:tcBorders>
            <w:vAlign w:val="center"/>
          </w:tcPr>
          <w:p w:rsidR="00D52671" w:rsidRPr="008476F5" w:rsidRDefault="00A50F98" w:rsidP="00A50F98">
            <w:pPr>
              <w:pStyle w:val="TableBody"/>
              <w:jc w:val="both"/>
            </w:pPr>
            <w:r w:rsidRPr="008476F5">
              <w:t>395</w:t>
            </w:r>
            <w:r w:rsidR="00D52671" w:rsidRPr="008476F5">
              <w:t xml:space="preserve"> ± </w:t>
            </w:r>
            <w:r w:rsidRPr="008476F5">
              <w:t>30</w:t>
            </w:r>
          </w:p>
        </w:tc>
        <w:tc>
          <w:tcPr>
            <w:tcW w:w="1101" w:type="pct"/>
            <w:tcBorders>
              <w:top w:val="single" w:sz="4" w:space="0" w:color="auto"/>
              <w:bottom w:val="nil"/>
            </w:tcBorders>
            <w:vAlign w:val="center"/>
          </w:tcPr>
          <w:p w:rsidR="00D52671" w:rsidRPr="008476F5" w:rsidRDefault="00A50F98" w:rsidP="00A50F98">
            <w:pPr>
              <w:pStyle w:val="TableBody"/>
              <w:jc w:val="both"/>
            </w:pPr>
            <w:r w:rsidRPr="008476F5">
              <w:t>423</w:t>
            </w:r>
            <w:r w:rsidR="00D52671" w:rsidRPr="008476F5">
              <w:t xml:space="preserve"> ± </w:t>
            </w:r>
            <w:r w:rsidRPr="008476F5">
              <w:t>29</w:t>
            </w:r>
          </w:p>
        </w:tc>
      </w:tr>
      <w:tr w:rsidR="008476F5" w:rsidRPr="008476F5" w:rsidTr="008654E4">
        <w:tc>
          <w:tcPr>
            <w:tcW w:w="963" w:type="pct"/>
            <w:tcBorders>
              <w:top w:val="nil"/>
            </w:tcBorders>
            <w:vAlign w:val="center"/>
          </w:tcPr>
          <w:p w:rsidR="00D52671" w:rsidRPr="008476F5" w:rsidRDefault="00D52671" w:rsidP="008654E4">
            <w:pPr>
              <w:pStyle w:val="TableBody"/>
              <w:jc w:val="both"/>
            </w:pPr>
            <w:r w:rsidRPr="008476F5">
              <w:t>RVSV (mL)</w:t>
            </w:r>
          </w:p>
        </w:tc>
        <w:tc>
          <w:tcPr>
            <w:tcW w:w="954" w:type="pct"/>
            <w:tcBorders>
              <w:top w:val="nil"/>
            </w:tcBorders>
            <w:vAlign w:val="center"/>
          </w:tcPr>
          <w:p w:rsidR="00D52671" w:rsidRPr="008476F5" w:rsidRDefault="00D52671" w:rsidP="00C31D2A">
            <w:pPr>
              <w:pStyle w:val="TableBody"/>
              <w:jc w:val="both"/>
            </w:pPr>
            <w:r w:rsidRPr="008476F5">
              <w:t>0.</w:t>
            </w:r>
            <w:r w:rsidR="00C31D2A" w:rsidRPr="008476F5">
              <w:t>322</w:t>
            </w:r>
            <w:r w:rsidRPr="008476F5">
              <w:t xml:space="preserve"> ± 0.0</w:t>
            </w:r>
            <w:r w:rsidR="00C31D2A" w:rsidRPr="008476F5">
              <w:t>70</w:t>
            </w:r>
          </w:p>
        </w:tc>
        <w:tc>
          <w:tcPr>
            <w:tcW w:w="954" w:type="pct"/>
            <w:tcBorders>
              <w:top w:val="nil"/>
            </w:tcBorders>
            <w:vAlign w:val="center"/>
          </w:tcPr>
          <w:p w:rsidR="00D52671" w:rsidRPr="008476F5" w:rsidRDefault="00D52671" w:rsidP="00C31D2A">
            <w:pPr>
              <w:pStyle w:val="TableBody"/>
              <w:jc w:val="both"/>
            </w:pPr>
            <w:r w:rsidRPr="008476F5">
              <w:t>0.</w:t>
            </w:r>
            <w:r w:rsidR="00C31D2A" w:rsidRPr="008476F5">
              <w:t>338</w:t>
            </w:r>
            <w:r w:rsidRPr="008476F5">
              <w:t xml:space="preserve"> ± 0.0</w:t>
            </w:r>
            <w:r w:rsidR="00C31D2A" w:rsidRPr="008476F5">
              <w:t>34</w:t>
            </w:r>
          </w:p>
        </w:tc>
        <w:tc>
          <w:tcPr>
            <w:tcW w:w="1028" w:type="pct"/>
            <w:tcBorders>
              <w:top w:val="nil"/>
            </w:tcBorders>
            <w:vAlign w:val="center"/>
          </w:tcPr>
          <w:p w:rsidR="00D52671" w:rsidRPr="008476F5" w:rsidRDefault="00D52671" w:rsidP="00C31D2A">
            <w:pPr>
              <w:pStyle w:val="TableBody"/>
              <w:jc w:val="both"/>
            </w:pPr>
            <w:r w:rsidRPr="008476F5">
              <w:t>0.</w:t>
            </w:r>
            <w:r w:rsidR="00C31D2A" w:rsidRPr="008476F5">
              <w:t>282</w:t>
            </w:r>
            <w:r w:rsidRPr="008476F5">
              <w:t xml:space="preserve"> ± 0.0</w:t>
            </w:r>
            <w:r w:rsidR="00C31D2A" w:rsidRPr="008476F5">
              <w:t>30</w:t>
            </w:r>
          </w:p>
        </w:tc>
        <w:tc>
          <w:tcPr>
            <w:tcW w:w="1101" w:type="pct"/>
            <w:tcBorders>
              <w:top w:val="nil"/>
            </w:tcBorders>
            <w:vAlign w:val="center"/>
          </w:tcPr>
          <w:p w:rsidR="00D52671" w:rsidRPr="008476F5" w:rsidRDefault="00D52671" w:rsidP="00C31D2A">
            <w:pPr>
              <w:pStyle w:val="TableBody"/>
              <w:jc w:val="both"/>
            </w:pPr>
            <w:r w:rsidRPr="008476F5">
              <w:t>0.2</w:t>
            </w:r>
            <w:r w:rsidR="00C31D2A" w:rsidRPr="008476F5">
              <w:t>6</w:t>
            </w:r>
            <w:r w:rsidRPr="008476F5">
              <w:t>8 ± 0.03</w:t>
            </w:r>
            <w:r w:rsidR="00C31D2A" w:rsidRPr="008476F5">
              <w:t>7</w:t>
            </w:r>
          </w:p>
        </w:tc>
      </w:tr>
      <w:tr w:rsidR="008476F5" w:rsidRPr="008476F5" w:rsidTr="008654E4">
        <w:tc>
          <w:tcPr>
            <w:tcW w:w="963" w:type="pct"/>
            <w:vAlign w:val="center"/>
          </w:tcPr>
          <w:p w:rsidR="00D52671" w:rsidRPr="008476F5" w:rsidRDefault="00D52671" w:rsidP="008654E4">
            <w:pPr>
              <w:pStyle w:val="TableBody"/>
              <w:jc w:val="both"/>
            </w:pPr>
            <w:r w:rsidRPr="008476F5">
              <w:t>LVSV (mL)</w:t>
            </w:r>
          </w:p>
        </w:tc>
        <w:tc>
          <w:tcPr>
            <w:tcW w:w="954" w:type="pct"/>
            <w:vAlign w:val="center"/>
          </w:tcPr>
          <w:p w:rsidR="00D52671" w:rsidRPr="008476F5" w:rsidRDefault="00D52671" w:rsidP="00C31D2A">
            <w:pPr>
              <w:pStyle w:val="TableBody"/>
              <w:jc w:val="both"/>
            </w:pPr>
            <w:r w:rsidRPr="008476F5">
              <w:t>0.</w:t>
            </w:r>
            <w:r w:rsidR="00C31D2A" w:rsidRPr="008476F5">
              <w:t>311</w:t>
            </w:r>
            <w:r w:rsidRPr="008476F5">
              <w:t xml:space="preserve"> ± 0.0</w:t>
            </w:r>
            <w:r w:rsidR="00C31D2A" w:rsidRPr="008476F5">
              <w:t>62</w:t>
            </w:r>
          </w:p>
        </w:tc>
        <w:tc>
          <w:tcPr>
            <w:tcW w:w="954" w:type="pct"/>
            <w:vAlign w:val="center"/>
          </w:tcPr>
          <w:p w:rsidR="00D52671" w:rsidRPr="008476F5" w:rsidRDefault="00D52671" w:rsidP="00C31D2A">
            <w:pPr>
              <w:pStyle w:val="TableBody"/>
              <w:jc w:val="both"/>
            </w:pPr>
            <w:r w:rsidRPr="008476F5">
              <w:t>0.2</w:t>
            </w:r>
            <w:r w:rsidR="00C31D2A" w:rsidRPr="008476F5">
              <w:t>99</w:t>
            </w:r>
            <w:r w:rsidRPr="008476F5">
              <w:t xml:space="preserve"> ± 0.0</w:t>
            </w:r>
            <w:r w:rsidR="00C31D2A" w:rsidRPr="008476F5">
              <w:t>60</w:t>
            </w:r>
          </w:p>
        </w:tc>
        <w:tc>
          <w:tcPr>
            <w:tcW w:w="1028" w:type="pct"/>
            <w:vAlign w:val="center"/>
          </w:tcPr>
          <w:p w:rsidR="00D52671" w:rsidRPr="008476F5" w:rsidRDefault="00D52671" w:rsidP="00C31D2A">
            <w:pPr>
              <w:pStyle w:val="TableBody"/>
              <w:jc w:val="both"/>
            </w:pPr>
            <w:r w:rsidRPr="008476F5">
              <w:t>0.2</w:t>
            </w:r>
            <w:r w:rsidR="00C31D2A" w:rsidRPr="008476F5">
              <w:t>60</w:t>
            </w:r>
            <w:r w:rsidRPr="008476F5">
              <w:t xml:space="preserve"> ± 0.0</w:t>
            </w:r>
            <w:r w:rsidR="00C31D2A" w:rsidRPr="008476F5">
              <w:t>30</w:t>
            </w:r>
          </w:p>
        </w:tc>
        <w:tc>
          <w:tcPr>
            <w:tcW w:w="1101" w:type="pct"/>
            <w:vAlign w:val="center"/>
          </w:tcPr>
          <w:p w:rsidR="00D52671" w:rsidRPr="008476F5" w:rsidRDefault="00D52671" w:rsidP="00C31D2A">
            <w:pPr>
              <w:pStyle w:val="TableBody"/>
              <w:jc w:val="both"/>
            </w:pPr>
            <w:r w:rsidRPr="008476F5">
              <w:t>0.2</w:t>
            </w:r>
            <w:r w:rsidR="00C31D2A" w:rsidRPr="008476F5">
              <w:t>67</w:t>
            </w:r>
            <w:r w:rsidRPr="008476F5">
              <w:t xml:space="preserve"> ± 0.0</w:t>
            </w:r>
            <w:r w:rsidR="00C31D2A" w:rsidRPr="008476F5">
              <w:t>48</w:t>
            </w:r>
          </w:p>
        </w:tc>
      </w:tr>
      <w:tr w:rsidR="008476F5" w:rsidRPr="008476F5" w:rsidTr="008654E4">
        <w:tc>
          <w:tcPr>
            <w:tcW w:w="963" w:type="pct"/>
            <w:vAlign w:val="center"/>
          </w:tcPr>
          <w:p w:rsidR="00D52671" w:rsidRPr="008476F5" w:rsidRDefault="00D52671" w:rsidP="008654E4">
            <w:pPr>
              <w:pStyle w:val="TableBody"/>
              <w:jc w:val="both"/>
            </w:pPr>
            <w:r w:rsidRPr="008476F5">
              <w:t>CO (mL/min)</w:t>
            </w:r>
          </w:p>
        </w:tc>
        <w:tc>
          <w:tcPr>
            <w:tcW w:w="954" w:type="pct"/>
            <w:vAlign w:val="center"/>
          </w:tcPr>
          <w:p w:rsidR="00D52671" w:rsidRPr="008476F5" w:rsidRDefault="00996CBB" w:rsidP="00996CBB">
            <w:pPr>
              <w:pStyle w:val="TableBody"/>
              <w:jc w:val="both"/>
            </w:pPr>
            <w:r w:rsidRPr="008476F5">
              <w:t>140</w:t>
            </w:r>
            <w:r w:rsidR="00D52671" w:rsidRPr="008476F5">
              <w:t xml:space="preserve"> ± </w:t>
            </w:r>
            <w:r w:rsidRPr="008476F5">
              <w:t>23</w:t>
            </w:r>
          </w:p>
        </w:tc>
        <w:tc>
          <w:tcPr>
            <w:tcW w:w="954" w:type="pct"/>
            <w:vAlign w:val="center"/>
          </w:tcPr>
          <w:p w:rsidR="00D52671" w:rsidRPr="008476F5" w:rsidRDefault="00996CBB" w:rsidP="00996CBB">
            <w:pPr>
              <w:pStyle w:val="TableBody"/>
              <w:jc w:val="both"/>
            </w:pPr>
            <w:r w:rsidRPr="008476F5">
              <w:t>124</w:t>
            </w:r>
            <w:r w:rsidR="00D52671" w:rsidRPr="008476F5">
              <w:t xml:space="preserve"> ± </w:t>
            </w:r>
            <w:r w:rsidRPr="008476F5">
              <w:t>33</w:t>
            </w:r>
          </w:p>
        </w:tc>
        <w:tc>
          <w:tcPr>
            <w:tcW w:w="1028" w:type="pct"/>
            <w:vAlign w:val="center"/>
          </w:tcPr>
          <w:p w:rsidR="00D52671" w:rsidRPr="008476F5" w:rsidRDefault="00996CBB" w:rsidP="00996CBB">
            <w:pPr>
              <w:pStyle w:val="TableBody"/>
              <w:jc w:val="both"/>
            </w:pPr>
            <w:r w:rsidRPr="008476F5">
              <w:t>113</w:t>
            </w:r>
            <w:r w:rsidR="00D52671" w:rsidRPr="008476F5">
              <w:t xml:space="preserve"> ± </w:t>
            </w:r>
            <w:r w:rsidRPr="008476F5">
              <w:t>17</w:t>
            </w:r>
          </w:p>
        </w:tc>
        <w:tc>
          <w:tcPr>
            <w:tcW w:w="1101" w:type="pct"/>
            <w:vAlign w:val="center"/>
          </w:tcPr>
          <w:p w:rsidR="00D52671" w:rsidRPr="008476F5" w:rsidRDefault="00996CBB" w:rsidP="00996CBB">
            <w:pPr>
              <w:pStyle w:val="TableBody"/>
              <w:jc w:val="both"/>
            </w:pPr>
            <w:r w:rsidRPr="008476F5">
              <w:t>112</w:t>
            </w:r>
            <w:r w:rsidR="00D52671" w:rsidRPr="008476F5">
              <w:t xml:space="preserve"> ± 1</w:t>
            </w:r>
            <w:r w:rsidRPr="008476F5">
              <w:t>5</w:t>
            </w:r>
          </w:p>
        </w:tc>
      </w:tr>
      <w:tr w:rsidR="008476F5" w:rsidRPr="008476F5" w:rsidTr="008654E4">
        <w:tc>
          <w:tcPr>
            <w:tcW w:w="963" w:type="pct"/>
            <w:vAlign w:val="center"/>
          </w:tcPr>
          <w:p w:rsidR="00D52671" w:rsidRPr="008476F5" w:rsidRDefault="00D52671" w:rsidP="008654E4">
            <w:pPr>
              <w:pStyle w:val="TableBody"/>
              <w:jc w:val="both"/>
            </w:pPr>
            <w:r w:rsidRPr="008476F5">
              <w:t>IVCC (%)</w:t>
            </w:r>
          </w:p>
        </w:tc>
        <w:tc>
          <w:tcPr>
            <w:tcW w:w="954" w:type="pct"/>
            <w:vAlign w:val="center"/>
          </w:tcPr>
          <w:p w:rsidR="00D52671" w:rsidRPr="008476F5" w:rsidRDefault="00996CBB" w:rsidP="00996CBB">
            <w:pPr>
              <w:pStyle w:val="TableBody"/>
              <w:jc w:val="both"/>
            </w:pPr>
            <w:r w:rsidRPr="008476F5">
              <w:t>27.3</w:t>
            </w:r>
            <w:r w:rsidR="00D52671" w:rsidRPr="008476F5">
              <w:t xml:space="preserve"> ± </w:t>
            </w:r>
            <w:r w:rsidRPr="008476F5">
              <w:t>5.7</w:t>
            </w:r>
          </w:p>
        </w:tc>
        <w:tc>
          <w:tcPr>
            <w:tcW w:w="954" w:type="pct"/>
            <w:vAlign w:val="center"/>
          </w:tcPr>
          <w:p w:rsidR="00D52671" w:rsidRPr="008476F5" w:rsidRDefault="00996CBB" w:rsidP="00996CBB">
            <w:pPr>
              <w:pStyle w:val="TableBody"/>
              <w:jc w:val="both"/>
            </w:pPr>
            <w:r w:rsidRPr="008476F5">
              <w:t>26.7</w:t>
            </w:r>
            <w:r w:rsidR="00D52671" w:rsidRPr="008476F5">
              <w:t xml:space="preserve"> ± </w:t>
            </w:r>
            <w:r w:rsidRPr="008476F5">
              <w:t>6.9</w:t>
            </w:r>
          </w:p>
        </w:tc>
        <w:tc>
          <w:tcPr>
            <w:tcW w:w="1028" w:type="pct"/>
            <w:vAlign w:val="center"/>
          </w:tcPr>
          <w:p w:rsidR="00D52671" w:rsidRPr="008476F5" w:rsidRDefault="00996CBB" w:rsidP="00996CBB">
            <w:pPr>
              <w:pStyle w:val="TableBody"/>
              <w:jc w:val="both"/>
            </w:pPr>
            <w:r w:rsidRPr="008476F5">
              <w:t>26.9</w:t>
            </w:r>
            <w:r w:rsidR="00D52671" w:rsidRPr="008476F5">
              <w:t xml:space="preserve"> ± </w:t>
            </w:r>
            <w:r w:rsidRPr="008476F5">
              <w:t>7.3</w:t>
            </w:r>
          </w:p>
        </w:tc>
        <w:tc>
          <w:tcPr>
            <w:tcW w:w="1101" w:type="pct"/>
            <w:vAlign w:val="center"/>
          </w:tcPr>
          <w:p w:rsidR="00D52671" w:rsidRPr="008476F5" w:rsidRDefault="00996CBB" w:rsidP="00996CBB">
            <w:pPr>
              <w:pStyle w:val="TableBody"/>
              <w:jc w:val="both"/>
            </w:pPr>
            <w:r w:rsidRPr="008476F5">
              <w:t>26.5</w:t>
            </w:r>
            <w:r w:rsidR="00D52671" w:rsidRPr="008476F5">
              <w:t xml:space="preserve"> ± </w:t>
            </w:r>
            <w:r w:rsidRPr="008476F5">
              <w:t>3.2</w:t>
            </w:r>
          </w:p>
        </w:tc>
      </w:tr>
      <w:tr w:rsidR="008476F5" w:rsidRPr="008476F5" w:rsidTr="008654E4">
        <w:tc>
          <w:tcPr>
            <w:tcW w:w="963" w:type="pct"/>
            <w:vAlign w:val="center"/>
          </w:tcPr>
          <w:p w:rsidR="00D52671" w:rsidRPr="008476F5" w:rsidRDefault="00D52671" w:rsidP="008654E4">
            <w:pPr>
              <w:pStyle w:val="TableBody"/>
              <w:jc w:val="both"/>
            </w:pPr>
            <w:r w:rsidRPr="008476F5">
              <w:t>RV area</w:t>
            </w:r>
          </w:p>
        </w:tc>
        <w:tc>
          <w:tcPr>
            <w:tcW w:w="954" w:type="pct"/>
            <w:vAlign w:val="center"/>
          </w:tcPr>
          <w:p w:rsidR="00D52671" w:rsidRPr="008476F5" w:rsidRDefault="00D52671" w:rsidP="00996CBB">
            <w:pPr>
              <w:pStyle w:val="TableBody"/>
              <w:jc w:val="both"/>
            </w:pPr>
            <w:r w:rsidRPr="008476F5">
              <w:t>0.</w:t>
            </w:r>
            <w:r w:rsidR="00996CBB" w:rsidRPr="008476F5">
              <w:t>328</w:t>
            </w:r>
            <w:r w:rsidRPr="008476F5">
              <w:t xml:space="preserve"> ± 0.0</w:t>
            </w:r>
            <w:r w:rsidR="00996CBB" w:rsidRPr="008476F5">
              <w:t>27</w:t>
            </w:r>
          </w:p>
        </w:tc>
        <w:tc>
          <w:tcPr>
            <w:tcW w:w="954" w:type="pct"/>
            <w:vAlign w:val="center"/>
          </w:tcPr>
          <w:p w:rsidR="00D52671" w:rsidRPr="008476F5" w:rsidRDefault="00D52671" w:rsidP="00996CBB">
            <w:pPr>
              <w:pStyle w:val="TableBody"/>
              <w:jc w:val="both"/>
            </w:pPr>
            <w:r w:rsidRPr="008476F5">
              <w:t>0.</w:t>
            </w:r>
            <w:r w:rsidR="00996CBB" w:rsidRPr="008476F5">
              <w:t>345</w:t>
            </w:r>
            <w:r w:rsidRPr="008476F5">
              <w:t xml:space="preserve"> ± 0.0</w:t>
            </w:r>
            <w:r w:rsidR="00996CBB" w:rsidRPr="008476F5">
              <w:t>23</w:t>
            </w:r>
          </w:p>
        </w:tc>
        <w:tc>
          <w:tcPr>
            <w:tcW w:w="1028" w:type="pct"/>
            <w:vAlign w:val="center"/>
          </w:tcPr>
          <w:p w:rsidR="00D52671" w:rsidRPr="008476F5" w:rsidRDefault="00D52671" w:rsidP="00996CBB">
            <w:pPr>
              <w:pStyle w:val="TableBody"/>
              <w:jc w:val="both"/>
            </w:pPr>
            <w:r w:rsidRPr="008476F5">
              <w:t>0.</w:t>
            </w:r>
            <w:r w:rsidR="00996CBB" w:rsidRPr="008476F5">
              <w:t>286</w:t>
            </w:r>
            <w:r w:rsidRPr="008476F5">
              <w:t xml:space="preserve"> ± 0.0</w:t>
            </w:r>
            <w:r w:rsidR="00996CBB" w:rsidRPr="008476F5">
              <w:t>46</w:t>
            </w:r>
          </w:p>
        </w:tc>
        <w:tc>
          <w:tcPr>
            <w:tcW w:w="1101" w:type="pct"/>
            <w:vAlign w:val="center"/>
          </w:tcPr>
          <w:p w:rsidR="00D52671" w:rsidRPr="008476F5" w:rsidRDefault="00D52671" w:rsidP="00996CBB">
            <w:pPr>
              <w:pStyle w:val="TableBody"/>
              <w:jc w:val="both"/>
            </w:pPr>
            <w:r w:rsidRPr="008476F5">
              <w:t>0.</w:t>
            </w:r>
            <w:r w:rsidR="00996CBB" w:rsidRPr="008476F5">
              <w:t>302</w:t>
            </w:r>
            <w:r w:rsidRPr="008476F5">
              <w:t xml:space="preserve"> ± 0.0</w:t>
            </w:r>
            <w:r w:rsidR="00996CBB" w:rsidRPr="008476F5">
              <w:t>27</w:t>
            </w:r>
          </w:p>
        </w:tc>
      </w:tr>
      <w:tr w:rsidR="008476F5" w:rsidRPr="008476F5" w:rsidTr="008654E4">
        <w:tc>
          <w:tcPr>
            <w:tcW w:w="963" w:type="pct"/>
            <w:vAlign w:val="center"/>
          </w:tcPr>
          <w:p w:rsidR="00A50F98" w:rsidRPr="008476F5" w:rsidRDefault="00A50F98" w:rsidP="008654E4">
            <w:pPr>
              <w:pStyle w:val="TableBody"/>
              <w:jc w:val="both"/>
            </w:pPr>
            <w:r w:rsidRPr="008476F5">
              <w:t>LV area</w:t>
            </w:r>
          </w:p>
        </w:tc>
        <w:tc>
          <w:tcPr>
            <w:tcW w:w="954" w:type="pct"/>
            <w:vAlign w:val="center"/>
          </w:tcPr>
          <w:p w:rsidR="00A50F98" w:rsidRPr="008476F5" w:rsidRDefault="00A50F98" w:rsidP="00996CBB">
            <w:pPr>
              <w:pStyle w:val="TableBody"/>
              <w:jc w:val="both"/>
            </w:pPr>
            <w:r w:rsidRPr="008476F5">
              <w:t>0.</w:t>
            </w:r>
            <w:r w:rsidR="00996CBB" w:rsidRPr="008476F5">
              <w:t>230</w:t>
            </w:r>
            <w:r w:rsidRPr="008476F5">
              <w:t xml:space="preserve"> ± 0.02</w:t>
            </w:r>
            <w:r w:rsidR="00996CBB" w:rsidRPr="008476F5">
              <w:t>0</w:t>
            </w:r>
          </w:p>
        </w:tc>
        <w:tc>
          <w:tcPr>
            <w:tcW w:w="954" w:type="pct"/>
            <w:vAlign w:val="center"/>
          </w:tcPr>
          <w:p w:rsidR="00A50F98" w:rsidRPr="008476F5" w:rsidRDefault="00A50F98" w:rsidP="00996CBB">
            <w:pPr>
              <w:pStyle w:val="TableBody"/>
              <w:jc w:val="both"/>
            </w:pPr>
            <w:r w:rsidRPr="008476F5">
              <w:t>0</w:t>
            </w:r>
            <w:r w:rsidR="00996CBB" w:rsidRPr="008476F5">
              <w:t>.204</w:t>
            </w:r>
            <w:r w:rsidRPr="008476F5">
              <w:t xml:space="preserve"> ± 0.0</w:t>
            </w:r>
            <w:r w:rsidR="00996CBB" w:rsidRPr="008476F5">
              <w:t>38</w:t>
            </w:r>
          </w:p>
        </w:tc>
        <w:tc>
          <w:tcPr>
            <w:tcW w:w="1028" w:type="pct"/>
            <w:vAlign w:val="center"/>
          </w:tcPr>
          <w:p w:rsidR="00A50F98" w:rsidRPr="008476F5" w:rsidRDefault="00A50F98" w:rsidP="00996CBB">
            <w:pPr>
              <w:pStyle w:val="TableBody"/>
              <w:jc w:val="both"/>
            </w:pPr>
            <w:r w:rsidRPr="008476F5">
              <w:t>0.</w:t>
            </w:r>
            <w:r w:rsidR="00996CBB" w:rsidRPr="008476F5">
              <w:t>194</w:t>
            </w:r>
            <w:r w:rsidRPr="008476F5">
              <w:t xml:space="preserve"> ± 0.0</w:t>
            </w:r>
            <w:r w:rsidR="00996CBB" w:rsidRPr="008476F5">
              <w:t>55</w:t>
            </w:r>
          </w:p>
        </w:tc>
        <w:tc>
          <w:tcPr>
            <w:tcW w:w="1101" w:type="pct"/>
            <w:vAlign w:val="center"/>
          </w:tcPr>
          <w:p w:rsidR="00A50F98" w:rsidRPr="008476F5" w:rsidRDefault="00A50F98" w:rsidP="00996CBB">
            <w:pPr>
              <w:pStyle w:val="TableBody"/>
              <w:jc w:val="both"/>
            </w:pPr>
            <w:r w:rsidRPr="008476F5">
              <w:t>0.</w:t>
            </w:r>
            <w:r w:rsidR="00996CBB" w:rsidRPr="008476F5">
              <w:t>198</w:t>
            </w:r>
            <w:r w:rsidRPr="008476F5">
              <w:t xml:space="preserve"> ± 0.027</w:t>
            </w:r>
          </w:p>
        </w:tc>
      </w:tr>
      <w:tr w:rsidR="008476F5" w:rsidRPr="008476F5" w:rsidTr="008654E4">
        <w:tc>
          <w:tcPr>
            <w:tcW w:w="963" w:type="pct"/>
            <w:vAlign w:val="center"/>
          </w:tcPr>
          <w:p w:rsidR="00A50F98" w:rsidRPr="008476F5" w:rsidRDefault="00A50F98" w:rsidP="00A50F98">
            <w:pPr>
              <w:pStyle w:val="TableBody"/>
              <w:jc w:val="both"/>
            </w:pPr>
            <w:r w:rsidRPr="008476F5">
              <w:t>PaO</w:t>
            </w:r>
            <w:r w:rsidRPr="008476F5">
              <w:rPr>
                <w:vertAlign w:val="subscript"/>
              </w:rPr>
              <w:t>2</w:t>
            </w:r>
            <w:r w:rsidRPr="008476F5">
              <w:t>/FiO</w:t>
            </w:r>
            <w:r w:rsidRPr="008476F5">
              <w:rPr>
                <w:vertAlign w:val="subscript"/>
              </w:rPr>
              <w:t>2</w:t>
            </w:r>
          </w:p>
        </w:tc>
        <w:tc>
          <w:tcPr>
            <w:tcW w:w="954" w:type="pct"/>
            <w:vAlign w:val="center"/>
          </w:tcPr>
          <w:p w:rsidR="00A50F98" w:rsidRPr="008476F5" w:rsidRDefault="00996CBB" w:rsidP="00996CBB">
            <w:pPr>
              <w:pStyle w:val="TableBody"/>
              <w:jc w:val="both"/>
            </w:pPr>
            <w:r w:rsidRPr="008476F5">
              <w:t>207</w:t>
            </w:r>
            <w:r w:rsidR="00A50F98" w:rsidRPr="008476F5">
              <w:t xml:space="preserve"> ± </w:t>
            </w:r>
            <w:r w:rsidRPr="008476F5">
              <w:t>66</w:t>
            </w:r>
          </w:p>
        </w:tc>
        <w:tc>
          <w:tcPr>
            <w:tcW w:w="954" w:type="pct"/>
            <w:vAlign w:val="center"/>
          </w:tcPr>
          <w:p w:rsidR="00A50F98" w:rsidRPr="008476F5" w:rsidRDefault="00996CBB" w:rsidP="00996CBB">
            <w:pPr>
              <w:pStyle w:val="TableBody"/>
              <w:jc w:val="both"/>
            </w:pPr>
            <w:r w:rsidRPr="008476F5">
              <w:t>202</w:t>
            </w:r>
            <w:r w:rsidR="00A50F98" w:rsidRPr="008476F5">
              <w:t xml:space="preserve"> ± </w:t>
            </w:r>
            <w:r w:rsidRPr="008476F5">
              <w:t>99</w:t>
            </w:r>
          </w:p>
        </w:tc>
        <w:tc>
          <w:tcPr>
            <w:tcW w:w="1028" w:type="pct"/>
            <w:vAlign w:val="center"/>
          </w:tcPr>
          <w:p w:rsidR="00A50F98" w:rsidRPr="008476F5" w:rsidRDefault="00996CBB" w:rsidP="00996CBB">
            <w:pPr>
              <w:pStyle w:val="TableBody"/>
              <w:jc w:val="both"/>
            </w:pPr>
            <w:r w:rsidRPr="008476F5">
              <w:t>195</w:t>
            </w:r>
            <w:r w:rsidR="00A50F98" w:rsidRPr="008476F5">
              <w:t xml:space="preserve"> ± </w:t>
            </w:r>
            <w:r w:rsidRPr="008476F5">
              <w:t>107</w:t>
            </w:r>
          </w:p>
        </w:tc>
        <w:tc>
          <w:tcPr>
            <w:tcW w:w="1101" w:type="pct"/>
            <w:vAlign w:val="center"/>
          </w:tcPr>
          <w:p w:rsidR="00A50F98" w:rsidRPr="008476F5" w:rsidRDefault="00B10EF7" w:rsidP="00B10EF7">
            <w:pPr>
              <w:pStyle w:val="TableBody"/>
              <w:jc w:val="both"/>
            </w:pPr>
            <w:r w:rsidRPr="008476F5">
              <w:t>197</w:t>
            </w:r>
            <w:r w:rsidR="00A50F98" w:rsidRPr="008476F5">
              <w:t xml:space="preserve"> ± </w:t>
            </w:r>
            <w:r w:rsidRPr="008476F5">
              <w:t>124</w:t>
            </w:r>
          </w:p>
        </w:tc>
      </w:tr>
    </w:tbl>
    <w:p w:rsidR="00D52671" w:rsidRDefault="00D52671" w:rsidP="00D52671">
      <w:pPr>
        <w:pStyle w:val="TableLegend"/>
        <w:jc w:val="both"/>
      </w:pPr>
      <w:r>
        <w:t xml:space="preserve">Comparisons were done by two-way ANOVA followed by </w:t>
      </w:r>
      <w:r w:rsidRPr="00577FD3">
        <w:t>Holm</w:t>
      </w:r>
      <w:r>
        <w:t>–</w:t>
      </w:r>
      <w:proofErr w:type="spellStart"/>
      <w:r w:rsidRPr="00577FD3">
        <w:t>Sidak's</w:t>
      </w:r>
      <w:proofErr w:type="spellEnd"/>
      <w:r w:rsidRPr="00577FD3">
        <w:t xml:space="preserve"> multiple comparisons test</w:t>
      </w:r>
      <w:r w:rsidRPr="00572DFE">
        <w:t xml:space="preserve"> </w:t>
      </w:r>
      <w:r>
        <w:t>(n = 6 animals/group)</w:t>
      </w:r>
      <w:r w:rsidR="008476F5">
        <w:t>.</w:t>
      </w:r>
    </w:p>
    <w:p w:rsidR="00D52671" w:rsidRDefault="00D52671" w:rsidP="00D52671">
      <w:pPr>
        <w:pStyle w:val="TableLegend"/>
        <w:jc w:val="both"/>
      </w:pPr>
      <w:r w:rsidRPr="00C92186">
        <w:rPr>
          <w:i/>
          <w:iCs/>
        </w:rPr>
        <w:t>Restrictive</w:t>
      </w:r>
      <w:r>
        <w:t xml:space="preserve"> </w:t>
      </w:r>
      <w:r w:rsidRPr="00572DFE">
        <w:t>5 mL/kg/h</w:t>
      </w:r>
      <w:r>
        <w:t xml:space="preserve"> fluid strategy, </w:t>
      </w:r>
      <w:r w:rsidRPr="00C92186">
        <w:rPr>
          <w:i/>
          <w:iCs/>
        </w:rPr>
        <w:t>Liberal</w:t>
      </w:r>
      <w:r w:rsidRPr="00572DFE">
        <w:t xml:space="preserve"> </w:t>
      </w:r>
      <w:r>
        <w:t>4</w:t>
      </w:r>
      <w:r w:rsidRPr="00572DFE">
        <w:t>0 mL/kg/h fluid strategy</w:t>
      </w:r>
      <w:r>
        <w:t xml:space="preserve">, </w:t>
      </w:r>
      <w:r w:rsidRPr="00C92186">
        <w:rPr>
          <w:i/>
          <w:iCs/>
        </w:rPr>
        <w:t>PEEP</w:t>
      </w:r>
      <w:r w:rsidRPr="00572DFE">
        <w:t xml:space="preserve"> </w:t>
      </w:r>
      <w:r>
        <w:t xml:space="preserve">positive end-expiratory </w:t>
      </w:r>
      <w:r w:rsidRPr="00572DFE">
        <w:t>pressure</w:t>
      </w:r>
      <w:r>
        <w:t xml:space="preserve">, </w:t>
      </w:r>
      <w:r w:rsidRPr="00C92186">
        <w:rPr>
          <w:i/>
          <w:iCs/>
        </w:rPr>
        <w:t>HR</w:t>
      </w:r>
      <w:r>
        <w:t xml:space="preserve"> heart rate, </w:t>
      </w:r>
      <w:r w:rsidRPr="00C92186">
        <w:rPr>
          <w:i/>
          <w:iCs/>
        </w:rPr>
        <w:t>RVSV</w:t>
      </w:r>
      <w:r>
        <w:t xml:space="preserve"> right ventricle systolic volume, </w:t>
      </w:r>
      <w:r w:rsidRPr="00C92186">
        <w:rPr>
          <w:i/>
          <w:iCs/>
        </w:rPr>
        <w:t>LVSV</w:t>
      </w:r>
      <w:r>
        <w:t xml:space="preserve"> left ventricle systolic volume, </w:t>
      </w:r>
      <w:r w:rsidRPr="00C92186">
        <w:rPr>
          <w:i/>
          <w:iCs/>
        </w:rPr>
        <w:t>CO</w:t>
      </w:r>
      <w:r>
        <w:t xml:space="preserve"> cardiac output, </w:t>
      </w:r>
      <w:r w:rsidRPr="00C92186">
        <w:rPr>
          <w:i/>
          <w:iCs/>
        </w:rPr>
        <w:t>IVCC</w:t>
      </w:r>
      <w:r>
        <w:t xml:space="preserve"> inferior vena cava collapsibility index, </w:t>
      </w:r>
      <w:r w:rsidRPr="00C92186">
        <w:rPr>
          <w:i/>
          <w:iCs/>
        </w:rPr>
        <w:t>RV</w:t>
      </w:r>
      <w:r>
        <w:t xml:space="preserve"> area right ventricle area, </w:t>
      </w:r>
      <w:r w:rsidRPr="00C92186">
        <w:rPr>
          <w:i/>
          <w:iCs/>
        </w:rPr>
        <w:t>LV</w:t>
      </w:r>
      <w:r>
        <w:t xml:space="preserve"> area left ventricle area</w:t>
      </w:r>
      <w:r w:rsidR="008476F5">
        <w:t xml:space="preserve">, </w:t>
      </w:r>
      <w:r w:rsidR="008476F5" w:rsidRPr="008476F5">
        <w:rPr>
          <w:i/>
        </w:rPr>
        <w:t>PaO2/FiO2</w:t>
      </w:r>
      <w:r w:rsidR="008476F5" w:rsidRPr="008476F5">
        <w:t xml:space="preserve"> ratio of oxygen partial pressure in arterial blood and oxygen inspired fraction</w:t>
      </w:r>
    </w:p>
    <w:p w:rsidR="00D52671" w:rsidRPr="00ED0017" w:rsidRDefault="00D52671" w:rsidP="00D52671">
      <w:pPr>
        <w:rPr>
          <w:lang w:val="en-US"/>
        </w:rPr>
      </w:pPr>
    </w:p>
    <w:p w:rsidR="00CC2B15" w:rsidRPr="00D52671" w:rsidRDefault="00CC2B15" w:rsidP="00D52671">
      <w:pPr>
        <w:rPr>
          <w:lang w:val="en-US"/>
        </w:rPr>
      </w:pPr>
    </w:p>
    <w:sectPr w:rsidR="00CC2B15" w:rsidRPr="00D52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71"/>
    <w:rsid w:val="00755001"/>
    <w:rsid w:val="008476F5"/>
    <w:rsid w:val="00996CBB"/>
    <w:rsid w:val="00A50F98"/>
    <w:rsid w:val="00B10EF7"/>
    <w:rsid w:val="00C31D2A"/>
    <w:rsid w:val="00CC2B15"/>
    <w:rsid w:val="00D157ED"/>
    <w:rsid w:val="00D52671"/>
    <w:rsid w:val="00F5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71"/>
    <w:pPr>
      <w:spacing w:after="120" w:line="480" w:lineRule="auto"/>
    </w:pPr>
    <w:rPr>
      <w:rFonts w:ascii="Times New Roman" w:eastAsia="Times New Roman" w:hAnsi="Times New Roman" w:cs="Times New Roman"/>
      <w:lang w:val="en-IE" w:eastAsia="en-I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aption">
    <w:name w:val="TableCaption"/>
    <w:basedOn w:val="Normal"/>
    <w:rsid w:val="00D52671"/>
    <w:pPr>
      <w:pageBreakBefore/>
      <w:spacing w:after="240"/>
      <w:ind w:left="708" w:hanging="708"/>
    </w:pPr>
    <w:rPr>
      <w:b/>
      <w:sz w:val="24"/>
      <w:lang w:val="en-US"/>
    </w:rPr>
  </w:style>
  <w:style w:type="paragraph" w:customStyle="1" w:styleId="TableBody">
    <w:name w:val="TableBody"/>
    <w:basedOn w:val="Normal"/>
    <w:rsid w:val="00D52671"/>
    <w:pPr>
      <w:spacing w:line="360" w:lineRule="auto"/>
    </w:pPr>
    <w:rPr>
      <w:sz w:val="18"/>
      <w:lang w:val="en-US"/>
    </w:rPr>
  </w:style>
  <w:style w:type="paragraph" w:customStyle="1" w:styleId="TableLegend">
    <w:name w:val="TableLegend"/>
    <w:basedOn w:val="Normal"/>
    <w:rsid w:val="00D52671"/>
    <w:pPr>
      <w:spacing w:before="120" w:after="0" w:line="360" w:lineRule="auto"/>
    </w:pPr>
    <w:rPr>
      <w:sz w:val="18"/>
      <w:lang w:val="en-US"/>
    </w:rPr>
  </w:style>
  <w:style w:type="table" w:styleId="Tabelacomgrade">
    <w:name w:val="Table Grid"/>
    <w:basedOn w:val="Tabelanormal"/>
    <w:uiPriority w:val="39"/>
    <w:rsid w:val="00D5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71"/>
    <w:pPr>
      <w:spacing w:after="120" w:line="480" w:lineRule="auto"/>
    </w:pPr>
    <w:rPr>
      <w:rFonts w:ascii="Times New Roman" w:eastAsia="Times New Roman" w:hAnsi="Times New Roman" w:cs="Times New Roman"/>
      <w:lang w:val="en-IE" w:eastAsia="en-I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aption">
    <w:name w:val="TableCaption"/>
    <w:basedOn w:val="Normal"/>
    <w:rsid w:val="00D52671"/>
    <w:pPr>
      <w:pageBreakBefore/>
      <w:spacing w:after="240"/>
      <w:ind w:left="708" w:hanging="708"/>
    </w:pPr>
    <w:rPr>
      <w:b/>
      <w:sz w:val="24"/>
      <w:lang w:val="en-US"/>
    </w:rPr>
  </w:style>
  <w:style w:type="paragraph" w:customStyle="1" w:styleId="TableBody">
    <w:name w:val="TableBody"/>
    <w:basedOn w:val="Normal"/>
    <w:rsid w:val="00D52671"/>
    <w:pPr>
      <w:spacing w:line="360" w:lineRule="auto"/>
    </w:pPr>
    <w:rPr>
      <w:sz w:val="18"/>
      <w:lang w:val="en-US"/>
    </w:rPr>
  </w:style>
  <w:style w:type="paragraph" w:customStyle="1" w:styleId="TableLegend">
    <w:name w:val="TableLegend"/>
    <w:basedOn w:val="Normal"/>
    <w:rsid w:val="00D52671"/>
    <w:pPr>
      <w:spacing w:before="120" w:after="0" w:line="360" w:lineRule="auto"/>
    </w:pPr>
    <w:rPr>
      <w:sz w:val="18"/>
      <w:lang w:val="en-US"/>
    </w:rPr>
  </w:style>
  <w:style w:type="table" w:styleId="Tabelacomgrade">
    <w:name w:val="Table Grid"/>
    <w:basedOn w:val="Tabelanormal"/>
    <w:uiPriority w:val="39"/>
    <w:rsid w:val="00D5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Pedro</cp:lastModifiedBy>
  <cp:revision>3</cp:revision>
  <dcterms:created xsi:type="dcterms:W3CDTF">2022-08-29T14:32:00Z</dcterms:created>
  <dcterms:modified xsi:type="dcterms:W3CDTF">2022-09-25T16:04:00Z</dcterms:modified>
</cp:coreProperties>
</file>